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7"/>
          <w:szCs w:val="17"/>
          <w:color w:val="auto"/>
        </w:rPr>
        <w:t>1</w:t>
      </w:r>
    </w:p>
    <w:p>
      <w:pPr>
        <w:jc w:val="center"/>
        <w:ind w:right="249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3"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ind w:left="3220"/>
        <w:spacing w:after="0"/>
        <w:rPr>
          <w:sz w:val="20"/>
          <w:szCs w:val="20"/>
          <w:color w:val="auto"/>
        </w:rPr>
      </w:pPr>
      <w:r>
        <w:rPr>
          <w:rFonts w:ascii="Courier New" w:cs="Courier New" w:eastAsia="Courier New" w:hAnsi="Courier New"/>
          <w:sz w:val="17"/>
          <w:szCs w:val="17"/>
          <w:color w:val="auto"/>
        </w:rPr>
        <w:t>FORM 11-K</w:t>
      </w:r>
    </w:p>
    <w:p>
      <w:pPr>
        <w:spacing w:after="0" w:line="193"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(MARK ONE)</w:t>
      </w:r>
    </w:p>
    <w:p>
      <w:pPr>
        <w:spacing w:after="0" w:line="198" w:lineRule="exact"/>
        <w:rPr>
          <w:sz w:val="24"/>
          <w:szCs w:val="24"/>
          <w:color w:val="auto"/>
        </w:rPr>
      </w:pPr>
    </w:p>
    <w:p>
      <w:pPr>
        <w:ind w:left="2100" w:right="3699" w:hanging="894"/>
        <w:spacing w:after="0" w:line="473" w:lineRule="auto"/>
        <w:tabs>
          <w:tab w:leader="none" w:pos="159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PURSUANT TO SECTION 15(d) OF THE SECURITIES EXCHANGE ACT OF 1934</w:t>
      </w:r>
    </w:p>
    <w:p>
      <w:pPr>
        <w:spacing w:after="0" w:line="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7"/>
          <w:szCs w:val="17"/>
          <w:color w:val="auto"/>
        </w:rPr>
        <w:t>For the fiscal year ended December 31, 2000</w:t>
      </w:r>
    </w:p>
    <w:p>
      <w:pPr>
        <w:spacing w:after="0" w:line="193"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7"/>
          <w:szCs w:val="17"/>
          <w:color w:val="auto"/>
        </w:rPr>
        <w:t>OR</w:t>
      </w:r>
    </w:p>
    <w:p>
      <w:pPr>
        <w:spacing w:after="0" w:line="198"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 ] TRANSITION REPORT PURSUANT TO SECTION 15(d) OF THE</w:t>
      </w:r>
    </w:p>
    <w:p>
      <w:pPr>
        <w:spacing w:after="0" w:line="199"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SECURITIES EXCHANGE ACT OF 1934</w:t>
      </w:r>
    </w:p>
    <w:p>
      <w:pPr>
        <w:sectPr>
          <w:pgSz w:w="11900" w:h="16838" w:orient="portrait"/>
          <w:cols w:equalWidth="0" w:num="1">
            <w:col w:w="9919"/>
          </w:cols>
          <w:pgMar w:left="540" w:top="239" w:right="1440" w:bottom="1440" w:gutter="0" w:footer="0" w:header="0"/>
        </w:sectPr>
      </w:pPr>
    </w:p>
    <w:p>
      <w:pPr>
        <w:spacing w:after="0" w:line="198"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1" w:lineRule="exact"/>
        <w:rPr>
          <w:sz w:val="24"/>
          <w:szCs w:val="24"/>
          <w:color w:val="auto"/>
        </w:rPr>
      </w:pPr>
    </w:p>
    <w:p>
      <w:pPr>
        <w:sectPr>
          <w:pgSz w:w="11900" w:h="16838" w:orient="portrait"/>
          <w:cols w:equalWidth="0" w:num="2">
            <w:col w:w="4300" w:space="720"/>
            <w:col w:w="4899"/>
          </w:cols>
          <w:pgMar w:left="540" w:top="239"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4"/>
          <w:szCs w:val="24"/>
          <w:color w:val="auto"/>
        </w:rPr>
      </w:pPr>
    </w:p>
    <w:p>
      <w:pPr>
        <w:sectPr>
          <w:pgSz w:w="11900" w:h="16838" w:orient="portrait"/>
          <w:cols w:equalWidth="0" w:num="2">
            <w:col w:w="5020" w:space="200"/>
            <w:col w:w="4699"/>
          </w:cols>
          <w:pgMar w:left="540" w:top="239" w:right="1440" w:bottom="1440" w:gutter="0" w:footer="0" w:header="0"/>
          <w:type w:val="continuous"/>
        </w:sectPr>
      </w:pPr>
    </w:p>
    <w:p>
      <w:pPr>
        <w:jc w:val="center"/>
        <w:ind w:right="2599"/>
        <w:spacing w:after="0"/>
        <w:rPr>
          <w:sz w:val="20"/>
          <w:szCs w:val="20"/>
          <w:color w:val="auto"/>
        </w:rPr>
      </w:pPr>
      <w:r>
        <w:rPr>
          <w:rFonts w:ascii="Courier New" w:cs="Courier New" w:eastAsia="Courier New" w:hAnsi="Courier New"/>
          <w:sz w:val="17"/>
          <w:szCs w:val="17"/>
          <w:color w:val="auto"/>
        </w:rPr>
        <w:t>COMMISSION FILE NUMBER 33-47073</w:t>
      </w:r>
    </w:p>
    <w:p>
      <w:pPr>
        <w:spacing w:after="0" w:line="198" w:lineRule="exact"/>
        <w:rPr>
          <w:sz w:val="24"/>
          <w:szCs w:val="24"/>
          <w:color w:val="auto"/>
        </w:rPr>
      </w:pPr>
    </w:p>
    <w:p>
      <w:pPr>
        <w:ind w:left="1100" w:right="3399" w:hanging="300"/>
        <w:spacing w:after="0" w:line="236" w:lineRule="auto"/>
        <w:rPr>
          <w:sz w:val="20"/>
          <w:szCs w:val="20"/>
          <w:color w:val="auto"/>
        </w:rPr>
      </w:pPr>
      <w:r>
        <w:rPr>
          <w:rFonts w:ascii="Courier New" w:cs="Courier New" w:eastAsia="Courier New" w:hAnsi="Courier New"/>
          <w:sz w:val="17"/>
          <w:szCs w:val="17"/>
          <w:color w:val="auto"/>
        </w:rPr>
        <w:t>A. Full title of the plan and the address of the plan, if different from that of the issuer named below:</w:t>
      </w:r>
    </w:p>
    <w:p>
      <w:pPr>
        <w:spacing w:after="0" w:line="194" w:lineRule="exact"/>
        <w:rPr>
          <w:sz w:val="24"/>
          <w:szCs w:val="24"/>
          <w:color w:val="auto"/>
        </w:rPr>
      </w:pPr>
    </w:p>
    <w:p>
      <w:pPr>
        <w:ind w:left="2800"/>
        <w:spacing w:after="0"/>
        <w:rPr>
          <w:sz w:val="20"/>
          <w:szCs w:val="20"/>
          <w:color w:val="auto"/>
        </w:rPr>
      </w:pPr>
      <w:r>
        <w:rPr>
          <w:rFonts w:ascii="Courier New" w:cs="Courier New" w:eastAsia="Courier New" w:hAnsi="Courier New"/>
          <w:sz w:val="17"/>
          <w:szCs w:val="17"/>
          <w:color w:val="auto"/>
        </w:rPr>
        <w:t>THE SCOTTS COMPANY</w:t>
      </w:r>
    </w:p>
    <w:p>
      <w:pPr>
        <w:ind w:left="2500"/>
        <w:spacing w:after="0"/>
        <w:rPr>
          <w:sz w:val="20"/>
          <w:szCs w:val="20"/>
          <w:color w:val="auto"/>
        </w:rPr>
      </w:pPr>
      <w:r>
        <w:rPr>
          <w:rFonts w:ascii="Courier New" w:cs="Courier New" w:eastAsia="Courier New" w:hAnsi="Courier New"/>
          <w:sz w:val="17"/>
          <w:szCs w:val="17"/>
          <w:color w:val="auto"/>
        </w:rPr>
        <w:t>RETIREMENT SAVINGS PLAN</w:t>
      </w:r>
    </w:p>
    <w:p>
      <w:pPr>
        <w:spacing w:after="0" w:line="198" w:lineRule="exact"/>
        <w:rPr>
          <w:sz w:val="24"/>
          <w:szCs w:val="24"/>
          <w:color w:val="auto"/>
        </w:rPr>
      </w:pPr>
    </w:p>
    <w:p>
      <w:pPr>
        <w:ind w:left="1100" w:right="3299" w:hanging="300"/>
        <w:spacing w:after="0" w:line="262" w:lineRule="auto"/>
        <w:rPr>
          <w:sz w:val="20"/>
          <w:szCs w:val="20"/>
          <w:color w:val="auto"/>
        </w:rPr>
      </w:pPr>
      <w:r>
        <w:rPr>
          <w:rFonts w:ascii="Courier New" w:cs="Courier New" w:eastAsia="Courier New" w:hAnsi="Courier New"/>
          <w:sz w:val="16"/>
          <w:szCs w:val="16"/>
          <w:color w:val="auto"/>
        </w:rPr>
        <w:t>B. Name of issuer of the securities held pursuant to the plan and the address of its principal executive office:</w:t>
      </w:r>
    </w:p>
    <w:p>
      <w:pPr>
        <w:spacing w:after="0" w:line="17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7"/>
          <w:szCs w:val="17"/>
          <w:color w:val="auto"/>
        </w:rPr>
        <w:t>The Scotts Company</w:t>
      </w:r>
    </w:p>
    <w:p>
      <w:pPr>
        <w:jc w:val="center"/>
        <w:ind w:right="2499"/>
        <w:spacing w:after="0"/>
        <w:rPr>
          <w:sz w:val="20"/>
          <w:szCs w:val="20"/>
          <w:color w:val="auto"/>
        </w:rPr>
      </w:pPr>
      <w:r>
        <w:rPr>
          <w:rFonts w:ascii="Courier New" w:cs="Courier New" w:eastAsia="Courier New" w:hAnsi="Courier New"/>
          <w:sz w:val="17"/>
          <w:szCs w:val="17"/>
          <w:color w:val="auto"/>
        </w:rPr>
        <w:t>41 South High Street</w:t>
      </w:r>
    </w:p>
    <w:p>
      <w:pPr>
        <w:jc w:val="center"/>
        <w:ind w:right="2499"/>
        <w:spacing w:after="0"/>
        <w:rPr>
          <w:sz w:val="20"/>
          <w:szCs w:val="20"/>
          <w:color w:val="auto"/>
        </w:rPr>
      </w:pPr>
      <w:r>
        <w:rPr>
          <w:rFonts w:ascii="Courier New" w:cs="Courier New" w:eastAsia="Courier New" w:hAnsi="Courier New"/>
          <w:sz w:val="17"/>
          <w:szCs w:val="17"/>
          <w:color w:val="auto"/>
        </w:rPr>
        <w:t>Suite 3500</w:t>
      </w:r>
    </w:p>
    <w:p>
      <w:pPr>
        <w:jc w:val="center"/>
        <w:ind w:right="2499"/>
        <w:spacing w:after="0"/>
        <w:rPr>
          <w:sz w:val="20"/>
          <w:szCs w:val="20"/>
          <w:color w:val="auto"/>
        </w:rPr>
      </w:pPr>
      <w:r>
        <w:rPr>
          <w:rFonts w:ascii="Courier New" w:cs="Courier New" w:eastAsia="Courier New" w:hAnsi="Courier New"/>
          <w:sz w:val="17"/>
          <w:szCs w:val="17"/>
          <w:color w:val="auto"/>
        </w:rPr>
        <w:t>Columbus, Ohio 43215</w:t>
      </w:r>
    </w:p>
    <w:p>
      <w:pPr>
        <w:sectPr>
          <w:pgSz w:w="11900" w:h="16838" w:orient="portrait"/>
          <w:cols w:equalWidth="0" w:num="1">
            <w:col w:w="9919"/>
          </w:cols>
          <w:pgMar w:left="540" w:top="239"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 RETIREMENT SAVINGS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INDEX TO FINANCIAL STATEMENTS</w:t>
      </w:r>
    </w:p>
    <w:p>
      <w:pPr>
        <w:spacing w:after="0"/>
        <w:rPr>
          <w:sz w:val="20"/>
          <w:szCs w:val="20"/>
          <w:color w:val="auto"/>
        </w:rPr>
      </w:pPr>
      <w:r>
        <w:rPr>
          <w:rFonts w:ascii="Courier New" w:cs="Courier New" w:eastAsia="Courier New" w:hAnsi="Courier New"/>
          <w:sz w:val="17"/>
          <w:szCs w:val="17"/>
          <w:color w:val="auto"/>
        </w:rPr>
        <w:t>DECEMBER 31, 2000 AND 1999</w:t>
      </w:r>
    </w:p>
    <w:p>
      <w:pPr>
        <w:spacing w:after="0" w:line="6" w:lineRule="exact"/>
        <w:rPr>
          <w:sz w:val="20"/>
          <w:szCs w:val="20"/>
          <w:color w:val="auto"/>
        </w:rPr>
      </w:pPr>
    </w:p>
    <w:p>
      <w:pPr>
        <w:ind w:left="200" w:hanging="197"/>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rFonts w:ascii="Courier New" w:cs="Courier New" w:eastAsia="Courier New" w:hAnsi="Courier New"/>
          <w:sz w:val="16"/>
          <w:szCs w:val="16"/>
          <w:color w:val="auto"/>
        </w:rPr>
      </w:pPr>
    </w:p>
    <w:p>
      <w:pPr>
        <w:ind w:left="7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PAGE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60" w:type="dxa"/>
            <w:vAlign w:val="bottom"/>
          </w:tcPr>
          <w:p>
            <w:pPr>
              <w:spacing w:after="0"/>
              <w:rPr>
                <w:sz w:val="20"/>
                <w:szCs w:val="20"/>
                <w:color w:val="auto"/>
              </w:rPr>
            </w:pPr>
            <w:r>
              <w:rPr>
                <w:rFonts w:ascii="Courier New" w:cs="Courier New" w:eastAsia="Courier New" w:hAnsi="Courier New"/>
                <w:sz w:val="17"/>
                <w:szCs w:val="17"/>
                <w:color w:val="auto"/>
              </w:rPr>
              <w:t>Report of</w:t>
            </w:r>
          </w:p>
        </w:tc>
        <w:tc>
          <w:tcPr>
            <w:tcW w:w="5900" w:type="dxa"/>
            <w:vAlign w:val="bottom"/>
          </w:tcPr>
          <w:p>
            <w:pPr>
              <w:ind w:left="40"/>
              <w:spacing w:after="0"/>
              <w:rPr>
                <w:sz w:val="20"/>
                <w:szCs w:val="20"/>
                <w:color w:val="auto"/>
              </w:rPr>
            </w:pPr>
            <w:r>
              <w:rPr>
                <w:rFonts w:ascii="Courier New" w:cs="Courier New" w:eastAsia="Courier New" w:hAnsi="Courier New"/>
                <w:sz w:val="17"/>
                <w:szCs w:val="17"/>
                <w:color w:val="auto"/>
              </w:rPr>
              <w:t>Independent Accountants</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385"/>
        </w:trPr>
        <w:tc>
          <w:tcPr>
            <w:tcW w:w="6860" w:type="dxa"/>
            <w:vAlign w:val="bottom"/>
            <w:gridSpan w:val="2"/>
          </w:tcPr>
          <w:p>
            <w:pPr>
              <w:spacing w:after="0"/>
              <w:rPr>
                <w:sz w:val="20"/>
                <w:szCs w:val="20"/>
                <w:color w:val="auto"/>
              </w:rPr>
            </w:pPr>
            <w:r>
              <w:rPr>
                <w:rFonts w:ascii="Courier New" w:cs="Courier New" w:eastAsia="Courier New" w:hAnsi="Courier New"/>
                <w:sz w:val="17"/>
                <w:szCs w:val="17"/>
                <w:color w:val="auto"/>
              </w:rPr>
              <w:t>Financial Statements:</w:t>
            </w:r>
          </w:p>
        </w:tc>
        <w:tc>
          <w:tcPr>
            <w:tcW w:w="760" w:type="dxa"/>
            <w:vAlign w:val="bottom"/>
          </w:tcPr>
          <w:p>
            <w:pPr>
              <w:spacing w:after="0"/>
              <w:rPr>
                <w:sz w:val="24"/>
                <w:szCs w:val="24"/>
                <w:color w:val="auto"/>
              </w:rPr>
            </w:pPr>
          </w:p>
        </w:tc>
      </w:tr>
      <w:tr>
        <w:trPr>
          <w:trHeight w:val="385"/>
        </w:trPr>
        <w:tc>
          <w:tcPr>
            <w:tcW w:w="68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Statements of Net Assets Available for Benefits as of</w:t>
            </w:r>
          </w:p>
        </w:tc>
        <w:tc>
          <w:tcPr>
            <w:tcW w:w="760" w:type="dxa"/>
            <w:vAlign w:val="bottom"/>
          </w:tcPr>
          <w:p>
            <w:pPr>
              <w:spacing w:after="0"/>
              <w:rPr>
                <w:sz w:val="24"/>
                <w:szCs w:val="24"/>
                <w:color w:val="auto"/>
              </w:rPr>
            </w:pPr>
          </w:p>
        </w:tc>
      </w:tr>
      <w:tr>
        <w:trPr>
          <w:trHeight w:val="193"/>
        </w:trPr>
        <w:tc>
          <w:tcPr>
            <w:tcW w:w="68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December 31, 2000 and 1999</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385"/>
        </w:trPr>
        <w:tc>
          <w:tcPr>
            <w:tcW w:w="68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Statements of Changes in Net Assets Available for Benefits</w:t>
            </w:r>
          </w:p>
        </w:tc>
        <w:tc>
          <w:tcPr>
            <w:tcW w:w="760" w:type="dxa"/>
            <w:vAlign w:val="bottom"/>
          </w:tcPr>
          <w:p>
            <w:pPr>
              <w:spacing w:after="0"/>
              <w:rPr>
                <w:sz w:val="24"/>
                <w:szCs w:val="24"/>
                <w:color w:val="auto"/>
              </w:rPr>
            </w:pPr>
          </w:p>
        </w:tc>
      </w:tr>
      <w:tr>
        <w:trPr>
          <w:trHeight w:val="193"/>
        </w:trPr>
        <w:tc>
          <w:tcPr>
            <w:tcW w:w="68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for the Years Ended December 31, 2000 and 1999</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385"/>
        </w:trPr>
        <w:tc>
          <w:tcPr>
            <w:tcW w:w="68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Notes to Financial Statements</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bl>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193"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Participants and Administrative Committee of</w:t>
      </w:r>
    </w:p>
    <w:p>
      <w:pPr>
        <w:spacing w:after="0"/>
        <w:rPr>
          <w:sz w:val="20"/>
          <w:szCs w:val="20"/>
          <w:color w:val="auto"/>
        </w:rPr>
      </w:pPr>
      <w:r>
        <w:rPr>
          <w:rFonts w:ascii="Courier New" w:cs="Courier New" w:eastAsia="Courier New" w:hAnsi="Courier New"/>
          <w:sz w:val="17"/>
          <w:szCs w:val="17"/>
          <w:color w:val="auto"/>
        </w:rPr>
        <w:t>The Scotts Company</w:t>
      </w:r>
    </w:p>
    <w:p>
      <w:pPr>
        <w:spacing w:after="0"/>
        <w:rPr>
          <w:sz w:val="20"/>
          <w:szCs w:val="20"/>
          <w:color w:val="auto"/>
        </w:rPr>
      </w:pPr>
      <w:r>
        <w:rPr>
          <w:rFonts w:ascii="Courier New" w:cs="Courier New" w:eastAsia="Courier New" w:hAnsi="Courier New"/>
          <w:sz w:val="17"/>
          <w:szCs w:val="17"/>
          <w:color w:val="auto"/>
        </w:rPr>
        <w:t>Retirement Savings Plan</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In our opinion, the accompanying statements of net assets available for benefits and the related statements of changes in net assets available for benefits present fairly, in all material respects, the net assets available for benefits of The Scotts Company Retirement Savings Plan (the "Plan") as of December 31, 2000 and 1999, and the changes in net assets available for benefits for the years then ended in conformity with 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PricewaterhouseCoopers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Columbus, Ohio</w:t>
      </w:r>
    </w:p>
    <w:p>
      <w:pPr>
        <w:spacing w:after="0"/>
        <w:rPr>
          <w:sz w:val="20"/>
          <w:szCs w:val="20"/>
          <w:color w:val="auto"/>
        </w:rPr>
      </w:pPr>
      <w:r>
        <w:rPr>
          <w:rFonts w:ascii="Courier New" w:cs="Courier New" w:eastAsia="Courier New" w:hAnsi="Courier New"/>
          <w:sz w:val="17"/>
          <w:szCs w:val="17"/>
          <w:color w:val="auto"/>
        </w:rPr>
        <w:t>April 20, 2001</w:t>
      </w:r>
    </w:p>
    <w:p>
      <w:pPr>
        <w:sectPr>
          <w:pgSz w:w="11900" w:h="16838" w:orient="portrait"/>
          <w:cols w:equalWidth="0" w:num="1">
            <w:col w:w="10219"/>
          </w:cols>
          <w:pgMar w:left="240" w:top="303"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 RETIREMENT SAVINGS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STATEMENTS OF NET ASSETS AVAILABLE FOR BENEFITS</w:t>
      </w:r>
    </w:p>
    <w:p>
      <w:pPr>
        <w:spacing w:after="0"/>
        <w:rPr>
          <w:sz w:val="20"/>
          <w:szCs w:val="20"/>
          <w:color w:val="auto"/>
        </w:rPr>
      </w:pPr>
      <w:r>
        <w:rPr>
          <w:rFonts w:ascii="Courier New" w:cs="Courier New" w:eastAsia="Courier New" w:hAnsi="Courier New"/>
          <w:sz w:val="17"/>
          <w:szCs w:val="17"/>
          <w:color w:val="auto"/>
        </w:rPr>
        <w:t>AS OF DECEMBER 31, 2000 AND 1999</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2000</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1999</w:t>
            </w:r>
          </w:p>
        </w:tc>
      </w:tr>
      <w:tr>
        <w:trPr>
          <w:trHeight w:val="578"/>
        </w:trPr>
        <w:tc>
          <w:tcPr>
            <w:tcW w:w="5460" w:type="dxa"/>
            <w:vAlign w:val="bottom"/>
          </w:tcPr>
          <w:p>
            <w:pPr>
              <w:spacing w:after="0"/>
              <w:rPr>
                <w:sz w:val="20"/>
                <w:szCs w:val="20"/>
                <w:color w:val="auto"/>
              </w:rPr>
            </w:pPr>
            <w:r>
              <w:rPr>
                <w:rFonts w:ascii="Courier New" w:cs="Courier New" w:eastAsia="Courier New" w:hAnsi="Courier New"/>
                <w:sz w:val="17"/>
                <w:szCs w:val="17"/>
                <w:color w:val="auto"/>
              </w:rPr>
              <w:t>Net assets available for benefits: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5460" w:type="dxa"/>
            <w:vAlign w:val="bottom"/>
          </w:tcPr>
          <w:p>
            <w:pPr>
              <w:ind w:left="400"/>
              <w:spacing w:after="0"/>
              <w:rPr>
                <w:sz w:val="20"/>
                <w:szCs w:val="20"/>
                <w:color w:val="auto"/>
              </w:rPr>
            </w:pPr>
            <w:r>
              <w:rPr>
                <w:rFonts w:ascii="Courier New" w:cs="Courier New" w:eastAsia="Courier New" w:hAnsi="Courier New"/>
                <w:sz w:val="17"/>
                <w:szCs w:val="17"/>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77,808</w:t>
            </w:r>
          </w:p>
        </w:tc>
      </w:tr>
      <w:tr>
        <w:trPr>
          <w:trHeight w:val="193"/>
        </w:trPr>
        <w:tc>
          <w:tcPr>
            <w:tcW w:w="5460" w:type="dxa"/>
            <w:vAlign w:val="bottom"/>
          </w:tcPr>
          <w:p>
            <w:pPr>
              <w:ind w:left="400"/>
              <w:spacing w:after="0"/>
              <w:rPr>
                <w:sz w:val="20"/>
                <w:szCs w:val="20"/>
                <w:color w:val="auto"/>
              </w:rPr>
            </w:pPr>
            <w:r>
              <w:rPr>
                <w:rFonts w:ascii="Courier New" w:cs="Courier New" w:eastAsia="Courier New" w:hAnsi="Courier New"/>
                <w:sz w:val="17"/>
                <w:szCs w:val="17"/>
                <w:color w:val="auto"/>
              </w:rPr>
              <w:t>Investments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460" w:type="dxa"/>
            <w:vAlign w:val="bottom"/>
          </w:tcPr>
          <w:p>
            <w:pPr>
              <w:ind w:left="600"/>
              <w:spacing w:after="0"/>
              <w:rPr>
                <w:sz w:val="20"/>
                <w:szCs w:val="20"/>
                <w:color w:val="auto"/>
              </w:rPr>
            </w:pPr>
            <w:r>
              <w:rPr>
                <w:rFonts w:ascii="Courier New" w:cs="Courier New" w:eastAsia="Courier New" w:hAnsi="Courier New"/>
                <w:sz w:val="17"/>
                <w:szCs w:val="17"/>
                <w:color w:val="auto"/>
              </w:rPr>
              <w:t>Mutual funds, at fair value</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120,732,789</w:t>
            </w:r>
          </w:p>
        </w:tc>
      </w:tr>
      <w:tr>
        <w:trPr>
          <w:trHeight w:val="193"/>
        </w:trPr>
        <w:tc>
          <w:tcPr>
            <w:tcW w:w="5460" w:type="dxa"/>
            <w:vAlign w:val="bottom"/>
          </w:tcPr>
          <w:p>
            <w:pPr>
              <w:ind w:left="600"/>
              <w:spacing w:after="0"/>
              <w:rPr>
                <w:sz w:val="20"/>
                <w:szCs w:val="20"/>
                <w:color w:val="auto"/>
              </w:rPr>
            </w:pPr>
            <w:r>
              <w:rPr>
                <w:rFonts w:ascii="Courier New" w:cs="Courier New" w:eastAsia="Courier New" w:hAnsi="Courier New"/>
                <w:sz w:val="17"/>
                <w:szCs w:val="17"/>
                <w:color w:val="auto"/>
              </w:rPr>
              <w:t>Common trust fund, at fair value</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12,858,898</w:t>
            </w:r>
          </w:p>
        </w:tc>
      </w:tr>
      <w:tr>
        <w:trPr>
          <w:trHeight w:val="193"/>
        </w:trPr>
        <w:tc>
          <w:tcPr>
            <w:tcW w:w="5460" w:type="dxa"/>
            <w:vAlign w:val="bottom"/>
          </w:tcPr>
          <w:p>
            <w:pPr>
              <w:ind w:left="600"/>
              <w:spacing w:after="0"/>
              <w:rPr>
                <w:sz w:val="20"/>
                <w:szCs w:val="20"/>
                <w:color w:val="auto"/>
              </w:rPr>
            </w:pPr>
            <w:r>
              <w:rPr>
                <w:rFonts w:ascii="Courier New" w:cs="Courier New" w:eastAsia="Courier New" w:hAnsi="Courier New"/>
                <w:sz w:val="17"/>
                <w:szCs w:val="17"/>
                <w:color w:val="auto"/>
              </w:rPr>
              <w:t>The Scotts Company Common Shares, at fair value</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7,401,532</w:t>
            </w:r>
          </w:p>
        </w:tc>
      </w:tr>
      <w:tr>
        <w:trPr>
          <w:trHeight w:val="193"/>
        </w:trPr>
        <w:tc>
          <w:tcPr>
            <w:tcW w:w="5460" w:type="dxa"/>
            <w:vAlign w:val="bottom"/>
          </w:tcPr>
          <w:p>
            <w:pPr>
              <w:ind w:left="600"/>
              <w:spacing w:after="0"/>
              <w:rPr>
                <w:sz w:val="20"/>
                <w:szCs w:val="20"/>
                <w:color w:val="auto"/>
              </w:rPr>
            </w:pPr>
            <w:r>
              <w:rPr>
                <w:rFonts w:ascii="Courier New" w:cs="Courier New" w:eastAsia="Courier New" w:hAnsi="Courier New"/>
                <w:sz w:val="17"/>
                <w:szCs w:val="17"/>
                <w:color w:val="auto"/>
              </w:rPr>
              <w:t>Loans to participants, at cost</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2,415,972</w:t>
            </w:r>
          </w:p>
        </w:tc>
      </w:tr>
      <w:tr>
        <w:trPr>
          <w:trHeight w:val="193"/>
        </w:trPr>
        <w:tc>
          <w:tcPr>
            <w:tcW w:w="5460" w:type="dxa"/>
            <w:vAlign w:val="bottom"/>
          </w:tcPr>
          <w:p>
            <w:pPr>
              <w:ind w:left="600"/>
              <w:spacing w:after="0"/>
              <w:rPr>
                <w:sz w:val="20"/>
                <w:szCs w:val="20"/>
                <w:color w:val="auto"/>
              </w:rPr>
            </w:pPr>
            <w:r>
              <w:rPr>
                <w:rFonts w:ascii="Courier New" w:cs="Courier New" w:eastAsia="Courier New" w:hAnsi="Courier New"/>
                <w:sz w:val="17"/>
                <w:szCs w:val="17"/>
                <w:color w:val="auto"/>
              </w:rPr>
              <w:t>Investment in master trust</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6"/>
              </w:rPr>
              <w:t>144,078,513</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460" w:type="dxa"/>
            <w:vAlign w:val="bottom"/>
          </w:tcPr>
          <w:p>
            <w:pPr>
              <w:ind w:left="400"/>
              <w:spacing w:after="0"/>
              <w:rPr>
                <w:sz w:val="20"/>
                <w:szCs w:val="20"/>
                <w:color w:val="auto"/>
              </w:rPr>
            </w:pPr>
            <w:r>
              <w:rPr>
                <w:rFonts w:ascii="Courier New" w:cs="Courier New" w:eastAsia="Courier New" w:hAnsi="Courier New"/>
                <w:sz w:val="17"/>
                <w:szCs w:val="17"/>
                <w:color w:val="auto"/>
              </w:rPr>
              <w:t>Employer contribution receivable</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1,564,861</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1,307,312</w:t>
            </w:r>
          </w:p>
        </w:tc>
      </w:tr>
      <w:tr>
        <w:trPr>
          <w:trHeight w:val="193"/>
        </w:trPr>
        <w:tc>
          <w:tcPr>
            <w:tcW w:w="5460" w:type="dxa"/>
            <w:vAlign w:val="bottom"/>
          </w:tcPr>
          <w:p>
            <w:pPr>
              <w:ind w:left="400"/>
              <w:spacing w:after="0"/>
              <w:rPr>
                <w:sz w:val="20"/>
                <w:szCs w:val="20"/>
                <w:color w:val="auto"/>
              </w:rPr>
            </w:pPr>
            <w:r>
              <w:rPr>
                <w:rFonts w:ascii="Courier New" w:cs="Courier New" w:eastAsia="Courier New" w:hAnsi="Courier New"/>
                <w:sz w:val="17"/>
                <w:szCs w:val="17"/>
                <w:color w:val="auto"/>
              </w:rPr>
              <w:t>Employee contribution receivable</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1,156,191</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940,022</w:t>
            </w:r>
          </w:p>
        </w:tc>
      </w:tr>
      <w:tr>
        <w:trPr>
          <w:trHeight w:val="193"/>
        </w:trPr>
        <w:tc>
          <w:tcPr>
            <w:tcW w:w="5460" w:type="dxa"/>
            <w:vAlign w:val="bottom"/>
          </w:tcPr>
          <w:p>
            <w:pPr>
              <w:ind w:left="400"/>
              <w:spacing w:after="0"/>
              <w:rPr>
                <w:sz w:val="20"/>
                <w:szCs w:val="20"/>
                <w:color w:val="auto"/>
              </w:rPr>
            </w:pPr>
            <w:r>
              <w:rPr>
                <w:rFonts w:ascii="Courier New" w:cs="Courier New" w:eastAsia="Courier New" w:hAnsi="Courier New"/>
                <w:sz w:val="17"/>
                <w:szCs w:val="17"/>
                <w:color w:val="auto"/>
              </w:rPr>
              <w:t>Receivable from broker</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63,857</w:t>
            </w:r>
          </w:p>
        </w:tc>
      </w:tr>
      <w:tr>
        <w:trPr>
          <w:trHeight w:val="193"/>
        </w:trPr>
        <w:tc>
          <w:tcPr>
            <w:tcW w:w="54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460" w:type="dxa"/>
            <w:vAlign w:val="bottom"/>
          </w:tcPr>
          <w:p>
            <w:pPr>
              <w:ind w:left="800"/>
              <w:spacing w:after="0"/>
              <w:rPr>
                <w:sz w:val="20"/>
                <w:szCs w:val="20"/>
                <w:color w:val="auto"/>
              </w:rPr>
            </w:pPr>
            <w:r>
              <w:rPr>
                <w:rFonts w:ascii="Courier New" w:cs="Courier New" w:eastAsia="Courier New" w:hAnsi="Courier New"/>
                <w:sz w:val="17"/>
                <w:szCs w:val="17"/>
                <w:color w:val="auto"/>
              </w:rPr>
              <w:t>Total net assets available for benefits</w:t>
            </w: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$146,799,565</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$145,798,190</w:t>
            </w:r>
          </w:p>
        </w:tc>
      </w:tr>
      <w:tr>
        <w:trPr>
          <w:trHeight w:val="193"/>
        </w:trPr>
        <w:tc>
          <w:tcPr>
            <w:tcW w:w="54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The accompanying notes are an integral part</w:t>
      </w:r>
    </w:p>
    <w:p>
      <w:pPr>
        <w:ind w:left="2600"/>
        <w:spacing w:after="0"/>
        <w:rPr>
          <w:sz w:val="20"/>
          <w:szCs w:val="20"/>
          <w:color w:val="auto"/>
        </w:rPr>
      </w:pPr>
      <w:r>
        <w:rPr>
          <w:rFonts w:ascii="Courier New" w:cs="Courier New" w:eastAsia="Courier New" w:hAnsi="Courier New"/>
          <w:sz w:val="17"/>
          <w:szCs w:val="17"/>
          <w:color w:val="auto"/>
        </w:rPr>
        <w:t>of the financial statements.</w:t>
      </w:r>
    </w:p>
    <w:p>
      <w:pPr>
        <w:spacing w:after="0" w:line="200" w:lineRule="exact"/>
        <w:rPr>
          <w:sz w:val="20"/>
          <w:szCs w:val="20"/>
          <w:color w:val="auto"/>
        </w:rPr>
      </w:pPr>
    </w:p>
    <w:p>
      <w:pPr>
        <w:spacing w:after="0" w:line="3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- 2 -</w:t>
      </w:r>
    </w:p>
    <w:p>
      <w:pPr>
        <w:sectPr>
          <w:pgSz w:w="11900" w:h="16838" w:orient="portrait"/>
          <w:cols w:equalWidth="0" w:num="1">
            <w:col w:w="10219"/>
          </w:cols>
          <w:pgMar w:left="240" w:top="303"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 RETIREMENT SAVINGS PLAN</w:t>
      </w:r>
    </w:p>
    <w:p>
      <w:pPr>
        <w:spacing w:after="0" w:line="198" w:lineRule="exact"/>
        <w:rPr>
          <w:sz w:val="20"/>
          <w:szCs w:val="20"/>
          <w:color w:val="auto"/>
        </w:rPr>
      </w:pPr>
    </w:p>
    <w:p>
      <w:pPr>
        <w:ind w:right="4399"/>
        <w:spacing w:after="0" w:line="236" w:lineRule="auto"/>
        <w:rPr>
          <w:sz w:val="20"/>
          <w:szCs w:val="20"/>
          <w:color w:val="auto"/>
        </w:rPr>
      </w:pPr>
      <w:r>
        <w:rPr>
          <w:rFonts w:ascii="Courier New" w:cs="Courier New" w:eastAsia="Courier New" w:hAnsi="Courier New"/>
          <w:sz w:val="17"/>
          <w:szCs w:val="17"/>
          <w:color w:val="auto"/>
        </w:rPr>
        <w:t>STATEMENTS OF CHANGES IN NET ASSETS AVAILABLE FOR BENEFITS FOR THE YEARS ENDED DECEMBER 31, 2000 AND 1999</w:t>
      </w:r>
    </w:p>
    <w:p>
      <w:pPr>
        <w:spacing w:after="0" w:line="392" w:lineRule="exact"/>
        <w:rPr>
          <w:sz w:val="20"/>
          <w:szCs w:val="20"/>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rFonts w:ascii="Courier New" w:cs="Courier New" w:eastAsia="Courier New" w:hAnsi="Courier New"/>
          <w:sz w:val="16"/>
          <w:szCs w:val="16"/>
          <w:color w:val="auto"/>
        </w:rPr>
      </w:pPr>
    </w:p>
    <w:p>
      <w:pPr>
        <w:ind w:left="59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2000</w:t>
      </w:r>
      <w:r>
        <w:rPr>
          <w:rFonts w:ascii="Courier New" w:cs="Courier New" w:eastAsia="Courier New" w:hAnsi="Courier New"/>
          <w:sz w:val="16"/>
          <w:szCs w:val="16"/>
          <w:color w:val="auto"/>
        </w:rPr>
        <w:t>1999</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Pr>
          <w:p>
            <w:pPr>
              <w:spacing w:after="0"/>
              <w:rPr>
                <w:sz w:val="20"/>
                <w:szCs w:val="20"/>
                <w:color w:val="auto"/>
              </w:rPr>
            </w:pPr>
            <w:r>
              <w:rPr>
                <w:rFonts w:ascii="Courier New" w:cs="Courier New" w:eastAsia="Courier New" w:hAnsi="Courier New"/>
                <w:sz w:val="17"/>
                <w:szCs w:val="17"/>
                <w:color w:val="auto"/>
              </w:rPr>
              <w:t>Increases: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5360" w:type="dxa"/>
            <w:vAlign w:val="bottom"/>
          </w:tcPr>
          <w:p>
            <w:pPr>
              <w:ind w:left="400"/>
              <w:spacing w:after="0"/>
              <w:rPr>
                <w:sz w:val="20"/>
                <w:szCs w:val="20"/>
                <w:color w:val="auto"/>
              </w:rPr>
            </w:pPr>
            <w:r>
              <w:rPr>
                <w:rFonts w:ascii="Courier New" w:cs="Courier New" w:eastAsia="Courier New" w:hAnsi="Courier New"/>
                <w:sz w:val="17"/>
                <w:szCs w:val="17"/>
                <w:color w:val="auto"/>
              </w:rPr>
              <w:t>Interest and dividends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7,194,049</w:t>
            </w:r>
          </w:p>
        </w:tc>
      </w:tr>
      <w:tr>
        <w:trPr>
          <w:trHeight w:val="193"/>
        </w:trPr>
        <w:tc>
          <w:tcPr>
            <w:tcW w:w="5360" w:type="dxa"/>
            <w:vAlign w:val="bottom"/>
          </w:tcPr>
          <w:p>
            <w:pPr>
              <w:ind w:left="400"/>
              <w:spacing w:after="0"/>
              <w:rPr>
                <w:sz w:val="20"/>
                <w:szCs w:val="20"/>
                <w:color w:val="auto"/>
              </w:rPr>
            </w:pPr>
            <w:r>
              <w:rPr>
                <w:rFonts w:ascii="Courier New" w:cs="Courier New" w:eastAsia="Courier New" w:hAnsi="Courier New"/>
                <w:sz w:val="17"/>
                <w:szCs w:val="17"/>
                <w:color w:val="auto"/>
              </w:rPr>
              <w:t>Net appreciation in fair value of investments</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10,479,748</w:t>
            </w:r>
          </w:p>
        </w:tc>
      </w:tr>
      <w:tr>
        <w:trPr>
          <w:trHeight w:val="193"/>
        </w:trPr>
        <w:tc>
          <w:tcPr>
            <w:tcW w:w="5360" w:type="dxa"/>
            <w:vAlign w:val="bottom"/>
          </w:tcPr>
          <w:p>
            <w:pPr>
              <w:ind w:left="400"/>
              <w:spacing w:after="0"/>
              <w:rPr>
                <w:sz w:val="20"/>
                <w:szCs w:val="20"/>
                <w:color w:val="auto"/>
              </w:rPr>
            </w:pPr>
            <w:r>
              <w:rPr>
                <w:rFonts w:ascii="Courier New" w:cs="Courier New" w:eastAsia="Courier New" w:hAnsi="Courier New"/>
                <w:sz w:val="17"/>
                <w:szCs w:val="17"/>
                <w:color w:val="auto"/>
              </w:rPr>
              <w:t>Employer contributions</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8,396,112</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8,572,712</w:t>
            </w:r>
          </w:p>
        </w:tc>
      </w:tr>
      <w:tr>
        <w:trPr>
          <w:trHeight w:val="193"/>
        </w:trPr>
        <w:tc>
          <w:tcPr>
            <w:tcW w:w="5360" w:type="dxa"/>
            <w:vAlign w:val="bottom"/>
          </w:tcPr>
          <w:p>
            <w:pPr>
              <w:ind w:left="400"/>
              <w:spacing w:after="0"/>
              <w:rPr>
                <w:sz w:val="20"/>
                <w:szCs w:val="20"/>
                <w:color w:val="auto"/>
              </w:rPr>
            </w:pPr>
            <w:r>
              <w:rPr>
                <w:rFonts w:ascii="Courier New" w:cs="Courier New" w:eastAsia="Courier New" w:hAnsi="Courier New"/>
                <w:sz w:val="17"/>
                <w:szCs w:val="17"/>
                <w:color w:val="auto"/>
              </w:rPr>
              <w:t>Participant contributions</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9,812,290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9,377,515</w:t>
            </w:r>
          </w:p>
        </w:tc>
      </w:tr>
      <w:tr>
        <w:trPr>
          <w:trHeight w:val="193"/>
        </w:trPr>
        <w:tc>
          <w:tcPr>
            <w:tcW w:w="53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ind w:left="600"/>
              <w:spacing w:after="0"/>
              <w:rPr>
                <w:sz w:val="20"/>
                <w:szCs w:val="20"/>
                <w:color w:val="auto"/>
              </w:rPr>
            </w:pPr>
            <w:r>
              <w:rPr>
                <w:rFonts w:ascii="Courier New" w:cs="Courier New" w:eastAsia="Courier New" w:hAnsi="Courier New"/>
                <w:sz w:val="17"/>
                <w:szCs w:val="17"/>
                <w:color w:val="auto"/>
              </w:rPr>
              <w:t>Total increases</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18,208,402</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35,624,024</w:t>
            </w:r>
          </w:p>
        </w:tc>
      </w:tr>
      <w:tr>
        <w:trPr>
          <w:trHeight w:val="193"/>
        </w:trPr>
        <w:tc>
          <w:tcPr>
            <w:tcW w:w="53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360" w:type="dxa"/>
            <w:vAlign w:val="bottom"/>
          </w:tcPr>
          <w:p>
            <w:pPr>
              <w:spacing w:after="0"/>
              <w:rPr>
                <w:sz w:val="20"/>
                <w:szCs w:val="20"/>
                <w:color w:val="auto"/>
              </w:rPr>
            </w:pPr>
            <w:r>
              <w:rPr>
                <w:rFonts w:ascii="Courier New" w:cs="Courier New" w:eastAsia="Courier New" w:hAnsi="Courier New"/>
                <w:sz w:val="17"/>
                <w:szCs w:val="17"/>
                <w:color w:val="auto"/>
              </w:rPr>
              <w:t>Decreases: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3"/>
        </w:trPr>
        <w:tc>
          <w:tcPr>
            <w:tcW w:w="5360" w:type="dxa"/>
            <w:vAlign w:val="bottom"/>
          </w:tcPr>
          <w:p>
            <w:pPr>
              <w:ind w:left="400"/>
              <w:spacing w:after="0"/>
              <w:rPr>
                <w:sz w:val="20"/>
                <w:szCs w:val="20"/>
                <w:color w:val="auto"/>
              </w:rPr>
            </w:pPr>
            <w:r>
              <w:rPr>
                <w:rFonts w:ascii="Courier New" w:cs="Courier New" w:eastAsia="Courier New" w:hAnsi="Courier New"/>
                <w:sz w:val="17"/>
                <w:szCs w:val="17"/>
                <w:color w:val="auto"/>
              </w:rPr>
              <w:t>Net loss from master trust</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4,041,545</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ind w:left="400"/>
              <w:spacing w:after="0"/>
              <w:rPr>
                <w:sz w:val="20"/>
                <w:szCs w:val="20"/>
                <w:color w:val="auto"/>
              </w:rPr>
            </w:pPr>
            <w:r>
              <w:rPr>
                <w:rFonts w:ascii="Courier New" w:cs="Courier New" w:eastAsia="Courier New" w:hAnsi="Courier New"/>
                <w:sz w:val="17"/>
                <w:szCs w:val="17"/>
                <w:color w:val="auto"/>
              </w:rPr>
              <w:t>Benefits paid to participants</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13,165,482</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11,503,900</w:t>
            </w:r>
          </w:p>
        </w:tc>
      </w:tr>
      <w:tr>
        <w:trPr>
          <w:trHeight w:val="193"/>
        </w:trPr>
        <w:tc>
          <w:tcPr>
            <w:tcW w:w="5360" w:type="dxa"/>
            <w:vAlign w:val="bottom"/>
          </w:tcPr>
          <w:p>
            <w:pPr>
              <w:ind w:left="400"/>
              <w:spacing w:after="0"/>
              <w:rPr>
                <w:sz w:val="20"/>
                <w:szCs w:val="20"/>
                <w:color w:val="auto"/>
              </w:rPr>
            </w:pPr>
            <w:r>
              <w:rPr>
                <w:rFonts w:ascii="Courier New" w:cs="Courier New" w:eastAsia="Courier New" w:hAnsi="Courier New"/>
                <w:sz w:val="17"/>
                <w:szCs w:val="17"/>
                <w:color w:val="auto"/>
              </w:rPr>
              <w:t>Administrative expenses</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16,366</w:t>
            </w:r>
          </w:p>
        </w:tc>
      </w:tr>
      <w:tr>
        <w:trPr>
          <w:trHeight w:val="193"/>
        </w:trPr>
        <w:tc>
          <w:tcPr>
            <w:tcW w:w="53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ind w:left="600"/>
              <w:spacing w:after="0"/>
              <w:rPr>
                <w:sz w:val="20"/>
                <w:szCs w:val="20"/>
                <w:color w:val="auto"/>
              </w:rPr>
            </w:pPr>
            <w:r>
              <w:rPr>
                <w:rFonts w:ascii="Courier New" w:cs="Courier New" w:eastAsia="Courier New" w:hAnsi="Courier New"/>
                <w:sz w:val="17"/>
                <w:szCs w:val="17"/>
                <w:color w:val="auto"/>
              </w:rPr>
              <w:t>Total decreases</w:t>
            </w:r>
          </w:p>
        </w:tc>
        <w:tc>
          <w:tcPr>
            <w:tcW w:w="2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17,207,027</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11,520,266</w:t>
            </w:r>
          </w:p>
        </w:tc>
      </w:tr>
      <w:tr>
        <w:trPr>
          <w:trHeight w:val="193"/>
        </w:trPr>
        <w:tc>
          <w:tcPr>
            <w:tcW w:w="53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360" w:type="dxa"/>
            <w:vAlign w:val="bottom"/>
          </w:tcPr>
          <w:p>
            <w:pPr>
              <w:spacing w:after="0"/>
              <w:rPr>
                <w:sz w:val="20"/>
                <w:szCs w:val="20"/>
                <w:color w:val="auto"/>
              </w:rPr>
            </w:pPr>
            <w:r>
              <w:rPr>
                <w:rFonts w:ascii="Courier New" w:cs="Courier New" w:eastAsia="Courier New" w:hAnsi="Courier New"/>
                <w:sz w:val="17"/>
                <w:szCs w:val="17"/>
                <w:color w:val="auto"/>
              </w:rPr>
              <w:t>Net increase in net assets available for benefits</w:t>
            </w:r>
          </w:p>
        </w:tc>
        <w:tc>
          <w:tcPr>
            <w:tcW w:w="260" w:type="dxa"/>
            <w:vAlign w:val="bottom"/>
          </w:tcPr>
          <w:p>
            <w:pPr>
              <w:spacing w:after="0"/>
              <w:rPr>
                <w:sz w:val="24"/>
                <w:szCs w:val="24"/>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1,001,375</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24,103,758</w:t>
            </w:r>
          </w:p>
        </w:tc>
      </w:tr>
      <w:tr>
        <w:trPr>
          <w:trHeight w:val="385"/>
        </w:trPr>
        <w:tc>
          <w:tcPr>
            <w:tcW w:w="5360" w:type="dxa"/>
            <w:vAlign w:val="bottom"/>
          </w:tcPr>
          <w:p>
            <w:pPr>
              <w:spacing w:after="0"/>
              <w:rPr>
                <w:sz w:val="20"/>
                <w:szCs w:val="20"/>
                <w:color w:val="auto"/>
              </w:rPr>
            </w:pPr>
            <w:r>
              <w:rPr>
                <w:rFonts w:ascii="Courier New" w:cs="Courier New" w:eastAsia="Courier New" w:hAnsi="Courier New"/>
                <w:sz w:val="17"/>
                <w:szCs w:val="17"/>
                <w:color w:val="auto"/>
              </w:rPr>
              <w:t>Net assets available for benefits, beginning of year</w:t>
            </w:r>
          </w:p>
        </w:tc>
        <w:tc>
          <w:tcPr>
            <w:tcW w:w="260" w:type="dxa"/>
            <w:vAlign w:val="bottom"/>
          </w:tcPr>
          <w:p>
            <w:pPr>
              <w:spacing w:after="0"/>
              <w:rPr>
                <w:sz w:val="24"/>
                <w:szCs w:val="24"/>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6"/>
              </w:rPr>
              <w:t>145,798,190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121,694,432</w:t>
            </w:r>
          </w:p>
        </w:tc>
      </w:tr>
      <w:tr>
        <w:trPr>
          <w:trHeight w:val="193"/>
        </w:trPr>
        <w:tc>
          <w:tcPr>
            <w:tcW w:w="53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20"/>
                <w:szCs w:val="20"/>
                <w:color w:val="auto"/>
              </w:rPr>
            </w:pPr>
            <w:r>
              <w:rPr>
                <w:rFonts w:ascii="Courier New" w:cs="Courier New" w:eastAsia="Courier New" w:hAnsi="Courier New"/>
                <w:sz w:val="17"/>
                <w:szCs w:val="17"/>
                <w:color w:val="auto"/>
              </w:rPr>
              <w:t>Net assets available for benefits, end of year</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6"/>
              </w:rPr>
              <w:t>146,799,565</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$145,798,190</w:t>
            </w:r>
          </w:p>
        </w:tc>
      </w:tr>
      <w:tr>
        <w:trPr>
          <w:trHeight w:val="193"/>
        </w:trPr>
        <w:tc>
          <w:tcPr>
            <w:tcW w:w="53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The accompanying notes are an integral part</w:t>
      </w:r>
    </w:p>
    <w:p>
      <w:pPr>
        <w:ind w:left="2600"/>
        <w:spacing w:after="0"/>
        <w:rPr>
          <w:sz w:val="20"/>
          <w:szCs w:val="20"/>
          <w:color w:val="auto"/>
        </w:rPr>
      </w:pPr>
      <w:r>
        <w:rPr>
          <w:rFonts w:ascii="Courier New" w:cs="Courier New" w:eastAsia="Courier New" w:hAnsi="Courier New"/>
          <w:sz w:val="17"/>
          <w:szCs w:val="17"/>
          <w:color w:val="auto"/>
        </w:rPr>
        <w:t>of the financial statements.</w:t>
      </w:r>
    </w:p>
    <w:p>
      <w:pPr>
        <w:spacing w:after="0" w:line="200" w:lineRule="exact"/>
        <w:rPr>
          <w:sz w:val="20"/>
          <w:szCs w:val="20"/>
          <w:color w:val="auto"/>
        </w:rPr>
      </w:pPr>
    </w:p>
    <w:p>
      <w:pPr>
        <w:spacing w:after="0" w:line="3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- 3 -</w:t>
      </w:r>
    </w:p>
    <w:p>
      <w:pPr>
        <w:sectPr>
          <w:pgSz w:w="11900" w:h="16838" w:orient="portrait"/>
          <w:cols w:equalWidth="0" w:num="1">
            <w:col w:w="10219"/>
          </w:cols>
          <w:pgMar w:left="240" w:top="303"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 RETIREMENT SAVINGS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rPr>
          <w:sz w:val="20"/>
          <w:szCs w:val="20"/>
          <w:color w:val="auto"/>
        </w:rPr>
      </w:pPr>
      <w:r>
        <w:rPr>
          <w:rFonts w:ascii="Courier New" w:cs="Courier New" w:eastAsia="Courier New" w:hAnsi="Courier New"/>
          <w:sz w:val="17"/>
          <w:szCs w:val="17"/>
          <w:color w:val="auto"/>
        </w:rPr>
        <w:t>DECEMBER 31, 2000 AND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p>
      <w:pPr>
        <w:ind w:left="400" w:hanging="397"/>
        <w:spacing w:after="0"/>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DESCRIPTION</w:t>
      </w:r>
    </w:p>
    <w:p>
      <w:pPr>
        <w:spacing w:after="0" w:line="5" w:lineRule="exact"/>
        <w:rPr>
          <w:rFonts w:ascii="Courier New" w:cs="Courier New" w:eastAsia="Courier New" w:hAnsi="Courier New"/>
          <w:sz w:val="17"/>
          <w:szCs w:val="17"/>
          <w:color w:val="auto"/>
        </w:rPr>
      </w:pPr>
    </w:p>
    <w:p>
      <w:pPr>
        <w:ind w:left="400" w:right="24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is a contributory defined contribution benefit plan sponsored by The Scotts Company. The following brief description of The Scotts Company (the Company) Retirement Savings Plan (the Plan) provides only general information. Participants should refer to the Plan document for a more complete description of Plan provisions, such as eligibility, vesting, allocation and funding.</w:t>
      </w:r>
    </w:p>
    <w:p>
      <w:pPr>
        <w:spacing w:after="0" w:line="193"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w:t>
      </w:r>
    </w:p>
    <w:p>
      <w:pPr>
        <w:spacing w:after="0" w:line="5" w:lineRule="exact"/>
        <w:rPr>
          <w:rFonts w:ascii="Courier New" w:cs="Courier New" w:eastAsia="Courier New" w:hAnsi="Courier New"/>
          <w:sz w:val="17"/>
          <w:szCs w:val="17"/>
          <w:color w:val="auto"/>
        </w:rPr>
      </w:pPr>
    </w:p>
    <w:p>
      <w:pPr>
        <w:ind w:left="4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Regular domestic employees of the Company are eligible to participate in the Plan on the first day of the month immediately following or coincident with their date of employment. Regular employees of Scotts Lawn Service, a subsidiary of the Company, are eligible to receive base retirement contributions on the first day of the month after completing one year of eligibility service and are eligible to make contributions and receive matching contributions on the first day of the month after completing 90 days of service prior to January 1, 2001 (60 days of service after January 1, 2001). Temporary employees are eligible to participate on the January 1 or July 1 subsequent to completing one year of eligibility service and attaining age 21.</w:t>
      </w:r>
    </w:p>
    <w:p>
      <w:pPr>
        <w:spacing w:after="0" w:line="197"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CONTRIBUTIONS</w:t>
      </w:r>
    </w:p>
    <w:p>
      <w:pPr>
        <w:spacing w:after="0" w:line="5" w:lineRule="exact"/>
        <w:rPr>
          <w:rFonts w:ascii="Courier New" w:cs="Courier New" w:eastAsia="Courier New" w:hAnsi="Courier New"/>
          <w:sz w:val="17"/>
          <w:szCs w:val="17"/>
          <w:color w:val="auto"/>
        </w:rPr>
      </w:pPr>
    </w:p>
    <w:p>
      <w:pPr>
        <w:ind w:left="400" w:right="21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provides for participants to make pre-tax or after-tax contributions up to 15% of eligible wages, not to exceed the annual Internal Revenue Service (IRS) maximum deferral amount.</w:t>
      </w:r>
    </w:p>
    <w:p>
      <w:pPr>
        <w:spacing w:after="0" w:line="194"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CONTRIBUTIONS</w:t>
      </w:r>
    </w:p>
    <w:p>
      <w:pPr>
        <w:spacing w:after="0" w:line="5" w:lineRule="exact"/>
        <w:rPr>
          <w:rFonts w:ascii="Courier New" w:cs="Courier New" w:eastAsia="Courier New" w:hAnsi="Courier New"/>
          <w:sz w:val="17"/>
          <w:szCs w:val="17"/>
          <w:color w:val="auto"/>
        </w:rPr>
      </w:pPr>
    </w:p>
    <w:p>
      <w:pPr>
        <w:ind w:left="4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provides a base retirement contribution for all eligible employees. Generally, eligible employees receive an allocation equal to 2% of monthly compensation. This percentage increases to 4% when employees' year-to-date compensation exceeds 50% of the social security taxable wage base. The Company also matches participant pre-tax contributions dollar for dollar for the first 3% of pay, and matches $0.50 on the dollar for the next 2% of participant pre-tax contributions. Additionally, the Company remits transition contributions to certain participants who were also participants of certain retirement plans previously sponsored by The Scotts Company or its subsidiaries.</w:t>
      </w:r>
    </w:p>
    <w:p>
      <w:pPr>
        <w:spacing w:after="0" w:line="196"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VESTING</w:t>
      </w:r>
    </w:p>
    <w:p>
      <w:pPr>
        <w:spacing w:after="0" w:line="5" w:lineRule="exact"/>
        <w:rPr>
          <w:rFonts w:ascii="Courier New" w:cs="Courier New" w:eastAsia="Courier New" w:hAnsi="Courier New"/>
          <w:sz w:val="17"/>
          <w:szCs w:val="17"/>
          <w:color w:val="auto"/>
        </w:rPr>
      </w:pPr>
    </w:p>
    <w:p>
      <w:pPr>
        <w:ind w:left="4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Participants are immediately vested in their contributions plus actual earnings thereon. Matching contributions made by the Company vest immediately. However, base and transitional contributions made by the Company vest after three years of service, or upon attaining age 65 prior to terminating employment.</w:t>
      </w:r>
    </w:p>
    <w:p>
      <w:pPr>
        <w:spacing w:after="0" w:line="196"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FORFEITURES</w:t>
      </w:r>
    </w:p>
    <w:p>
      <w:pPr>
        <w:spacing w:after="0" w:line="5" w:lineRule="exact"/>
        <w:rPr>
          <w:rFonts w:ascii="Courier New" w:cs="Courier New" w:eastAsia="Courier New" w:hAnsi="Courier New"/>
          <w:sz w:val="17"/>
          <w:szCs w:val="17"/>
          <w:color w:val="auto"/>
        </w:rPr>
      </w:pPr>
    </w:p>
    <w:p>
      <w:pPr>
        <w:ind w:left="400" w:right="22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nonvested portions of participant account balances are forfeitable and used to reduce employer contributions to the Plan. Plan forfeitures totaled $579,486 for the year ended December 31, 2000.</w:t>
      </w:r>
    </w:p>
    <w:p>
      <w:pPr>
        <w:spacing w:after="0" w:line="194"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w:t>
      </w:r>
    </w:p>
    <w:p>
      <w:pPr>
        <w:spacing w:after="0" w:line="5" w:lineRule="exact"/>
        <w:rPr>
          <w:rFonts w:ascii="Courier New" w:cs="Courier New" w:eastAsia="Courier New" w:hAnsi="Courier New"/>
          <w:sz w:val="17"/>
          <w:szCs w:val="17"/>
          <w:color w:val="auto"/>
        </w:rPr>
      </w:pPr>
    </w:p>
    <w:p>
      <w:pPr>
        <w:ind w:left="400" w:right="24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All investments are participant-directed. Participants can change their investment options on a daily basis. The following investment options are available to participants:</w:t>
      </w:r>
    </w:p>
    <w:p>
      <w:pPr>
        <w:spacing w:after="0" w:line="200" w:lineRule="exact"/>
        <w:rPr>
          <w:rFonts w:ascii="Courier New" w:cs="Courier New" w:eastAsia="Courier New" w:hAnsi="Courier New"/>
          <w:sz w:val="17"/>
          <w:szCs w:val="17"/>
          <w:color w:val="auto"/>
        </w:rPr>
      </w:pPr>
    </w:p>
    <w:p>
      <w:pPr>
        <w:spacing w:after="0" w:line="380" w:lineRule="exact"/>
        <w:rPr>
          <w:rFonts w:ascii="Courier New" w:cs="Courier New" w:eastAsia="Courier New" w:hAnsi="Courier New"/>
          <w:sz w:val="17"/>
          <w:szCs w:val="17"/>
          <w:color w:val="auto"/>
        </w:rPr>
      </w:pPr>
    </w:p>
    <w:p>
      <w:pPr>
        <w:ind w:left="4020" w:hanging="209"/>
        <w:spacing w:after="0"/>
        <w:tabs>
          <w:tab w:leader="none" w:pos="40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4 -</w:t>
      </w:r>
    </w:p>
    <w:p>
      <w:pPr>
        <w:sectPr>
          <w:pgSz w:w="11900" w:h="16838" w:orient="portrait"/>
          <w:cols w:equalWidth="0" w:num="1">
            <w:col w:w="10219"/>
          </w:cols>
          <w:pgMar w:left="240" w:top="303"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 RETIREMENT SAVINGS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rPr>
          <w:sz w:val="20"/>
          <w:szCs w:val="20"/>
          <w:color w:val="auto"/>
        </w:rPr>
      </w:pPr>
      <w:r>
        <w:rPr>
          <w:rFonts w:ascii="Courier New" w:cs="Courier New" w:eastAsia="Courier New" w:hAnsi="Courier New"/>
          <w:sz w:val="17"/>
          <w:szCs w:val="17"/>
          <w:color w:val="auto"/>
        </w:rPr>
        <w:t>DECEMBER 31, 2000 AND 1999</w:t>
      </w:r>
    </w:p>
    <w:p>
      <w:pPr>
        <w:spacing w:after="0" w:line="6" w:lineRule="exact"/>
        <w:rPr>
          <w:sz w:val="20"/>
          <w:szCs w:val="20"/>
          <w:color w:val="auto"/>
        </w:rPr>
      </w:pPr>
    </w:p>
    <w:p>
      <w:pPr>
        <w:ind w:left="200" w:hanging="197"/>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4" w:lineRule="exact"/>
        <w:rPr>
          <w:rFonts w:ascii="Courier New" w:cs="Courier New" w:eastAsia="Courier New" w:hAnsi="Courier New"/>
          <w:sz w:val="16"/>
          <w:szCs w:val="16"/>
          <w:color w:val="auto"/>
        </w:rPr>
      </w:pPr>
    </w:p>
    <w:p>
      <w:pPr>
        <w:ind w:left="800" w:right="2599" w:hanging="296"/>
        <w:spacing w:after="0" w:line="237" w:lineRule="auto"/>
        <w:tabs>
          <w:tab w:leader="none" w:pos="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FIDELITY PURITAN FUND--assets are invested in high-yielding U.S. and foreign securities, common and preferred stocks, and bonds of any maturity.</w:t>
      </w:r>
    </w:p>
    <w:p>
      <w:pPr>
        <w:spacing w:after="0" w:line="7" w:lineRule="exact"/>
        <w:rPr>
          <w:rFonts w:ascii="Courier New" w:cs="Courier New" w:eastAsia="Courier New" w:hAnsi="Courier New"/>
          <w:sz w:val="17"/>
          <w:szCs w:val="17"/>
          <w:color w:val="auto"/>
        </w:rPr>
      </w:pPr>
    </w:p>
    <w:p>
      <w:pPr>
        <w:ind w:left="800" w:right="2399" w:hanging="296"/>
        <w:spacing w:after="0" w:line="236" w:lineRule="auto"/>
        <w:tabs>
          <w:tab w:leader="none" w:pos="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FIDELITY CONTRAFUND--assets are primarily invested in U.S. and foreign common stocks that are believed to be undervalued.</w:t>
      </w:r>
    </w:p>
    <w:p>
      <w:pPr>
        <w:spacing w:after="0" w:line="6" w:lineRule="exact"/>
        <w:rPr>
          <w:rFonts w:ascii="Courier New" w:cs="Courier New" w:eastAsia="Courier New" w:hAnsi="Courier New"/>
          <w:sz w:val="17"/>
          <w:szCs w:val="17"/>
          <w:color w:val="auto"/>
        </w:rPr>
      </w:pPr>
    </w:p>
    <w:p>
      <w:pPr>
        <w:ind w:left="800" w:right="2299" w:hanging="296"/>
        <w:spacing w:after="0" w:line="255" w:lineRule="auto"/>
        <w:tabs>
          <w:tab w:leader="none" w:pos="80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BLUE CHIP FUND--assets are primarily invested in common stock of established and/or rapidly growing companies. Approximately 65% of this fund's total assets invest in common stock of blue chip companies.</w:t>
      </w:r>
    </w:p>
    <w:p>
      <w:pPr>
        <w:ind w:left="800" w:right="2999" w:hanging="296"/>
        <w:spacing w:after="0" w:line="236" w:lineRule="auto"/>
        <w:tabs>
          <w:tab w:leader="none" w:pos="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FIDELITY WORLDWIDE FUND--assets are invested in stocks and other securities of companies located around the world.</w:t>
      </w:r>
    </w:p>
    <w:p>
      <w:pPr>
        <w:spacing w:after="0" w:line="6" w:lineRule="exact"/>
        <w:rPr>
          <w:rFonts w:ascii="Courier New" w:cs="Courier New" w:eastAsia="Courier New" w:hAnsi="Courier New"/>
          <w:sz w:val="17"/>
          <w:szCs w:val="17"/>
          <w:color w:val="auto"/>
        </w:rPr>
      </w:pPr>
    </w:p>
    <w:p>
      <w:pPr>
        <w:ind w:left="800" w:right="2299" w:hanging="296"/>
        <w:spacing w:after="0" w:line="237" w:lineRule="auto"/>
        <w:tabs>
          <w:tab w:leader="none" w:pos="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FIDELITY FREEDOM INCOME FUND--assets are primarily invested in bond and money market funds. A smaller percentage of assets are invested in equity mutual funds.</w:t>
      </w:r>
    </w:p>
    <w:p>
      <w:pPr>
        <w:spacing w:after="0" w:line="7" w:lineRule="exact"/>
        <w:rPr>
          <w:rFonts w:ascii="Courier New" w:cs="Courier New" w:eastAsia="Courier New" w:hAnsi="Courier New"/>
          <w:sz w:val="17"/>
          <w:szCs w:val="17"/>
          <w:color w:val="auto"/>
        </w:rPr>
      </w:pPr>
    </w:p>
    <w:p>
      <w:pPr>
        <w:ind w:left="800" w:right="2199" w:hanging="296"/>
        <w:spacing w:after="0" w:line="238" w:lineRule="auto"/>
        <w:tabs>
          <w:tab w:leader="none" w:pos="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FIDELITY FREEDOM 2000 FUND--assets are invested in a combination of equity, fixed income and money market mutual funds. Assets are allocated among these funds according to an asset allocation strategy which becomes more conservative over time.</w:t>
      </w:r>
    </w:p>
    <w:p>
      <w:pPr>
        <w:spacing w:after="0" w:line="7" w:lineRule="exact"/>
        <w:rPr>
          <w:rFonts w:ascii="Courier New" w:cs="Courier New" w:eastAsia="Courier New" w:hAnsi="Courier New"/>
          <w:sz w:val="17"/>
          <w:szCs w:val="17"/>
          <w:color w:val="auto"/>
        </w:rPr>
      </w:pPr>
    </w:p>
    <w:p>
      <w:pPr>
        <w:ind w:left="800" w:right="2699" w:hanging="296"/>
        <w:spacing w:after="0" w:line="238" w:lineRule="auto"/>
        <w:tabs>
          <w:tab w:leader="none" w:pos="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FIDELITY FREEDOM 2010 FUND--assets are invested in a combination of equity, fixed income and money market mutual funds of Fidelity Investments. The asset mix becomes more conservative as year 2010 approaches.</w:t>
      </w:r>
    </w:p>
    <w:p>
      <w:pPr>
        <w:spacing w:after="0" w:line="7" w:lineRule="exact"/>
        <w:rPr>
          <w:rFonts w:ascii="Courier New" w:cs="Courier New" w:eastAsia="Courier New" w:hAnsi="Courier New"/>
          <w:sz w:val="17"/>
          <w:szCs w:val="17"/>
          <w:color w:val="auto"/>
        </w:rPr>
      </w:pPr>
    </w:p>
    <w:p>
      <w:pPr>
        <w:ind w:left="800" w:right="2699" w:hanging="296"/>
        <w:spacing w:after="0" w:line="238" w:lineRule="auto"/>
        <w:tabs>
          <w:tab w:leader="none" w:pos="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FIDELITY FREEDOM 2020 FUND--assets are invested in a combination of equity, fixed income and money market mutual funds of Fidelity Investments. The asset mix becomes more conservative as year 2020 approaches.</w:t>
      </w:r>
    </w:p>
    <w:p>
      <w:pPr>
        <w:spacing w:after="0" w:line="7" w:lineRule="exact"/>
        <w:rPr>
          <w:rFonts w:ascii="Courier New" w:cs="Courier New" w:eastAsia="Courier New" w:hAnsi="Courier New"/>
          <w:sz w:val="17"/>
          <w:szCs w:val="17"/>
          <w:color w:val="auto"/>
        </w:rPr>
      </w:pPr>
    </w:p>
    <w:p>
      <w:pPr>
        <w:ind w:left="800" w:right="2699" w:hanging="296"/>
        <w:spacing w:after="0" w:line="237" w:lineRule="auto"/>
        <w:tabs>
          <w:tab w:leader="none" w:pos="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FIDELITY FREEDOM 2030 FUND--assets are invested in a combination of equity, fixed income and money market mutual funds. The asset mix becomes more conservative as year 2030 approaches.</w:t>
      </w:r>
    </w:p>
    <w:p>
      <w:pPr>
        <w:spacing w:after="0" w:line="7" w:lineRule="exact"/>
        <w:rPr>
          <w:rFonts w:ascii="Courier New" w:cs="Courier New" w:eastAsia="Courier New" w:hAnsi="Courier New"/>
          <w:sz w:val="17"/>
          <w:szCs w:val="17"/>
          <w:color w:val="auto"/>
        </w:rPr>
      </w:pPr>
    </w:p>
    <w:p>
      <w:pPr>
        <w:ind w:left="800" w:right="2199" w:hanging="296"/>
        <w:spacing w:after="0" w:line="255" w:lineRule="auto"/>
        <w:tabs>
          <w:tab w:leader="none" w:pos="80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MANAGED INCOME PORTFOLIO--assets are invested in investment contracts of major insurance companies and other approved financial institutions, and in other fixed income securities. A small percentage of assets are invested in money market funds to provide daily liquidity.</w:t>
      </w:r>
    </w:p>
    <w:p>
      <w:pPr>
        <w:ind w:left="800" w:right="2499" w:hanging="296"/>
        <w:spacing w:after="0" w:line="237" w:lineRule="auto"/>
        <w:tabs>
          <w:tab w:leader="none" w:pos="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SPARTAN U.S. EQUITY INDEX FUND--assets are invested in stocks and in approximately the same proportions as the Standard &amp; Poor's 500 Stock Index.</w:t>
      </w:r>
    </w:p>
    <w:p>
      <w:pPr>
        <w:spacing w:after="0" w:line="7" w:lineRule="exact"/>
        <w:rPr>
          <w:rFonts w:ascii="Courier New" w:cs="Courier New" w:eastAsia="Courier New" w:hAnsi="Courier New"/>
          <w:sz w:val="17"/>
          <w:szCs w:val="17"/>
          <w:color w:val="auto"/>
        </w:rPr>
      </w:pPr>
    </w:p>
    <w:p>
      <w:pPr>
        <w:ind w:left="800" w:right="2199" w:hanging="296"/>
        <w:spacing w:after="0" w:line="237" w:lineRule="auto"/>
        <w:tabs>
          <w:tab w:leader="none" w:pos="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BARON ASSET FUND--assets are invested in stocks with prices perceived as low relative to the related companies' profits, assets, and other value measures.</w:t>
      </w:r>
    </w:p>
    <w:p>
      <w:pPr>
        <w:spacing w:after="0" w:line="7" w:lineRule="exact"/>
        <w:rPr>
          <w:rFonts w:ascii="Courier New" w:cs="Courier New" w:eastAsia="Courier New" w:hAnsi="Courier New"/>
          <w:sz w:val="17"/>
          <w:szCs w:val="17"/>
          <w:color w:val="auto"/>
        </w:rPr>
      </w:pPr>
    </w:p>
    <w:p>
      <w:pPr>
        <w:ind w:left="800" w:right="2199" w:hanging="296"/>
        <w:spacing w:after="0" w:line="238" w:lineRule="auto"/>
        <w:tabs>
          <w:tab w:leader="none" w:pos="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PIMCO TOTAL RETURN FUND--assets are invested in various types of bonds, including U.S. government, corporate, mortgage, and foreign bonds with an average portfolio duration of three to six years (approximately equal to an average maturity of five to twelve years).</w:t>
      </w:r>
    </w:p>
    <w:p>
      <w:pPr>
        <w:spacing w:after="0" w:line="7" w:lineRule="exact"/>
        <w:rPr>
          <w:rFonts w:ascii="Courier New" w:cs="Courier New" w:eastAsia="Courier New" w:hAnsi="Courier New"/>
          <w:sz w:val="17"/>
          <w:szCs w:val="17"/>
          <w:color w:val="auto"/>
        </w:rPr>
      </w:pPr>
    </w:p>
    <w:p>
      <w:pPr>
        <w:ind w:left="800" w:right="2299" w:hanging="296"/>
        <w:spacing w:after="0" w:line="236" w:lineRule="auto"/>
        <w:tabs>
          <w:tab w:leader="none" w:pos="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SCOTTS COMPANY COMMON SHARES--assets consist entirely of The Scotts Company common shares and cash equivalents.</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BENEFIT PAYMENTS</w:t>
      </w:r>
    </w:p>
    <w:p>
      <w:pPr>
        <w:spacing w:after="0" w:line="6" w:lineRule="exact"/>
        <w:rPr>
          <w:sz w:val="20"/>
          <w:szCs w:val="20"/>
          <w:color w:val="auto"/>
        </w:rPr>
      </w:pPr>
    </w:p>
    <w:p>
      <w:pPr>
        <w:ind w:left="500" w:right="2599"/>
        <w:spacing w:after="0" w:line="257" w:lineRule="auto"/>
        <w:rPr>
          <w:sz w:val="20"/>
          <w:szCs w:val="20"/>
          <w:color w:val="auto"/>
        </w:rPr>
      </w:pPr>
      <w:r>
        <w:rPr>
          <w:rFonts w:ascii="Courier New" w:cs="Courier New" w:eastAsia="Courier New" w:hAnsi="Courier New"/>
          <w:sz w:val="16"/>
          <w:szCs w:val="16"/>
          <w:color w:val="auto"/>
        </w:rPr>
        <w:t>Participants are eligible to receive benefit payments upon termination, retirement, death or disability equal to the vested balance of the participant's account as of the business day the trustee processes the distribution. The Plan also provides for hardship and in-service withdrawals for active employees under certain circumstances.</w:t>
      </w:r>
    </w:p>
    <w:p>
      <w:pPr>
        <w:spacing w:after="0" w:line="18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PARTICIPANT LOANS</w:t>
      </w:r>
    </w:p>
    <w:p>
      <w:pPr>
        <w:spacing w:after="0" w:line="6" w:lineRule="exact"/>
        <w:rPr>
          <w:sz w:val="20"/>
          <w:szCs w:val="20"/>
          <w:color w:val="auto"/>
        </w:rPr>
      </w:pPr>
    </w:p>
    <w:p>
      <w:pPr>
        <w:ind w:left="500" w:right="2299"/>
        <w:spacing w:after="0" w:line="236" w:lineRule="auto"/>
        <w:rPr>
          <w:sz w:val="20"/>
          <w:szCs w:val="20"/>
          <w:color w:val="auto"/>
        </w:rPr>
      </w:pPr>
      <w:r>
        <w:rPr>
          <w:rFonts w:ascii="Courier New" w:cs="Courier New" w:eastAsia="Courier New" w:hAnsi="Courier New"/>
          <w:sz w:val="17"/>
          <w:szCs w:val="17"/>
          <w:color w:val="auto"/>
        </w:rPr>
        <w:t>Loans are available to participants from their individual accounts subject to the terms of the Plan.</w:t>
      </w:r>
    </w:p>
    <w:p>
      <w:pPr>
        <w:spacing w:after="0" w:line="200" w:lineRule="exact"/>
        <w:rPr>
          <w:sz w:val="20"/>
          <w:szCs w:val="20"/>
          <w:color w:val="auto"/>
        </w:rPr>
      </w:pPr>
    </w:p>
    <w:p>
      <w:pPr>
        <w:spacing w:after="0" w:line="379"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- 5 -</w:t>
      </w:r>
    </w:p>
    <w:p>
      <w:pPr>
        <w:sectPr>
          <w:pgSz w:w="11900" w:h="16838" w:orient="portrait"/>
          <w:cols w:equalWidth="0" w:num="1">
            <w:col w:w="10219"/>
          </w:cols>
          <w:pgMar w:left="240" w:top="303"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 RETIREMENT SAVINGS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rPr>
          <w:sz w:val="20"/>
          <w:szCs w:val="20"/>
          <w:color w:val="auto"/>
        </w:rPr>
      </w:pPr>
      <w:r>
        <w:rPr>
          <w:rFonts w:ascii="Courier New" w:cs="Courier New" w:eastAsia="Courier New" w:hAnsi="Courier New"/>
          <w:sz w:val="17"/>
          <w:szCs w:val="17"/>
          <w:color w:val="auto"/>
        </w:rPr>
        <w:t>DECEMBER 31, 2000 AND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p>
      <w:pPr>
        <w:ind w:left="400" w:hanging="397"/>
        <w:spacing w:after="0"/>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w:t>
      </w:r>
    </w:p>
    <w:p>
      <w:pPr>
        <w:spacing w:after="0" w:line="192"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ACCOUNTING</w:t>
      </w:r>
    </w:p>
    <w:p>
      <w:pPr>
        <w:spacing w:after="0" w:line="5" w:lineRule="exact"/>
        <w:rPr>
          <w:rFonts w:ascii="Courier New" w:cs="Courier New" w:eastAsia="Courier New" w:hAnsi="Courier New"/>
          <w:sz w:val="17"/>
          <w:szCs w:val="17"/>
          <w:color w:val="auto"/>
        </w:rPr>
      </w:pPr>
    </w:p>
    <w:p>
      <w:pPr>
        <w:ind w:left="400" w:right="219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financial statements of the Plan have been prepared on the accrual basis of accounting in accordance with generally accepted accounting principles.</w:t>
      </w:r>
    </w:p>
    <w:p>
      <w:pPr>
        <w:spacing w:after="0" w:line="177"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w:t>
      </w:r>
    </w:p>
    <w:p>
      <w:pPr>
        <w:spacing w:after="0" w:line="5" w:lineRule="exact"/>
        <w:rPr>
          <w:rFonts w:ascii="Courier New" w:cs="Courier New" w:eastAsia="Courier New" w:hAnsi="Courier New"/>
          <w:sz w:val="17"/>
          <w:szCs w:val="17"/>
          <w:color w:val="auto"/>
        </w:rPr>
      </w:pPr>
    </w:p>
    <w:p>
      <w:pPr>
        <w:ind w:left="400" w:right="219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Excluding participant loans, investments are stated at quoted market prices. Participants' loans are valued at cost, which approximates fair value.</w:t>
      </w:r>
    </w:p>
    <w:p>
      <w:pPr>
        <w:spacing w:after="0" w:line="182" w:lineRule="exact"/>
        <w:rPr>
          <w:rFonts w:ascii="Courier New" w:cs="Courier New" w:eastAsia="Courier New" w:hAnsi="Courier New"/>
          <w:sz w:val="17"/>
          <w:szCs w:val="17"/>
          <w:color w:val="auto"/>
        </w:rPr>
      </w:pPr>
    </w:p>
    <w:p>
      <w:pPr>
        <w:ind w:left="400" w:right="24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presents in the statement of changes in net assets available for benefits the net appreciation in the fair value of its investments, which consists of the realized gains or losses and the unrealized appreciation (depreciation) on those investments. Gains and losses on sales of investments are based on the average cost method.</w:t>
      </w:r>
    </w:p>
    <w:p>
      <w:pPr>
        <w:spacing w:after="0" w:line="201" w:lineRule="exact"/>
        <w:rPr>
          <w:rFonts w:ascii="Courier New" w:cs="Courier New" w:eastAsia="Courier New" w:hAnsi="Courier New"/>
          <w:sz w:val="17"/>
          <w:szCs w:val="17"/>
          <w:color w:val="auto"/>
        </w:rPr>
      </w:pPr>
    </w:p>
    <w:p>
      <w:pPr>
        <w:ind w:left="400" w:right="21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Net appreciation in fair value for each significant class of investments for the year ended December 31, 1999 is as follows:</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4060" w:type="dxa"/>
            <w:vAlign w:val="bottom"/>
          </w:tcPr>
          <w:p>
            <w:pPr>
              <w:spacing w:after="0"/>
              <w:rPr>
                <w:sz w:val="16"/>
                <w:szCs w:val="16"/>
                <w:color w:val="auto"/>
              </w:rPr>
            </w:pPr>
          </w:p>
        </w:tc>
        <w:tc>
          <w:tcPr>
            <w:tcW w:w="1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1999</w:t>
            </w:r>
          </w:p>
        </w:tc>
      </w:tr>
      <w:tr>
        <w:trPr>
          <w:trHeight w:val="385"/>
        </w:trPr>
        <w:tc>
          <w:tcPr>
            <w:tcW w:w="4060" w:type="dxa"/>
            <w:vAlign w:val="bottom"/>
          </w:tcPr>
          <w:p>
            <w:pPr>
              <w:spacing w:after="0"/>
              <w:rPr>
                <w:sz w:val="20"/>
                <w:szCs w:val="20"/>
                <w:color w:val="auto"/>
              </w:rPr>
            </w:pPr>
            <w:r>
              <w:rPr>
                <w:rFonts w:ascii="Courier New" w:cs="Courier New" w:eastAsia="Courier New" w:hAnsi="Courier New"/>
                <w:sz w:val="17"/>
                <w:szCs w:val="17"/>
                <w:color w:val="auto"/>
              </w:rPr>
              <w:t>Mutual funds</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$ 9,949,037</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The Scotts Company Common Shares</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530,711</w:t>
            </w:r>
          </w:p>
        </w:tc>
      </w:tr>
      <w:tr>
        <w:trPr>
          <w:trHeight w:val="193"/>
        </w:trPr>
        <w:tc>
          <w:tcPr>
            <w:tcW w:w="406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060" w:type="dxa"/>
            <w:vAlign w:val="bottom"/>
          </w:tcPr>
          <w:p>
            <w:pPr>
              <w:ind w:left="600"/>
              <w:spacing w:after="0"/>
              <w:rPr>
                <w:sz w:val="20"/>
                <w:szCs w:val="20"/>
                <w:color w:val="auto"/>
              </w:rPr>
            </w:pPr>
            <w:r>
              <w:rPr>
                <w:rFonts w:ascii="Courier New" w:cs="Courier New" w:eastAsia="Courier New" w:hAnsi="Courier New"/>
                <w:sz w:val="17"/>
                <w:szCs w:val="17"/>
                <w:color w:val="auto"/>
              </w:rPr>
              <w:t>Total net appreciation</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$10,479,748</w:t>
            </w:r>
          </w:p>
        </w:tc>
      </w:tr>
      <w:tr>
        <w:trPr>
          <w:trHeight w:val="193"/>
        </w:trPr>
        <w:tc>
          <w:tcPr>
            <w:tcW w:w="406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ADMINISTRATIVE EXPENSES</w:t>
      </w:r>
    </w:p>
    <w:p>
      <w:pPr>
        <w:spacing w:after="0" w:line="6" w:lineRule="exact"/>
        <w:rPr>
          <w:sz w:val="20"/>
          <w:szCs w:val="20"/>
          <w:color w:val="auto"/>
        </w:rPr>
      </w:pPr>
    </w:p>
    <w:p>
      <w:pPr>
        <w:ind w:left="400" w:right="2799"/>
        <w:spacing w:after="0" w:line="262" w:lineRule="auto"/>
        <w:rPr>
          <w:sz w:val="20"/>
          <w:szCs w:val="20"/>
          <w:color w:val="auto"/>
        </w:rPr>
      </w:pPr>
      <w:r>
        <w:rPr>
          <w:rFonts w:ascii="Courier New" w:cs="Courier New" w:eastAsia="Courier New" w:hAnsi="Courier New"/>
          <w:sz w:val="16"/>
          <w:szCs w:val="16"/>
          <w:color w:val="auto"/>
        </w:rPr>
        <w:t>The Company pays for all administrative fees except those that are participant specific, such as loan establishment and maintenance fees.</w:t>
      </w:r>
    </w:p>
    <w:p>
      <w:pPr>
        <w:spacing w:after="0" w:line="177"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PAYMENTS OF BENEFITS</w:t>
      </w:r>
    </w:p>
    <w:p>
      <w:pPr>
        <w:ind w:left="400"/>
        <w:spacing w:after="0"/>
        <w:rPr>
          <w:sz w:val="20"/>
          <w:szCs w:val="20"/>
          <w:color w:val="auto"/>
        </w:rPr>
      </w:pPr>
      <w:r>
        <w:rPr>
          <w:rFonts w:ascii="Courier New" w:cs="Courier New" w:eastAsia="Courier New" w:hAnsi="Courier New"/>
          <w:sz w:val="17"/>
          <w:szCs w:val="17"/>
          <w:color w:val="auto"/>
        </w:rPr>
        <w:t>Benefits are recorded when paid.</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USE OF ESTIMATES</w:t>
      </w:r>
    </w:p>
    <w:p>
      <w:pPr>
        <w:spacing w:after="0" w:line="6" w:lineRule="exact"/>
        <w:rPr>
          <w:sz w:val="20"/>
          <w:szCs w:val="20"/>
          <w:color w:val="auto"/>
        </w:rPr>
      </w:pPr>
    </w:p>
    <w:p>
      <w:pPr>
        <w:ind w:left="400" w:right="2199"/>
        <w:spacing w:after="0" w:line="256" w:lineRule="auto"/>
        <w:rPr>
          <w:sz w:val="20"/>
          <w:szCs w:val="20"/>
          <w:color w:val="auto"/>
        </w:rPr>
      </w:pPr>
      <w:r>
        <w:rPr>
          <w:rFonts w:ascii="Courier New" w:cs="Courier New" w:eastAsia="Courier New" w:hAnsi="Courier New"/>
          <w:sz w:val="16"/>
          <w:szCs w:val="16"/>
          <w:color w:val="auto"/>
        </w:rPr>
        <w:t>The preparation of the Plan's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RISKS AND UNCERTAINTIES</w:t>
      </w:r>
    </w:p>
    <w:p>
      <w:pPr>
        <w:spacing w:after="0" w:line="6" w:lineRule="exact"/>
        <w:rPr>
          <w:sz w:val="20"/>
          <w:szCs w:val="20"/>
          <w:color w:val="auto"/>
        </w:rPr>
      </w:pPr>
    </w:p>
    <w:p>
      <w:pPr>
        <w:ind w:left="400" w:right="2199"/>
        <w:spacing w:after="0" w:line="239" w:lineRule="auto"/>
        <w:rPr>
          <w:sz w:val="20"/>
          <w:szCs w:val="20"/>
          <w:color w:val="auto"/>
        </w:rPr>
      </w:pPr>
      <w:r>
        <w:rPr>
          <w:rFonts w:ascii="Courier New" w:cs="Courier New" w:eastAsia="Courier New" w:hAnsi="Courier New"/>
          <w:sz w:val="17"/>
          <w:szCs w:val="17"/>
          <w:color w:val="auto"/>
        </w:rPr>
        <w:t>The Plan provides for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available for benefits.</w:t>
      </w:r>
    </w:p>
    <w:p>
      <w:pPr>
        <w:spacing w:after="0" w:line="200" w:lineRule="exact"/>
        <w:rPr>
          <w:sz w:val="20"/>
          <w:szCs w:val="20"/>
          <w:color w:val="auto"/>
        </w:rPr>
      </w:pPr>
    </w:p>
    <w:p>
      <w:pPr>
        <w:spacing w:after="0" w:line="379"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- 6 -</w:t>
      </w:r>
    </w:p>
    <w:p>
      <w:pPr>
        <w:sectPr>
          <w:pgSz w:w="11900" w:h="16838" w:orient="portrait"/>
          <w:cols w:equalWidth="0" w:num="1">
            <w:col w:w="10219"/>
          </w:cols>
          <w:pgMar w:left="240" w:top="303"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 RETIREMENT SAVINGS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rPr>
          <w:sz w:val="20"/>
          <w:szCs w:val="20"/>
          <w:color w:val="auto"/>
        </w:rPr>
      </w:pPr>
      <w:r>
        <w:rPr>
          <w:rFonts w:ascii="Courier New" w:cs="Courier New" w:eastAsia="Courier New" w:hAnsi="Courier New"/>
          <w:sz w:val="17"/>
          <w:szCs w:val="17"/>
          <w:color w:val="auto"/>
        </w:rPr>
        <w:t>DECEMBER 31, 2000 AND 1999</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RECLASSIFICATIONS</w:t>
      </w:r>
    </w:p>
    <w:p>
      <w:pPr>
        <w:spacing w:after="0" w:line="6" w:lineRule="exact"/>
        <w:rPr>
          <w:sz w:val="20"/>
          <w:szCs w:val="20"/>
          <w:color w:val="auto"/>
        </w:rPr>
      </w:pPr>
    </w:p>
    <w:p>
      <w:pPr>
        <w:ind w:left="400" w:right="4100"/>
        <w:spacing w:after="0" w:line="236" w:lineRule="auto"/>
        <w:rPr>
          <w:sz w:val="20"/>
          <w:szCs w:val="20"/>
          <w:color w:val="auto"/>
        </w:rPr>
      </w:pPr>
      <w:r>
        <w:rPr>
          <w:rFonts w:ascii="Courier New" w:cs="Courier New" w:eastAsia="Courier New" w:hAnsi="Courier New"/>
          <w:sz w:val="17"/>
          <w:szCs w:val="17"/>
          <w:color w:val="auto"/>
        </w:rPr>
        <w:t>Certain reclassifications have been made to the prior year's financial statements to conform to current year classifications.</w:t>
      </w:r>
    </w:p>
    <w:p>
      <w:pPr>
        <w:spacing w:after="0" w:line="194" w:lineRule="exact"/>
        <w:rPr>
          <w:sz w:val="20"/>
          <w:szCs w:val="20"/>
          <w:color w:val="auto"/>
        </w:rPr>
      </w:pPr>
    </w:p>
    <w:p>
      <w:pPr>
        <w:ind w:left="400" w:hanging="397"/>
        <w:spacing w:after="0"/>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MASTER TRUST</w:t>
      </w:r>
    </w:p>
    <w:p>
      <w:pPr>
        <w:spacing w:after="0" w:line="5" w:lineRule="exact"/>
        <w:rPr>
          <w:rFonts w:ascii="Courier New" w:cs="Courier New" w:eastAsia="Courier New" w:hAnsi="Courier New"/>
          <w:sz w:val="17"/>
          <w:szCs w:val="17"/>
          <w:color w:val="auto"/>
        </w:rPr>
      </w:pPr>
    </w:p>
    <w:p>
      <w:pPr>
        <w:ind w:left="400" w:right="3500"/>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Effective January 1, 2000, a master trust was established to invest certain assets of the Plan and certain assets of the Company's other defined contribution plan, The Scotts Company Union Retirement Savings Plan. Each plan's accounting is maintained separately; the respective plan's value is a percentage of the master trust. Plan activities, such as contributions and benefit payments, are recorded in the individual plan's accounting records.</w:t>
      </w:r>
    </w:p>
    <w:p>
      <w:pPr>
        <w:spacing w:after="0" w:line="189" w:lineRule="exact"/>
        <w:rPr>
          <w:rFonts w:ascii="Courier New" w:cs="Courier New" w:eastAsia="Courier New" w:hAnsi="Courier New"/>
          <w:sz w:val="17"/>
          <w:szCs w:val="17"/>
          <w:color w:val="auto"/>
        </w:rPr>
      </w:pPr>
    </w:p>
    <w:p>
      <w:pPr>
        <w:jc w:val="both"/>
        <w:ind w:left="400" w:right="360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Net earnings of the master trust are allocated between the plans based on a weighted average of assets related to each plan. Total net earnings for the master trust for the year ended December 31, 2000 are as follows: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NET</w:t>
            </w:r>
          </w:p>
        </w:tc>
        <w:tc>
          <w:tcPr>
            <w:tcW w:w="19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3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APPRECIATION</w:t>
            </w:r>
          </w:p>
        </w:tc>
        <w:tc>
          <w:tcPr>
            <w:tcW w:w="19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3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(DEPRECIATION)</w:t>
            </w:r>
          </w:p>
        </w:tc>
        <w:tc>
          <w:tcPr>
            <w:tcW w:w="19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3160" w:type="dxa"/>
            <w:vAlign w:val="bottom"/>
          </w:tcPr>
          <w:p>
            <w:pPr>
              <w:spacing w:after="0"/>
              <w:rPr>
                <w:sz w:val="16"/>
                <w:szCs w:val="16"/>
                <w:color w:val="auto"/>
              </w:rPr>
            </w:pPr>
          </w:p>
        </w:tc>
        <w:tc>
          <w:tcPr>
            <w:tcW w:w="27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INTEREST AND</w:t>
            </w:r>
          </w:p>
        </w:tc>
        <w:tc>
          <w:tcPr>
            <w:tcW w:w="20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IN FAIR VALUE</w:t>
            </w:r>
          </w:p>
        </w:tc>
        <w:tc>
          <w:tcPr>
            <w:tcW w:w="19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ADMINISTRATION</w:t>
            </w:r>
          </w:p>
        </w:tc>
        <w:tc>
          <w:tcPr>
            <w:tcW w:w="1700" w:type="dxa"/>
            <w:vAlign w:val="bottom"/>
          </w:tcPr>
          <w:p>
            <w:pPr>
              <w:spacing w:after="0"/>
              <w:rPr>
                <w:sz w:val="16"/>
                <w:szCs w:val="16"/>
                <w:color w:val="auto"/>
              </w:rPr>
            </w:pPr>
          </w:p>
        </w:tc>
      </w:tr>
      <w:tr>
        <w:trPr>
          <w:trHeight w:val="193"/>
        </w:trPr>
        <w:tc>
          <w:tcPr>
            <w:tcW w:w="3160" w:type="dxa"/>
            <w:vAlign w:val="bottom"/>
          </w:tcPr>
          <w:p>
            <w:pPr>
              <w:spacing w:after="0"/>
              <w:rPr>
                <w:sz w:val="16"/>
                <w:szCs w:val="16"/>
                <w:color w:val="auto"/>
              </w:rPr>
            </w:pPr>
          </w:p>
        </w:tc>
        <w:tc>
          <w:tcPr>
            <w:tcW w:w="27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DIVIDENDS</w:t>
            </w:r>
          </w:p>
        </w:tc>
        <w:tc>
          <w:tcPr>
            <w:tcW w:w="20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OF SECURITIES</w:t>
            </w:r>
          </w:p>
        </w:tc>
        <w:tc>
          <w:tcPr>
            <w:tcW w:w="19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EXPENSES</w:t>
            </w:r>
          </w:p>
        </w:tc>
        <w:tc>
          <w:tcPr>
            <w:tcW w:w="17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316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6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 ------------------- ----------------</w:t>
            </w:r>
          </w:p>
        </w:tc>
      </w:tr>
      <w:tr>
        <w:trPr>
          <w:trHeight w:val="578"/>
        </w:trPr>
        <w:tc>
          <w:tcPr>
            <w:tcW w:w="3160" w:type="dxa"/>
            <w:vAlign w:val="bottom"/>
          </w:tcPr>
          <w:p>
            <w:pPr>
              <w:spacing w:after="0"/>
              <w:rPr>
                <w:sz w:val="20"/>
                <w:szCs w:val="20"/>
                <w:color w:val="auto"/>
              </w:rPr>
            </w:pPr>
            <w:r>
              <w:rPr>
                <w:rFonts w:ascii="Courier New" w:cs="Courier New" w:eastAsia="Courier New" w:hAnsi="Courier New"/>
                <w:sz w:val="17"/>
                <w:szCs w:val="17"/>
                <w:color w:val="auto"/>
              </w:rPr>
              <w:t>Mutual funds</w:t>
            </w:r>
          </w:p>
        </w:tc>
        <w:tc>
          <w:tcPr>
            <w:tcW w:w="27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$ 7,548,026</w:t>
            </w:r>
          </w:p>
        </w:tc>
        <w:tc>
          <w:tcPr>
            <w:tcW w:w="2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(12,332,300)</w:t>
            </w:r>
          </w:p>
        </w:tc>
        <w:tc>
          <w:tcPr>
            <w:tcW w:w="19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(14,347)</w:t>
            </w:r>
          </w:p>
        </w:tc>
        <w:tc>
          <w:tcPr>
            <w:tcW w:w="1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$(4,798,621)</w:t>
            </w: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Common trust fund</w:t>
            </w:r>
          </w:p>
        </w:tc>
        <w:tc>
          <w:tcPr>
            <w:tcW w:w="27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698,257</w:t>
            </w:r>
          </w:p>
        </w:tc>
        <w:tc>
          <w:tcPr>
            <w:tcW w:w="202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(2,681)</w:t>
            </w:r>
          </w:p>
        </w:tc>
        <w:tc>
          <w:tcPr>
            <w:tcW w:w="1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695,576</w:t>
            </w: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The Scotts Company</w:t>
            </w:r>
          </w:p>
        </w:tc>
        <w:tc>
          <w:tcPr>
            <w:tcW w:w="2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3160" w:type="dxa"/>
            <w:vAlign w:val="bottom"/>
          </w:tcPr>
          <w:p>
            <w:pPr>
              <w:ind w:left="300"/>
              <w:spacing w:after="0"/>
              <w:rPr>
                <w:sz w:val="20"/>
                <w:szCs w:val="20"/>
                <w:color w:val="auto"/>
              </w:rPr>
            </w:pPr>
            <w:r>
              <w:rPr>
                <w:rFonts w:ascii="Courier New" w:cs="Courier New" w:eastAsia="Courier New" w:hAnsi="Courier New"/>
                <w:sz w:val="17"/>
                <w:szCs w:val="17"/>
                <w:color w:val="auto"/>
              </w:rPr>
              <w:t>Common Shares</w:t>
            </w:r>
          </w:p>
        </w:tc>
        <w:tc>
          <w:tcPr>
            <w:tcW w:w="27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31,542</w:t>
            </w:r>
          </w:p>
        </w:tc>
        <w:tc>
          <w:tcPr>
            <w:tcW w:w="2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(179,130)</w:t>
            </w:r>
          </w:p>
        </w:tc>
        <w:tc>
          <w:tcPr>
            <w:tcW w:w="19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(1,451)</w:t>
            </w:r>
          </w:p>
        </w:tc>
        <w:tc>
          <w:tcPr>
            <w:tcW w:w="1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(149,039)</w:t>
            </w: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Loans to participants</w:t>
            </w:r>
          </w:p>
        </w:tc>
        <w:tc>
          <w:tcPr>
            <w:tcW w:w="27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212,344</w:t>
            </w:r>
          </w:p>
        </w:tc>
        <w:tc>
          <w:tcPr>
            <w:tcW w:w="202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212,344</w:t>
            </w:r>
          </w:p>
        </w:tc>
      </w:tr>
      <w:tr>
        <w:trPr>
          <w:trHeight w:val="193"/>
        </w:trPr>
        <w:tc>
          <w:tcPr>
            <w:tcW w:w="316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6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 ------------------- ----------------</w:t>
            </w:r>
          </w:p>
        </w:tc>
      </w:tr>
      <w:tr>
        <w:trPr>
          <w:trHeight w:val="193"/>
        </w:trPr>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Total</w:t>
            </w:r>
          </w:p>
        </w:tc>
        <w:tc>
          <w:tcPr>
            <w:tcW w:w="27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$ 8,490,169</w:t>
            </w:r>
          </w:p>
        </w:tc>
        <w:tc>
          <w:tcPr>
            <w:tcW w:w="2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(12,511,430)</w:t>
            </w:r>
          </w:p>
        </w:tc>
        <w:tc>
          <w:tcPr>
            <w:tcW w:w="19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(18,479)</w:t>
            </w:r>
          </w:p>
        </w:tc>
        <w:tc>
          <w:tcPr>
            <w:tcW w:w="1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$(4,039,740)</w:t>
            </w:r>
          </w:p>
        </w:tc>
      </w:tr>
      <w:tr>
        <w:trPr>
          <w:trHeight w:val="193"/>
        </w:trPr>
        <w:tc>
          <w:tcPr>
            <w:tcW w:w="316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6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 ------------------- ----------------</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- 7 -</w:t>
      </w:r>
    </w:p>
    <w:p>
      <w:pPr>
        <w:sectPr>
          <w:pgSz w:w="11900" w:h="16838" w:orient="portrait"/>
          <w:cols w:equalWidth="0" w:num="1">
            <w:col w:w="11520"/>
          </w:cols>
          <w:pgMar w:left="240" w:top="303" w:right="139"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 RETIREMENT SAVINGS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rPr>
          <w:sz w:val="20"/>
          <w:szCs w:val="20"/>
          <w:color w:val="auto"/>
        </w:rPr>
      </w:pPr>
      <w:r>
        <w:rPr>
          <w:rFonts w:ascii="Courier New" w:cs="Courier New" w:eastAsia="Courier New" w:hAnsi="Courier New"/>
          <w:sz w:val="17"/>
          <w:szCs w:val="17"/>
          <w:color w:val="auto"/>
        </w:rPr>
        <w:t>DECEMBER 31, 2000 AND 1999</w:t>
      </w:r>
    </w:p>
    <w:p>
      <w:pPr>
        <w:spacing w:after="0" w:line="6" w:lineRule="exact"/>
        <w:rPr>
          <w:sz w:val="20"/>
          <w:szCs w:val="20"/>
          <w:color w:val="auto"/>
        </w:rPr>
      </w:pPr>
    </w:p>
    <w:p>
      <w:pPr>
        <w:ind w:left="200" w:hanging="197"/>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Total assets held in the master trust at December 31, 2000 were as follows:</w:t>
      </w:r>
    </w:p>
    <w:p>
      <w:pPr>
        <w:spacing w:after="0" w:line="38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439,536</w:t>
            </w:r>
          </w:p>
        </w:tc>
      </w:tr>
      <w:tr>
        <w:trPr>
          <w:trHeight w:val="385"/>
        </w:trPr>
        <w:tc>
          <w:tcPr>
            <w:tcW w:w="5260" w:type="dxa"/>
            <w:vAlign w:val="bottom"/>
          </w:tcPr>
          <w:p>
            <w:pPr>
              <w:spacing w:after="0"/>
              <w:rPr>
                <w:sz w:val="20"/>
                <w:szCs w:val="20"/>
                <w:color w:val="auto"/>
              </w:rPr>
            </w:pPr>
            <w:r>
              <w:rPr>
                <w:rFonts w:ascii="Courier New" w:cs="Courier New" w:eastAsia="Courier New" w:hAnsi="Courier New"/>
                <w:sz w:val="17"/>
                <w:szCs w:val="17"/>
                <w:color w:val="auto"/>
              </w:rPr>
              <w:t>Investments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5260" w:type="dxa"/>
            <w:vAlign w:val="bottom"/>
          </w:tcPr>
          <w:p>
            <w:pPr>
              <w:ind w:left="400"/>
              <w:spacing w:after="0"/>
              <w:rPr>
                <w:sz w:val="20"/>
                <w:szCs w:val="20"/>
                <w:color w:val="auto"/>
              </w:rPr>
            </w:pPr>
            <w:r>
              <w:rPr>
                <w:rFonts w:ascii="Courier New" w:cs="Courier New" w:eastAsia="Courier New" w:hAnsi="Courier New"/>
                <w:sz w:val="17"/>
                <w:szCs w:val="17"/>
                <w:color w:val="auto"/>
              </w:rPr>
              <w:t>Mutual funds, at fair value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119,120,168</w:t>
            </w:r>
          </w:p>
        </w:tc>
      </w:tr>
      <w:tr>
        <w:trPr>
          <w:trHeight w:val="193"/>
        </w:trPr>
        <w:tc>
          <w:tcPr>
            <w:tcW w:w="5260" w:type="dxa"/>
            <w:vAlign w:val="bottom"/>
          </w:tcPr>
          <w:p>
            <w:pPr>
              <w:ind w:left="400"/>
              <w:spacing w:after="0"/>
              <w:rPr>
                <w:sz w:val="20"/>
                <w:szCs w:val="20"/>
                <w:color w:val="auto"/>
              </w:rPr>
            </w:pPr>
            <w:r>
              <w:rPr>
                <w:rFonts w:ascii="Courier New" w:cs="Courier New" w:eastAsia="Courier New" w:hAnsi="Courier New"/>
                <w:sz w:val="17"/>
                <w:szCs w:val="17"/>
                <w:color w:val="auto"/>
              </w:rPr>
              <w:t>Common trust fund, at fair value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12,901,238</w:t>
            </w:r>
          </w:p>
        </w:tc>
      </w:tr>
      <w:tr>
        <w:trPr>
          <w:trHeight w:val="193"/>
        </w:trPr>
        <w:tc>
          <w:tcPr>
            <w:tcW w:w="5260" w:type="dxa"/>
            <w:vAlign w:val="bottom"/>
          </w:tcPr>
          <w:p>
            <w:pPr>
              <w:ind w:left="400"/>
              <w:spacing w:after="0"/>
              <w:rPr>
                <w:sz w:val="20"/>
                <w:szCs w:val="20"/>
                <w:color w:val="auto"/>
              </w:rPr>
            </w:pPr>
            <w:r>
              <w:rPr>
                <w:rFonts w:ascii="Courier New" w:cs="Courier New" w:eastAsia="Courier New" w:hAnsi="Courier New"/>
                <w:sz w:val="17"/>
                <w:szCs w:val="17"/>
                <w:color w:val="auto"/>
              </w:rPr>
              <w:t>The Scotts Company Common Shares, at fair value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8,538,029</w:t>
            </w:r>
          </w:p>
        </w:tc>
      </w:tr>
      <w:tr>
        <w:trPr>
          <w:trHeight w:val="193"/>
        </w:trPr>
        <w:tc>
          <w:tcPr>
            <w:tcW w:w="5260" w:type="dxa"/>
            <w:vAlign w:val="bottom"/>
          </w:tcPr>
          <w:p>
            <w:pPr>
              <w:ind w:left="400"/>
              <w:spacing w:after="0"/>
              <w:rPr>
                <w:sz w:val="20"/>
                <w:szCs w:val="20"/>
                <w:color w:val="auto"/>
              </w:rPr>
            </w:pPr>
            <w:r>
              <w:rPr>
                <w:rFonts w:ascii="Courier New" w:cs="Courier New" w:eastAsia="Courier New" w:hAnsi="Courier New"/>
                <w:sz w:val="17"/>
                <w:szCs w:val="17"/>
                <w:color w:val="auto"/>
              </w:rPr>
              <w:t>Loans to participants, at cost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2,938,128</w:t>
            </w:r>
          </w:p>
        </w:tc>
      </w:tr>
      <w:tr>
        <w:trPr>
          <w:trHeight w:val="193"/>
        </w:trPr>
        <w:tc>
          <w:tcPr>
            <w:tcW w:w="52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ind w:left="600"/>
              <w:spacing w:after="0"/>
              <w:rPr>
                <w:sz w:val="20"/>
                <w:szCs w:val="20"/>
                <w:color w:val="auto"/>
              </w:rPr>
            </w:pPr>
            <w:r>
              <w:rPr>
                <w:rFonts w:ascii="Courier New" w:cs="Courier New" w:eastAsia="Courier New" w:hAnsi="Courier New"/>
                <w:sz w:val="17"/>
                <w:szCs w:val="17"/>
                <w:color w:val="auto"/>
              </w:rPr>
              <w:t>Total investments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143,497,563</w:t>
            </w:r>
          </w:p>
        </w:tc>
      </w:tr>
      <w:tr>
        <w:trPr>
          <w:trHeight w:val="193"/>
        </w:trPr>
        <w:tc>
          <w:tcPr>
            <w:tcW w:w="52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Receivable from broker</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226,447</w:t>
            </w:r>
          </w:p>
        </w:tc>
      </w:tr>
      <w:tr>
        <w:trPr>
          <w:trHeight w:val="193"/>
        </w:trPr>
        <w:tc>
          <w:tcPr>
            <w:tcW w:w="52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ind w:left="600"/>
              <w:spacing w:after="0"/>
              <w:rPr>
                <w:sz w:val="20"/>
                <w:szCs w:val="20"/>
                <w:color w:val="auto"/>
              </w:rPr>
            </w:pPr>
            <w:r>
              <w:rPr>
                <w:rFonts w:ascii="Courier New" w:cs="Courier New" w:eastAsia="Courier New" w:hAnsi="Courier New"/>
                <w:sz w:val="17"/>
                <w:szCs w:val="17"/>
                <w:color w:val="auto"/>
              </w:rPr>
              <w:t>Total master trust net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144,163,546</w:t>
            </w:r>
          </w:p>
        </w:tc>
      </w:tr>
      <w:tr>
        <w:trPr>
          <w:trHeight w:val="193"/>
        </w:trPr>
        <w:tc>
          <w:tcPr>
            <w:tcW w:w="52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The Scotts Company Retirement Savings Plan interest</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260" w:type="dxa"/>
            <w:vAlign w:val="bottom"/>
          </w:tcPr>
          <w:p>
            <w:pPr>
              <w:ind w:left="400"/>
              <w:spacing w:after="0"/>
              <w:rPr>
                <w:sz w:val="20"/>
                <w:szCs w:val="20"/>
                <w:color w:val="auto"/>
              </w:rPr>
            </w:pPr>
            <w:r>
              <w:rPr>
                <w:rFonts w:ascii="Courier New" w:cs="Courier New" w:eastAsia="Courier New" w:hAnsi="Courier New"/>
                <w:sz w:val="17"/>
                <w:szCs w:val="17"/>
                <w:color w:val="auto"/>
              </w:rPr>
              <w:t>in master trust net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99.942%</w:t>
            </w:r>
          </w:p>
        </w:tc>
      </w:tr>
      <w:tr>
        <w:trPr>
          <w:trHeight w:val="193"/>
        </w:trPr>
        <w:tc>
          <w:tcPr>
            <w:tcW w:w="52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Accounting policies discussed in Note 1 also apply to the master trust.</w:t>
      </w:r>
    </w:p>
    <w:p>
      <w:pPr>
        <w:spacing w:after="0" w:line="198" w:lineRule="exact"/>
        <w:rPr>
          <w:sz w:val="20"/>
          <w:szCs w:val="20"/>
          <w:color w:val="auto"/>
        </w:rPr>
      </w:pPr>
    </w:p>
    <w:p>
      <w:pPr>
        <w:ind w:left="500" w:right="2699"/>
        <w:spacing w:after="0" w:line="236" w:lineRule="auto"/>
        <w:rPr>
          <w:sz w:val="20"/>
          <w:szCs w:val="20"/>
          <w:color w:val="auto"/>
        </w:rPr>
      </w:pPr>
      <w:r>
        <w:rPr>
          <w:rFonts w:ascii="Courier New" w:cs="Courier New" w:eastAsia="Courier New" w:hAnsi="Courier New"/>
          <w:sz w:val="17"/>
          <w:szCs w:val="17"/>
          <w:color w:val="auto"/>
        </w:rPr>
        <w:t>Cash equivalents include short-term, investments with original term to maturity of 90 days or less. Cost approximates fair value.</w:t>
      </w:r>
    </w:p>
    <w:p>
      <w:pPr>
        <w:spacing w:after="0" w:line="199" w:lineRule="exact"/>
        <w:rPr>
          <w:sz w:val="20"/>
          <w:szCs w:val="20"/>
          <w:color w:val="auto"/>
        </w:rPr>
      </w:pPr>
    </w:p>
    <w:p>
      <w:pPr>
        <w:ind w:left="500" w:right="2599"/>
        <w:spacing w:after="0" w:line="236" w:lineRule="auto"/>
        <w:rPr>
          <w:sz w:val="20"/>
          <w:szCs w:val="20"/>
          <w:color w:val="auto"/>
        </w:rPr>
      </w:pPr>
      <w:r>
        <w:rPr>
          <w:rFonts w:ascii="Courier New" w:cs="Courier New" w:eastAsia="Courier New" w:hAnsi="Courier New"/>
          <w:sz w:val="17"/>
          <w:szCs w:val="17"/>
          <w:color w:val="auto"/>
        </w:rPr>
        <w:t>At December 31, 2000, the master trust had investments in the Company's common shares, as follows:</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The Scotts Company Common Shares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FAIR MARKET</w:t>
      </w:r>
    </w:p>
    <w:p>
      <w:pPr>
        <w:ind w:left="400"/>
        <w:spacing w:after="0"/>
        <w:tabs>
          <w:tab w:leader="none" w:pos="2280" w:val="left"/>
        </w:tabs>
        <w:rPr>
          <w:sz w:val="20"/>
          <w:szCs w:val="20"/>
          <w:color w:val="auto"/>
        </w:rPr>
      </w:pP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VALUE</w:t>
      </w:r>
    </w:p>
    <w:p>
      <w:pPr>
        <w:spacing w:after="0" w:line="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ind w:left="800"/>
        <w:spacing w:after="0"/>
        <w:tabs>
          <w:tab w:leader="none" w:pos="2080" w:val="left"/>
        </w:tabs>
        <w:rPr>
          <w:sz w:val="20"/>
          <w:szCs w:val="20"/>
          <w:color w:val="auto"/>
        </w:rPr>
      </w:pPr>
      <w:r>
        <w:rPr>
          <w:rFonts w:ascii="Courier New" w:cs="Courier New" w:eastAsia="Courier New" w:hAnsi="Courier New"/>
          <w:sz w:val="17"/>
          <w:szCs w:val="17"/>
          <w:color w:val="auto"/>
        </w:rPr>
        <w:t>231,148</w:t>
      </w:r>
      <w:r>
        <w:rPr>
          <w:sz w:val="20"/>
          <w:szCs w:val="20"/>
          <w:color w:val="auto"/>
        </w:rPr>
        <w:tab/>
      </w:r>
      <w:r>
        <w:rPr>
          <w:rFonts w:ascii="Courier New" w:cs="Courier New" w:eastAsia="Courier New" w:hAnsi="Courier New"/>
          <w:sz w:val="17"/>
          <w:szCs w:val="17"/>
          <w:color w:val="auto"/>
        </w:rPr>
        <w:t>$ 8,538,029</w:t>
      </w:r>
    </w:p>
    <w:p>
      <w:pPr>
        <w:spacing w:after="0" w:line="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220" w:space="400"/>
            <w:col w:w="5599"/>
          </w:cols>
          <w:pgMar w:left="240" w:top="303" w:right="1440" w:bottom="1440" w:gutter="0" w:footer="0" w:header="0"/>
          <w:type w:val="continuous"/>
        </w:sectPr>
      </w:pPr>
    </w:p>
    <w:p>
      <w:pPr>
        <w:spacing w:after="0" w:line="4" w:lineRule="exact"/>
        <w:rPr>
          <w:sz w:val="20"/>
          <w:szCs w:val="20"/>
          <w:color w:val="auto"/>
        </w:rPr>
      </w:pPr>
    </w:p>
    <w:p>
      <w:pPr>
        <w:ind w:left="500" w:right="2299"/>
        <w:spacing w:after="0" w:line="236" w:lineRule="auto"/>
        <w:rPr>
          <w:sz w:val="20"/>
          <w:szCs w:val="20"/>
          <w:color w:val="auto"/>
        </w:rPr>
      </w:pPr>
      <w:r>
        <w:rPr>
          <w:rFonts w:ascii="Courier New" w:cs="Courier New" w:eastAsia="Courier New" w:hAnsi="Courier New"/>
          <w:sz w:val="17"/>
          <w:szCs w:val="17"/>
          <w:color w:val="auto"/>
        </w:rPr>
        <w:t>The Company's common shares are valued at quoted market prices, which were $36.94 per share at December 31, 2000.</w:t>
      </w:r>
    </w:p>
    <w:p>
      <w:pPr>
        <w:spacing w:after="0" w:line="200" w:lineRule="exact"/>
        <w:rPr>
          <w:sz w:val="20"/>
          <w:szCs w:val="20"/>
          <w:color w:val="auto"/>
        </w:rPr>
      </w:pPr>
    </w:p>
    <w:p>
      <w:pPr>
        <w:spacing w:after="0" w:line="379"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- 8 -</w:t>
      </w:r>
    </w:p>
    <w:p>
      <w:pPr>
        <w:sectPr>
          <w:pgSz w:w="11900" w:h="16838" w:orient="portrait"/>
          <w:cols w:equalWidth="0" w:num="1">
            <w:col w:w="10219"/>
          </w:cols>
          <w:pgMar w:left="240" w:top="303"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 RETIREMENT SAVINGS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rPr>
          <w:sz w:val="20"/>
          <w:szCs w:val="20"/>
          <w:color w:val="auto"/>
        </w:rPr>
      </w:pPr>
      <w:r>
        <w:rPr>
          <w:rFonts w:ascii="Courier New" w:cs="Courier New" w:eastAsia="Courier New" w:hAnsi="Courier New"/>
          <w:sz w:val="17"/>
          <w:szCs w:val="17"/>
          <w:color w:val="auto"/>
        </w:rPr>
        <w:t>DECEMBER 31, 2000 AND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p>
      <w:pPr>
        <w:ind w:left="400" w:hanging="397"/>
        <w:spacing w:after="0"/>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 IN THE SCOTTS COMPANY</w:t>
      </w:r>
    </w:p>
    <w:p>
      <w:pPr>
        <w:spacing w:after="0" w:line="198" w:lineRule="exact"/>
        <w:rPr>
          <w:rFonts w:ascii="Courier New" w:cs="Courier New" w:eastAsia="Courier New" w:hAnsi="Courier New"/>
          <w:sz w:val="17"/>
          <w:szCs w:val="17"/>
          <w:color w:val="auto"/>
        </w:rPr>
      </w:pPr>
    </w:p>
    <w:p>
      <w:pPr>
        <w:ind w:left="400" w:right="27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 December 31, 1999, the Plan had investments in the Company's common shares, as follows:</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Common Shares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FAIR MARKET</w:t>
      </w:r>
    </w:p>
    <w:p>
      <w:pPr>
        <w:ind w:left="400"/>
        <w:spacing w:after="0"/>
        <w:tabs>
          <w:tab w:leader="none" w:pos="2280" w:val="left"/>
        </w:tabs>
        <w:rPr>
          <w:sz w:val="20"/>
          <w:szCs w:val="20"/>
          <w:color w:val="auto"/>
        </w:rPr>
      </w:pP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VALUE</w:t>
      </w:r>
    </w:p>
    <w:p>
      <w:pPr>
        <w:spacing w:after="0"/>
        <w:tabs>
          <w:tab w:leader="none" w:pos="17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ind w:left="800"/>
        <w:spacing w:after="0"/>
        <w:tabs>
          <w:tab w:leader="none" w:pos="2280" w:val="left"/>
        </w:tabs>
        <w:rPr>
          <w:sz w:val="20"/>
          <w:szCs w:val="20"/>
          <w:color w:val="auto"/>
        </w:rPr>
      </w:pPr>
      <w:r>
        <w:rPr>
          <w:rFonts w:ascii="Courier New" w:cs="Courier New" w:eastAsia="Courier New" w:hAnsi="Courier New"/>
          <w:sz w:val="17"/>
          <w:szCs w:val="17"/>
          <w:color w:val="auto"/>
        </w:rPr>
        <w:t>183,889</w:t>
      </w:r>
      <w:r>
        <w:rPr>
          <w:sz w:val="20"/>
          <w:szCs w:val="20"/>
          <w:color w:val="auto"/>
        </w:rPr>
        <w:tab/>
      </w:r>
      <w:r>
        <w:rPr>
          <w:rFonts w:ascii="Courier New" w:cs="Courier New" w:eastAsia="Courier New" w:hAnsi="Courier New"/>
          <w:sz w:val="17"/>
          <w:szCs w:val="17"/>
          <w:color w:val="auto"/>
        </w:rPr>
        <w:t>$7,401,532</w:t>
      </w:r>
    </w:p>
    <w:p>
      <w:pPr>
        <w:spacing w:after="0"/>
        <w:tabs>
          <w:tab w:leader="none" w:pos="17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700" w:space="720"/>
            <w:col w:w="5799"/>
          </w:cols>
          <w:pgMar w:left="240" w:top="303" w:right="1440" w:bottom="1440" w:gutter="0" w:footer="0" w:header="0"/>
          <w:type w:val="continuous"/>
        </w:sectPr>
      </w:pPr>
    </w:p>
    <w:p>
      <w:pPr>
        <w:spacing w:after="0" w:line="191" w:lineRule="exact"/>
        <w:rPr>
          <w:sz w:val="20"/>
          <w:szCs w:val="20"/>
          <w:color w:val="auto"/>
        </w:rPr>
      </w:pPr>
    </w:p>
    <w:p>
      <w:pPr>
        <w:ind w:left="400" w:right="2399"/>
        <w:spacing w:after="0" w:line="236" w:lineRule="auto"/>
        <w:rPr>
          <w:sz w:val="20"/>
          <w:szCs w:val="20"/>
          <w:color w:val="auto"/>
        </w:rPr>
      </w:pPr>
      <w:r>
        <w:rPr>
          <w:rFonts w:ascii="Courier New" w:cs="Courier New" w:eastAsia="Courier New" w:hAnsi="Courier New"/>
          <w:sz w:val="17"/>
          <w:szCs w:val="17"/>
          <w:color w:val="auto"/>
        </w:rPr>
        <w:t>The Company's common shares are valued at quoted market prices, which were $40.25 per share at December 31, 1999.</w:t>
      </w:r>
    </w:p>
    <w:p>
      <w:pPr>
        <w:spacing w:after="0" w:line="194" w:lineRule="exact"/>
        <w:rPr>
          <w:sz w:val="20"/>
          <w:szCs w:val="20"/>
          <w:color w:val="auto"/>
        </w:rPr>
      </w:pPr>
    </w:p>
    <w:p>
      <w:pPr>
        <w:ind w:left="400" w:hanging="397"/>
        <w:spacing w:after="0"/>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STATUS</w:t>
      </w:r>
    </w:p>
    <w:p>
      <w:pPr>
        <w:spacing w:after="0" w:line="198" w:lineRule="exact"/>
        <w:rPr>
          <w:rFonts w:ascii="Courier New" w:cs="Courier New" w:eastAsia="Courier New" w:hAnsi="Courier New"/>
          <w:sz w:val="17"/>
          <w:szCs w:val="17"/>
          <w:color w:val="auto"/>
        </w:rPr>
      </w:pPr>
    </w:p>
    <w:p>
      <w:pPr>
        <w:ind w:left="400" w:right="23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obtained a determination letter on January 28, 1997, in which the Internal Revenue Service stated that the Plan was in compliance with the applicable requirements of the Internal Revenue Code. The Plan has been amended since receiving the determination letter; however, the plan administrator and the Plan's legal counsel believe that the Plan is currently designed and being operated in compliance with the applicable requirements of the Internal Revenue Code, and is therefore not subject to income taxes.</w:t>
      </w:r>
    </w:p>
    <w:p>
      <w:pPr>
        <w:spacing w:after="0" w:line="194"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TERMINATION</w:t>
      </w:r>
    </w:p>
    <w:p>
      <w:pPr>
        <w:spacing w:after="0" w:line="198" w:lineRule="exact"/>
        <w:rPr>
          <w:rFonts w:ascii="Courier New" w:cs="Courier New" w:eastAsia="Courier New" w:hAnsi="Courier New"/>
          <w:sz w:val="17"/>
          <w:szCs w:val="17"/>
          <w:color w:val="auto"/>
        </w:rPr>
      </w:pPr>
    </w:p>
    <w:p>
      <w:pPr>
        <w:ind w:left="4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Although it has not expressed any intent to do so, the Company has the right under the Plan to terminate the Plan or its contributions subject to the provisions of the Employee Retirement Income Security Act of 1974. In the event the Plan is terminated, participants will become fully vested in their accounts.</w:t>
      </w:r>
    </w:p>
    <w:p>
      <w:pPr>
        <w:spacing w:after="0" w:line="200" w:lineRule="exact"/>
        <w:rPr>
          <w:rFonts w:ascii="Courier New" w:cs="Courier New" w:eastAsia="Courier New" w:hAnsi="Courier New"/>
          <w:sz w:val="17"/>
          <w:szCs w:val="17"/>
          <w:color w:val="auto"/>
        </w:rPr>
      </w:pPr>
    </w:p>
    <w:p>
      <w:pPr>
        <w:spacing w:after="0" w:line="381" w:lineRule="exact"/>
        <w:rPr>
          <w:rFonts w:ascii="Courier New" w:cs="Courier New" w:eastAsia="Courier New" w:hAnsi="Courier New"/>
          <w:sz w:val="17"/>
          <w:szCs w:val="17"/>
          <w:color w:val="auto"/>
        </w:rPr>
      </w:pPr>
    </w:p>
    <w:p>
      <w:pPr>
        <w:ind w:left="3920" w:hanging="209"/>
        <w:spacing w:after="0"/>
        <w:tabs>
          <w:tab w:leader="none" w:pos="392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9 -</w:t>
      </w:r>
    </w:p>
    <w:p>
      <w:pPr>
        <w:sectPr>
          <w:pgSz w:w="11900" w:h="16838" w:orient="portrait"/>
          <w:cols w:equalWidth="0" w:num="1">
            <w:col w:w="10219"/>
          </w:cols>
          <w:pgMar w:left="240" w:top="303"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 RETIREMENT SAVINGS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rPr>
          <w:sz w:val="20"/>
          <w:szCs w:val="20"/>
          <w:color w:val="auto"/>
        </w:rPr>
      </w:pPr>
      <w:r>
        <w:rPr>
          <w:rFonts w:ascii="Courier New" w:cs="Courier New" w:eastAsia="Courier New" w:hAnsi="Courier New"/>
          <w:sz w:val="17"/>
          <w:szCs w:val="17"/>
          <w:color w:val="auto"/>
        </w:rPr>
        <w:t>DECEMBER 31, 2000 AND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p>
      <w:pPr>
        <w:ind w:left="400" w:hanging="397"/>
        <w:spacing w:after="0"/>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RECONCILIATION TO FORM 5500</w:t>
      </w:r>
    </w:p>
    <w:p>
      <w:pPr>
        <w:spacing w:after="0" w:line="198" w:lineRule="exact"/>
        <w:rPr>
          <w:rFonts w:ascii="Courier New" w:cs="Courier New" w:eastAsia="Courier New" w:hAnsi="Courier New"/>
          <w:sz w:val="17"/>
          <w:szCs w:val="17"/>
          <w:color w:val="auto"/>
        </w:rPr>
      </w:pPr>
    </w:p>
    <w:p>
      <w:pPr>
        <w:ind w:left="400" w:right="23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is a reconciliation of net assets available for benefits per the financial statements to the Form 5500:</w:t>
      </w:r>
    </w:p>
    <w:p>
      <w:pPr>
        <w:sectPr>
          <w:pgSz w:w="11900" w:h="16838" w:orient="portrait"/>
          <w:cols w:equalWidth="0" w:num="1">
            <w:col w:w="10219"/>
          </w:cols>
          <w:pgMar w:left="240" w:top="303" w:right="1440" w:bottom="1440" w:gutter="0" w:footer="0" w:header="0"/>
        </w:sectPr>
      </w:pPr>
    </w:p>
    <w:p>
      <w:pPr>
        <w:spacing w:after="0" w:line="194" w:lineRule="exact"/>
        <w:rPr>
          <w:sz w:val="20"/>
          <w:szCs w:val="20"/>
          <w:color w:val="auto"/>
        </w:rPr>
      </w:pPr>
    </w:p>
    <w:p>
      <w:pPr>
        <w:ind w:left="5120"/>
        <w:spacing w:after="0"/>
        <w:rPr>
          <w:sz w:val="20"/>
          <w:szCs w:val="20"/>
          <w:color w:val="auto"/>
        </w:rPr>
      </w:pPr>
      <w:r>
        <w:rPr>
          <w:rFonts w:ascii="Courier New" w:cs="Courier New" w:eastAsia="Courier New" w:hAnsi="Courier New"/>
          <w:sz w:val="17"/>
          <w:szCs w:val="17"/>
          <w:color w:val="auto"/>
        </w:rPr>
        <w:t>YEAR ENDED</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DECEMBER 31,</w:t>
      </w:r>
    </w:p>
    <w:p>
      <w:pPr>
        <w:spacing w:after="0" w:line="6"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2000</w:t>
      </w:r>
    </w:p>
    <w:p>
      <w:pPr>
        <w:spacing w:after="0" w:line="6"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 ENDED</w:t>
      </w:r>
    </w:p>
    <w:p>
      <w:pPr>
        <w:spacing w:after="0"/>
        <w:rPr>
          <w:sz w:val="20"/>
          <w:szCs w:val="20"/>
          <w:color w:val="auto"/>
        </w:rPr>
      </w:pPr>
      <w:r>
        <w:rPr>
          <w:rFonts w:ascii="Courier New" w:cs="Courier New" w:eastAsia="Courier New" w:hAnsi="Courier New"/>
          <w:sz w:val="17"/>
          <w:szCs w:val="17"/>
          <w:color w:val="auto"/>
        </w:rPr>
        <w:t>DECEMBER 31,</w:t>
      </w:r>
    </w:p>
    <w:p>
      <w:pPr>
        <w:ind w:left="300"/>
        <w:spacing w:after="0"/>
        <w:rPr>
          <w:sz w:val="20"/>
          <w:szCs w:val="20"/>
          <w:color w:val="auto"/>
        </w:rPr>
      </w:pPr>
      <w:r>
        <w:rPr>
          <w:rFonts w:ascii="Courier New" w:cs="Courier New" w:eastAsia="Courier New" w:hAnsi="Courier New"/>
          <w:sz w:val="17"/>
          <w:szCs w:val="17"/>
          <w:color w:val="auto"/>
        </w:rPr>
        <w:t>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20" w:space="300"/>
            <w:col w:w="3599"/>
          </w:cols>
          <w:pgMar w:left="240" w:top="303" w:right="1440" w:bottom="1440" w:gutter="0" w:footer="0" w:header="0"/>
          <w:type w:val="continuous"/>
        </w:sectPr>
      </w:pPr>
    </w:p>
    <w:p>
      <w:pPr>
        <w:spacing w:after="0" w:line="4"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Net assets available for benefits per</w:t>
      </w:r>
    </w:p>
    <w:p>
      <w:pPr>
        <w:sectPr>
          <w:pgSz w:w="11900" w:h="16838" w:orient="portrait"/>
          <w:cols w:equalWidth="0" w:num="1">
            <w:col w:w="10219"/>
          </w:cols>
          <w:pgMar w:left="240" w:top="303" w:right="1440" w:bottom="1440" w:gutter="0" w:footer="0" w:header="0"/>
          <w:type w:val="continuous"/>
        </w:sectPr>
      </w:pP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$ 146,799,565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$ 145,798,190</w:t>
      </w:r>
    </w:p>
    <w:p>
      <w:pPr>
        <w:spacing w:after="0" w:line="11" w:lineRule="exact"/>
        <w:rPr>
          <w:sz w:val="20"/>
          <w:szCs w:val="20"/>
          <w:color w:val="auto"/>
        </w:rPr>
      </w:pPr>
    </w:p>
    <w:p>
      <w:pPr>
        <w:sectPr>
          <w:pgSz w:w="11900" w:h="16838" w:orient="portrait"/>
          <w:cols w:equalWidth="0" w:num="3">
            <w:col w:w="4300" w:space="720"/>
            <w:col w:w="1300" w:space="300"/>
            <w:col w:w="3599"/>
          </w:cols>
          <w:pgMar w:left="240" w:top="303" w:right="1440" w:bottom="1440" w:gutter="0" w:footer="0" w:header="0"/>
          <w:type w:val="continuous"/>
        </w:sectPr>
      </w:pPr>
    </w:p>
    <w:p>
      <w:pPr>
        <w:ind w:left="1000"/>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303" w:right="1440" w:bottom="1440" w:gutter="0" w:footer="0" w:header="0"/>
          <w:type w:val="continuous"/>
        </w:sectPr>
      </w:pP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participants</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6"/>
          <w:szCs w:val="16"/>
          <w:color w:val="auto"/>
        </w:rPr>
        <w:t>(50,607)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6"/>
          <w:szCs w:val="16"/>
          <w:color w:val="auto"/>
        </w:rPr>
        <w:t>(337,505)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ectPr>
          <w:pgSz w:w="11900" w:h="16838" w:orient="portrait"/>
          <w:cols w:equalWidth="0" w:num="3">
            <w:col w:w="4300" w:space="720"/>
            <w:col w:w="1400" w:space="200"/>
            <w:col w:w="3599"/>
          </w:cols>
          <w:pgMar w:left="240" w:top="303" w:right="1440" w:bottom="1440" w:gutter="0" w:footer="0" w:header="0"/>
          <w:type w:val="continuous"/>
        </w:sectPr>
      </w:pPr>
    </w:p>
    <w:p>
      <w:pPr>
        <w:ind w:left="1000"/>
        <w:spacing w:after="0"/>
        <w:rPr>
          <w:sz w:val="20"/>
          <w:szCs w:val="20"/>
          <w:color w:val="auto"/>
        </w:rPr>
      </w:pPr>
      <w:r>
        <w:rPr>
          <w:rFonts w:ascii="Courier New" w:cs="Courier New" w:eastAsia="Courier New" w:hAnsi="Courier New"/>
          <w:sz w:val="16"/>
          <w:szCs w:val="16"/>
          <w:color w:val="auto"/>
        </w:rPr>
        <w:t>Net assets available for benefits</w:t>
      </w:r>
    </w:p>
    <w:p>
      <w:pPr>
        <w:sectPr>
          <w:pgSz w:w="11900" w:h="16838" w:orient="portrait"/>
          <w:cols w:equalWidth="0" w:num="1">
            <w:col w:w="10219"/>
          </w:cols>
          <w:pgMar w:left="240" w:top="303" w:right="1440" w:bottom="1440" w:gutter="0" w:footer="0" w:header="0"/>
          <w:type w:val="continuous"/>
        </w:sectPr>
      </w:pP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per Form 5500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$ 146,748,958</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$ 145,460,685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300" w:space="720"/>
            <w:col w:w="1300" w:space="300"/>
            <w:col w:w="3599"/>
          </w:cols>
          <w:pgMar w:left="240" w:top="303" w:right="1440" w:bottom="1440" w:gutter="0" w:footer="0" w:header="0"/>
          <w:type w:val="continuous"/>
        </w:sectPr>
      </w:pPr>
    </w:p>
    <w:p>
      <w:pPr>
        <w:spacing w:after="0" w:line="4" w:lineRule="exact"/>
        <w:rPr>
          <w:sz w:val="20"/>
          <w:szCs w:val="20"/>
          <w:color w:val="auto"/>
        </w:rPr>
      </w:pPr>
    </w:p>
    <w:p>
      <w:pPr>
        <w:ind w:left="400" w:right="2399"/>
        <w:spacing w:after="0" w:line="236" w:lineRule="auto"/>
        <w:rPr>
          <w:sz w:val="20"/>
          <w:szCs w:val="20"/>
          <w:color w:val="auto"/>
        </w:rPr>
      </w:pPr>
      <w:r>
        <w:rPr>
          <w:rFonts w:ascii="Courier New" w:cs="Courier New" w:eastAsia="Courier New" w:hAnsi="Courier New"/>
          <w:sz w:val="17"/>
          <w:szCs w:val="17"/>
          <w:color w:val="auto"/>
        </w:rPr>
        <w:t>The following is a reconciliation of benefits paid to participants per the financial statements to the Form 5500:</w:t>
      </w:r>
    </w:p>
    <w:p>
      <w:pPr>
        <w:sectPr>
          <w:pgSz w:w="11900" w:h="16838" w:orient="portrait"/>
          <w:cols w:equalWidth="0" w:num="1">
            <w:col w:w="10219"/>
          </w:cols>
          <w:pgMar w:left="240" w:top="303" w:right="1440" w:bottom="1440" w:gutter="0" w:footer="0" w:header="0"/>
          <w:type w:val="continuous"/>
        </w:sectPr>
      </w:pPr>
    </w:p>
    <w:p>
      <w:pPr>
        <w:spacing w:after="0" w:line="194" w:lineRule="exact"/>
        <w:rPr>
          <w:sz w:val="20"/>
          <w:szCs w:val="20"/>
          <w:color w:val="auto"/>
        </w:rPr>
      </w:pPr>
    </w:p>
    <w:p>
      <w:pPr>
        <w:ind w:left="5220"/>
        <w:spacing w:after="0"/>
        <w:rPr>
          <w:sz w:val="20"/>
          <w:szCs w:val="20"/>
          <w:color w:val="auto"/>
        </w:rPr>
      </w:pPr>
      <w:r>
        <w:rPr>
          <w:rFonts w:ascii="Courier New" w:cs="Courier New" w:eastAsia="Courier New" w:hAnsi="Courier New"/>
          <w:sz w:val="17"/>
          <w:szCs w:val="17"/>
          <w:color w:val="auto"/>
        </w:rPr>
        <w:t>YEAR ENDED</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DECEMBER 31,</w:t>
      </w:r>
    </w:p>
    <w:p>
      <w:pPr>
        <w:spacing w:after="0" w:line="6"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2000</w:t>
      </w:r>
    </w:p>
    <w:p>
      <w:pPr>
        <w:ind w:left="50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 ENDED</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DECEMBER 31,</w:t>
      </w: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3" w:lineRule="exact"/>
        <w:rPr>
          <w:sz w:val="20"/>
          <w:szCs w:val="20"/>
          <w:color w:val="auto"/>
        </w:rPr>
      </w:pPr>
    </w:p>
    <w:p>
      <w:pPr>
        <w:sectPr>
          <w:pgSz w:w="11900" w:h="16838" w:orient="portrait"/>
          <w:cols w:equalWidth="0" w:num="2">
            <w:col w:w="6320" w:space="300"/>
            <w:col w:w="3599"/>
          </w:cols>
          <w:pgMar w:left="240" w:top="303" w:right="1440" w:bottom="1440" w:gutter="0" w:footer="0" w:header="0"/>
          <w:type w:val="continuous"/>
        </w:sectPr>
      </w:pPr>
    </w:p>
    <w:p>
      <w:pPr>
        <w:ind w:left="1000"/>
        <w:spacing w:after="0"/>
        <w:rPr>
          <w:sz w:val="20"/>
          <w:szCs w:val="20"/>
          <w:color w:val="auto"/>
        </w:rPr>
      </w:pPr>
      <w:r>
        <w:rPr>
          <w:rFonts w:ascii="Courier New" w:cs="Courier New" w:eastAsia="Courier New" w:hAnsi="Courier New"/>
          <w:sz w:val="16"/>
          <w:szCs w:val="16"/>
          <w:color w:val="auto"/>
        </w:rPr>
        <w:t>Benefits paid to participants per</w:t>
      </w:r>
    </w:p>
    <w:p>
      <w:pPr>
        <w:sectPr>
          <w:pgSz w:w="11900" w:h="16838" w:orient="portrait"/>
          <w:cols w:equalWidth="0" w:num="1">
            <w:col w:w="10219"/>
          </w:cols>
          <w:pgMar w:left="240" w:top="303" w:right="1440" w:bottom="1440" w:gutter="0" w:footer="0" w:header="0"/>
          <w:type w:val="continuous"/>
        </w:sectPr>
      </w:pP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$ 13,165,482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$ 11,503,900</w:t>
      </w:r>
    </w:p>
    <w:p>
      <w:pPr>
        <w:spacing w:after="0" w:line="11" w:lineRule="exact"/>
        <w:rPr>
          <w:sz w:val="20"/>
          <w:szCs w:val="20"/>
          <w:color w:val="auto"/>
        </w:rPr>
      </w:pPr>
    </w:p>
    <w:p>
      <w:pPr>
        <w:sectPr>
          <w:pgSz w:w="11900" w:h="16838" w:orient="portrait"/>
          <w:cols w:equalWidth="0" w:num="3">
            <w:col w:w="4300" w:space="720"/>
            <w:col w:w="1200" w:space="400"/>
            <w:col w:w="3599"/>
          </w:cols>
          <w:pgMar w:left="240" w:top="303" w:right="1440" w:bottom="1440" w:gutter="0" w:footer="0" w:header="0"/>
          <w:type w:val="continuous"/>
        </w:sectPr>
      </w:pPr>
    </w:p>
    <w:p>
      <w:pPr>
        <w:ind w:left="1000"/>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303" w:right="1440" w:bottom="1440" w:gutter="0" w:footer="0" w:header="0"/>
          <w:type w:val="continuous"/>
        </w:sectPr>
      </w:pP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participants at December 31,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50,607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ectPr>
          <w:pgSz w:w="11900" w:h="16838" w:orient="portrait"/>
          <w:cols w:equalWidth="0" w:num="3">
            <w:col w:w="4900" w:space="720"/>
            <w:col w:w="1380" w:space="720"/>
            <w:col w:w="2499"/>
          </w:cols>
          <w:pgMar w:left="240" w:top="303" w:right="1440" w:bottom="1440" w:gutter="0" w:footer="0" w:header="0"/>
          <w:type w:val="continuous"/>
        </w:sectPr>
      </w:pPr>
    </w:p>
    <w:p>
      <w:pPr>
        <w:ind w:left="1000"/>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303" w:right="1440" w:bottom="1440" w:gutter="0" w:footer="0" w:header="0"/>
          <w:type w:val="continuous"/>
        </w:sectPr>
      </w:pP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participants at December 31, 1999</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6"/>
          <w:szCs w:val="16"/>
          <w:color w:val="auto"/>
        </w:rPr>
        <w:t>(337,505)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right"/>
        <w:ind w:right="2399"/>
        <w:spacing w:after="0"/>
        <w:rPr>
          <w:sz w:val="20"/>
          <w:szCs w:val="20"/>
          <w:color w:val="auto"/>
        </w:rPr>
      </w:pPr>
      <w:r>
        <w:rPr>
          <w:rFonts w:ascii="Courier New" w:cs="Courier New" w:eastAsia="Courier New" w:hAnsi="Courier New"/>
          <w:sz w:val="17"/>
          <w:szCs w:val="17"/>
          <w:color w:val="auto"/>
        </w:rPr>
        <w:t>337,505</w:t>
      </w:r>
    </w:p>
    <w:p>
      <w:pPr>
        <w:spacing w:after="0" w:line="6"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ectPr>
          <w:pgSz w:w="11900" w:h="16838" w:orient="portrait"/>
          <w:cols w:equalWidth="0" w:num="3">
            <w:col w:w="4720" w:space="300"/>
            <w:col w:w="1300" w:space="300"/>
            <w:col w:w="3599"/>
          </w:cols>
          <w:pgMar w:left="240" w:top="303" w:right="1440" w:bottom="1440" w:gutter="0" w:footer="0" w:header="0"/>
          <w:type w:val="continuous"/>
        </w:sectPr>
      </w:pPr>
    </w:p>
    <w:p>
      <w:pPr>
        <w:ind w:left="1000"/>
        <w:spacing w:after="0"/>
        <w:rPr>
          <w:sz w:val="20"/>
          <w:szCs w:val="20"/>
          <w:color w:val="auto"/>
        </w:rPr>
      </w:pPr>
      <w:r>
        <w:rPr>
          <w:rFonts w:ascii="Courier New" w:cs="Courier New" w:eastAsia="Courier New" w:hAnsi="Courier New"/>
          <w:sz w:val="16"/>
          <w:szCs w:val="16"/>
          <w:color w:val="auto"/>
        </w:rPr>
        <w:t>Benefits paid to participants per</w:t>
      </w:r>
    </w:p>
    <w:p>
      <w:pPr>
        <w:sectPr>
          <w:pgSz w:w="11900" w:h="16838" w:orient="portrait"/>
          <w:cols w:equalWidth="0" w:num="1">
            <w:col w:w="10219"/>
          </w:cols>
          <w:pgMar w:left="240" w:top="303" w:right="1440" w:bottom="1440" w:gutter="0" w:footer="0" w:header="0"/>
          <w:type w:val="continuous"/>
        </w:sectPr>
      </w:pP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the Form 5500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$ 12,878,584</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$ 11,841,405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300" w:space="720"/>
            <w:col w:w="1200" w:space="400"/>
            <w:col w:w="3599"/>
          </w:cols>
          <w:pgMar w:left="240" w:top="303" w:right="1440" w:bottom="1440" w:gutter="0" w:footer="0" w:header="0"/>
          <w:type w:val="continuous"/>
        </w:sectPr>
      </w:pPr>
    </w:p>
    <w:p>
      <w:pPr>
        <w:spacing w:after="0" w:line="39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- 10 -</w:t>
      </w:r>
    </w:p>
    <w:p>
      <w:pPr>
        <w:sectPr>
          <w:pgSz w:w="11900" w:h="16838" w:orient="portrait"/>
          <w:cols w:equalWidth="0" w:num="1">
            <w:col w:w="10219"/>
          </w:cols>
          <w:pgMar w:left="240" w:top="303"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spacing w:after="0" w:line="386"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391"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THE SCOTTS COMPANY RETIREMENT</w:t>
      </w:r>
    </w:p>
    <w:p>
      <w:pPr>
        <w:ind w:left="4020"/>
        <w:spacing w:after="0"/>
        <w:rPr>
          <w:sz w:val="20"/>
          <w:szCs w:val="20"/>
          <w:color w:val="auto"/>
        </w:rPr>
      </w:pPr>
      <w:r>
        <w:rPr>
          <w:rFonts w:ascii="Courier New" w:cs="Courier New" w:eastAsia="Courier New" w:hAnsi="Courier New"/>
          <w:sz w:val="17"/>
          <w:szCs w:val="17"/>
          <w:color w:val="auto"/>
        </w:rPr>
        <w:t>SAVINGS PLAN</w:t>
      </w:r>
    </w:p>
    <w:p>
      <w:pPr>
        <w:spacing w:after="0" w:line="386"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7"/>
          <w:szCs w:val="17"/>
          <w:color w:val="auto"/>
        </w:rPr>
        <w:t>Date: June 28, 2001</w:t>
      </w:r>
      <w:r>
        <w:rPr>
          <w:sz w:val="20"/>
          <w:szCs w:val="20"/>
          <w:color w:val="auto"/>
        </w:rPr>
        <w:tab/>
      </w:r>
      <w:r>
        <w:rPr>
          <w:rFonts w:ascii="Courier New" w:cs="Courier New" w:eastAsia="Courier New" w:hAnsi="Courier New"/>
          <w:sz w:val="16"/>
          <w:szCs w:val="16"/>
          <w:color w:val="auto"/>
        </w:rPr>
        <w:t>By: /s/ Hadia Lefavre</w:t>
      </w:r>
    </w:p>
    <w:p>
      <w:pPr>
        <w:spacing w:after="0" w:line="19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Printed Name: Hadia Lefavre</w:t>
      </w:r>
    </w:p>
    <w:p>
      <w:pPr>
        <w:spacing w:after="0" w:line="193"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7"/>
          <w:szCs w:val="17"/>
          <w:color w:val="auto"/>
        </w:rPr>
        <w:t>Title: Executive Vice President,</w:t>
      </w:r>
    </w:p>
    <w:p>
      <w:pPr>
        <w:jc w:val="right"/>
        <w:ind w:right="2999"/>
        <w:spacing w:after="0"/>
        <w:rPr>
          <w:sz w:val="20"/>
          <w:szCs w:val="20"/>
          <w:color w:val="auto"/>
        </w:rPr>
      </w:pPr>
      <w:r>
        <w:rPr>
          <w:rFonts w:ascii="Courier New" w:cs="Courier New" w:eastAsia="Courier New" w:hAnsi="Courier New"/>
          <w:sz w:val="17"/>
          <w:szCs w:val="17"/>
          <w:color w:val="auto"/>
        </w:rPr>
        <w:t>Human Resources Worldwide</w:t>
      </w:r>
    </w:p>
    <w:p>
      <w:pPr>
        <w:sectPr>
          <w:pgSz w:w="11900" w:h="16838" w:orient="portrait"/>
          <w:cols w:equalWidth="0" w:num="1">
            <w:col w:w="10219"/>
          </w:cols>
          <w:pgMar w:left="240" w:top="303"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14</w:t>
      </w:r>
    </w:p>
    <w:p>
      <w:pPr>
        <w:spacing w:after="0" w:line="39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THE SCOTTS COMPANY RETIREMENT SAVINGS PLAN</w:t>
      </w:r>
    </w:p>
    <w:p>
      <w:pPr>
        <w:spacing w:after="0" w:line="6"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ANNUAL REPORT ON FORM 11-K</w:t>
      </w:r>
    </w:p>
    <w:p>
      <w:pPr>
        <w:ind w:left="2000"/>
        <w:spacing w:after="0"/>
        <w:rPr>
          <w:sz w:val="20"/>
          <w:szCs w:val="20"/>
          <w:color w:val="auto"/>
        </w:rPr>
      </w:pPr>
      <w:r>
        <w:rPr>
          <w:rFonts w:ascii="Courier New" w:cs="Courier New" w:eastAsia="Courier New" w:hAnsi="Courier New"/>
          <w:sz w:val="17"/>
          <w:szCs w:val="17"/>
          <w:color w:val="auto"/>
        </w:rPr>
        <w:t>FOR FISCAL YEAR ENDED DECEMBER 31, 2000</w:t>
      </w:r>
    </w:p>
    <w:p>
      <w:pPr>
        <w:spacing w:after="0" w:line="386"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INDEX TO EXHIBITS</w:t>
      </w:r>
    </w:p>
    <w:p>
      <w:pPr>
        <w:sectPr>
          <w:pgSz w:w="11900" w:h="16838" w:orient="portrait"/>
          <w:cols w:equalWidth="0" w:num="1">
            <w:col w:w="10219"/>
          </w:cols>
          <w:pgMar w:left="240" w:top="303" w:right="1440" w:bottom="1440" w:gutter="0" w:footer="0" w:header="0"/>
        </w:sectPr>
      </w:pPr>
    </w:p>
    <w:p>
      <w:pPr>
        <w:spacing w:after="0" w:line="391" w:lineRule="exact"/>
        <w:rPr>
          <w:sz w:val="20"/>
          <w:szCs w:val="20"/>
          <w:color w:val="auto"/>
        </w:rPr>
      </w:pPr>
    </w:p>
    <w:p>
      <w:pPr>
        <w:ind w:right="180"/>
        <w:spacing w:after="0" w:line="262"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3" w:lineRule="exact"/>
        <w:rPr>
          <w:sz w:val="20"/>
          <w:szCs w:val="20"/>
          <w:color w:val="auto"/>
        </w:rPr>
      </w:pPr>
    </w:p>
    <w:p>
      <w:pPr>
        <w:sectPr>
          <w:pgSz w:w="11900" w:h="16838" w:orient="portrait"/>
          <w:cols w:equalWidth="0" w:num="2">
            <w:col w:w="1480" w:space="720"/>
            <w:col w:w="8019"/>
          </w:cols>
          <w:pgMar w:left="240" w:top="303"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Independent Public Accountants</w:t>
      </w:r>
    </w:p>
    <w:p>
      <w:pPr>
        <w:sectPr>
          <w:pgSz w:w="11900" w:h="16838" w:orient="portrait"/>
          <w:cols w:equalWidth="0" w:num="2">
            <w:col w:w="1480" w:space="720"/>
            <w:col w:w="8019"/>
          </w:cols>
          <w:pgMar w:left="240" w:top="303"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w:t>
      </w:r>
    </w:p>
    <w:p>
      <w:pPr>
        <w:spacing w:after="0" w:line="193" w:lineRule="exact"/>
        <w:rPr>
          <w:sz w:val="20"/>
          <w:szCs w:val="20"/>
          <w:color w:val="auto"/>
        </w:rPr>
      </w:pPr>
    </w:p>
    <w:p>
      <w:pPr>
        <w:ind w:left="6520"/>
        <w:spacing w:after="0"/>
        <w:rPr>
          <w:sz w:val="20"/>
          <w:szCs w:val="20"/>
          <w:color w:val="auto"/>
        </w:rPr>
      </w:pPr>
      <w:r>
        <w:rPr>
          <w:rFonts w:ascii="Courier New" w:cs="Courier New" w:eastAsia="Courier New" w:hAnsi="Courier New"/>
          <w:sz w:val="17"/>
          <w:szCs w:val="17"/>
          <w:color w:val="auto"/>
        </w:rPr>
        <w:t>Exhibit 23</w:t>
      </w:r>
    </w:p>
    <w:p>
      <w:pPr>
        <w:spacing w:after="0" w:line="200" w:lineRule="exact"/>
        <w:rPr>
          <w:sz w:val="20"/>
          <w:szCs w:val="20"/>
          <w:color w:val="auto"/>
        </w:rPr>
      </w:pPr>
    </w:p>
    <w:p>
      <w:pPr>
        <w:spacing w:after="0" w:line="378"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CONSENT OF INDEPENDENT ACCOUNTANTS</w:t>
      </w:r>
    </w:p>
    <w:p>
      <w:pPr>
        <w:ind w:left="23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We hereby consent to the incorporation by reference in the Registration Statement on Form S-8 (File No. 33-47073) of The Scotts Company of our report dated April 20, 2001 relating to the financial statements of The Scotts Company Retirement Savings Plan, which appears in this Form 11-K.</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PricewaterhouseCoopers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Columbus, Ohio</w:t>
      </w:r>
    </w:p>
    <w:p>
      <w:pPr>
        <w:spacing w:after="0"/>
        <w:rPr>
          <w:sz w:val="20"/>
          <w:szCs w:val="20"/>
          <w:color w:val="auto"/>
        </w:rPr>
      </w:pPr>
      <w:r>
        <w:rPr>
          <w:rFonts w:ascii="Courier New" w:cs="Courier New" w:eastAsia="Courier New" w:hAnsi="Courier New"/>
          <w:sz w:val="17"/>
          <w:szCs w:val="17"/>
          <w:color w:val="auto"/>
        </w:rPr>
        <w:t>June 28, 2001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lvl w:ilvl="1">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decimal"/>
      <w:start w:val="5"/>
    </w:lvl>
    <w:lvl w:ilvl="1">
      <w:lvlJc w:val="left"/>
      <w:lvlText w:val="-"/>
      <w:numFmt w:val="bullet"/>
      <w:start w:val="1"/>
    </w:lvl>
  </w:abstractNum>
  <w:abstractNum w:abstractNumId="10">
    <w:nsid w:val="1F16E9E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2019-12-20T06:16:01Z</dcterms:created>
  <dcterms:modified xsi:type="dcterms:W3CDTF">2019-12-20T06:16:01Z</dcterms:modified>
</cp:coreProperties>
</file>