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3999"/>
        <w:spacing w:after="0" w:line="293"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72" w:lineRule="exact"/>
        <w:rPr>
          <w:sz w:val="24"/>
          <w:szCs w:val="24"/>
          <w:color w:val="auto"/>
        </w:rPr>
      </w:pPr>
    </w:p>
    <w:p>
      <w:pPr>
        <w:ind w:right="399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90" w:lineRule="exact"/>
        <w:rPr>
          <w:sz w:val="24"/>
          <w:szCs w:val="24"/>
          <w:color w:val="auto"/>
        </w:rPr>
      </w:pPr>
    </w:p>
    <w:p>
      <w:pPr>
        <w:ind w:right="3899"/>
        <w:spacing w:after="0" w:line="260"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Exhange Act of 1934 (Act) or otherwise subject to the liabilities of that section of the Act but shall be subject to all other provisions of the Act (however, see the Notes).</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Page 1 of</w:t>
            </w:r>
          </w:p>
        </w:tc>
        <w:tc>
          <w:tcPr>
            <w:tcW w:w="20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6 Pages</w:t>
            </w:r>
          </w:p>
        </w:tc>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0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810186106</w:t>
            </w:r>
          </w:p>
        </w:tc>
        <w:tc>
          <w:tcPr>
            <w:tcW w:w="104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w w:val="95"/>
              </w:rPr>
              <w:t>Page 2 of 6 Pages</w:t>
            </w: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4"/>
          <w:szCs w:val="24"/>
          <w:color w:val="auto"/>
        </w:rPr>
      </w:pPr>
    </w:p>
    <w:p>
      <w:pPr>
        <w:ind w:left="740" w:right="3899" w:hanging="732"/>
        <w:spacing w:after="0" w:line="309"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5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ICM ASSET MANAGEMENT, INC.</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91-1150802</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w:t>
      </w:r>
    </w:p>
    <w:p>
      <w:pPr>
        <w:spacing w:after="0" w:line="201" w:lineRule="exact"/>
        <w:rPr>
          <w:sz w:val="24"/>
          <w:szCs w:val="24"/>
          <w:color w:val="auto"/>
        </w:rPr>
      </w:pPr>
    </w:p>
    <w:p>
      <w:pPr>
        <w:ind w:left="3060" w:hanging="523"/>
        <w:spacing w:after="0"/>
        <w:tabs>
          <w:tab w:leader="none" w:pos="3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740" w:hanging="7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WASHINGTON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9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9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457,383</w:t>
            </w:r>
          </w:p>
        </w:tc>
        <w:tc>
          <w:tcPr>
            <w:tcW w:w="0" w:type="dxa"/>
            <w:vAlign w:val="bottom"/>
          </w:tcPr>
          <w:p>
            <w:pPr>
              <w:spacing w:after="0"/>
              <w:rPr>
                <w:sz w:val="1"/>
                <w:szCs w:val="1"/>
                <w:color w:val="auto"/>
              </w:rPr>
            </w:pP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70"/>
              </w:rPr>
              <w:t>SHARED</w:t>
            </w:r>
            <w:r>
              <w:rPr>
                <w:rFonts w:ascii="Courier New" w:cs="Courier New" w:eastAsia="Courier New" w:hAnsi="Courier New"/>
                <w:sz w:val="30"/>
                <w:szCs w:val="30"/>
                <w:color w:val="auto"/>
                <w:w w:val="70"/>
                <w:vertAlign w:val="superscript"/>
              </w:rPr>
              <w:t>----------------</w:t>
            </w:r>
            <w:r>
              <w:rPr>
                <w:rFonts w:ascii="Courier New" w:cs="Courier New" w:eastAsia="Courier New" w:hAnsi="Courier New"/>
                <w:sz w:val="16"/>
                <w:szCs w:val="16"/>
                <w:color w:val="auto"/>
                <w:w w:val="70"/>
              </w:rPr>
              <w:t>VOTINGPOWER</w:t>
            </w: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58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SOLE</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4"/>
                <w:szCs w:val="14"/>
                <w:color w:val="auto"/>
                <w:w w:val="70"/>
              </w:rPr>
              <w:t>DISPOSITIVEPOWER</w:t>
            </w:r>
          </w:p>
        </w:tc>
        <w:tc>
          <w:tcPr>
            <w:tcW w:w="0" w:type="dxa"/>
            <w:vAlign w:val="bottom"/>
          </w:tcPr>
          <w:p>
            <w:pPr>
              <w:spacing w:after="0"/>
              <w:rPr>
                <w:sz w:val="1"/>
                <w:szCs w:val="1"/>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619,216</w:t>
            </w:r>
          </w:p>
        </w:tc>
        <w:tc>
          <w:tcPr>
            <w:tcW w:w="0" w:type="dxa"/>
            <w:vAlign w:val="bottom"/>
          </w:tcPr>
          <w:p>
            <w:pPr>
              <w:spacing w:after="0"/>
              <w:rPr>
                <w:sz w:val="1"/>
                <w:szCs w:val="1"/>
                <w:color w:val="auto"/>
              </w:rPr>
            </w:pPr>
          </w:p>
        </w:tc>
      </w:tr>
      <w:tr>
        <w:trPr>
          <w:trHeight w:val="296"/>
        </w:trPr>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rPr>
              <w:t>WITH</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vMerge w:val="restart"/>
          </w:tcPr>
          <w:p>
            <w:pPr>
              <w:ind w:left="40"/>
              <w:spacing w:after="0"/>
              <w:rPr>
                <w:sz w:val="20"/>
                <w:szCs w:val="20"/>
                <w:color w:val="auto"/>
              </w:rPr>
            </w:pPr>
            <w:r>
              <w:rPr>
                <w:rFonts w:ascii="Courier New" w:cs="Courier New" w:eastAsia="Courier New" w:hAnsi="Courier New"/>
                <w:sz w:val="21"/>
                <w:szCs w:val="21"/>
                <w:color w:val="auto"/>
                <w:w w:val="70"/>
                <w:vertAlign w:val="subscript"/>
              </w:rPr>
              <w:t>SHARED</w:t>
            </w: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bscript"/>
              </w:rPr>
              <w:t>DISPOSITIVEPOWER</w:t>
            </w:r>
          </w:p>
        </w:tc>
        <w:tc>
          <w:tcPr>
            <w:tcW w:w="0" w:type="dxa"/>
            <w:vAlign w:val="bottom"/>
          </w:tcPr>
          <w:p>
            <w:pPr>
              <w:spacing w:after="0"/>
              <w:rPr>
                <w:sz w:val="1"/>
                <w:szCs w:val="1"/>
                <w:color w:val="auto"/>
              </w:rPr>
            </w:pPr>
          </w:p>
        </w:tc>
      </w:tr>
      <w:tr>
        <w:trPr>
          <w:trHeight w:val="219"/>
        </w:trPr>
        <w:tc>
          <w:tcPr>
            <w:tcW w:w="19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938" w:orient="portrait"/>
          <w:cols w:equalWidth="0" w:num="1">
            <w:col w:w="10219"/>
          </w:cols>
          <w:pgMar w:left="240" w:top="218" w:right="1440" w:bottom="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740" w:right="3899" w:hanging="732"/>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619,216</w:t>
      </w:r>
    </w:p>
    <w:p>
      <w:pPr>
        <w:spacing w:after="0"/>
        <w:rPr>
          <w:sz w:val="20"/>
          <w:szCs w:val="20"/>
          <w:color w:val="auto"/>
        </w:rPr>
      </w:pPr>
      <w:r>
        <w:rPr>
          <w:rFonts w:ascii="Courier New" w:cs="Courier New" w:eastAsia="Courier New" w:hAnsi="Courier New"/>
          <w:sz w:val="18"/>
          <w:szCs w:val="18"/>
          <w:color w:val="auto"/>
        </w:rPr>
        <w:t>- ------------------------------------------------------------</w:t>
      </w:r>
    </w:p>
    <w:p>
      <w:pPr>
        <w:ind w:left="860" w:right="4739" w:hanging="852"/>
        <w:spacing w:after="0" w:line="309"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3.3%</w:t>
      </w:r>
    </w:p>
    <w:p>
      <w:pPr>
        <w:spacing w:after="0"/>
        <w:rPr>
          <w:sz w:val="20"/>
          <w:szCs w:val="20"/>
          <w:color w:val="auto"/>
        </w:rPr>
      </w:pPr>
      <w:r>
        <w:rPr>
          <w:rFonts w:ascii="Courier New" w:cs="Courier New" w:eastAsia="Courier New" w:hAnsi="Courier New"/>
          <w:sz w:val="18"/>
          <w:szCs w:val="18"/>
          <w:color w:val="auto"/>
        </w:rPr>
        <w:t>- ------------------------------------------------------------</w:t>
      </w:r>
    </w:p>
    <w:p>
      <w:pPr>
        <w:ind w:left="1580" w:right="6739" w:hanging="1572"/>
        <w:spacing w:after="0" w:line="238"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6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Issuer</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9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Address of Issuer's Principal Executive</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Offices</w:t>
            </w:r>
          </w:p>
        </w:tc>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14111 Scottslawn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Rd. Marysville OH 43041</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4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Person Filing</w:t>
            </w:r>
          </w:p>
        </w:tc>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ICM Asset Management, Inc.</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9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Address of Principal Business Office or, if</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none, Residence</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160" w:type="dxa"/>
            <w:vAlign w:val="bottom"/>
          </w:tcPr>
          <w:p>
            <w:pPr>
              <w:spacing w:after="0"/>
              <w:rPr>
                <w:sz w:val="17"/>
                <w:szCs w:val="17"/>
                <w:color w:val="auto"/>
              </w:rPr>
            </w:pP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601 W. Main Ave., Ste. 600, Spokane, WA 99201</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Citizenship</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160" w:type="dxa"/>
            <w:vAlign w:val="bottom"/>
          </w:tcPr>
          <w:p>
            <w:pPr>
              <w:spacing w:after="0"/>
              <w:rPr>
                <w:sz w:val="17"/>
                <w:szCs w:val="17"/>
                <w:color w:val="auto"/>
              </w:rPr>
            </w:pPr>
          </w:p>
        </w:tc>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Title of Class of Securities</w:t>
            </w: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(e).</w:t>
            </w:r>
          </w:p>
        </w:tc>
        <w:tc>
          <w:tcPr>
            <w:tcW w:w="16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rPr>
              <w:t>CUSIP Number</w:t>
            </w:r>
          </w:p>
        </w:tc>
        <w:tc>
          <w:tcPr>
            <w:tcW w:w="1060" w:type="dxa"/>
            <w:vAlign w:val="bottom"/>
          </w:tcPr>
          <w:p>
            <w:pPr>
              <w:spacing w:after="0"/>
              <w:rPr>
                <w:sz w:val="24"/>
                <w:szCs w:val="24"/>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810186106</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24"/>
                <w:szCs w:val="24"/>
                <w:color w:val="auto"/>
              </w:rPr>
            </w:pPr>
          </w:p>
        </w:tc>
        <w:tc>
          <w:tcPr>
            <w:tcW w:w="5700" w:type="dxa"/>
            <w:vAlign w:val="bottom"/>
            <w:gridSpan w:val="5"/>
          </w:tcPr>
          <w:p>
            <w:pPr>
              <w:spacing w:after="0"/>
              <w:rPr>
                <w:sz w:val="20"/>
                <w:szCs w:val="20"/>
                <w:color w:val="auto"/>
              </w:rPr>
            </w:pPr>
            <w:r>
              <w:rPr>
                <w:rFonts w:ascii="Courier New" w:cs="Courier New" w:eastAsia="Courier New" w:hAnsi="Courier New"/>
                <w:sz w:val="18"/>
                <w:szCs w:val="18"/>
                <w:color w:val="auto"/>
              </w:rPr>
              <w:t>IF THIS STATEMENT IS FILED PURSUANT TO RULES</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13D-1(b), OR 13D-2(b),  CHECK WHETHER THE</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4"/>
          </w:tcPr>
          <w:p>
            <w:pPr>
              <w:spacing w:after="0"/>
              <w:rPr>
                <w:sz w:val="20"/>
                <w:szCs w:val="20"/>
                <w:color w:val="auto"/>
              </w:rPr>
            </w:pPr>
            <w:r>
              <w:rPr>
                <w:rFonts w:ascii="Courier New" w:cs="Courier New" w:eastAsia="Courier New" w:hAnsi="Courier New"/>
                <w:sz w:val="18"/>
                <w:szCs w:val="18"/>
                <w:color w:val="auto"/>
              </w:rPr>
              <w:t>PERSON FILING IS A:</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Broker or Dealer registered under Section</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(b).</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15 of the Act</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Bank as defined in section 3(a) (6) of</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Insurance Company as defined in section</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(d).</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3(a) (19) of the Act</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Investment Company registered under</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380" w:type="dxa"/>
            <w:vAlign w:val="bottom"/>
            <w:gridSpan w:val="3"/>
            <w:vMerge w:val="restart"/>
          </w:tcPr>
          <w:p>
            <w:pPr>
              <w:ind w:left="160"/>
              <w:spacing w:after="0"/>
              <w:rPr>
                <w:sz w:val="20"/>
                <w:szCs w:val="20"/>
                <w:color w:val="auto"/>
              </w:rPr>
            </w:pPr>
            <w:r>
              <w:rPr>
                <w:rFonts w:ascii="Courier New" w:cs="Courier New" w:eastAsia="Courier New" w:hAnsi="Courier New"/>
                <w:sz w:val="18"/>
                <w:szCs w:val="18"/>
                <w:color w:val="auto"/>
              </w:rPr>
              <w:t>(e).  /X /</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section B of the Investment Company Act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Investment Adviser registered under</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section 203 of the Investment Advisers Act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(f).</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1940</w:t>
            </w:r>
          </w:p>
        </w:tc>
        <w:tc>
          <w:tcPr>
            <w:tcW w:w="1060" w:type="dxa"/>
            <w:vAlign w:val="bottom"/>
          </w:tcPr>
          <w:p>
            <w:pPr>
              <w:spacing w:after="0"/>
              <w:rPr>
                <w:sz w:val="17"/>
                <w:szCs w:val="17"/>
                <w:color w:val="auto"/>
              </w:rPr>
            </w:pPr>
          </w:p>
        </w:tc>
        <w:tc>
          <w:tcPr>
            <w:tcW w:w="27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Pension Fund</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which is subject to the provisions of the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Employee Retirement Income Security Act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of 1974 or Endowment Fund;  see Section</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(g).</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240.13d-1(b) (1) (ii) (F)</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Parent Holding Company, in accordance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with Section 240.13d-1(b) (ii) (6) (Note: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(h).</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Item 7)</w:t>
            </w: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Group, in accordance with Section</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240.13d-1(b) (1) (ii) (H)</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If the percent of the class owned, as of</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December 31 of the year covered by the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statement, or as of the last day of any</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month described in Rule 13d-1(b) (2), if</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applicable, exceeds five percent, provide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the following information as of that date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and identify these shares which there is</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 right to acquire.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Amount Beneficially Owned</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(b)</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Percent of Class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NA</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Page 3 of 6 Pages</w:t>
      </w:r>
    </w:p>
    <w:p>
      <w:pPr>
        <w:spacing w:after="0" w:line="372" w:lineRule="exact"/>
        <w:rPr>
          <w:sz w:val="20"/>
          <w:szCs w:val="20"/>
          <w:color w:val="auto"/>
        </w:rPr>
      </w:pPr>
    </w:p>
    <w:p>
      <w:pPr>
        <w:ind w:left="2000" w:right="3999" w:hanging="1255"/>
        <w:spacing w:after="0" w:line="347" w:lineRule="auto"/>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8" w:lineRule="exact"/>
        <w:rPr>
          <w:sz w:val="20"/>
          <w:szCs w:val="20"/>
          <w:color w:val="auto"/>
        </w:rPr>
      </w:pPr>
    </w:p>
    <w:p>
      <w:pPr>
        <w:ind w:left="2640" w:hanging="630"/>
        <w:spacing w:after="0"/>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w:t>
      </w:r>
    </w:p>
    <w:p>
      <w:pPr>
        <w:spacing w:after="0" w:line="29" w:lineRule="exact"/>
        <w:rPr>
          <w:sz w:val="20"/>
          <w:szCs w:val="20"/>
          <w:color w:val="auto"/>
        </w:rPr>
      </w:pPr>
    </w:p>
    <w:p>
      <w:pPr>
        <w:ind w:left="2640"/>
        <w:spacing w:after="0"/>
        <w:tabs>
          <w:tab w:leader="none" w:pos="5680" w:val="left"/>
        </w:tabs>
        <w:rPr>
          <w:sz w:val="20"/>
          <w:szCs w:val="20"/>
          <w:color w:val="auto"/>
        </w:rPr>
      </w:pPr>
      <w:r>
        <w:rPr>
          <w:rFonts w:ascii="Courier New" w:cs="Courier New" w:eastAsia="Courier New" w:hAnsi="Courier New"/>
          <w:sz w:val="18"/>
          <w:szCs w:val="18"/>
          <w:color w:val="auto"/>
        </w:rPr>
        <w:t>vote</w:t>
      </w:r>
      <w:r>
        <w:rPr>
          <w:sz w:val="20"/>
          <w:szCs w:val="20"/>
          <w:color w:val="auto"/>
        </w:rPr>
        <w:tab/>
      </w:r>
      <w:r>
        <w:rPr>
          <w:rFonts w:ascii="Courier New" w:cs="Courier New" w:eastAsia="Courier New" w:hAnsi="Courier New"/>
          <w:sz w:val="18"/>
          <w:szCs w:val="18"/>
          <w:color w:val="auto"/>
        </w:rPr>
        <w:t>NA</w:t>
      </w:r>
    </w:p>
    <w:p>
      <w:pPr>
        <w:ind w:left="2640" w:hanging="630"/>
        <w:spacing w:after="0" w:line="238" w:lineRule="auto"/>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p>
      <w:pPr>
        <w:ind w:left="2640"/>
        <w:spacing w:after="0"/>
        <w:tabs>
          <w:tab w:leader="none" w:pos="620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8"/>
          <w:szCs w:val="18"/>
          <w:color w:val="auto"/>
        </w:rPr>
        <w:t>NA</w:t>
      </w:r>
    </w:p>
    <w:p>
      <w:pPr>
        <w:ind w:left="2640" w:right="4519" w:hanging="630"/>
        <w:spacing w:after="0" w:line="238"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ind w:left="2640" w:hanging="630"/>
        <w:spacing w:after="0" w:line="238"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ind w:left="2640"/>
        <w:spacing w:after="0"/>
        <w:tabs>
          <w:tab w:leader="none" w:pos="6300" w:val="left"/>
        </w:tabs>
        <w:rPr>
          <w:sz w:val="20"/>
          <w:szCs w:val="20"/>
          <w:color w:val="auto"/>
        </w:rPr>
      </w:pPr>
      <w:r>
        <w:rPr>
          <w:rFonts w:ascii="Courier New" w:cs="Courier New" w:eastAsia="Courier New" w:hAnsi="Courier New"/>
          <w:sz w:val="18"/>
          <w:szCs w:val="18"/>
          <w:color w:val="auto"/>
        </w:rPr>
        <w:t>direct the disposition of</w:t>
      </w:r>
      <w:r>
        <w:rPr>
          <w:sz w:val="20"/>
          <w:szCs w:val="20"/>
          <w:color w:val="auto"/>
        </w:rPr>
        <w:tab/>
      </w:r>
      <w:r>
        <w:rPr>
          <w:rFonts w:ascii="Courier New" w:cs="Courier New" w:eastAsia="Courier New" w:hAnsi="Courier New"/>
          <w:sz w:val="18"/>
          <w:szCs w:val="18"/>
          <w:color w:val="auto"/>
        </w:rPr>
        <w:t>NA</w:t>
      </w:r>
    </w:p>
    <w:p>
      <w:pPr>
        <w:spacing w:after="0" w:line="169" w:lineRule="exact"/>
        <w:rPr>
          <w:sz w:val="20"/>
          <w:szCs w:val="20"/>
          <w:color w:val="auto"/>
        </w:rPr>
      </w:pPr>
    </w:p>
    <w:p>
      <w:pPr>
        <w:ind w:left="1700" w:right="3999" w:hanging="1699"/>
        <w:spacing w:after="0" w:line="344" w:lineRule="auto"/>
        <w:tabs>
          <w:tab w:leader="none" w:pos="1680" w:val="left"/>
        </w:tabs>
        <w:rPr>
          <w:sz w:val="20"/>
          <w:szCs w:val="20"/>
          <w:color w:val="auto"/>
        </w:rPr>
      </w:pPr>
      <w:r>
        <w:rPr>
          <w:rFonts w:ascii="Courier New" w:cs="Courier New" w:eastAsia="Courier New" w:hAnsi="Courier New"/>
          <w:sz w:val="16"/>
          <w:szCs w:val="16"/>
          <w:color w:val="auto"/>
        </w:rPr>
        <w:t>INSTRUCTION:</w:t>
      </w:r>
      <w:r>
        <w:rPr>
          <w:sz w:val="20"/>
          <w:szCs w:val="20"/>
          <w:color w:val="auto"/>
        </w:rPr>
        <w:tab/>
      </w:r>
      <w:r>
        <w:rPr>
          <w:rFonts w:ascii="Courier New" w:cs="Courier New" w:eastAsia="Courier New" w:hAnsi="Courier New"/>
          <w:sz w:val="16"/>
          <w:szCs w:val="16"/>
          <w:color w:val="auto"/>
        </w:rPr>
        <w:t>For computations regarding securities which represent a right to acquire an underlying security see Rule 13d-3(d) (1).</w:t>
      </w:r>
    </w:p>
    <w:p>
      <w:pPr>
        <w:sectPr>
          <w:pgSz w:w="11900" w:h="16838" w:orient="portrait"/>
          <w:cols w:equalWidth="0" w:num="1">
            <w:col w:w="10219"/>
          </w:cols>
          <w:pgMar w:left="240" w:top="110" w:right="1440" w:bottom="0" w:gutter="0" w:footer="0" w:header="0"/>
        </w:sectPr>
      </w:pP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740" w:space="420"/>
            <w:col w:w="9059"/>
          </w:cols>
          <w:pgMar w:left="240" w:top="110" w:right="1440" w:bottom="0" w:gutter="0" w:footer="0" w:header="0"/>
          <w:type w:val="continuous"/>
        </w:sectPr>
      </w:pPr>
    </w:p>
    <w:p>
      <w:pPr>
        <w:spacing w:after="0" w:line="2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If this statement is being filed to report the</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fact that as of the date hereof the reporting</w:t>
      </w:r>
    </w:p>
    <w:p>
      <w:pPr>
        <w:ind w:left="1160"/>
        <w:spacing w:after="0"/>
        <w:rPr>
          <w:sz w:val="20"/>
          <w:szCs w:val="20"/>
          <w:color w:val="auto"/>
        </w:rPr>
      </w:pPr>
      <w:r>
        <w:rPr>
          <w:rFonts w:ascii="Courier New" w:cs="Courier New" w:eastAsia="Courier New" w:hAnsi="Courier New"/>
          <w:sz w:val="16"/>
          <w:szCs w:val="16"/>
          <w:color w:val="auto"/>
        </w:rPr>
        <w:t>person has ceased to be the beneficial owner of</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more than five percent of the class of</w:t>
      </w:r>
    </w:p>
    <w:p>
      <w:pPr>
        <w:ind w:left="1160"/>
        <w:spacing w:after="0"/>
        <w:tabs>
          <w:tab w:leader="none" w:pos="5040" w:val="left"/>
        </w:tabs>
        <w:rPr>
          <w:sz w:val="20"/>
          <w:szCs w:val="20"/>
          <w:color w:val="auto"/>
        </w:rPr>
      </w:pPr>
      <w:r>
        <w:rPr>
          <w:rFonts w:ascii="Courier New" w:cs="Courier New" w:eastAsia="Courier New" w:hAnsi="Courier New"/>
          <w:sz w:val="18"/>
          <w:szCs w:val="18"/>
          <w:color w:val="auto"/>
        </w:rPr>
        <w:t>securities, check the following.</w:t>
      </w:r>
      <w:r>
        <w:rPr>
          <w:sz w:val="20"/>
          <w:szCs w:val="20"/>
          <w:color w:val="auto"/>
        </w:rPr>
        <w:tab/>
      </w:r>
      <w:r>
        <w:rPr>
          <w:rFonts w:ascii="Courier New" w:cs="Courier New" w:eastAsia="Courier New" w:hAnsi="Courier New"/>
          <w:sz w:val="16"/>
          <w:szCs w:val="16"/>
          <w:color w:val="auto"/>
        </w:rPr>
        <w:t>/ X /</w:t>
      </w:r>
    </w:p>
    <w:p>
      <w:pPr>
        <w:sectPr>
          <w:pgSz w:w="11900" w:h="16838" w:orient="portrait"/>
          <w:cols w:equalWidth="0" w:num="1">
            <w:col w:w="10219"/>
          </w:cols>
          <w:pgMar w:left="240" w:top="110" w:right="1440" w:bottom="0" w:gutter="0" w:footer="0" w:header="0"/>
          <w:type w:val="continuous"/>
        </w:sectPr>
      </w:pPr>
    </w:p>
    <w:p>
      <w:pPr>
        <w:spacing w:after="0" w:line="169" w:lineRule="exact"/>
        <w:rPr>
          <w:sz w:val="20"/>
          <w:szCs w:val="20"/>
          <w:color w:val="auto"/>
        </w:rPr>
      </w:pPr>
    </w:p>
    <w:p>
      <w:pPr>
        <w:ind w:left="1700" w:right="5059" w:hanging="1699"/>
        <w:spacing w:after="0" w:line="347" w:lineRule="auto"/>
        <w:tabs>
          <w:tab w:leader="none" w:pos="168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8"/>
          <w:szCs w:val="18"/>
          <w:color w:val="auto"/>
        </w:rPr>
        <w:t>Dissolution of a group requires a response to this item.</w:t>
      </w:r>
    </w:p>
    <w:p>
      <w:pPr>
        <w:spacing w:after="0" w:line="18" w:lineRule="exact"/>
        <w:rPr>
          <w:sz w:val="20"/>
          <w:szCs w:val="20"/>
          <w:color w:val="auto"/>
        </w:rPr>
      </w:pPr>
    </w:p>
    <w:p>
      <w:pPr>
        <w:ind w:left="1160" w:right="4319" w:hanging="1263"/>
        <w:spacing w:after="0" w:line="347"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any other person is known to have the right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to receive or the power to direct the receipt of</w:t>
      </w:r>
    </w:p>
    <w:p>
      <w:pPr>
        <w:ind w:left="1280"/>
        <w:spacing w:after="0" w:line="238" w:lineRule="auto"/>
        <w:rPr>
          <w:sz w:val="20"/>
          <w:szCs w:val="20"/>
          <w:color w:val="auto"/>
        </w:rPr>
      </w:pPr>
      <w:r>
        <w:rPr>
          <w:rFonts w:ascii="Courier New" w:cs="Courier New" w:eastAsia="Courier New" w:hAnsi="Courier New"/>
          <w:sz w:val="18"/>
          <w:szCs w:val="18"/>
          <w:color w:val="auto"/>
        </w:rPr>
        <w:t>dividends from, or the proceeds from the sale of</w:t>
      </w:r>
    </w:p>
    <w:p>
      <w:pPr>
        <w:ind w:left="1280"/>
        <w:spacing w:after="0"/>
        <w:rPr>
          <w:sz w:val="20"/>
          <w:szCs w:val="20"/>
          <w:color w:val="auto"/>
        </w:rPr>
      </w:pPr>
      <w:r>
        <w:rPr>
          <w:rFonts w:ascii="Courier New" w:cs="Courier New" w:eastAsia="Courier New" w:hAnsi="Courier New"/>
          <w:sz w:val="18"/>
          <w:szCs w:val="18"/>
          <w:color w:val="auto"/>
        </w:rPr>
        <w:t>such securities, a statement to that effect</w:t>
      </w:r>
    </w:p>
    <w:p>
      <w:pPr>
        <w:ind w:left="1280"/>
        <w:spacing w:after="0" w:line="238" w:lineRule="auto"/>
        <w:rPr>
          <w:sz w:val="20"/>
          <w:szCs w:val="20"/>
          <w:color w:val="auto"/>
        </w:rPr>
      </w:pPr>
      <w:r>
        <w:rPr>
          <w:rFonts w:ascii="Courier New" w:cs="Courier New" w:eastAsia="Courier New" w:hAnsi="Courier New"/>
          <w:sz w:val="18"/>
          <w:szCs w:val="18"/>
          <w:color w:val="auto"/>
        </w:rPr>
        <w:t>should be included in response to this item and,</w:t>
      </w:r>
    </w:p>
    <w:p>
      <w:pPr>
        <w:ind w:left="1280"/>
        <w:spacing w:after="0"/>
        <w:rPr>
          <w:sz w:val="20"/>
          <w:szCs w:val="20"/>
          <w:color w:val="auto"/>
        </w:rPr>
      </w:pPr>
      <w:r>
        <w:rPr>
          <w:rFonts w:ascii="Courier New" w:cs="Courier New" w:eastAsia="Courier New" w:hAnsi="Courier New"/>
          <w:sz w:val="18"/>
          <w:szCs w:val="18"/>
          <w:color w:val="auto"/>
        </w:rPr>
        <w:t>if such interest relates to more than five</w:t>
      </w:r>
    </w:p>
    <w:p>
      <w:pPr>
        <w:ind w:left="1280"/>
        <w:spacing w:after="0" w:line="238" w:lineRule="auto"/>
        <w:rPr>
          <w:sz w:val="20"/>
          <w:szCs w:val="20"/>
          <w:color w:val="auto"/>
        </w:rPr>
      </w:pPr>
      <w:r>
        <w:rPr>
          <w:rFonts w:ascii="Courier New" w:cs="Courier New" w:eastAsia="Courier New" w:hAnsi="Courier New"/>
          <w:sz w:val="18"/>
          <w:szCs w:val="18"/>
          <w:color w:val="auto"/>
        </w:rPr>
        <w:t>percent of the class, such person should be</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identified.</w:t>
        <w:tab/>
        <w:t>A listing of the shareholders of an</w:t>
      </w:r>
    </w:p>
    <w:p>
      <w:pPr>
        <w:ind w:left="128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ind w:left="1280"/>
        <w:spacing w:after="0"/>
        <w:rPr>
          <w:sz w:val="20"/>
          <w:szCs w:val="20"/>
          <w:color w:val="auto"/>
        </w:rPr>
      </w:pPr>
      <w:r>
        <w:rPr>
          <w:rFonts w:ascii="Courier New" w:cs="Courier New" w:eastAsia="Courier New" w:hAnsi="Courier New"/>
          <w:sz w:val="18"/>
          <w:szCs w:val="18"/>
          <w:color w:val="auto"/>
        </w:rPr>
        <w:t>Investment Company Act of 1940 or the</w:t>
      </w:r>
    </w:p>
    <w:p>
      <w:pPr>
        <w:ind w:left="1280"/>
        <w:spacing w:after="0" w:line="238" w:lineRule="auto"/>
        <w:rPr>
          <w:sz w:val="20"/>
          <w:szCs w:val="20"/>
          <w:color w:val="auto"/>
        </w:rPr>
      </w:pPr>
      <w:r>
        <w:rPr>
          <w:rFonts w:ascii="Courier New" w:cs="Courier New" w:eastAsia="Courier New" w:hAnsi="Courier New"/>
          <w:sz w:val="18"/>
          <w:szCs w:val="18"/>
          <w:color w:val="auto"/>
        </w:rPr>
        <w:t>beneficiaries of employee benefit plan, pension</w:t>
      </w:r>
    </w:p>
    <w:p>
      <w:pPr>
        <w:ind w:left="1280"/>
        <w:spacing w:after="0"/>
        <w:rPr>
          <w:sz w:val="20"/>
          <w:szCs w:val="20"/>
          <w:color w:val="auto"/>
        </w:rPr>
      </w:pPr>
      <w:r>
        <w:rPr>
          <w:rFonts w:ascii="Courier New" w:cs="Courier New" w:eastAsia="Courier New" w:hAnsi="Courier New"/>
          <w:sz w:val="18"/>
          <w:szCs w:val="18"/>
          <w:color w:val="auto"/>
        </w:rPr>
        <w:t>fund or endowment fund is not required.</w:t>
      </w:r>
    </w:p>
    <w:p>
      <w:pPr>
        <w:spacing w:after="0" w:line="169" w:lineRule="exact"/>
        <w:rPr>
          <w:sz w:val="20"/>
          <w:szCs w:val="20"/>
          <w:color w:val="auto"/>
        </w:rPr>
      </w:pPr>
    </w:p>
    <w:p>
      <w:pPr>
        <w:ind w:left="1280" w:right="3039"/>
        <w:spacing w:after="0" w:line="318" w:lineRule="auto"/>
        <w:rPr>
          <w:sz w:val="20"/>
          <w:szCs w:val="20"/>
          <w:color w:val="auto"/>
        </w:rPr>
      </w:pPr>
      <w:r>
        <w:rPr>
          <w:rFonts w:ascii="Courier New" w:cs="Courier New" w:eastAsia="Courier New" w:hAnsi="Courier New"/>
          <w:sz w:val="16"/>
          <w:szCs w:val="16"/>
          <w:color w:val="auto"/>
        </w:rPr>
        <w:t>Clients of ICM Asset Management, Inc. have the right to receive or the power to direct the receipt of dividends from, or the proceeds from the sale of these securities. No such interest relates to more than 5% of the class.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6 Pages</w:t>
      </w:r>
    </w:p>
    <w:p>
      <w:pPr>
        <w:spacing w:after="0" w:line="200" w:lineRule="exact"/>
        <w:rPr>
          <w:sz w:val="20"/>
          <w:szCs w:val="20"/>
          <w:color w:val="auto"/>
        </w:rPr>
      </w:pPr>
    </w:p>
    <w:p>
      <w:pPr>
        <w:spacing w:after="0" w:line="204" w:lineRule="exact"/>
        <w:rPr>
          <w:sz w:val="20"/>
          <w:szCs w:val="20"/>
          <w:color w:val="auto"/>
        </w:rPr>
      </w:pPr>
    </w:p>
    <w:p>
      <w:pPr>
        <w:ind w:left="1160" w:right="4419" w:hanging="1158"/>
        <w:spacing w:after="0" w:line="344"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160" w:right="3899"/>
        <w:spacing w:after="0" w:line="289" w:lineRule="auto"/>
        <w:rPr>
          <w:sz w:val="20"/>
          <w:szCs w:val="20"/>
          <w:color w:val="auto"/>
        </w:rPr>
      </w:pPr>
      <w:r>
        <w:rPr>
          <w:rFonts w:ascii="Courier New" w:cs="Courier New" w:eastAsia="Courier New" w:hAnsi="Courier New"/>
          <w:sz w:val="16"/>
          <w:szCs w:val="16"/>
          <w:color w:val="auto"/>
        </w:rPr>
        <w:t>If a parent holding company has filed this schedule, pursuant to Rule 13d-1(b) (ii) (g), so indicate under Item 3(g) and attach an exhibit stating the identity and the Item 3 classification of the relevant subsidiary. If a parent holding company has filed this schedule pursuant to Rule 13d-1(c), attach an exhibit stating the identity of each member of the group.</w:t>
      </w:r>
    </w:p>
    <w:p>
      <w:pPr>
        <w:spacing w:after="0" w:line="7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MEMBERS OF THE GROUP</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group</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has filed this schedule</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pursuant</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13d-1(b) (ii) (H),</w:t>
            </w: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so indicate under Item</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3(h) and</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attach an exhibit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stating</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 identify</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and Item</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classification of each</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member of the</w:t>
            </w:r>
          </w:p>
        </w:tc>
      </w:tr>
      <w:tr>
        <w:trPr>
          <w:trHeight w:val="296"/>
        </w:trPr>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group.</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If</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group has filed this</w:t>
            </w:r>
          </w:p>
        </w:tc>
        <w:tc>
          <w:tcPr>
            <w:tcW w:w="158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schedule</w:t>
            </w:r>
          </w:p>
        </w:tc>
      </w:tr>
    </w:tbl>
    <w:p>
      <w:pPr>
        <w:sectPr>
          <w:pgSz w:w="11900" w:h="16838" w:orient="portrait"/>
          <w:cols w:equalWidth="0" w:num="1">
            <w:col w:w="10219"/>
          </w:cols>
          <w:pgMar w:left="240" w:top="110" w:right="1440" w:bottom="0" w:gutter="0" w:footer="0" w:header="0"/>
          <w:type w:val="continuous"/>
        </w:sectPr>
      </w:pPr>
    </w:p>
    <w:bookmarkStart w:id="3" w:name="page4"/>
    <w:bookmarkEnd w:id="3"/>
    <w:p>
      <w:pPr>
        <w:ind w:left="1160" w:right="3899"/>
        <w:spacing w:after="0" w:line="402" w:lineRule="auto"/>
        <w:rPr>
          <w:sz w:val="20"/>
          <w:szCs w:val="20"/>
          <w:color w:val="auto"/>
        </w:rPr>
      </w:pPr>
      <w:r>
        <w:rPr>
          <w:rFonts w:ascii="Courier New" w:cs="Courier New" w:eastAsia="Courier New" w:hAnsi="Courier New"/>
          <w:sz w:val="16"/>
          <w:szCs w:val="16"/>
          <w:color w:val="auto"/>
        </w:rPr>
        <w:t>pursuant to Rule 13d-1(c), attach an exhibit stating the identity of each member of the group.</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right="3899"/>
        <w:spacing w:after="0" w:line="29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6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following certification shall be included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when the statement is filed pursuant to Rule 13d</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-1(b):</w:t>
      </w:r>
    </w:p>
    <w:p>
      <w:pPr>
        <w:spacing w:after="0" w:line="169" w:lineRule="exact"/>
        <w:rPr>
          <w:sz w:val="20"/>
          <w:szCs w:val="20"/>
          <w:color w:val="auto"/>
        </w:rPr>
      </w:pPr>
    </w:p>
    <w:p>
      <w:pPr>
        <w:ind w:left="1160" w:right="3899"/>
        <w:spacing w:after="0" w:line="25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right="120"/>
        <w:spacing w:after="0" w:line="420" w:lineRule="auto"/>
        <w:rPr>
          <w:sz w:val="20"/>
          <w:szCs w:val="20"/>
          <w:color w:val="auto"/>
        </w:rPr>
      </w:pPr>
      <w:r>
        <w:rPr>
          <w:rFonts w:ascii="Courier New" w:cs="Courier New" w:eastAsia="Courier New" w:hAnsi="Courier New"/>
          <w:sz w:val="16"/>
          <w:szCs w:val="16"/>
          <w:color w:val="auto"/>
        </w:rPr>
        <w:t>Robert J. Law (Name/Title)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 Vice President</w:t>
      </w:r>
    </w:p>
    <w:p>
      <w:pPr>
        <w:spacing w:after="0" w:line="629" w:lineRule="exact"/>
        <w:rPr>
          <w:sz w:val="20"/>
          <w:szCs w:val="20"/>
          <w:color w:val="auto"/>
        </w:rPr>
      </w:pPr>
    </w:p>
    <w:p>
      <w:pPr>
        <w:sectPr>
          <w:pgSz w:w="11900" w:h="16838" w:orient="portrait"/>
          <w:cols w:equalWidth="0" w:num="2">
            <w:col w:w="1500" w:space="720"/>
            <w:col w:w="799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Page 6 of 6 Pages</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
      <w:numFmt w:val="bullet"/>
      <w:start w:val="1"/>
    </w:lvl>
    <w:lvl w:ilvl="1">
      <w:lvlJc w:val="left"/>
      <w:lvlText w:val="(%2)"/>
      <w:numFmt w:val="lowerLetter"/>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upp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2019-12-20T00:14:33Z</dcterms:created>
  <dcterms:modified xsi:type="dcterms:W3CDTF">2019-12-20T00:14:33Z</dcterms:modified>
</cp:coreProperties>
</file>