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0"/>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WASHINGTON, D. C. 20549</w:t>
      </w:r>
    </w:p>
    <w:p>
      <w:pPr>
        <w:spacing w:after="0" w:line="174" w:lineRule="exact"/>
        <w:rPr>
          <w:sz w:val="24"/>
          <w:szCs w:val="24"/>
          <w:color w:val="auto"/>
        </w:rPr>
      </w:pPr>
    </w:p>
    <w:p>
      <w:pPr>
        <w:ind w:left="789" w:right="3579" w:hanging="789"/>
        <w:spacing w:after="0" w:line="238" w:lineRule="auto"/>
        <w:tabs>
          <w:tab w:leader="none" w:pos="7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2"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FOR THE QUARTERLY PERIOD ENDED DECEMBER 29, 2001</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89" w:right="3479" w:hanging="789"/>
        <w:spacing w:after="0" w:line="238" w:lineRule="auto"/>
        <w:tabs>
          <w:tab w:leader="none" w:pos="1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COMMISSION FILE NUMBER 1-13292</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400" w:right="1440" w:bottom="1440" w:gutter="0" w:footer="0" w:header="0"/>
        </w:sectPr>
      </w:pPr>
    </w:p>
    <w:p>
      <w:pPr>
        <w:spacing w:after="0" w:line="17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31-1414921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50" w:lineRule="exact"/>
        <w:rPr>
          <w:sz w:val="24"/>
          <w:szCs w:val="24"/>
          <w:color w:val="auto"/>
        </w:rPr>
      </w:pPr>
    </w:p>
    <w:p>
      <w:pPr>
        <w:sectPr>
          <w:pgSz w:w="11900" w:h="16838" w:orient="portrait"/>
          <w:cols w:equalWidth="0" w:num="2">
            <w:col w:w="3189" w:space="720"/>
            <w:col w:w="6319"/>
          </w:cols>
          <w:pgMar w:left="231" w:top="400" w:right="1440" w:bottom="1440" w:gutter="0" w:footer="0" w:header="0"/>
          <w:type w:val="continuous"/>
        </w:sectPr>
      </w:pPr>
    </w:p>
    <w:p>
      <w:pPr>
        <w:jc w:val="center"/>
        <w:ind w:right="3050"/>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3" w:lineRule="exact"/>
        <w:rPr>
          <w:sz w:val="24"/>
          <w:szCs w:val="24"/>
          <w:color w:val="auto"/>
        </w:rPr>
      </w:pPr>
    </w:p>
    <w:p>
      <w:pPr>
        <w:jc w:val="center"/>
        <w:ind w:right="3050"/>
        <w:spacing w:after="0"/>
        <w:rPr>
          <w:sz w:val="20"/>
          <w:szCs w:val="20"/>
          <w:color w:val="auto"/>
        </w:rPr>
      </w:pPr>
      <w:r>
        <w:rPr>
          <w:rFonts w:ascii="Courier New" w:cs="Courier New" w:eastAsia="Courier New" w:hAnsi="Courier New"/>
          <w:sz w:val="14"/>
          <w:szCs w:val="14"/>
          <w:color w:val="auto"/>
        </w:rPr>
        <w:t>(ADDRESS OF PRINCIPAL EXECUTIVE OFFICES) (ZIP CODE)</w:t>
      </w:r>
    </w:p>
    <w:p>
      <w:pPr>
        <w:sectPr>
          <w:pgSz w:w="11900" w:h="16838" w:orient="portrait"/>
          <w:cols w:equalWidth="0" w:num="1">
            <w:col w:w="10228"/>
          </w:cols>
          <w:pgMar w:left="231" w:top="400" w:right="1440" w:bottom="1440" w:gutter="0" w:footer="0" w:header="0"/>
          <w:type w:val="continuous"/>
        </w:sectPr>
      </w:pPr>
    </w:p>
    <w:p>
      <w:pPr>
        <w:spacing w:after="0" w:line="180"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(937) 644-0011</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NO CHANGE</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report.)</w:t>
      </w:r>
    </w:p>
    <w:p>
      <w:pPr>
        <w:spacing w:after="0" w:line="174" w:lineRule="exact"/>
        <w:rPr>
          <w:sz w:val="24"/>
          <w:szCs w:val="24"/>
          <w:color w:val="auto"/>
        </w:rPr>
      </w:pPr>
    </w:p>
    <w:p>
      <w:pPr>
        <w:ind w:left="9" w:right="3119" w:firstLine="79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left="9" w:right="3659" w:firstLine="79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8"/>
          </w:cols>
          <w:pgMar w:left="231" w:top="400" w:right="1440" w:bottom="1440" w:gutter="0" w:footer="0" w:header="0"/>
          <w:type w:val="continuous"/>
        </w:sectPr>
      </w:pPr>
    </w:p>
    <w:p>
      <w:pPr>
        <w:spacing w:after="0" w:line="17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29,241,477</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7, 2002</w:t>
      </w:r>
    </w:p>
    <w:p>
      <w:pPr>
        <w:spacing w:after="0" w:line="11" w:lineRule="exact"/>
        <w:rPr>
          <w:sz w:val="24"/>
          <w:szCs w:val="24"/>
          <w:color w:val="auto"/>
        </w:rPr>
      </w:pPr>
    </w:p>
    <w:p>
      <w:pPr>
        <w:sectPr>
          <w:pgSz w:w="11900" w:h="16838" w:orient="portrait"/>
          <w:cols w:equalWidth="0" w:num="2">
            <w:col w:w="3369" w:space="720"/>
            <w:col w:w="6139"/>
          </w:cols>
          <w:pgMar w:left="231" w:top="40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Common Shares, voting, no par value</w:t>
      </w:r>
    </w:p>
    <w:p>
      <w:pPr>
        <w:sectPr>
          <w:pgSz w:w="11900" w:h="16838" w:orient="portrait"/>
          <w:cols w:equalWidth="0" w:num="1">
            <w:col w:w="10228"/>
          </w:cols>
          <w:pgMar w:left="231" w:top="400"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8240" w:type="dxa"/>
            <w:vAlign w:val="bottom"/>
          </w:tcPr>
          <w:p>
            <w:pPr>
              <w:ind w:left="800"/>
              <w:spacing w:after="0"/>
              <w:rPr>
                <w:sz w:val="20"/>
                <w:szCs w:val="20"/>
                <w:color w:val="auto"/>
              </w:rPr>
            </w:pPr>
            <w:r>
              <w:rPr>
                <w:rFonts w:ascii="Courier New" w:cs="Courier New" w:eastAsia="Courier New" w:hAnsi="Courier New"/>
                <w:sz w:val="15"/>
                <w:szCs w:val="15"/>
                <w:color w:val="auto"/>
              </w:rPr>
              <w:t>THE SCOTTS COMPANY AND SUBSIDIARIES</w:t>
            </w:r>
          </w:p>
        </w:tc>
        <w:tc>
          <w:tcPr>
            <w:tcW w:w="980" w:type="dxa"/>
            <w:vAlign w:val="bottom"/>
          </w:tcPr>
          <w:p>
            <w:pPr>
              <w:spacing w:after="0"/>
              <w:rPr>
                <w:sz w:val="14"/>
                <w:szCs w:val="14"/>
                <w:color w:val="auto"/>
              </w:rPr>
            </w:pPr>
          </w:p>
        </w:tc>
      </w:tr>
      <w:tr>
        <w:trPr>
          <w:trHeight w:val="341"/>
        </w:trPr>
        <w:tc>
          <w:tcPr>
            <w:tcW w:w="1240" w:type="dxa"/>
            <w:vAlign w:val="bottom"/>
          </w:tcPr>
          <w:p>
            <w:pPr>
              <w:spacing w:after="0"/>
              <w:rPr>
                <w:sz w:val="24"/>
                <w:szCs w:val="24"/>
                <w:color w:val="auto"/>
              </w:rPr>
            </w:pPr>
          </w:p>
        </w:tc>
        <w:tc>
          <w:tcPr>
            <w:tcW w:w="8240" w:type="dxa"/>
            <w:vAlign w:val="bottom"/>
          </w:tcPr>
          <w:p>
            <w:pPr>
              <w:ind w:left="2120"/>
              <w:spacing w:after="0"/>
              <w:rPr>
                <w:sz w:val="20"/>
                <w:szCs w:val="20"/>
                <w:color w:val="auto"/>
              </w:rPr>
            </w:pPr>
            <w:r>
              <w:rPr>
                <w:rFonts w:ascii="Courier New" w:cs="Courier New" w:eastAsia="Courier New" w:hAnsi="Courier New"/>
                <w:sz w:val="15"/>
                <w:szCs w:val="15"/>
                <w:color w:val="auto"/>
              </w:rPr>
              <w:t>INDEX</w:t>
            </w:r>
          </w:p>
        </w:tc>
        <w:tc>
          <w:tcPr>
            <w:tcW w:w="980" w:type="dxa"/>
            <w:vAlign w:val="bottom"/>
          </w:tcPr>
          <w:p>
            <w:pPr>
              <w:spacing w:after="0"/>
              <w:rPr>
                <w:sz w:val="24"/>
                <w:szCs w:val="24"/>
                <w:color w:val="auto"/>
              </w:rPr>
            </w:pPr>
          </w:p>
        </w:tc>
      </w:tr>
      <w:tr>
        <w:trPr>
          <w:trHeight w:val="683"/>
        </w:trPr>
        <w:tc>
          <w:tcPr>
            <w:tcW w:w="12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1"/>
        </w:trPr>
        <w:tc>
          <w:tcPr>
            <w:tcW w:w="12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48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980" w:type="dxa"/>
            <w:vAlign w:val="bottom"/>
          </w:tcPr>
          <w:p>
            <w:pPr>
              <w:spacing w:after="0"/>
              <w:rPr>
                <w:sz w:val="24"/>
                <w:szCs w:val="2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98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Statements of Operations - Three month</w:t>
            </w:r>
          </w:p>
        </w:tc>
        <w:tc>
          <w:tcPr>
            <w:tcW w:w="98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periods ended December 29, 2001 and December 30, 2000....................................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r>
      <w:tr>
        <w:trPr>
          <w:trHeight w:val="341"/>
        </w:trPr>
        <w:tc>
          <w:tcPr>
            <w:tcW w:w="1240" w:type="dxa"/>
            <w:vAlign w:val="bottom"/>
          </w:tcPr>
          <w:p>
            <w:pPr>
              <w:spacing w:after="0"/>
              <w:rPr>
                <w:sz w:val="24"/>
                <w:szCs w:val="2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Statements of Cash Flows - Three month periods</w:t>
            </w:r>
          </w:p>
        </w:tc>
        <w:tc>
          <w:tcPr>
            <w:tcW w:w="98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ended December 29, 2001 and December 30, 2000............................................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w:t>
            </w:r>
          </w:p>
        </w:tc>
      </w:tr>
      <w:tr>
        <w:trPr>
          <w:trHeight w:val="341"/>
        </w:trPr>
        <w:tc>
          <w:tcPr>
            <w:tcW w:w="1240" w:type="dxa"/>
            <w:vAlign w:val="bottom"/>
          </w:tcPr>
          <w:p>
            <w:pPr>
              <w:spacing w:after="0"/>
              <w:rPr>
                <w:sz w:val="24"/>
                <w:szCs w:val="2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Balance Sheets - December 29, 2001,</w:t>
            </w:r>
          </w:p>
        </w:tc>
        <w:tc>
          <w:tcPr>
            <w:tcW w:w="98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December 30, 2000 and September 30, 2001.................................................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r>
      <w:tr>
        <w:trPr>
          <w:trHeight w:val="341"/>
        </w:trPr>
        <w:tc>
          <w:tcPr>
            <w:tcW w:w="1240" w:type="dxa"/>
            <w:vAlign w:val="bottom"/>
          </w:tcPr>
          <w:p>
            <w:pPr>
              <w:spacing w:after="0"/>
              <w:rPr>
                <w:sz w:val="24"/>
                <w:szCs w:val="2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Notes to Condensed, Consolidated Financial Statements ...................................</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98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Results of Operations....................................................................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r>
      <w:tr>
        <w:trPr>
          <w:trHeight w:val="341"/>
        </w:trPr>
        <w:tc>
          <w:tcPr>
            <w:tcW w:w="94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980" w:type="dxa"/>
            <w:vAlign w:val="bottom"/>
          </w:tcPr>
          <w:p>
            <w:pPr>
              <w:spacing w:after="0"/>
              <w:rPr>
                <w:sz w:val="24"/>
                <w:szCs w:val="2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Legal Proceedings........................................................................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Index</w:t>
            </w:r>
          </w:p>
        </w:tc>
        <w:tc>
          <w:tcPr>
            <w:tcW w:w="82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w:t>
            </w:r>
          </w:p>
        </w:tc>
      </w:tr>
      <w:tr>
        <w:trPr>
          <w:trHeight w:val="853"/>
        </w:trPr>
        <w:tc>
          <w:tcPr>
            <w:tcW w:w="1240" w:type="dxa"/>
            <w:vAlign w:val="bottom"/>
          </w:tcPr>
          <w:p>
            <w:pPr>
              <w:spacing w:after="0"/>
              <w:rPr>
                <w:sz w:val="24"/>
                <w:szCs w:val="24"/>
                <w:color w:val="auto"/>
              </w:rPr>
            </w:pPr>
          </w:p>
        </w:tc>
        <w:tc>
          <w:tcPr>
            <w:tcW w:w="8240" w:type="dxa"/>
            <w:vAlign w:val="bottom"/>
          </w:tcPr>
          <w:p>
            <w:pPr>
              <w:ind w:left="222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24"/>
                <w:szCs w:val="24"/>
                <w:color w:val="auto"/>
              </w:rPr>
            </w:pPr>
          </w:p>
        </w:tc>
      </w:tr>
    </w:tbl>
    <w:p>
      <w:pPr>
        <w:sectPr>
          <w:pgSz w:w="11900" w:h="16838" w:orient="portrait"/>
          <w:cols w:equalWidth="0" w:num="1">
            <w:col w:w="10460"/>
          </w:cols>
          <w:pgMar w:left="240" w:top="799" w:right="1199" w:bottom="1440" w:gutter="0" w:footer="0" w:header="0"/>
        </w:sectPr>
      </w:pPr>
    </w:p>
    <w:bookmarkStart w:id="2" w:name="page3"/>
    <w:bookmarkEnd w:id="2"/>
    <w:p>
      <w:pPr>
        <w:jc w:val="center"/>
        <w:ind w:right="3540"/>
        <w:spacing w:after="0"/>
        <w:rPr>
          <w:sz w:val="20"/>
          <w:szCs w:val="20"/>
          <w:color w:val="auto"/>
        </w:rPr>
      </w:pPr>
      <w:r>
        <w:rPr>
          <w:rFonts w:ascii="Courier New" w:cs="Courier New" w:eastAsia="Courier New" w:hAnsi="Courier New"/>
          <w:sz w:val="15"/>
          <w:szCs w:val="15"/>
          <w:color w:val="auto"/>
        </w:rPr>
        <w:t>PART I - FINANCIAL INFORMATION</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ITEM 1. FINANCIAL STATEMENTS</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tcPr>
          <w:p>
            <w:pPr>
              <w:jc w:val="right"/>
              <w:ind w:right="2506"/>
              <w:spacing w:after="0"/>
              <w:rPr>
                <w:sz w:val="20"/>
                <w:szCs w:val="20"/>
                <w:color w:val="auto"/>
              </w:rPr>
            </w:pPr>
            <w:r>
              <w:rPr>
                <w:rFonts w:ascii="Courier New" w:cs="Courier New" w:eastAsia="Courier New" w:hAnsi="Courier New"/>
                <w:sz w:val="15"/>
                <w:szCs w:val="15"/>
                <w:color w:val="auto"/>
              </w:rPr>
              <w:t>(IN MILLIONS EXCEPT PER SHARE AMOUNTS)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853"/>
        </w:trPr>
        <w:tc>
          <w:tcPr>
            <w:tcW w:w="7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780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29,</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30,</w:t>
            </w:r>
          </w:p>
        </w:tc>
      </w:tr>
      <w:tr>
        <w:trPr>
          <w:trHeight w:val="171"/>
        </w:trPr>
        <w:tc>
          <w:tcPr>
            <w:tcW w:w="7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2001</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7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sales............................................................................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146.6</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Cost of sales........................................................................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130.9</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Restructuring and other charges......................................................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Gross profit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31.1</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Gross commission earned from agency agreement .......................................</w:t>
            </w:r>
          </w:p>
        </w:tc>
        <w:tc>
          <w:tcPr>
            <w:tcW w:w="6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Costs associated with agency agreement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commission earned from agency agreement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Advertising and promotion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Selling, general and administrative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75.3</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77.1</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income, net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Loss from operations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(57.8)</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Interest expense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18.5</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Loss before income taxes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(76.3)</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(85.3)</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Income taxes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loss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Basic loss per share.................................................................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Diluted loss per share...............................................................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Common shares used in basic loss per share calculation...............................</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 in diluted</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loss per share calculation........................................................</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640"/>
          </w:cols>
          <w:pgMar w:left="240" w:top="799" w:right="1019" w:bottom="1440" w:gutter="0" w:footer="0" w:header="0"/>
        </w:sectPr>
      </w:pPr>
    </w:p>
    <w:bookmarkStart w:id="3" w:name="page4"/>
    <w:bookmarkEnd w:id="3"/>
    <w:p>
      <w:pPr>
        <w:jc w:val="center"/>
        <w:ind w:right="354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780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29,</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30,</w:t>
            </w:r>
          </w:p>
        </w:tc>
      </w:tr>
      <w:tr>
        <w:trPr>
          <w:trHeight w:val="171"/>
        </w:trPr>
        <w:tc>
          <w:tcPr>
            <w:tcW w:w="7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2001</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7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780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 operating activities: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Depreciation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Amortization......................................................................</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w:t>
            </w:r>
          </w:p>
        </w:tc>
      </w:tr>
      <w:tr>
        <w:trPr>
          <w:trHeight w:val="171"/>
        </w:trPr>
        <w:tc>
          <w:tcPr>
            <w:tcW w:w="78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Accounts receivable............................................................</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Inventories....................................................................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(105.3)</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(142.8)</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Prepaid and other current assets...............................................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Accrued taxes and liabilities..................................................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(37.5)</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(55.9)</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liabilities..............................................................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cash used in operating activities..........................................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(141.4)</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(202.4)</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(13.0)</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Payments on seller notes..........................................................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(15.8)</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(29.8)</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162.2</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221.7</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Gross borrowings under term loans.................................................</w:t>
            </w:r>
          </w:p>
        </w:tc>
        <w:tc>
          <w:tcPr>
            <w:tcW w:w="62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Gross repayments under term loans.................................................</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(264.5)</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160.2</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220.5</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Net decrease in cash.................................................................</w:t>
            </w:r>
          </w:p>
        </w:tc>
        <w:tc>
          <w:tcPr>
            <w:tcW w:w="62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(9.1)</w:t>
            </w:r>
          </w:p>
        </w:tc>
        <w:tc>
          <w:tcPr>
            <w:tcW w:w="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Cash and cash equivalents at beginning of period ....................................</w:t>
            </w:r>
          </w:p>
        </w:tc>
        <w:tc>
          <w:tcPr>
            <w:tcW w:w="6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780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40"/>
          </w:cols>
          <w:pgMar w:left="240" w:top="628" w:right="1019" w:bottom="1440" w:gutter="0" w:footer="0" w:header="0"/>
        </w:sectPr>
      </w:pPr>
    </w:p>
    <w:bookmarkStart w:id="4" w:name="page5"/>
    <w:bookmarkEnd w:id="4"/>
    <w:p>
      <w:pPr>
        <w:jc w:val="center"/>
        <w:ind w:right="372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jc w:val="right"/>
              <w:ind w:right="3126"/>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53"/>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360" w:type="dxa"/>
            <w:vAlign w:val="bottom"/>
          </w:tcPr>
          <w:p>
            <w:pPr>
              <w:spacing w:after="0"/>
              <w:rPr>
                <w:sz w:val="14"/>
                <w:szCs w:val="14"/>
                <w:color w:val="auto"/>
              </w:rPr>
            </w:pPr>
          </w:p>
        </w:tc>
        <w:tc>
          <w:tcPr>
            <w:tcW w:w="34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DECEMBER 29, DECEMBER 30, SEPTEMBER 30,</w:t>
            </w:r>
          </w:p>
        </w:tc>
      </w:tr>
      <w:tr>
        <w:trPr>
          <w:trHeight w:val="171"/>
        </w:trPr>
        <w:tc>
          <w:tcPr>
            <w:tcW w:w="7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2001</w:t>
            </w:r>
          </w:p>
        </w:tc>
        <w:tc>
          <w:tcPr>
            <w:tcW w:w="3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7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w:t>
            </w:r>
          </w:p>
        </w:tc>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allowances of $24.4,</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 and $23.9, respectively.............................................</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196.0</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208.9</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220.8</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473.7</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450.3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368.4</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Current deferred tax asset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52.3</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28.7</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52.2</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Prepaid and other assets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39.4</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58.1</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34.1</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771.0</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768.0</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694.2</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294.1</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310.7</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Intangible assets, net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766.6</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746.6</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771.1</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assets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65.9</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67.0</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assets .............................................................</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1,918.1</w:t>
            </w:r>
          </w:p>
        </w:tc>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1,893.5</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1,843.0</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Short-term debt .............................................................</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172.7</w:t>
            </w:r>
          </w:p>
        </w:tc>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164.1</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71.3</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Accounts payable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171.3</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173.0</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150.9</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Accrued liabilities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194.2</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208.0</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530.3</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488.7</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445.1</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Long-term debt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848.8</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918.7</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816.5</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Other liabilities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1,453.3</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1,459.2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1,336.8</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Preferred Shares, no par value, none issued .................................</w:t>
            </w: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ind w:left="260"/>
              <w:spacing w:after="0"/>
              <w:rPr>
                <w:sz w:val="20"/>
                <w:szCs w:val="20"/>
                <w:color w:val="auto"/>
              </w:rPr>
            </w:pPr>
            <w:r>
              <w:rPr>
                <w:rFonts w:ascii="Courier New" w:cs="Courier New" w:eastAsia="Courier New" w:hAnsi="Courier New"/>
                <w:sz w:val="15"/>
                <w:szCs w:val="15"/>
                <w:color w:val="auto"/>
                <w:w w:val="98"/>
              </w:rPr>
              <w:t>Common Shares, no par value per share, $.01 stated value per share, issued 31.3,</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 and 31.3, respectively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Capital in excess of par value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399.4</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390.2</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398.3</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Retained earnings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165.4</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212.3</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Treasury stock, 2.3, 3.2, and 2.6 shares, respectively, at cost .............</w:t>
            </w:r>
          </w:p>
        </w:tc>
        <w:tc>
          <w:tcPr>
            <w:tcW w:w="3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w:t>
            </w:r>
          </w:p>
        </w:tc>
        <w:tc>
          <w:tcPr>
            <w:tcW w:w="3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(80.8)</w:t>
            </w:r>
          </w:p>
        </w:tc>
        <w:tc>
          <w:tcPr>
            <w:tcW w:w="280" w:type="dxa"/>
            <w:vAlign w:val="bottom"/>
          </w:tcPr>
          <w:p>
            <w:pPr>
              <w:spacing w:after="0"/>
              <w:rPr>
                <w:sz w:val="14"/>
                <w:szCs w:val="14"/>
                <w:color w:val="auto"/>
              </w:rPr>
            </w:pPr>
          </w:p>
        </w:tc>
        <w:tc>
          <w:tcPr>
            <w:tcW w:w="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(70.0)</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 other comprehensive loss ........................................</w:t>
            </w:r>
          </w:p>
        </w:tc>
        <w:tc>
          <w:tcPr>
            <w:tcW w:w="3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(34.8)</w:t>
            </w:r>
          </w:p>
        </w:tc>
        <w:tc>
          <w:tcPr>
            <w:tcW w:w="3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w:t>
            </w:r>
          </w:p>
        </w:tc>
        <w:tc>
          <w:tcPr>
            <w:tcW w:w="280" w:type="dxa"/>
            <w:vAlign w:val="bottom"/>
          </w:tcPr>
          <w:p>
            <w:pPr>
              <w:spacing w:after="0"/>
              <w:rPr>
                <w:sz w:val="14"/>
                <w:szCs w:val="14"/>
                <w:color w:val="auto"/>
              </w:rPr>
            </w:pPr>
          </w:p>
        </w:tc>
        <w:tc>
          <w:tcPr>
            <w:tcW w:w="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(34.7)</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shareholders' equity .............................................</w:t>
            </w:r>
          </w:p>
        </w:tc>
        <w:tc>
          <w:tcPr>
            <w:tcW w:w="3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464.8</w:t>
            </w:r>
          </w:p>
        </w:tc>
        <w:tc>
          <w:tcPr>
            <w:tcW w:w="3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434.3</w:t>
            </w:r>
          </w:p>
        </w:tc>
        <w:tc>
          <w:tcPr>
            <w:tcW w:w="2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506.2</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Total liabilities and shareholders' equity .....................................</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1,918.1</w:t>
            </w:r>
          </w:p>
        </w:tc>
        <w:tc>
          <w:tcPr>
            <w:tcW w:w="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1,893.5</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1,843.0</w:t>
            </w:r>
          </w:p>
        </w:tc>
      </w:tr>
      <w:tr>
        <w:trPr>
          <w:trHeight w:val="171"/>
        </w:trPr>
        <w:tc>
          <w:tcPr>
            <w:tcW w:w="7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820"/>
          </w:cols>
          <w:pgMar w:left="240" w:top="628" w:right="839" w:bottom="1440" w:gutter="0" w:footer="0" w:header="0"/>
        </w:sectPr>
      </w:pPr>
    </w:p>
    <w:bookmarkStart w:id="5" w:name="page6"/>
    <w:bookmarkEnd w:id="5"/>
    <w:p>
      <w:pPr>
        <w:ind w:left="70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45" w:lineRule="exact"/>
        <w:rPr>
          <w:sz w:val="20"/>
          <w:szCs w:val="20"/>
          <w:color w:val="auto"/>
        </w:rPr>
      </w:pPr>
    </w:p>
    <w:p>
      <w:pPr>
        <w:ind w:left="789" w:right="5699" w:hanging="789"/>
        <w:spacing w:after="0" w:line="478" w:lineRule="auto"/>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5" w:lineRule="exact"/>
        <w:rPr>
          <w:rFonts w:ascii="Courier New" w:cs="Courier New" w:eastAsia="Courier New" w:hAnsi="Courier New"/>
          <w:sz w:val="15"/>
          <w:szCs w:val="15"/>
          <w:color w:val="auto"/>
        </w:rPr>
      </w:pPr>
    </w:p>
    <w:p>
      <w:pPr>
        <w:ind w:left="78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 We also are engaged in the Scotts Lawn Service(R) business which provides lawn fertilization, insect control and other related services.</w:t>
      </w:r>
    </w:p>
    <w:p>
      <w:pPr>
        <w:spacing w:after="0" w:line="16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4" w:lineRule="exact"/>
        <w:rPr>
          <w:rFonts w:ascii="Courier New" w:cs="Courier New" w:eastAsia="Courier New" w:hAnsi="Courier New"/>
          <w:sz w:val="15"/>
          <w:szCs w:val="15"/>
          <w:color w:val="auto"/>
        </w:rPr>
      </w:pPr>
    </w:p>
    <w:p>
      <w:pPr>
        <w:jc w:val="both"/>
        <w:ind w:left="789"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175" w:lineRule="exact"/>
        <w:rPr>
          <w:rFonts w:ascii="Courier New" w:cs="Courier New" w:eastAsia="Courier New" w:hAnsi="Courier New"/>
          <w:sz w:val="15"/>
          <w:szCs w:val="15"/>
          <w:color w:val="auto"/>
        </w:rPr>
      </w:pPr>
    </w:p>
    <w:p>
      <w:pPr>
        <w:ind w:left="78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condensed, consolidated balance sheets as of December 29, 2001 and December 30, 2000, and the related condensed, consolidated statements of operations and of cash flows for the three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2001 Annual Report on Form 10-K.</w:t>
      </w:r>
    </w:p>
    <w:p>
      <w:pPr>
        <w:spacing w:after="0" w:line="16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4"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when title and risk of loss transfer to the customer. Provisions for estimated returns and allowances are recorded at the time of shipment based on historical rates of return applied as a percentage of sales.</w:t>
      </w:r>
    </w:p>
    <w:p>
      <w:pPr>
        <w:spacing w:after="0" w:line="173"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Scotts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All amounts paid or payable to customers or consumers in connection with the purchase of our products are recorded as a reduction of net sales.</w:t>
      </w:r>
    </w:p>
    <w:p>
      <w:pPr>
        <w:spacing w:after="0" w:line="177"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normal course of business, Scotts is exposed to fluctuations in interest rates and the value of foreign currencies. Scotts has established policies and procedures that govern the management of these exposures through the use of a variety of financial instruments. Scotts employs various financial instruments, including forward exchange contracts, and swap agreements, to manage certain of the exposures when practical. By policy, Scotts does not enter into such contracts for the purpose of speculation or use leveraged financial instruments. The Company's derivative activities are managed by the chief financial officer and other senior management of the Company in consultation with the Finance Committee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799" w:right="1440" w:bottom="1440" w:gutter="0" w:footer="0" w:header="0"/>
        </w:sectPr>
      </w:pPr>
    </w:p>
    <w:bookmarkStart w:id="6" w:name="page7"/>
    <w:bookmarkEnd w:id="6"/>
    <w:p>
      <w:pPr>
        <w:ind w:left="789" w:right="3119"/>
        <w:spacing w:after="0"/>
        <w:rPr>
          <w:sz w:val="20"/>
          <w:szCs w:val="20"/>
          <w:color w:val="auto"/>
        </w:rPr>
      </w:pPr>
      <w:r>
        <w:rPr>
          <w:rFonts w:ascii="Courier New" w:cs="Courier New" w:eastAsia="Courier New" w:hAnsi="Courier New"/>
          <w:sz w:val="15"/>
          <w:szCs w:val="15"/>
          <w:color w:val="auto"/>
        </w:rPr>
        <w:t>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Scotts' objective in managing its exposure to fluctuations in interest rates and foreign currency exchange rates is to decrease the volatility of earnings and cash flows associated with changes in the applicable rates and prices. To achieve this objective, Scotts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loss will be recognized immediately in earnings.</w:t>
      </w:r>
    </w:p>
    <w:p>
      <w:pPr>
        <w:spacing w:after="0" w:line="187"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To manage certain of its cash flow exposures, Scotts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180" w:lineRule="exact"/>
        <w:rPr>
          <w:sz w:val="20"/>
          <w:szCs w:val="20"/>
          <w:color w:val="auto"/>
        </w:rPr>
      </w:pPr>
    </w:p>
    <w:p>
      <w:pPr>
        <w:ind w:left="789" w:right="3219"/>
        <w:spacing w:after="0" w:line="264" w:lineRule="auto"/>
        <w:rPr>
          <w:sz w:val="20"/>
          <w:szCs w:val="20"/>
          <w:color w:val="auto"/>
        </w:rPr>
      </w:pPr>
      <w:r>
        <w:rPr>
          <w:rFonts w:ascii="Courier New" w:cs="Courier New" w:eastAsia="Courier New" w:hAnsi="Courier New"/>
          <w:sz w:val="14"/>
          <w:szCs w:val="14"/>
          <w:color w:val="auto"/>
        </w:rPr>
        <w:t>Scotts adopted FAS 133 as of October 2000. Since adoption, there were no gains or losses recognized in earnings for hedge ineffectiveness or due to excluding a portion of the value from measuring effectiveness.</w:t>
      </w:r>
    </w:p>
    <w:p>
      <w:pPr>
        <w:spacing w:after="0" w:line="157"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789" w:right="3219"/>
        <w:spacing w:after="0" w:line="260"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0"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left="789" w:right="3399"/>
        <w:spacing w:after="0" w:line="238"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2002 classifications.</w:t>
      </w:r>
    </w:p>
    <w:p>
      <w:pPr>
        <w:spacing w:after="0" w:line="172" w:lineRule="exact"/>
        <w:rPr>
          <w:sz w:val="20"/>
          <w:szCs w:val="20"/>
          <w:color w:val="auto"/>
        </w:rPr>
      </w:pPr>
    </w:p>
    <w:p>
      <w:pPr>
        <w:ind w:left="789" w:hanging="789"/>
        <w:spacing w:after="0"/>
        <w:tabs>
          <w:tab w:leader="none" w:pos="78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79"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w:t>
      </w:r>
    </w:p>
    <w:p>
      <w:pPr>
        <w:spacing w:after="0" w:line="200" w:lineRule="exact"/>
        <w:rPr>
          <w:sz w:val="20"/>
          <w:szCs w:val="20"/>
          <w:color w:val="auto"/>
        </w:rPr>
      </w:pPr>
    </w:p>
    <w:p>
      <w:pPr>
        <w:spacing w:after="0" w:line="31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140" w:gutter="0" w:footer="0" w:header="0"/>
        </w:sectPr>
      </w:pPr>
    </w:p>
    <w:bookmarkStart w:id="7" w:name="page8"/>
    <w:bookmarkEnd w:id="7"/>
    <w:p>
      <w:pPr>
        <w:ind w:right="3119"/>
        <w:spacing w:after="0"/>
        <w:rPr>
          <w:sz w:val="20"/>
          <w:szCs w:val="20"/>
          <w:color w:val="auto"/>
        </w:rPr>
      </w:pPr>
      <w:r>
        <w:rPr>
          <w:rFonts w:ascii="Courier New" w:cs="Courier New" w:eastAsia="Courier New" w:hAnsi="Courier New"/>
          <w:sz w:val="15"/>
          <w:szCs w:val="15"/>
          <w:color w:val="auto"/>
        </w:rPr>
        <w:t>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7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8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7"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December 29, 2001, contribution payments and related per annum charges of approximately $47.3 million had been deferred under the agreement. This amount is considered a contingent obligation and has not been reflected in the financial statements as of and for the year then ended.</w:t>
      </w:r>
    </w:p>
    <w:p>
      <w:pPr>
        <w:spacing w:after="0" w:line="16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460" w:right="1440" w:bottom="1440" w:gutter="0" w:footer="0" w:header="0"/>
        </w:sectPr>
      </w:pPr>
    </w:p>
    <w:bookmarkStart w:id="8" w:name="page9"/>
    <w:bookmarkEnd w:id="8"/>
    <w:p>
      <w:pPr>
        <w:ind w:left="789" w:right="4000"/>
        <w:spacing w:after="0"/>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ind w:left="789" w:right="7460" w:hanging="789"/>
        <w:spacing w:after="0" w:line="478" w:lineRule="auto"/>
        <w:tabs>
          <w:tab w:leader="none" w:pos="7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2002 CHARGES</w:t>
      </w:r>
    </w:p>
    <w:p>
      <w:pPr>
        <w:spacing w:after="0" w:line="5" w:lineRule="exact"/>
        <w:rPr>
          <w:rFonts w:ascii="Courier New" w:cs="Courier New" w:eastAsia="Courier New" w:hAnsi="Courier New"/>
          <w:sz w:val="15"/>
          <w:szCs w:val="15"/>
          <w:color w:val="auto"/>
        </w:rPr>
      </w:pPr>
    </w:p>
    <w:p>
      <w:pPr>
        <w:ind w:left="789" w:right="390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generally accepted in the United States of America, certain restructuring costs related to relocation of personnel, equipment and inventory are to be expensed in the period the costs are actually incurred. During the first quarter of fiscal 2002, inventory relocation costs of approximately $1.0 million were incurred and paid and were recorded as restructuring and other charges in cost of sales. Approximately $0.8 million of employee relocation costs were also incurred and paid in the first quarter of fiscal 2002 and were recorded as operating expenses. These charges related to restructuring activities initiated in the third and fourth quarters of fiscal 2001.</w:t>
      </w:r>
    </w:p>
    <w:p>
      <w:pPr>
        <w:spacing w:after="0" w:line="163"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CHARGES</w:t>
      </w:r>
    </w:p>
    <w:p>
      <w:pPr>
        <w:spacing w:after="0" w:line="174" w:lineRule="exact"/>
        <w:rPr>
          <w:rFonts w:ascii="Courier New" w:cs="Courier New" w:eastAsia="Courier New" w:hAnsi="Courier New"/>
          <w:sz w:val="15"/>
          <w:szCs w:val="15"/>
          <w:color w:val="auto"/>
        </w:rPr>
      </w:pPr>
    </w:p>
    <w:p>
      <w:pPr>
        <w:ind w:left="789" w:right="3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Remaining severance costs are expected to be paid in fiscal 2002 with some payments extending into 2003. All other fiscal 2001 restructuring related activities and costs are expected to be completed by the end of fiscal 2002.</w:t>
      </w:r>
    </w:p>
    <w:p>
      <w:pPr>
        <w:spacing w:after="0" w:line="185" w:lineRule="exact"/>
        <w:rPr>
          <w:rFonts w:ascii="Courier New" w:cs="Courier New" w:eastAsia="Courier New" w:hAnsi="Courier New"/>
          <w:sz w:val="15"/>
          <w:szCs w:val="15"/>
          <w:color w:val="auto"/>
        </w:rPr>
      </w:pPr>
    </w:p>
    <w:p>
      <w:pPr>
        <w:ind w:left="789" w:right="390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rollforward of the cash portion of the restructuring and other charges accrued in the third and fourth quarters of fiscal 2001: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Balance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Balance</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2000" w:type="dxa"/>
            <w:vAlign w:val="bottom"/>
          </w:tcPr>
          <w:p>
            <w:pPr>
              <w:ind w:left="1160"/>
              <w:spacing w:after="0"/>
              <w:rPr>
                <w:sz w:val="20"/>
                <w:szCs w:val="20"/>
                <w:color w:val="auto"/>
              </w:rPr>
            </w:pPr>
            <w:r>
              <w:rPr>
                <w:rFonts w:ascii="Courier New" w:cs="Courier New" w:eastAsia="Courier New" w:hAnsi="Courier New"/>
                <w:sz w:val="15"/>
                <w:szCs w:val="15"/>
                <w:color w:val="auto"/>
              </w:rPr>
              <w:t>Type</w:t>
            </w:r>
          </w:p>
        </w:tc>
        <w:tc>
          <w:tcPr>
            <w:tcW w:w="182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8"/>
              </w:rPr>
              <w:t>Classification</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2001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Payment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Dec. 29, 2001</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 millions)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2000" w:type="dxa"/>
            <w:vAlign w:val="bottom"/>
          </w:tcPr>
          <w:p>
            <w:pPr>
              <w:ind w:left="1160"/>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9"/>
              </w:rPr>
              <w:t>SG&amp;A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(8.0)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Facility exit costs</w:t>
            </w:r>
          </w:p>
        </w:tc>
        <w:tc>
          <w:tcPr>
            <w:tcW w:w="2000" w:type="dxa"/>
            <w:vAlign w:val="bottom"/>
          </w:tcPr>
          <w:p>
            <w:pPr>
              <w:ind w:left="1160"/>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9"/>
              </w:rPr>
              <w:t>SG&amp;A</w:t>
            </w:r>
          </w:p>
        </w:tc>
        <w:tc>
          <w:tcPr>
            <w:tcW w:w="44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Other related costs</w:t>
            </w:r>
          </w:p>
        </w:tc>
        <w:tc>
          <w:tcPr>
            <w:tcW w:w="2000" w:type="dxa"/>
            <w:vAlign w:val="bottom"/>
          </w:tcPr>
          <w:p>
            <w:pPr>
              <w:ind w:left="1160"/>
              <w:spacing w:after="0"/>
              <w:rPr>
                <w:sz w:val="20"/>
                <w:szCs w:val="20"/>
                <w:color w:val="auto"/>
              </w:rPr>
            </w:pPr>
            <w:r>
              <w:rPr>
                <w:rFonts w:ascii="Courier New" w:cs="Courier New" w:eastAsia="Courier New" w:hAnsi="Courier New"/>
                <w:sz w:val="15"/>
                <w:szCs w:val="15"/>
                <w:color w:val="auto"/>
              </w:rPr>
              <w:t>Cash</w:t>
            </w:r>
          </w:p>
        </w:tc>
        <w:tc>
          <w:tcPr>
            <w:tcW w:w="1820" w:type="dxa"/>
            <w:vAlign w:val="bottom"/>
          </w:tcPr>
          <w:p>
            <w:pPr>
              <w:jc w:val="center"/>
              <w:ind w:left="346"/>
              <w:spacing w:after="0"/>
              <w:rPr>
                <w:sz w:val="20"/>
                <w:szCs w:val="20"/>
                <w:color w:val="auto"/>
              </w:rPr>
            </w:pPr>
            <w:r>
              <w:rPr>
                <w:rFonts w:ascii="Courier New" w:cs="Courier New" w:eastAsia="Courier New" w:hAnsi="Courier New"/>
                <w:sz w:val="15"/>
                <w:szCs w:val="15"/>
                <w:color w:val="auto"/>
                <w:w w:val="99"/>
              </w:rPr>
              <w:t>SG&amp;A</w:t>
            </w:r>
          </w:p>
        </w:tc>
        <w:tc>
          <w:tcPr>
            <w:tcW w:w="44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w:t>
            </w:r>
          </w:p>
        </w:tc>
      </w:tr>
      <w:tr>
        <w:trPr>
          <w:trHeight w:val="171"/>
        </w:trPr>
        <w:tc>
          <w:tcPr>
            <w:tcW w:w="2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ind w:left="280"/>
              <w:spacing w:after="0"/>
              <w:rPr>
                <w:sz w:val="20"/>
                <w:szCs w:val="20"/>
                <w:color w:val="auto"/>
              </w:rPr>
            </w:pPr>
            <w:r>
              <w:rPr>
                <w:rFonts w:ascii="Courier New" w:cs="Courier New" w:eastAsia="Courier New" w:hAnsi="Courier New"/>
                <w:sz w:val="15"/>
                <w:szCs w:val="15"/>
                <w:color w:val="auto"/>
              </w:rPr>
              <w:t>Total cash</w:t>
            </w: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w:t>
            </w:r>
          </w:p>
        </w:tc>
      </w:tr>
      <w:tr>
        <w:trPr>
          <w:trHeight w:val="171"/>
        </w:trPr>
        <w:tc>
          <w:tcPr>
            <w:tcW w:w="2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009"/>
          </w:cols>
          <w:pgMar w:left="231" w:top="631" w:right="659" w:bottom="1440" w:gutter="0" w:footer="0" w:header="0"/>
        </w:sectPr>
      </w:pPr>
    </w:p>
    <w:bookmarkStart w:id="9" w:name="page10"/>
    <w:bookmarkEnd w:id="9"/>
    <w:p>
      <w:pPr>
        <w:ind w:left="789" w:hanging="789"/>
        <w:spacing w:after="0"/>
        <w:tabs>
          <w:tab w:leader="none" w:pos="78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4520"/>
        <w:spacing w:after="0" w:line="238" w:lineRule="auto"/>
        <w:rPr>
          <w:sz w:val="20"/>
          <w:szCs w:val="20"/>
          <w:color w:val="auto"/>
        </w:rPr>
      </w:pPr>
      <w:r>
        <w:rPr>
          <w:rFonts w:ascii="Courier New" w:cs="Courier New" w:eastAsia="Courier New" w:hAnsi="Courier New"/>
          <w:sz w:val="15"/>
          <w:szCs w:val="15"/>
          <w:color w:val="auto"/>
        </w:rPr>
        <w:t>Inventories, net of provisions for slow moving and obsolete inventory of $25.7 million, $22.7 million, and $22.3 million, respectively, consisted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29,</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millions)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67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5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389.4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359.8</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295.8</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84.3</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90.5</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r>
      <w:tr>
        <w:trPr>
          <w:trHeight w:val="171"/>
        </w:trPr>
        <w:tc>
          <w:tcPr>
            <w:tcW w:w="674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5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473.7</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450.3</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368.4</w:t>
            </w:r>
          </w:p>
        </w:tc>
      </w:tr>
      <w:tr>
        <w:trPr>
          <w:trHeight w:val="171"/>
        </w:trPr>
        <w:tc>
          <w:tcPr>
            <w:tcW w:w="674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789" w:hanging="789"/>
        <w:spacing w:after="0"/>
        <w:tabs>
          <w:tab w:leader="none" w:pos="7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174" w:lineRule="exact"/>
        <w:rPr>
          <w:sz w:val="20"/>
          <w:szCs w:val="20"/>
          <w:color w:val="auto"/>
        </w:rPr>
      </w:pPr>
    </w:p>
    <w:p>
      <w:pPr>
        <w:ind w:left="9" w:right="4420"/>
        <w:spacing w:after="0"/>
        <w:rPr>
          <w:sz w:val="20"/>
          <w:szCs w:val="20"/>
          <w:color w:val="auto"/>
        </w:rPr>
      </w:pPr>
      <w:r>
        <w:rPr>
          <w:rFonts w:ascii="Courier New" w:cs="Courier New" w:eastAsia="Courier New" w:hAnsi="Courier New"/>
          <w:sz w:val="15"/>
          <w:szCs w:val="15"/>
          <w:color w:val="auto"/>
        </w:rPr>
        <w:t>Effective October 1, 2001, Scotts adopted Statement of Financial Accounting Standards No. 142, "Goodwill and Other Intangible Assets". In accordance with this standard, goodwill and certain other intangible assets, primarily trademarks, have been classified as indefinite-lived assets no longer subject to amortization. Indefinite-lived assets are subject to impairment testing at least annually. We are required to complete our initial impairment evaluation as of October 1, 2001 by the end of the second quarter of fiscal 2002 and record any impairment charge by the end of fiscal 2002. Any such initial impairment as of the date of adoption, referred to as a "transitional impairment" will be recorded as the effect of a change in accounting principle in the period of adoption.</w:t>
      </w:r>
    </w:p>
    <w:p>
      <w:pPr>
        <w:spacing w:after="0" w:line="179" w:lineRule="exact"/>
        <w:rPr>
          <w:sz w:val="20"/>
          <w:szCs w:val="20"/>
          <w:color w:val="auto"/>
        </w:rPr>
      </w:pPr>
    </w:p>
    <w:p>
      <w:pPr>
        <w:ind w:left="9" w:right="4780"/>
        <w:spacing w:after="0" w:line="238" w:lineRule="auto"/>
        <w:rPr>
          <w:sz w:val="20"/>
          <w:szCs w:val="20"/>
          <w:color w:val="auto"/>
        </w:rPr>
      </w:pPr>
      <w:r>
        <w:rPr>
          <w:rFonts w:ascii="Courier New" w:cs="Courier New" w:eastAsia="Courier New" w:hAnsi="Courier New"/>
          <w:sz w:val="15"/>
          <w:szCs w:val="15"/>
          <w:color w:val="auto"/>
        </w:rPr>
        <w:t>The useful lives of intangible assets still subject to amortization were not revised as a result of the adoption of Statement 142.</w:t>
      </w:r>
    </w:p>
    <w:p>
      <w:pPr>
        <w:spacing w:after="0" w:line="175" w:lineRule="exact"/>
        <w:rPr>
          <w:sz w:val="20"/>
          <w:szCs w:val="20"/>
          <w:color w:val="auto"/>
        </w:rPr>
      </w:pPr>
    </w:p>
    <w:p>
      <w:pPr>
        <w:ind w:left="9" w:right="4780"/>
        <w:spacing w:after="0" w:line="238" w:lineRule="auto"/>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88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DECEMBER 29, 2001</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30, 2000</w:t>
            </w:r>
          </w:p>
        </w:tc>
        <w:tc>
          <w:tcPr>
            <w:tcW w:w="900" w:type="dxa"/>
            <w:vAlign w:val="bottom"/>
          </w:tcPr>
          <w:p>
            <w:pPr>
              <w:spacing w:after="0"/>
              <w:rPr>
                <w:sz w:val="14"/>
                <w:szCs w:val="14"/>
                <w:color w:val="auto"/>
              </w:rPr>
            </w:pPr>
          </w:p>
        </w:tc>
        <w:tc>
          <w:tcPr>
            <w:tcW w:w="29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SEPTEMBER 30, 2001</w:t>
            </w:r>
          </w:p>
        </w:tc>
      </w:tr>
      <w:tr>
        <w:trPr>
          <w:trHeight w:val="171"/>
        </w:trPr>
        <w:tc>
          <w:tcPr>
            <w:tcW w:w="2560" w:type="dxa"/>
            <w:vAlign w:val="bottom"/>
          </w:tcPr>
          <w:p>
            <w:pPr>
              <w:spacing w:after="0"/>
              <w:rPr>
                <w:sz w:val="14"/>
                <w:szCs w:val="14"/>
                <w:color w:val="auto"/>
              </w:rPr>
            </w:pPr>
          </w:p>
        </w:tc>
        <w:tc>
          <w:tcPr>
            <w:tcW w:w="2880" w:type="dxa"/>
            <w:vAlign w:val="bottom"/>
            <w:gridSpan w:val="3"/>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29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Gross</w:t>
            </w:r>
          </w:p>
        </w:tc>
        <w:tc>
          <w:tcPr>
            <w:tcW w:w="128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Gross</w:t>
            </w:r>
          </w:p>
        </w:tc>
        <w:tc>
          <w:tcPr>
            <w:tcW w:w="124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r>
      <w:tr>
        <w:trPr>
          <w:trHeight w:val="171"/>
        </w:trPr>
        <w:tc>
          <w:tcPr>
            <w:tcW w:w="25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Carrying</w:t>
            </w:r>
          </w:p>
        </w:tc>
        <w:tc>
          <w:tcPr>
            <w:tcW w:w="20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Accumulated Carrying</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Carrying</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Accumulated</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r>
      <w:tr>
        <w:trPr>
          <w:trHeight w:val="171"/>
        </w:trPr>
        <w:tc>
          <w:tcPr>
            <w:tcW w:w="25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Amortization</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Amount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5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millions)</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Technology</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$(16.4)</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$44.3</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$62.4</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$(13.2)</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Customer accounts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23.3</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20.7</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Tradenames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9.5</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9.7</w:t>
            </w: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16.0</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(31.6)</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Total amortized</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ind w:left="620"/>
              <w:spacing w:after="0"/>
              <w:rPr>
                <w:sz w:val="20"/>
                <w:szCs w:val="20"/>
                <w:color w:val="auto"/>
              </w:rPr>
            </w:pPr>
            <w:r>
              <w:rPr>
                <w:rFonts w:ascii="Courier New" w:cs="Courier New" w:eastAsia="Courier New" w:hAnsi="Courier New"/>
                <w:sz w:val="15"/>
                <w:szCs w:val="15"/>
                <w:color w:val="auto"/>
                <w:w w:val="96"/>
              </w:rPr>
              <w:t>intangible assets, net</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90.5</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92.9</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92.0</w:t>
            </w:r>
          </w:p>
        </w:tc>
      </w:tr>
      <w:tr>
        <w:trPr>
          <w:trHeight w:val="34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Tradenames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346.7</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335.0</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349.0</w:t>
            </w: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w:t>
            </w:r>
          </w:p>
        </w:tc>
      </w:tr>
      <w:tr>
        <w:trPr>
          <w:trHeight w:val="171"/>
        </w:trPr>
        <w:tc>
          <w:tcPr>
            <w:tcW w:w="256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326.2</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315.4</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326.9</w:t>
            </w:r>
          </w:p>
        </w:tc>
      </w:t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intangible assets, net</w:t>
            </w: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$766.6</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$746.6</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$771.1</w:t>
            </w:r>
          </w:p>
        </w:tc>
      </w:t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853"/>
        </w:trPr>
        <w:tc>
          <w:tcPr>
            <w:tcW w:w="2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529"/>
          </w:cols>
          <w:pgMar w:left="231" w:top="799" w:right="139" w:bottom="1440" w:gutter="0" w:footer="0" w:header="0"/>
        </w:sectPr>
      </w:pPr>
    </w:p>
    <w:bookmarkStart w:id="10" w:name="page11"/>
    <w:bookmarkEnd w:id="10"/>
    <w:p>
      <w:pPr>
        <w:jc w:val="both"/>
        <w:ind w:right="4080"/>
        <w:spacing w:after="0" w:line="239" w:lineRule="auto"/>
        <w:rPr>
          <w:sz w:val="20"/>
          <w:szCs w:val="20"/>
          <w:color w:val="auto"/>
        </w:rPr>
      </w:pPr>
      <w:r>
        <w:rPr>
          <w:rFonts w:ascii="Courier New" w:cs="Courier New" w:eastAsia="Courier New" w:hAnsi="Courier New"/>
          <w:sz w:val="15"/>
          <w:szCs w:val="15"/>
          <w:color w:val="auto"/>
        </w:rPr>
        <w:t>The following table presents a reconciliation of recorded net income to adjusted net income and related earnings per share data as if the provision of Statement 142 relating to non-amortization of indefinite-lived intangible assets had been adopted as of the earliest period presented.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FOR THE</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THREE MONTHS ENDED</w:t>
            </w:r>
          </w:p>
        </w:tc>
      </w:tr>
      <w:tr>
        <w:trPr>
          <w:trHeight w:val="171"/>
        </w:trPr>
        <w:tc>
          <w:tcPr>
            <w:tcW w:w="7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tcPr>
          <w:p>
            <w:pPr>
              <w:jc w:val="center"/>
              <w:ind w:right="1006"/>
              <w:spacing w:after="0"/>
              <w:rPr>
                <w:sz w:val="20"/>
                <w:szCs w:val="20"/>
                <w:color w:val="auto"/>
              </w:rPr>
            </w:pPr>
            <w:r>
              <w:rPr>
                <w:rFonts w:ascii="Courier New" w:cs="Courier New" w:eastAsia="Courier New" w:hAnsi="Courier New"/>
                <w:sz w:val="15"/>
                <w:szCs w:val="15"/>
                <w:color w:val="auto"/>
                <w:w w:val="98"/>
              </w:rPr>
              <w:t>DECEMBER 30,</w:t>
            </w:r>
          </w:p>
        </w:tc>
      </w:tr>
      <w:tr>
        <w:trPr>
          <w:trHeight w:val="171"/>
        </w:trPr>
        <w:tc>
          <w:tcPr>
            <w:tcW w:w="7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tcPr>
          <w:p>
            <w:pPr>
              <w:jc w:val="center"/>
              <w:ind w:right="986"/>
              <w:spacing w:after="0"/>
              <w:rPr>
                <w:sz w:val="20"/>
                <w:szCs w:val="20"/>
                <w:color w:val="auto"/>
              </w:rPr>
            </w:pPr>
            <w:r>
              <w:rPr>
                <w:rFonts w:ascii="Courier New" w:cs="Courier New" w:eastAsia="Courier New" w:hAnsi="Courier New"/>
                <w:sz w:val="15"/>
                <w:szCs w:val="15"/>
                <w:color w:val="auto"/>
                <w:w w:val="99"/>
              </w:rPr>
              <w:t>2000</w:t>
            </w:r>
          </w:p>
        </w:tc>
      </w:tr>
      <w:tr>
        <w:trPr>
          <w:trHeight w:val="171"/>
        </w:trPr>
        <w:tc>
          <w:tcPr>
            <w:tcW w:w="7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tcPr>
          <w:p>
            <w:pPr>
              <w:jc w:val="center"/>
              <w:ind w:right="9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millions, except per share data)</w:t>
            </w:r>
          </w:p>
        </w:tc>
      </w:tr>
      <w:tr>
        <w:trPr>
          <w:trHeight w:val="341"/>
        </w:trPr>
        <w:tc>
          <w:tcPr>
            <w:tcW w:w="7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Reported net loss.....................................................................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Goodwill amortization.................................................................</w:t>
            </w:r>
          </w:p>
        </w:tc>
        <w:tc>
          <w:tcPr>
            <w:tcW w:w="1060" w:type="dxa"/>
            <w:vAlign w:val="bottom"/>
          </w:tcPr>
          <w:p>
            <w:pPr>
              <w:spacing w:after="0"/>
              <w:rPr>
                <w:sz w:val="14"/>
                <w:szCs w:val="14"/>
                <w:color w:val="auto"/>
              </w:rPr>
            </w:pP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2.9</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Tradename amortization................................................................</w:t>
            </w:r>
          </w:p>
        </w:tc>
        <w:tc>
          <w:tcPr>
            <w:tcW w:w="1060" w:type="dxa"/>
            <w:vAlign w:val="bottom"/>
          </w:tcPr>
          <w:p>
            <w:pPr>
              <w:spacing w:after="0"/>
              <w:rPr>
                <w:sz w:val="14"/>
                <w:szCs w:val="14"/>
                <w:color w:val="auto"/>
              </w:rPr>
            </w:pP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2.3</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Taxes.................................................................................</w:t>
            </w:r>
          </w:p>
        </w:tc>
        <w:tc>
          <w:tcPr>
            <w:tcW w:w="1060" w:type="dxa"/>
            <w:vAlign w:val="bottom"/>
          </w:tcPr>
          <w:p>
            <w:pPr>
              <w:spacing w:after="0"/>
              <w:rPr>
                <w:sz w:val="14"/>
                <w:szCs w:val="14"/>
                <w:color w:val="auto"/>
              </w:rPr>
            </w:pP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Net loss as adjusted..................................................................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(47.2)</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0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Reported net loss.....................................................................</w:t>
            </w:r>
          </w:p>
        </w:tc>
        <w:tc>
          <w:tcPr>
            <w:tcW w:w="1060" w:type="dxa"/>
            <w:vAlign w:val="bottom"/>
          </w:tcPr>
          <w:p>
            <w:pPr>
              <w:spacing w:after="0"/>
              <w:rPr>
                <w:sz w:val="14"/>
                <w:szCs w:val="14"/>
                <w:color w:val="auto"/>
              </w:rPr>
            </w:pP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Goodwill amortization.................................................................</w:t>
            </w:r>
          </w:p>
        </w:tc>
        <w:tc>
          <w:tcPr>
            <w:tcW w:w="1060" w:type="dxa"/>
            <w:vAlign w:val="bottom"/>
          </w:tcPr>
          <w:p>
            <w:pPr>
              <w:spacing w:after="0"/>
              <w:rPr>
                <w:sz w:val="14"/>
                <w:szCs w:val="14"/>
                <w:color w:val="auto"/>
              </w:rPr>
            </w:pP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Tradename amortization................................................................</w:t>
            </w:r>
          </w:p>
        </w:tc>
        <w:tc>
          <w:tcPr>
            <w:tcW w:w="1060" w:type="dxa"/>
            <w:vAlign w:val="bottom"/>
          </w:tcPr>
          <w:p>
            <w:pPr>
              <w:spacing w:after="0"/>
              <w:rPr>
                <w:sz w:val="14"/>
                <w:szCs w:val="14"/>
                <w:color w:val="auto"/>
              </w:rPr>
            </w:pP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0.08</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Taxes.................................................................................</w:t>
            </w:r>
          </w:p>
        </w:tc>
        <w:tc>
          <w:tcPr>
            <w:tcW w:w="1060" w:type="dxa"/>
            <w:vAlign w:val="bottom"/>
          </w:tcPr>
          <w:p>
            <w:pPr>
              <w:spacing w:after="0"/>
              <w:rPr>
                <w:sz w:val="14"/>
                <w:szCs w:val="14"/>
                <w:color w:val="auto"/>
              </w:rPr>
            </w:pP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(0.04)</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Net loss as adjusted..................................................................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(1.69)</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0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Reported net .........................................................................</w:t>
            </w:r>
          </w:p>
        </w:tc>
        <w:tc>
          <w:tcPr>
            <w:tcW w:w="1060" w:type="dxa"/>
            <w:vAlign w:val="bottom"/>
          </w:tcPr>
          <w:p>
            <w:pPr>
              <w:spacing w:after="0"/>
              <w:rPr>
                <w:sz w:val="14"/>
                <w:szCs w:val="14"/>
                <w:color w:val="auto"/>
              </w:rPr>
            </w:pP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(1.83)</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Goodwill amortization.................................................................</w:t>
            </w:r>
          </w:p>
        </w:tc>
        <w:tc>
          <w:tcPr>
            <w:tcW w:w="1060" w:type="dxa"/>
            <w:vAlign w:val="bottom"/>
          </w:tcPr>
          <w:p>
            <w:pPr>
              <w:spacing w:after="0"/>
              <w:rPr>
                <w:sz w:val="14"/>
                <w:szCs w:val="14"/>
                <w:color w:val="auto"/>
              </w:rPr>
            </w:pP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Tradename amortization................................................................</w:t>
            </w:r>
          </w:p>
        </w:tc>
        <w:tc>
          <w:tcPr>
            <w:tcW w:w="1060" w:type="dxa"/>
            <w:vAlign w:val="bottom"/>
          </w:tcPr>
          <w:p>
            <w:pPr>
              <w:spacing w:after="0"/>
              <w:rPr>
                <w:sz w:val="14"/>
                <w:szCs w:val="14"/>
                <w:color w:val="auto"/>
              </w:rPr>
            </w:pP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0.08</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Taxes.................................................................................</w:t>
            </w:r>
          </w:p>
        </w:tc>
        <w:tc>
          <w:tcPr>
            <w:tcW w:w="1060" w:type="dxa"/>
            <w:vAlign w:val="bottom"/>
          </w:tcPr>
          <w:p>
            <w:pPr>
              <w:spacing w:after="0"/>
              <w:rPr>
                <w:sz w:val="14"/>
                <w:szCs w:val="14"/>
                <w:color w:val="auto"/>
              </w:rPr>
            </w:pP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(0.04)</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ind w:left="260"/>
              <w:spacing w:after="0"/>
              <w:rPr>
                <w:sz w:val="20"/>
                <w:szCs w:val="20"/>
                <w:color w:val="auto"/>
              </w:rPr>
            </w:pPr>
            <w:r>
              <w:rPr>
                <w:rFonts w:ascii="Courier New" w:cs="Courier New" w:eastAsia="Courier New" w:hAnsi="Courier New"/>
                <w:sz w:val="15"/>
                <w:szCs w:val="15"/>
                <w:color w:val="auto"/>
                <w:w w:val="99"/>
              </w:rPr>
              <w:t>Net loss as adjusted..................................................................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(1.69)</w:t>
            </w:r>
          </w:p>
        </w:tc>
      </w:tr>
      <w:tr>
        <w:trPr>
          <w:trHeight w:val="171"/>
        </w:trPr>
        <w:tc>
          <w:tcPr>
            <w:tcW w:w="7980" w:type="dxa"/>
            <w:vAlign w:val="bottom"/>
          </w:tcPr>
          <w:p>
            <w:pPr>
              <w:spacing w:after="0"/>
              <w:rPr>
                <w:sz w:val="14"/>
                <w:szCs w:val="14"/>
                <w:color w:val="auto"/>
              </w:rPr>
            </w:pPr>
          </w:p>
        </w:tc>
        <w:tc>
          <w:tcPr>
            <w:tcW w:w="32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512"/>
        </w:trPr>
        <w:tc>
          <w:tcPr>
            <w:tcW w:w="7980" w:type="dxa"/>
            <w:vAlign w:val="bottom"/>
          </w:tcPr>
          <w:p>
            <w:pPr>
              <w:spacing w:after="0"/>
              <w:rPr>
                <w:sz w:val="20"/>
                <w:szCs w:val="20"/>
                <w:color w:val="auto"/>
              </w:rPr>
            </w:pPr>
            <w:r>
              <w:rPr>
                <w:rFonts w:ascii="Courier New" w:cs="Courier New" w:eastAsia="Courier New" w:hAnsi="Courier New"/>
                <w:sz w:val="15"/>
                <w:szCs w:val="15"/>
                <w:color w:val="auto"/>
              </w:rPr>
              <w:t>Estimated amortization expense is as follows:</w:t>
            </w:r>
          </w:p>
        </w:tc>
        <w:tc>
          <w:tcPr>
            <w:tcW w:w="10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853"/>
        </w:trPr>
        <w:tc>
          <w:tcPr>
            <w:tcW w:w="7980" w:type="dxa"/>
            <w:vAlign w:val="bottom"/>
          </w:tcPr>
          <w:p>
            <w:pPr>
              <w:ind w:left="1940"/>
              <w:spacing w:after="0"/>
              <w:rPr>
                <w:sz w:val="20"/>
                <w:szCs w:val="20"/>
                <w:color w:val="auto"/>
              </w:rPr>
            </w:pPr>
            <w:r>
              <w:rPr>
                <w:rFonts w:ascii="Courier New" w:cs="Courier New" w:eastAsia="Courier New" w:hAnsi="Courier New"/>
                <w:sz w:val="15"/>
                <w:szCs w:val="15"/>
                <w:color w:val="auto"/>
              </w:rPr>
              <w:t>YEAR ENDED</w:t>
            </w:r>
          </w:p>
        </w:tc>
        <w:tc>
          <w:tcPr>
            <w:tcW w:w="10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1"/>
        </w:trPr>
        <w:tc>
          <w:tcPr>
            <w:tcW w:w="7980" w:type="dxa"/>
            <w:vAlign w:val="bottom"/>
          </w:tcPr>
          <w:p>
            <w:pPr>
              <w:ind w:left="1860"/>
              <w:spacing w:after="0"/>
              <w:rPr>
                <w:sz w:val="20"/>
                <w:szCs w:val="20"/>
                <w:color w:val="auto"/>
              </w:rPr>
            </w:pPr>
            <w:r>
              <w:rPr>
                <w:rFonts w:ascii="Courier New" w:cs="Courier New" w:eastAsia="Courier New" w:hAnsi="Courier New"/>
                <w:sz w:val="15"/>
                <w:szCs w:val="15"/>
                <w:color w:val="auto"/>
              </w:rPr>
              <w:t>SEPTEMBER 30,</w:t>
            </w:r>
          </w:p>
        </w:tc>
        <w:tc>
          <w:tcPr>
            <w:tcW w:w="10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79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MILLIONS</w:t>
            </w:r>
          </w:p>
        </w:tc>
        <w:tc>
          <w:tcPr>
            <w:tcW w:w="2140" w:type="dxa"/>
            <w:vAlign w:val="bottom"/>
          </w:tcPr>
          <w:p>
            <w:pPr>
              <w:spacing w:after="0"/>
              <w:rPr>
                <w:sz w:val="14"/>
                <w:szCs w:val="14"/>
                <w:color w:val="auto"/>
              </w:rPr>
            </w:pPr>
          </w:p>
        </w:tc>
      </w:tr>
      <w:tr>
        <w:trPr>
          <w:trHeight w:val="341"/>
        </w:trPr>
        <w:tc>
          <w:tcPr>
            <w:tcW w:w="7980" w:type="dxa"/>
            <w:vAlign w:val="bottom"/>
          </w:tcPr>
          <w:p>
            <w:pPr>
              <w:ind w:left="2200"/>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w:t>
            </w:r>
          </w:p>
        </w:tc>
        <w:tc>
          <w:tcPr>
            <w:tcW w:w="2140" w:type="dxa"/>
            <w:vAlign w:val="bottom"/>
          </w:tcPr>
          <w:p>
            <w:pPr>
              <w:spacing w:after="0"/>
              <w:rPr>
                <w:sz w:val="24"/>
                <w:szCs w:val="24"/>
                <w:color w:val="auto"/>
              </w:rPr>
            </w:pPr>
          </w:p>
        </w:tc>
      </w:tr>
      <w:tr>
        <w:trPr>
          <w:trHeight w:val="171"/>
        </w:trPr>
        <w:tc>
          <w:tcPr>
            <w:tcW w:w="7980" w:type="dxa"/>
            <w:vAlign w:val="bottom"/>
          </w:tcPr>
          <w:p>
            <w:pPr>
              <w:ind w:left="2200"/>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2140" w:type="dxa"/>
            <w:vAlign w:val="bottom"/>
          </w:tcPr>
          <w:p>
            <w:pPr>
              <w:spacing w:after="0"/>
              <w:rPr>
                <w:sz w:val="14"/>
                <w:szCs w:val="14"/>
                <w:color w:val="auto"/>
              </w:rPr>
            </w:pPr>
          </w:p>
        </w:tc>
      </w:tr>
      <w:tr>
        <w:trPr>
          <w:trHeight w:val="171"/>
        </w:trPr>
        <w:tc>
          <w:tcPr>
            <w:tcW w:w="7980" w:type="dxa"/>
            <w:vAlign w:val="bottom"/>
          </w:tcPr>
          <w:p>
            <w:pPr>
              <w:ind w:left="2200"/>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2140" w:type="dxa"/>
            <w:vAlign w:val="bottom"/>
          </w:tcPr>
          <w:p>
            <w:pPr>
              <w:spacing w:after="0"/>
              <w:rPr>
                <w:sz w:val="14"/>
                <w:szCs w:val="14"/>
                <w:color w:val="auto"/>
              </w:rPr>
            </w:pPr>
          </w:p>
        </w:tc>
      </w:tr>
      <w:tr>
        <w:trPr>
          <w:trHeight w:val="171"/>
        </w:trPr>
        <w:tc>
          <w:tcPr>
            <w:tcW w:w="7980" w:type="dxa"/>
            <w:vAlign w:val="bottom"/>
          </w:tcPr>
          <w:p>
            <w:pPr>
              <w:ind w:left="2200"/>
              <w:spacing w:after="0"/>
              <w:rPr>
                <w:sz w:val="20"/>
                <w:szCs w:val="20"/>
                <w:color w:val="auto"/>
              </w:rPr>
            </w:pPr>
            <w:r>
              <w:rPr>
                <w:rFonts w:ascii="Courier New" w:cs="Courier New" w:eastAsia="Courier New" w:hAnsi="Courier New"/>
                <w:sz w:val="15"/>
                <w:szCs w:val="15"/>
                <w:color w:val="auto"/>
              </w:rPr>
              <w:t>2005</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2140" w:type="dxa"/>
            <w:vAlign w:val="bottom"/>
          </w:tcPr>
          <w:p>
            <w:pPr>
              <w:spacing w:after="0"/>
              <w:rPr>
                <w:sz w:val="14"/>
                <w:szCs w:val="14"/>
                <w:color w:val="auto"/>
              </w:rPr>
            </w:pPr>
          </w:p>
        </w:tc>
      </w:tr>
      <w:tr>
        <w:trPr>
          <w:trHeight w:val="171"/>
        </w:trPr>
        <w:tc>
          <w:tcPr>
            <w:tcW w:w="7980" w:type="dxa"/>
            <w:vAlign w:val="bottom"/>
          </w:tcPr>
          <w:p>
            <w:pPr>
              <w:ind w:left="2200"/>
              <w:spacing w:after="0"/>
              <w:rPr>
                <w:sz w:val="20"/>
                <w:szCs w:val="20"/>
                <w:color w:val="auto"/>
              </w:rPr>
            </w:pPr>
            <w:r>
              <w:rPr>
                <w:rFonts w:ascii="Courier New" w:cs="Courier New" w:eastAsia="Courier New" w:hAnsi="Courier New"/>
                <w:sz w:val="15"/>
                <w:szCs w:val="15"/>
                <w:color w:val="auto"/>
              </w:rPr>
              <w:t>2006</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2140" w:type="dxa"/>
            <w:vAlign w:val="bottom"/>
          </w:tcPr>
          <w:p>
            <w:pPr>
              <w:spacing w:after="0"/>
              <w:rPr>
                <w:sz w:val="14"/>
                <w:szCs w:val="14"/>
                <w:color w:val="auto"/>
              </w:rPr>
            </w:pPr>
          </w:p>
        </w:tc>
      </w:tr>
    </w:tbl>
    <w:p>
      <w:pPr>
        <w:spacing w:after="0" w:line="200" w:lineRule="exact"/>
        <w:rPr>
          <w:sz w:val="20"/>
          <w:szCs w:val="20"/>
          <w:color w:val="auto"/>
        </w:rPr>
      </w:pPr>
    </w:p>
    <w:p>
      <w:pPr>
        <w:spacing w:after="0" w:line="315" w:lineRule="exact"/>
        <w:rPr>
          <w:sz w:val="20"/>
          <w:szCs w:val="20"/>
          <w:color w:val="auto"/>
        </w:rPr>
      </w:pPr>
    </w:p>
    <w:p>
      <w:pPr>
        <w:ind w:right="4540"/>
        <w:spacing w:after="0"/>
        <w:rPr>
          <w:sz w:val="20"/>
          <w:szCs w:val="20"/>
          <w:color w:val="auto"/>
        </w:rPr>
      </w:pPr>
      <w:r>
        <w:rPr>
          <w:rFonts w:ascii="Courier New" w:cs="Courier New" w:eastAsia="Courier New" w:hAnsi="Courier New"/>
          <w:sz w:val="15"/>
          <w:szCs w:val="15"/>
          <w:color w:val="auto"/>
        </w:rPr>
        <w:t>During the three months ended December 29, 2001, goodwill increased by approximately $1.0 million and other amortizable intangible assets by $1.5 million, primarily due to acquisitions. These additions were offset by amortization expense for the three months ended December 29, 2001 of $1.8 million and decreases due to exchange rates, resulting in a net decrease in total intangible assets of $4.5 million during the period.</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180"/>
          </w:cols>
          <w:pgMar w:left="240" w:top="631"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26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29,</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millions)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Revolving loans under credit facility.....................................</w:t>
            </w:r>
          </w:p>
        </w:tc>
        <w:tc>
          <w:tcPr>
            <w:tcW w:w="5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255.4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263.4</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Term loans under credit facility..........................................</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387.8</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454.9</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398.6</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notes.................................................</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320.9</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319.6</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320.5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Notes due to sellers .....................................................</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40.0</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 and other ......................................</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1,021.5</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1,082.8</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887.8</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portions.....................................................</w:t>
            </w:r>
          </w:p>
        </w:tc>
        <w:tc>
          <w:tcPr>
            <w:tcW w:w="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172.7</w:t>
            </w:r>
          </w:p>
        </w:tc>
        <w:tc>
          <w:tcPr>
            <w:tcW w:w="3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164.1</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71.3</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848.8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918.7</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816.5</w:t>
            </w:r>
          </w:p>
        </w:tc>
      </w:tr>
      <w:tr>
        <w:trPr>
          <w:trHeight w:val="171"/>
        </w:trPr>
        <w:tc>
          <w:tcPr>
            <w:tcW w:w="4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780" w:right="3720"/>
        <w:spacing w:after="0"/>
        <w:rPr>
          <w:sz w:val="20"/>
          <w:szCs w:val="20"/>
          <w:color w:val="auto"/>
        </w:rPr>
      </w:pPr>
      <w:r>
        <w:rPr>
          <w:rFonts w:ascii="Courier New" w:cs="Courier New" w:eastAsia="Courier New" w:hAnsi="Courier New"/>
          <w:sz w:val="15"/>
          <w:szCs w:val="15"/>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w:t>
      </w:r>
    </w:p>
    <w:p>
      <w:pPr>
        <w:spacing w:after="0" w:line="177" w:lineRule="exact"/>
        <w:rPr>
          <w:sz w:val="20"/>
          <w:szCs w:val="20"/>
          <w:color w:val="auto"/>
        </w:rPr>
      </w:pPr>
    </w:p>
    <w:p>
      <w:pPr>
        <w:ind w:left="780" w:right="3720"/>
        <w:spacing w:after="0"/>
        <w:rPr>
          <w:sz w:val="20"/>
          <w:szCs w:val="20"/>
          <w:color w:val="auto"/>
        </w:rPr>
      </w:pPr>
      <w:r>
        <w:rPr>
          <w:rFonts w:ascii="Courier New" w:cs="Courier New" w:eastAsia="Courier New" w:hAnsi="Courier New"/>
          <w:sz w:val="15"/>
          <w:szCs w:val="15"/>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175" w:lineRule="exact"/>
        <w:rPr>
          <w:sz w:val="20"/>
          <w:szCs w:val="20"/>
          <w:color w:val="auto"/>
        </w:rPr>
      </w:pPr>
    </w:p>
    <w:p>
      <w:pPr>
        <w:ind w:left="780" w:right="3820"/>
        <w:spacing w:after="0"/>
        <w:rPr>
          <w:sz w:val="20"/>
          <w:szCs w:val="20"/>
          <w:color w:val="auto"/>
        </w:rPr>
      </w:pPr>
      <w:r>
        <w:rPr>
          <w:rFonts w:ascii="Courier New" w:cs="Courier New" w:eastAsia="Courier New" w:hAnsi="Courier New"/>
          <w:sz w:val="15"/>
          <w:szCs w:val="15"/>
          <w:color w:val="auto"/>
        </w:rPr>
        <w:t>In December 2001, the Amended Credit Agreement was amended to redefine earnings under the covenants, to eliminate the net worth covenant and to modify the covenants pertaining to interest coverage and leverage and amends how proceeds from future equity or subordinated debt offerings, if any, will be used towards mandatory prepayments of revolving credit facility borrowings.</w:t>
      </w:r>
    </w:p>
    <w:p>
      <w:pPr>
        <w:spacing w:after="0" w:line="175" w:lineRule="exact"/>
        <w:rPr>
          <w:sz w:val="20"/>
          <w:szCs w:val="20"/>
          <w:color w:val="auto"/>
        </w:rPr>
      </w:pPr>
    </w:p>
    <w:p>
      <w:pPr>
        <w:ind w:left="780" w:right="3720"/>
        <w:spacing w:after="0"/>
        <w:rPr>
          <w:sz w:val="20"/>
          <w:szCs w:val="20"/>
          <w:color w:val="auto"/>
        </w:rPr>
      </w:pPr>
      <w:r>
        <w:rPr>
          <w:rFonts w:ascii="Courier New" w:cs="Courier New" w:eastAsia="Courier New" w:hAnsi="Courier New"/>
          <w:sz w:val="15"/>
          <w:szCs w:val="15"/>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80" w:lineRule="exact"/>
        <w:rPr>
          <w:sz w:val="20"/>
          <w:szCs w:val="20"/>
          <w:color w:val="auto"/>
        </w:rPr>
      </w:pPr>
    </w:p>
    <w:p>
      <w:pPr>
        <w:ind w:left="780" w:right="3720"/>
        <w:spacing w:after="0"/>
        <w:rPr>
          <w:sz w:val="20"/>
          <w:szCs w:val="20"/>
          <w:color w:val="auto"/>
        </w:rPr>
      </w:pPr>
      <w:r>
        <w:rPr>
          <w:rFonts w:ascii="Courier New" w:cs="Courier New" w:eastAsia="Courier New" w:hAnsi="Courier New"/>
          <w:sz w:val="15"/>
          <w:szCs w:val="15"/>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 The December 2001 amendment increased the amount that may be borrowed in optional currencies to $360 million from $258.8 million.</w:t>
      </w:r>
    </w:p>
    <w:p>
      <w:pPr>
        <w:spacing w:after="0" w:line="181" w:lineRule="exact"/>
        <w:rPr>
          <w:sz w:val="20"/>
          <w:szCs w:val="20"/>
          <w:color w:val="auto"/>
        </w:rPr>
      </w:pPr>
    </w:p>
    <w:p>
      <w:pPr>
        <w:ind w:left="780" w:right="3720"/>
        <w:spacing w:after="0"/>
        <w:rPr>
          <w:sz w:val="20"/>
          <w:szCs w:val="20"/>
          <w:color w:val="auto"/>
        </w:rPr>
      </w:pPr>
      <w:r>
        <w:rPr>
          <w:rFonts w:ascii="Courier New" w:cs="Courier New" w:eastAsia="Courier New" w:hAnsi="Courier New"/>
          <w:sz w:val="15"/>
          <w:szCs w:val="15"/>
          <w:color w:val="auto"/>
        </w:rPr>
        <w:t>Interest rates and commitment fees under the Amended Credit Agreement vary according to the Company's leverage ratios and interest rates also vary within tranches. The weighted-average interest rate on the Company's variable rate borrowings at December 29, 2001 was 7.88% and at September 30, 2001 was 7.85%. In addition, the Amended Credit Agreement requires that Scotts enter into hedge agreements to the extent necessary to provide that at least 50% of the aggregate principal amount of the 8 5/8% Senior Subordinated Notes due 2009 and term loan facilities is subject to 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820"/>
          </w:cols>
          <w:pgMar w:left="240" w:top="1311" w:right="839" w:bottom="116" w:gutter="0" w:footer="0" w:header="0"/>
        </w:sectPr>
      </w:pPr>
    </w:p>
    <w:bookmarkStart w:id="12" w:name="page13"/>
    <w:bookmarkEnd w:id="12"/>
    <w:p>
      <w:pPr>
        <w:ind w:left="789" w:right="3119"/>
        <w:spacing w:after="0"/>
        <w:rPr>
          <w:sz w:val="20"/>
          <w:szCs w:val="20"/>
          <w:color w:val="auto"/>
        </w:rPr>
      </w:pPr>
      <w:r>
        <w:rPr>
          <w:rFonts w:ascii="Courier New" w:cs="Courier New" w:eastAsia="Courier New" w:hAnsi="Courier New"/>
          <w:sz w:val="15"/>
          <w:szCs w:val="15"/>
          <w:color w:val="auto"/>
        </w:rPr>
        <w:t>fixed interest rate or interest rate protection for a period of not less than three years. 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79" w:lineRule="exact"/>
        <w:rPr>
          <w:sz w:val="20"/>
          <w:szCs w:val="20"/>
          <w:color w:val="auto"/>
        </w:rPr>
      </w:pPr>
    </w:p>
    <w:p>
      <w:pPr>
        <w:ind w:left="789" w:right="3399"/>
        <w:spacing w:after="0" w:line="239" w:lineRule="auto"/>
        <w:rPr>
          <w:sz w:val="20"/>
          <w:szCs w:val="20"/>
          <w:color w:val="auto"/>
        </w:rPr>
      </w:pPr>
      <w:r>
        <w:rPr>
          <w:rFonts w:ascii="Courier New" w:cs="Courier New" w:eastAsia="Courier New" w:hAnsi="Courier New"/>
          <w:sz w:val="15"/>
          <w:szCs w:val="15"/>
          <w:color w:val="auto"/>
        </w:rPr>
        <w:t>Approximately $16.9 million of financing costs associated with the revolving credit facility have been deferred as of December 29, 2001 and are being amortized over a period of approximately 7 years, beginning in fiscal year 1999.</w:t>
      </w:r>
    </w:p>
    <w:p>
      <w:pPr>
        <w:spacing w:after="0" w:line="176"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80"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177" w:lineRule="exact"/>
        <w:rPr>
          <w:sz w:val="20"/>
          <w:szCs w:val="20"/>
          <w:color w:val="auto"/>
        </w:rPr>
      </w:pPr>
    </w:p>
    <w:p>
      <w:pPr>
        <w:ind w:left="789" w:right="3119"/>
        <w:spacing w:after="0" w:line="259" w:lineRule="auto"/>
        <w:rPr>
          <w:sz w:val="20"/>
          <w:szCs w:val="20"/>
          <w:color w:val="auto"/>
        </w:rPr>
      </w:pPr>
      <w:r>
        <w:rPr>
          <w:rFonts w:ascii="Courier New" w:cs="Courier New" w:eastAsia="Courier New" w:hAnsi="Courier New"/>
          <w:sz w:val="14"/>
          <w:szCs w:val="14"/>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$7.8 million and $4.5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33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present value of remaining note payments total $13.3 million. The interest rate on these notes is 5.5%.</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The foreign term loans of $2.7 million issued on December 12, 1997, have an 8-year term and bear interest at 1% below LIBOR. The loans are denominated in British Pounds Sterling and can be redeemed, on demand, by the note holder. The foreign bank borrowings of $5.7 million at December 29, 2001 and $3.0 million at December 30, 2000 represent lines of credit for foreign operations and are primarily denominated in French Francs.</w:t>
      </w:r>
    </w:p>
    <w:p>
      <w:pPr>
        <w:spacing w:after="0" w:line="173" w:lineRule="exact"/>
        <w:rPr>
          <w:sz w:val="20"/>
          <w:szCs w:val="20"/>
          <w:color w:val="auto"/>
        </w:rPr>
      </w:pPr>
    </w:p>
    <w:p>
      <w:pPr>
        <w:ind w:left="789" w:hanging="789"/>
        <w:spacing w:after="0"/>
        <w:tabs>
          <w:tab w:leader="none" w:pos="7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rFonts w:ascii="Courier New" w:cs="Courier New" w:eastAsia="Courier New" w:hAnsi="Courier New"/>
          <w:sz w:val="15"/>
          <w:szCs w:val="15"/>
          <w:color w:val="auto"/>
        </w:rPr>
      </w:pPr>
    </w:p>
    <w:p>
      <w:pPr>
        <w:ind w:left="78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EPS are the same because potential common shares (stock options and warrants) outstanding for each period were anti-dilutive and thus not considered in the diluted earnings per common share calculations. The Company did not include 2.2 million and 1.4 million potentially dilutive shares in its diluted earnings per share calculation for the three months ended December 29, 2001 and December 30, 2000, respectively, because to do so would have been anti-dilutive.</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13" w:name="page14"/>
    <w:bookmarkEnd w:id="13"/>
    <w:p>
      <w:pPr>
        <w:ind w:left="789" w:hanging="789"/>
        <w:spacing w:after="0"/>
        <w:tabs>
          <w:tab w:leader="none" w:pos="7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4" w:lineRule="exact"/>
        <w:rPr>
          <w:rFonts w:ascii="Courier New" w:cs="Courier New" w:eastAsia="Courier New" w:hAnsi="Courier New"/>
          <w:sz w:val="15"/>
          <w:szCs w:val="15"/>
          <w:color w:val="auto"/>
        </w:rPr>
      </w:pPr>
    </w:p>
    <w:p>
      <w:pPr>
        <w:ind w:left="789" w:right="4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other comprehensive loss and total comprehensive loss for the three months ended December 29, 2001 and December 30,</w:t>
      </w:r>
    </w:p>
    <w:p>
      <w:pPr>
        <w:spacing w:after="0" w:line="1"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Net loss.............................................................................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Other comprehensive income (expense):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Foreign currency translation adjustments ............................................</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Change in valuation of derivative instruments........................................</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Comprehensive loss...................................................................</w:t>
      </w:r>
    </w:p>
    <w:p>
      <w:pPr>
        <w:spacing w:after="0" w:line="200" w:lineRule="exact"/>
        <w:rPr>
          <w:sz w:val="20"/>
          <w:szCs w:val="20"/>
          <w:color w:val="auto"/>
        </w:rPr>
      </w:pPr>
    </w:p>
    <w:p>
      <w:pPr>
        <w:spacing w:after="0" w:line="321" w:lineRule="exact"/>
        <w:rPr>
          <w:sz w:val="20"/>
          <w:szCs w:val="20"/>
          <w:color w:val="auto"/>
        </w:rPr>
      </w:pPr>
    </w:p>
    <w:p>
      <w:pPr>
        <w:ind w:left="789" w:hanging="789"/>
        <w:spacing w:after="0"/>
        <w:tabs>
          <w:tab w:leader="none" w:pos="7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4" w:lineRule="exact"/>
        <w:rPr>
          <w:rFonts w:ascii="Courier New" w:cs="Courier New" w:eastAsia="Courier New" w:hAnsi="Courier New"/>
          <w:sz w:val="15"/>
          <w:szCs w:val="15"/>
          <w:color w:val="auto"/>
        </w:rPr>
      </w:pPr>
    </w:p>
    <w:p>
      <w:pPr>
        <w:ind w:left="789" w:righ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5"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4" w:lineRule="exact"/>
        <w:rPr>
          <w:rFonts w:ascii="Courier New" w:cs="Courier New" w:eastAsia="Courier New" w:hAnsi="Courier New"/>
          <w:sz w:val="15"/>
          <w:szCs w:val="15"/>
          <w:color w:val="auto"/>
        </w:rPr>
      </w:pPr>
    </w:p>
    <w:p>
      <w:pPr>
        <w:ind w:left="789" w:right="44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and was entered by the court on January 25, 2002.</w:t>
      </w:r>
    </w:p>
    <w:p>
      <w:pPr>
        <w:spacing w:after="0" w:line="164" w:lineRule="exact"/>
        <w:rPr>
          <w:rFonts w:ascii="Courier New" w:cs="Courier New" w:eastAsia="Courier New" w:hAnsi="Courier New"/>
          <w:sz w:val="15"/>
          <w:szCs w:val="15"/>
          <w:color w:val="auto"/>
        </w:rPr>
      </w:pPr>
    </w:p>
    <w:p>
      <w:pPr>
        <w:ind w:left="789" w:righ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Now that the Consent Order has been entered, we are required to pay a $275,000 fine and satisfactorily remediate the Marysville site. Although a final remediation plan has not yet been fully developed, we have already initiated remediation activities with the knowledge and oversight of the Ohio EPA.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177" w:lineRule="exact"/>
        <w:rPr>
          <w:rFonts w:ascii="Courier New" w:cs="Courier New" w:eastAsia="Courier New" w:hAnsi="Courier New"/>
          <w:sz w:val="15"/>
          <w:szCs w:val="15"/>
          <w:color w:val="auto"/>
        </w:rPr>
      </w:pPr>
    </w:p>
    <w:p>
      <w:pPr>
        <w:ind w:left="789" w:right="44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to the dispute with the Ohio EPA, we are negotiating with the Philadelphia District of the U.S. Army Corps of Engineers regarding the possible discontinuation of our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 as of December 29, 2001, but we do not believe that either issue is material.</w:t>
      </w:r>
    </w:p>
    <w:p>
      <w:pPr>
        <w:spacing w:after="0" w:line="166" w:lineRule="exact"/>
        <w:rPr>
          <w:rFonts w:ascii="Courier New" w:cs="Courier New" w:eastAsia="Courier New" w:hAnsi="Courier New"/>
          <w:sz w:val="15"/>
          <w:szCs w:val="15"/>
          <w:color w:val="auto"/>
        </w:rPr>
      </w:pPr>
    </w:p>
    <w:p>
      <w:pPr>
        <w:ind w:left="789" w:righ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DECEMBER 29,</w:t>
      </w:r>
      <w:r>
        <w:rPr>
          <w:sz w:val="20"/>
          <w:szCs w:val="20"/>
          <w:color w:val="auto"/>
        </w:rPr>
        <w:tab/>
      </w:r>
      <w:r>
        <w:rPr>
          <w:rFonts w:ascii="Courier New" w:cs="Courier New" w:eastAsia="Courier New" w:hAnsi="Courier New"/>
          <w:sz w:val="14"/>
          <w:szCs w:val="14"/>
          <w:color w:val="auto"/>
        </w:rPr>
        <w:t>DECEMBER 30,</w:t>
      </w:r>
    </w:p>
    <w:p>
      <w:pPr>
        <w:spacing w:after="0" w:line="1" w:lineRule="exact"/>
        <w:rPr>
          <w:sz w:val="20"/>
          <w:szCs w:val="20"/>
          <w:color w:val="auto"/>
        </w:rPr>
      </w:pPr>
    </w:p>
    <w:p>
      <w:pPr>
        <w:ind w:left="360"/>
        <w:spacing w:after="0"/>
        <w:tabs>
          <w:tab w:leader="none" w:pos="18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1" w:lineRule="exact"/>
        <w:rPr>
          <w:sz w:val="20"/>
          <w:szCs w:val="20"/>
          <w:color w:val="auto"/>
        </w:rPr>
      </w:pPr>
    </w:p>
    <w:p>
      <w:pPr>
        <w:ind w:left="360"/>
        <w:spacing w:after="0"/>
        <w:tabs>
          <w:tab w:leader="none" w:pos="1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none" w:pos="520" w:val="left"/>
          <w:tab w:leader="none" w:pos="1400" w:val="left"/>
          <w:tab w:leader="none" w:pos="1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(46.9)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(51.2)</w:t>
      </w:r>
    </w:p>
    <w:p>
      <w:pPr>
        <w:spacing w:after="0" w:line="171" w:lineRule="exact"/>
        <w:rPr>
          <w:sz w:val="20"/>
          <w:szCs w:val="20"/>
          <w:color w:val="auto"/>
        </w:rPr>
      </w:pPr>
    </w:p>
    <w:p>
      <w:pPr>
        <w:ind w:left="620"/>
        <w:spacing w:after="0"/>
        <w:tabs>
          <w:tab w:leader="none" w:pos="2120" w:val="left"/>
        </w:tabs>
        <w:rPr>
          <w:sz w:val="20"/>
          <w:szCs w:val="20"/>
          <w:color w:val="auto"/>
        </w:rPr>
      </w:pPr>
      <w:r>
        <w:rPr>
          <w:rFonts w:ascii="Courier New" w:cs="Courier New" w:eastAsia="Courier New" w:hAnsi="Courier New"/>
          <w:sz w:val="15"/>
          <w:szCs w:val="15"/>
          <w:color w:val="auto"/>
        </w:rPr>
        <w:t>(0.5)</w:t>
      </w:r>
      <w:r>
        <w:rPr>
          <w:sz w:val="20"/>
          <w:szCs w:val="20"/>
          <w:color w:val="auto"/>
        </w:rPr>
        <w:tab/>
      </w:r>
      <w:r>
        <w:rPr>
          <w:rFonts w:ascii="Courier New" w:cs="Courier New" w:eastAsia="Courier New" w:hAnsi="Courier New"/>
          <w:sz w:val="14"/>
          <w:szCs w:val="14"/>
          <w:color w:val="auto"/>
        </w:rPr>
        <w:t>3.4</w:t>
      </w:r>
    </w:p>
    <w:p>
      <w:pPr>
        <w:spacing w:after="0" w:line="1" w:lineRule="exact"/>
        <w:rPr>
          <w:sz w:val="20"/>
          <w:szCs w:val="20"/>
          <w:color w:val="auto"/>
        </w:rPr>
      </w:pPr>
    </w:p>
    <w:p>
      <w:pPr>
        <w:ind w:left="720"/>
        <w:spacing w:after="0"/>
        <w:tabs>
          <w:tab w:leader="none" w:pos="2120" w:val="left"/>
        </w:tabs>
        <w:rPr>
          <w:sz w:val="20"/>
          <w:szCs w:val="20"/>
          <w:color w:val="auto"/>
        </w:rPr>
      </w:pPr>
      <w:r>
        <w:rPr>
          <w:rFonts w:ascii="Courier New" w:cs="Courier New" w:eastAsia="Courier New" w:hAnsi="Courier New"/>
          <w:sz w:val="15"/>
          <w:szCs w:val="15"/>
          <w:color w:val="auto"/>
        </w:rPr>
        <w:t>0.4</w:t>
      </w:r>
      <w:r>
        <w:rPr>
          <w:sz w:val="20"/>
          <w:szCs w:val="20"/>
          <w:color w:val="auto"/>
        </w:rPr>
        <w:tab/>
      </w:r>
      <w:r>
        <w:rPr>
          <w:rFonts w:ascii="Courier New" w:cs="Courier New" w:eastAsia="Courier New" w:hAnsi="Courier New"/>
          <w:sz w:val="14"/>
          <w:szCs w:val="14"/>
          <w:color w:val="auto"/>
        </w:rPr>
        <w:t>0.5</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tabs>
          <w:tab w:leader="none" w:pos="520" w:val="left"/>
          <w:tab w:leader="none" w:pos="1400" w:val="left"/>
          <w:tab w:leader="none" w:pos="1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(47.0)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(47.3)</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549" w:space="520"/>
            <w:col w:w="2580"/>
          </w:cols>
          <w:pgMar w:left="231" w:top="799" w:right="1019" w:bottom="628" w:gutter="0" w:footer="0" w:header="0"/>
        </w:sectPr>
      </w:pPr>
    </w:p>
    <w:bookmarkStart w:id="14" w:name="page15"/>
    <w:bookmarkEnd w:id="14"/>
    <w:p>
      <w:pPr>
        <w:ind w:right="3219"/>
        <w:spacing w:after="0"/>
        <w:rPr>
          <w:sz w:val="20"/>
          <w:szCs w:val="20"/>
          <w:color w:val="auto"/>
        </w:rPr>
      </w:pPr>
      <w:r>
        <w:rPr>
          <w:rFonts w:ascii="Courier New" w:cs="Courier New" w:eastAsia="Courier New" w:hAnsi="Courier New"/>
          <w:sz w:val="15"/>
          <w:szCs w:val="15"/>
          <w:color w:val="auto"/>
        </w:rPr>
        <w:t>these areas and it is possible that these authorities could modify or revoke the applicable consents enabling peat extraction, in which case we believe we should be entitled to compensation and we believe we would have sufficient raw material supplies available to replace the peat produced in such areas.</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During fiscal year 2001, we spent approximately $0.6 million in environmental capital expenditures and $2.1 million in other environmental expenses, compared with approximately $0.8 million in environmental capital expenditures and $1.8 million in other environmental expenses in fiscal year 2000. We anticipate that our environmental capital expenditures and other environmental expenses for fiscal year 2002 will not differ significantly from those incurred in fiscal year 2001.</w:t>
      </w:r>
    </w:p>
    <w:p>
      <w:pPr>
        <w:spacing w:after="0" w:line="177"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At December 29, 2001, $6.2 million is accrued for the environmental matters described herein. The significant components of the accrual are: (i) costs for site remediation of $3.9 million; (ii) costs for asbestos abatement of $1.8 million; and (iii) fines and penalties of $0.5 million. The significant portion of the costs accrued as of December 29, 2001 are expected to be paid in fiscal 2002 and 2003; however, payments could be made for a period thereafter.</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believe that the amounts accrued as of December 29, 2001 are adequate to cover known environmental exposures based on current facts and estimates of likely outcome. However, the adequacy of these accruals is based on several significant assumptions:</w:t>
      </w:r>
    </w:p>
    <w:p>
      <w:pPr>
        <w:spacing w:after="0" w:line="176" w:lineRule="exact"/>
        <w:rPr>
          <w:sz w:val="20"/>
          <w:szCs w:val="20"/>
          <w:color w:val="auto"/>
        </w:rPr>
      </w:pPr>
    </w:p>
    <w:p>
      <w:pPr>
        <w:ind w:left="800" w:right="3119" w:hanging="790"/>
        <w:spacing w:after="0" w:line="238"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4" w:lineRule="exact"/>
        <w:rPr>
          <w:rFonts w:ascii="Courier New" w:cs="Courier New" w:eastAsia="Courier New" w:hAnsi="Courier New"/>
          <w:sz w:val="15"/>
          <w:szCs w:val="15"/>
          <w:color w:val="auto"/>
        </w:rPr>
      </w:pPr>
    </w:p>
    <w:p>
      <w:pPr>
        <w:ind w:left="800" w:right="3919" w:hanging="790"/>
        <w:spacing w:after="0" w:line="271" w:lineRule="auto"/>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 and</w:t>
      </w:r>
    </w:p>
    <w:p>
      <w:pPr>
        <w:spacing w:after="0" w:line="153" w:lineRule="exact"/>
        <w:rPr>
          <w:rFonts w:ascii="Courier New" w:cs="Courier New" w:eastAsia="Courier New" w:hAnsi="Courier New"/>
          <w:sz w:val="14"/>
          <w:szCs w:val="14"/>
          <w:color w:val="auto"/>
        </w:rPr>
      </w:pPr>
    </w:p>
    <w:p>
      <w:pPr>
        <w:ind w:left="800" w:right="3219" w:hanging="790"/>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18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courts invalidate the Roundup(R) marketing agreement as violative of the federal antitrust laws. On September 20, 1999, Scotts filed an answer denying liability and asserting counterclaims that it was fraudulently induced to enter into the agreement</w:t>
      </w:r>
    </w:p>
    <w:p>
      <w:pPr>
        <w:spacing w:after="0" w:line="200" w:lineRule="exact"/>
        <w:rPr>
          <w:sz w:val="20"/>
          <w:szCs w:val="20"/>
          <w:color w:val="auto"/>
        </w:rPr>
      </w:pPr>
    </w:p>
    <w:p>
      <w:pPr>
        <w:spacing w:after="0" w:line="31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31" w:right="1440" w:bottom="1440" w:gutter="0" w:footer="0" w:header="0"/>
        </w:sectPr>
      </w:pPr>
    </w:p>
    <w:bookmarkStart w:id="15" w:name="page16"/>
    <w:bookmarkEnd w:id="15"/>
    <w:p>
      <w:pPr>
        <w:ind w:right="3119"/>
        <w:spacing w:after="0"/>
        <w:rPr>
          <w:sz w:val="20"/>
          <w:szCs w:val="20"/>
          <w:color w:val="auto"/>
        </w:rPr>
      </w:pPr>
      <w:r>
        <w:rPr>
          <w:rFonts w:ascii="Courier New" w:cs="Courier New" w:eastAsia="Courier New" w:hAnsi="Courier New"/>
          <w:sz w:val="15"/>
          <w:szCs w:val="15"/>
          <w:color w:val="auto"/>
        </w:rPr>
        <w:t>for the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On May 5, 2000, AgrEvo amended its complaint to add a claim for fraud and to incorporate the Delaware Action described below. Thereafter, Scotts moved to dismiss the new claims, and the defendants renewed their pending motions to dismiss. On June 2, 2000, the court (i) granted Scotts' motion to dismiss the fraud claim AgrEvo had added to its complaint; (ii) granted AgrEvo's motion to dismiss Scotts' fraudulent-inducement counterclaim; (iii) denied AgrEvo's motion to dismiss Scotts' counterclaims related to breach of representations and warranties; and (iv) denied defendants' motion to dismiss the antitrust claims. On July 14, 2000, Scotts served an answer to AgrEvo's amended complaint and re-pleaded its fraud counterclaim.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19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If the above actions are determined adversely to the Company, the result could have a material adverse effect on the Company's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176"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Based on these allegations, Central Garden has asserted several causes of action, including fraudulent misrepresentation, and seeks damages in excess of $900 million. The Company believes that the preliminary discussions regarding any acquisition from Pharmacia that occurred are not actionable under any legal theory.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Garden alleges was improperly seized by the Company. These allegations are made without regard to the fact that the amounts sought from Central Garden in litigation filed by the Company and Pharmacia are net of any such alleged credit. The Company believes all of Central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631" w:right="1440" w:bottom="969" w:gutter="0" w:footer="0" w:header="0"/>
        </w:sectPr>
      </w:pPr>
    </w:p>
    <w:bookmarkStart w:id="16" w:name="page17"/>
    <w:bookmarkEnd w:id="16"/>
    <w:p>
      <w:pPr>
        <w:ind w:right="3479"/>
        <w:spacing w:after="0" w:line="239" w:lineRule="auto"/>
        <w:rPr>
          <w:sz w:val="20"/>
          <w:szCs w:val="20"/>
          <w:color w:val="auto"/>
        </w:rPr>
      </w:pPr>
      <w:r>
        <w:rPr>
          <w:rFonts w:ascii="Courier New" w:cs="Courier New" w:eastAsia="Courier New" w:hAnsi="Courier New"/>
          <w:sz w:val="15"/>
          <w:szCs w:val="15"/>
          <w:color w:val="auto"/>
        </w:rPr>
        <w:t>Garden's counterclaims in Ohio are without merit and it intends to vigorously defend against them. The trial date for the Ohio federal action is set for March 25, 2002.</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PHARMACIA CORPORATION V. CENTRAL GARDEN, CIRCUIT COURT OF ST. LOUIS, MISSOURI.</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June 30, 2000 Pharmacia Corporation filed suit against Central Garden in Missouri state court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January 29, 2001, Central Garden filed its answer and cross-claims and counterclaims in the Missouri action. On June 23, 2001, Scotts filed a cross-claim against Central Garden for an equitable accounting to establish the parties' relative financial positions under the Alliance Agreement at the conclusion of that that agreement. On August 10, 2001, the Missouri court granted Central Garden leave to file amended counterclaims and cross-claims relating to the Alliance Agreement and seeking an unspecified amount of damages. The claims then pending in Missouri against Scotts were for declaratory relief and an accounting, various breaches of contract, breach of an indemnification agreement, promissory estoppel, promissory fraud and unfair business practices under Section 17200 of the California Business and Professions Code. By order of the Missouri court, Central Garden's unfair business practices claims were stayed pending resolution of the action pending between the parties in the United States District Court for the Northern District of California.</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October 1, 2001, Scotts moved for summary judgment on Central Garden's claims of breach of an indemnification agreement, promissory estoppel and promissory fraud. On November 15, 2001, the Missouri court held a hearing on Scotts' summary judgment motion and took the motion under submission.</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January 28, 2002, Central Garden and Pharmacia reported that they reached a settlement in the Missouri action pursuant to which Pharmacia dismissed its claims against Central Garden in the Missouri action, and Central Garden dismissed its counterclaims against Pharmacia in the Missouri action and its claims against Pharmacia in the California federal and state actions described below. In connection with its settlement with Pharmacia, Central Garden also dismissed all of its legal claims against Scotts arising under the Alliance Agreements, reserving only such equitable claims as it might have under the Alliance Agreements. We are still reviewing the effect of this settlement on Scotts, but we do not believe that it will have a material adverse impact on our on-going litigation with Central Garden.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was set to conclude in December 2001. The trial date for the California federal action is set for July 15, 2002. As described above, Central Garden and Pharmacia have settled some or all of their claims relating to this action.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w:t>
      </w:r>
    </w:p>
    <w:p>
      <w:pPr>
        <w:spacing w:after="0" w:line="200" w:lineRule="exact"/>
        <w:rPr>
          <w:sz w:val="20"/>
          <w:szCs w:val="20"/>
          <w:color w:val="auto"/>
        </w:rPr>
      </w:pPr>
    </w:p>
    <w:p>
      <w:pPr>
        <w:spacing w:after="0" w:line="31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631" w:right="1440" w:bottom="969" w:gutter="0" w:footer="0" w:header="0"/>
        </w:sectPr>
      </w:pPr>
    </w:p>
    <w:bookmarkStart w:id="17" w:name="page18"/>
    <w:bookmarkEnd w:id="17"/>
    <w:p>
      <w:pPr>
        <w:ind w:left="789" w:right="3399"/>
        <w:spacing w:after="0" w:line="271" w:lineRule="auto"/>
        <w:rPr>
          <w:sz w:val="20"/>
          <w:szCs w:val="20"/>
          <w:color w:val="auto"/>
        </w:rPr>
      </w:pPr>
      <w:r>
        <w:rPr>
          <w:rFonts w:ascii="Courier New" w:cs="Courier New" w:eastAsia="Courier New" w:hAnsi="Courier New"/>
          <w:sz w:val="14"/>
          <w:szCs w:val="14"/>
          <w:color w:val="auto"/>
        </w:rPr>
        <w:t>above) that involve the same subject matter. By order dated February 23, 2001, the Superior Court stayed the action pending before it.</w:t>
      </w:r>
    </w:p>
    <w:p>
      <w:pPr>
        <w:spacing w:after="0" w:line="15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 As described above, Central Garden and Pharmacia have settled some or all of their claims relating to this action.</w:t>
      </w:r>
    </w:p>
    <w:p>
      <w:pPr>
        <w:spacing w:after="0" w:line="177"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Scotts believes that all of Central Garden's federal and state claims are entirely without merit and intend to vigorously defend against them. If the above actions are determined adversely to Scotts, the result could have a material adverse effect on Scotts' results of operations, financial position and cash flows. Scotts believes that it will prevail in the Central Garden matters and that any potential exposure that Scotts may face cannot be reasonably estimated. Therefore, no accrual has been established related to claims brought against Scotts by Central Garden.</w:t>
      </w:r>
    </w:p>
    <w:p>
      <w:pPr>
        <w:spacing w:after="0" w:line="175" w:lineRule="exact"/>
        <w:rPr>
          <w:sz w:val="20"/>
          <w:szCs w:val="20"/>
          <w:color w:val="auto"/>
        </w:rPr>
      </w:pPr>
    </w:p>
    <w:p>
      <w:pPr>
        <w:ind w:left="789" w:hanging="789"/>
        <w:spacing w:after="0"/>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rFonts w:ascii="Courier New" w:cs="Courier New" w:eastAsia="Courier New" w:hAnsi="Courier New"/>
          <w:sz w:val="15"/>
          <w:szCs w:val="15"/>
          <w:color w:val="auto"/>
        </w:rPr>
      </w:pPr>
    </w:p>
    <w:p>
      <w:pPr>
        <w:ind w:left="78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Credit Facility.</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The Company adopted the guidance in the first quarter of fiscal 2002. See Note 5 for disclosures about intangible assets and amortization expense.</w:t>
      </w:r>
    </w:p>
    <w:p>
      <w:pPr>
        <w:spacing w:after="0" w:line="173"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4" w:lineRule="exact"/>
        <w:rPr>
          <w:rFonts w:ascii="Courier New" w:cs="Courier New" w:eastAsia="Courier New" w:hAnsi="Courier New"/>
          <w:sz w:val="15"/>
          <w:szCs w:val="15"/>
          <w:color w:val="auto"/>
        </w:rPr>
      </w:pPr>
    </w:p>
    <w:p>
      <w:pPr>
        <w:jc w:val="both"/>
        <w:ind w:left="78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fiscal 2002, the Company is divided into four reportable segments - North American Consumer, Scotts LawnService(R), Global Professional and International Consumer. The North American Consumer segment consists of the Lawns, Gardens, Growing Media, Ortho and Canadian business units.</w:t>
      </w: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17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176" w:lineRule="exact"/>
        <w:rPr>
          <w:rFonts w:ascii="Courier New" w:cs="Courier New" w:eastAsia="Courier New" w:hAnsi="Courier New"/>
          <w:sz w:val="15"/>
          <w:szCs w:val="15"/>
          <w:color w:val="auto"/>
        </w:rPr>
      </w:pPr>
    </w:p>
    <w:p>
      <w:pPr>
        <w:ind w:left="78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63" w:lineRule="exact"/>
        <w:rPr>
          <w:rFonts w:ascii="Courier New" w:cs="Courier New" w:eastAsia="Courier New" w:hAnsi="Courier New"/>
          <w:sz w:val="15"/>
          <w:szCs w:val="15"/>
          <w:color w:val="auto"/>
        </w:rPr>
      </w:pPr>
    </w:p>
    <w:p>
      <w:pPr>
        <w:ind w:left="78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w:t>
      </w:r>
    </w:p>
    <w:p>
      <w:pPr>
        <w:spacing w:after="0" w:line="175" w:lineRule="exact"/>
        <w:rPr>
          <w:rFonts w:ascii="Courier New" w:cs="Courier New" w:eastAsia="Courier New" w:hAnsi="Courier New"/>
          <w:sz w:val="15"/>
          <w:szCs w:val="15"/>
          <w:color w:val="auto"/>
        </w:rPr>
      </w:pPr>
    </w:p>
    <w:p>
      <w:pPr>
        <w:ind w:left="78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31" w:right="1440" w:bottom="1440" w:gutter="0" w:footer="0" w:header="0"/>
        </w:sectPr>
      </w:pPr>
    </w:p>
    <w:bookmarkStart w:id="18" w:name="page19"/>
    <w:bookmarkEnd w:id="18"/>
    <w:p>
      <w:pPr>
        <w:ind w:left="789" w:right="4340"/>
        <w:spacing w:after="0"/>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 amounts have been restated to conform to this basis of presentation.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NORTH AMERICAN</w:t>
            </w:r>
          </w:p>
        </w:tc>
        <w:tc>
          <w:tcPr>
            <w:tcW w:w="36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SCOTTS</w:t>
            </w:r>
          </w:p>
        </w:tc>
        <w:tc>
          <w:tcPr>
            <w:tcW w:w="1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GLOBAL</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w:t>
            </w:r>
          </w:p>
        </w:tc>
        <w:tc>
          <w:tcPr>
            <w:tcW w:w="18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16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CONSUMER</w:t>
            </w:r>
          </w:p>
        </w:tc>
        <w:tc>
          <w:tcPr>
            <w:tcW w:w="15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LAWNSERVICE(R)</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6"/>
              </w:rPr>
              <w:t>PROFESSIONAL</w:t>
            </w:r>
          </w:p>
        </w:tc>
        <w:tc>
          <w:tcPr>
            <w:tcW w:w="22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CONSUMER</w:t>
            </w: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CORPORATE</w:t>
            </w:r>
          </w:p>
        </w:tc>
        <w:tc>
          <w:tcPr>
            <w:tcW w:w="1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jc w:val="right"/>
              <w:ind w:right="2226"/>
              <w:spacing w:after="0"/>
              <w:rPr>
                <w:sz w:val="20"/>
                <w:szCs w:val="20"/>
                <w:color w:val="auto"/>
              </w:rPr>
            </w:pPr>
            <w:r>
              <w:rPr>
                <w:rFonts w:ascii="Courier New" w:cs="Courier New" w:eastAsia="Courier New" w:hAnsi="Courier New"/>
                <w:sz w:val="15"/>
                <w:szCs w:val="15"/>
                <w:color w:val="auto"/>
                <w:w w:val="97"/>
              </w:rPr>
              <w:t>-------------</w:t>
            </w:r>
          </w:p>
        </w:tc>
        <w:tc>
          <w:tcPr>
            <w:tcW w:w="640" w:type="dxa"/>
            <w:vAlign w:val="bottom"/>
          </w:tcPr>
          <w:p>
            <w:pPr>
              <w:spacing w:after="0"/>
              <w:rPr>
                <w:sz w:val="14"/>
                <w:szCs w:val="14"/>
                <w:color w:val="auto"/>
              </w:rPr>
            </w:pP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77.8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163.0</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146.6</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Operations: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2001 ..............................</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4"/>
                <w:szCs w:val="14"/>
                <w:color w:val="auto"/>
              </w:rPr>
            </w:pP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(37.8%)</w:t>
            </w:r>
          </w:p>
        </w:tc>
        <w:tc>
          <w:tcPr>
            <w:tcW w:w="3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(24.1%)</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(16.4%)</w:t>
            </w:r>
          </w:p>
        </w:tc>
        <w:tc>
          <w:tcPr>
            <w:tcW w:w="18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14"/>
                <w:szCs w:val="14"/>
                <w:color w:val="auto"/>
              </w:rPr>
            </w:pPr>
          </w:p>
        </w:tc>
        <w:tc>
          <w:tcPr>
            <w:tcW w:w="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(51.0%)</w:t>
            </w:r>
          </w:p>
        </w:tc>
        <w:tc>
          <w:tcPr>
            <w:tcW w:w="3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nm</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163.8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326.2</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2001 ..............................</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315.4</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1,212.6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100.8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1,918.1</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Q1</w:t>
            </w:r>
          </w:p>
        </w:tc>
        <w:tc>
          <w:tcPr>
            <w:tcW w:w="3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1,199.2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84.7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1,893.5</w:t>
            </w:r>
          </w:p>
        </w:tc>
      </w:tr>
      <w:tr>
        <w:trPr>
          <w:trHeight w:val="512"/>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nm</w:t>
            </w:r>
          </w:p>
        </w:tc>
        <w:tc>
          <w:tcPr>
            <w:tcW w:w="346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Not meaningful.</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4" w:lineRule="exact"/>
        <w:rPr>
          <w:sz w:val="20"/>
          <w:szCs w:val="20"/>
          <w:color w:val="auto"/>
        </w:rPr>
      </w:pPr>
    </w:p>
    <w:p>
      <w:pPr>
        <w:ind w:left="789" w:right="4520"/>
        <w:spacing w:after="0"/>
        <w:rPr>
          <w:sz w:val="20"/>
          <w:szCs w:val="20"/>
          <w:color w:val="auto"/>
        </w:rPr>
      </w:pPr>
      <w:r>
        <w:rPr>
          <w:rFonts w:ascii="Courier New" w:cs="Courier New" w:eastAsia="Courier New" w:hAnsi="Courier New"/>
          <w:sz w:val="15"/>
          <w:szCs w:val="15"/>
          <w:color w:val="auto"/>
        </w:rPr>
        <w:t>Income (loss) from Operations reported for Scotts' four operating segments represents earnings before amortization, interest and taxes, since this is the measure of profitability used by management. Accordingly, Corporate operating loss for the three months ended December 29, 2001 and December 30, 2000 includes amortization of certain assets, corporate general and administrative expenses, and certain "other" income/expense not allocated to the business segments and North America restructuring charges.</w:t>
      </w:r>
    </w:p>
    <w:p>
      <w:pPr>
        <w:spacing w:after="0" w:line="177" w:lineRule="exact"/>
        <w:rPr>
          <w:sz w:val="20"/>
          <w:szCs w:val="20"/>
          <w:color w:val="auto"/>
        </w:rPr>
      </w:pPr>
    </w:p>
    <w:p>
      <w:pPr>
        <w:ind w:left="789" w:right="4340"/>
        <w:spacing w:after="0" w:line="262" w:lineRule="auto"/>
        <w:rPr>
          <w:sz w:val="20"/>
          <w:szCs w:val="20"/>
          <w:color w:val="auto"/>
        </w:rPr>
      </w:pPr>
      <w:r>
        <w:rPr>
          <w:rFonts w:ascii="Courier New" w:cs="Courier New" w:eastAsia="Courier New" w:hAnsi="Courier New"/>
          <w:sz w:val="14"/>
          <w:szCs w:val="14"/>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158" w:lineRule="exact"/>
        <w:rPr>
          <w:sz w:val="20"/>
          <w:szCs w:val="20"/>
          <w:color w:val="auto"/>
        </w:rPr>
      </w:pPr>
    </w:p>
    <w:p>
      <w:pPr>
        <w:ind w:left="789" w:hanging="789"/>
        <w:spacing w:after="0"/>
        <w:tabs>
          <w:tab w:leader="none" w:pos="78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4" w:lineRule="exact"/>
        <w:rPr>
          <w:rFonts w:ascii="Courier New" w:cs="Courier New" w:eastAsia="Courier New" w:hAnsi="Courier New"/>
          <w:sz w:val="15"/>
          <w:szCs w:val="15"/>
          <w:color w:val="auto"/>
        </w:rPr>
      </w:pPr>
    </w:p>
    <w:p>
      <w:pPr>
        <w:ind w:left="789" w:right="4340"/>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These Notes were subsequently registered in December 2000.</w:t>
      </w:r>
    </w:p>
    <w:p>
      <w:pPr>
        <w:spacing w:after="0" w:line="176" w:lineRule="exact"/>
        <w:rPr>
          <w:rFonts w:ascii="Courier New" w:cs="Courier New" w:eastAsia="Courier New" w:hAnsi="Courier New"/>
          <w:sz w:val="15"/>
          <w:szCs w:val="15"/>
          <w:color w:val="auto"/>
        </w:rPr>
      </w:pPr>
    </w:p>
    <w:p>
      <w:pPr>
        <w:ind w:left="789" w:right="4340"/>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200" w:lineRule="exact"/>
        <w:rPr>
          <w:sz w:val="20"/>
          <w:szCs w:val="20"/>
          <w:color w:val="auto"/>
        </w:rPr>
      </w:pPr>
    </w:p>
    <w:p>
      <w:pPr>
        <w:spacing w:after="0" w:line="30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449"/>
          </w:cols>
          <w:pgMar w:left="231" w:top="631" w:right="219" w:bottom="1440" w:gutter="0" w:footer="0" w:header="0"/>
        </w:sectPr>
      </w:pPr>
    </w:p>
    <w:bookmarkStart w:id="19" w:name="page20"/>
    <w:bookmarkEnd w:id="19"/>
    <w:p>
      <w:pPr>
        <w:ind w:right="3119"/>
        <w:spacing w:after="0"/>
        <w:rPr>
          <w:sz w:val="20"/>
          <w:szCs w:val="20"/>
          <w:color w:val="auto"/>
        </w:rPr>
      </w:pPr>
      <w:r>
        <w:rPr>
          <w:rFonts w:ascii="Courier New" w:cs="Courier New" w:eastAsia="Courier New" w:hAnsi="Courier New"/>
          <w:sz w:val="15"/>
          <w:szCs w:val="15"/>
          <w:color w:val="auto"/>
        </w:rPr>
        <w:t>The following unaudited information presents consolidating Statements of Operations, Statements of Cash Flows and Balance Sheets for the three-month periods ended December 29, 2001 and December 30, 2000. 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31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39"/>
          </w:cols>
          <w:pgMar w:left="1020" w:top="631"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FOR THE THREE MONTHS ENDED DECEMBER 29, 2001 (IN MILLIONS)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ELIMINATIONS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r>
      <w:tr>
        <w:trPr>
          <w:trHeight w:val="512"/>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Cost of sales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130.9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Restructuring and other charges......................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Gross commission earned from agency agreement .......</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Costs associated with  agency agreement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Net commission earned from agency agreement.......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Advertising and promotion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75.3</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Restructuring and other charges...................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0.8</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Amortization of goodwill and other intangibles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Equity income in subsidiaries........................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Intracompany allocations.............................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expenses, net ........................</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Income (loss) from operations........................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(49.9)</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(13.3)</w:t>
            </w: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(57.8)</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Interest expense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(67.4)</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Income taxes ........................................</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000"/>
          </w:cols>
          <w:pgMar w:left="240" w:top="1311" w:right="65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 PERIOD ENDED DECEMBER 29, 2001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ELIMINATIONS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520"/>
              <w:spacing w:after="0"/>
              <w:rPr>
                <w:sz w:val="20"/>
                <w:szCs w:val="20"/>
                <w:color w:val="auto"/>
              </w:rPr>
            </w:pPr>
            <w:r>
              <w:rPr>
                <w:rFonts w:ascii="Courier New" w:cs="Courier New" w:eastAsia="Courier New" w:hAnsi="Courier New"/>
                <w:sz w:val="15"/>
                <w:szCs w:val="15"/>
                <w:color w:val="auto"/>
              </w:rPr>
              <w:t>net cash used in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Depreciation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7.9</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Amortization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Equity (income) loss in non-guarantors............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of working capital ...............................</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liabilities and other adjustments.................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cash used in operating activities................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(74.0)</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(31.2)</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(36.2)</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(141.4)</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Investment in property, plant and equipment..........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net of cash acquired..............................</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Payments on seller notes.............................</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cash used in investing activities................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w w:val="99"/>
              </w:rPr>
              <w:t>and bank lines of credit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86.5</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162.2</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Gross borrowings under term loans....................</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Gross repayments under term loans....................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Cash received from the exercise of stock options.....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Intracompany financing ..............................</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cash provided by financing activities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160.2</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increase (decrease) in cash......................</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 beginning of period.......</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 end of period.............</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000"/>
          </w:cols>
          <w:pgMar w:left="240" w:top="628" w:right="65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29, 2001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ELIMINATIONS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w:t>
            </w:r>
          </w:p>
        </w:tc>
        <w:tc>
          <w:tcPr>
            <w:tcW w:w="13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62.5</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88.9</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304.4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81.4</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87.9</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473.7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tax asset........................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52.3</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39.4</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417.6</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147.9</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205.5</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771.0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38.5</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314.6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477.9</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258.5</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766.6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 in affiliates.............................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890.3</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(890.3)</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assets .................................</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(174.0)</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$ 1,589.5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872.0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520.9</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(1,064.3)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1,918.1</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28.5</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172.7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61.6</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51.1</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336.6</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138.9</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530.3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540.5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303.2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848.8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174.0</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(174.0)</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1,098.2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467.4</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(174.0)</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1,453.3</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(554.7)</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 stated value per share....................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399.4</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399.4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Shares, no par value....................</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326.2</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(335.6)</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165.4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 stock, 2.3 shares at cost................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(34.8)</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shareholders' equity...........................</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491.3</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810.3</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53.5</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(890.3)</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464.8</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$ 1,589.5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872.0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520.9</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(1,064.3)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1,918.1</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853"/>
        </w:trPr>
        <w:tc>
          <w:tcPr>
            <w:tcW w:w="47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000"/>
          </w:cols>
          <w:pgMar w:left="240" w:top="1140" w:right="65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DECEMBER 30, 2000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SUBSIDIARY</w:t>
            </w:r>
          </w:p>
        </w:tc>
        <w:tc>
          <w:tcPr>
            <w:tcW w:w="3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NON-</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PARENT</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GUARANTORS</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GUARANTORS</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ELIMINATIONS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512"/>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sales..........................................</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59.2</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146.6</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sales......................................</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25.0</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115.0</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Gross profit.......................................</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Gross commission earned from agency agreement......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2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Costs associated with agency agreement.............</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4.6</w:t>
            </w:r>
          </w:p>
        </w:tc>
        <w:tc>
          <w:tcPr>
            <w:tcW w:w="2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2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4600" w:type="dxa"/>
            <w:vAlign w:val="bottom"/>
          </w:tcPr>
          <w:p>
            <w:pPr>
              <w:jc w:val="right"/>
              <w:ind w:right="2846"/>
              <w:spacing w:after="0"/>
              <w:rPr>
                <w:sz w:val="20"/>
                <w:szCs w:val="20"/>
                <w:color w:val="auto"/>
              </w:rPr>
            </w:pPr>
            <w:r>
              <w:rPr>
                <w:rFonts w:ascii="Courier New" w:cs="Courier New" w:eastAsia="Courier New" w:hAnsi="Courier New"/>
                <w:sz w:val="15"/>
                <w:szCs w:val="15"/>
                <w:color w:val="auto"/>
                <w:w w:val="97"/>
              </w:rPr>
              <w:t>Operating expenses: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Advertising and promotion.......................</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39.0</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Equity loss in subsidiaries........................</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22.6</w:t>
            </w:r>
          </w:p>
        </w:tc>
        <w:tc>
          <w:tcPr>
            <w:tcW w:w="2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(22.6)</w:t>
            </w:r>
          </w:p>
        </w:tc>
        <w:tc>
          <w:tcPr>
            <w:tcW w:w="40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allocations...........................</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expense (income), net .......................</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24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(loss) from operations......................</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(50.5)</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(23.2)</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 expense..........................</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(loss) before income taxes..................</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(70.2)</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taxes.......................................</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w:t>
            </w:r>
          </w:p>
        </w:tc>
        <w:tc>
          <w:tcPr>
            <w:tcW w:w="2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1"/>
        </w:trPr>
        <w:tc>
          <w:tcPr>
            <w:tcW w:w="460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820"/>
          </w:cols>
          <w:pgMar w:left="240" w:top="1311" w:right="83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 PERIOD ENDED DECEMBER 30, 2000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2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ELIMINATIONS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22.6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(51.2)</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2046"/>
              <w:spacing w:after="0"/>
              <w:rPr>
                <w:sz w:val="20"/>
                <w:szCs w:val="20"/>
                <w:color w:val="auto"/>
              </w:rPr>
            </w:pPr>
            <w:r>
              <w:rPr>
                <w:rFonts w:ascii="Courier New" w:cs="Courier New" w:eastAsia="Courier New" w:hAnsi="Courier New"/>
                <w:sz w:val="15"/>
                <w:szCs w:val="15"/>
                <w:color w:val="auto"/>
              </w:rPr>
              <w:t>in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Equity (income) loss in subsidiaries..............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(22.6)</w:t>
            </w:r>
          </w:p>
        </w:tc>
        <w:tc>
          <w:tcPr>
            <w:tcW w:w="14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Net change in certain components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working capital................................</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(81.9)</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(171.0)</w:t>
            </w:r>
          </w:p>
        </w:tc>
      </w:tr>
      <w:tr>
        <w:trPr>
          <w:trHeight w:val="171"/>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Net changes in other assets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and other adjustments..............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(98.9)</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(81.0)</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(202.4)</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 in property, plant and equipment..........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Investments in acquired businesses,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of cash acquired...........................</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Payments on seller notes.............................</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bank lines of credit..........................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221.7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Gross borrowings under term loans....................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260.0</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Gross repayments under term loans....................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(264.5)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received from exercise of stock options.........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financing...............................</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98.2</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89.9</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98.2</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220.5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0.7</w:t>
            </w:r>
          </w:p>
        </w:tc>
      </w:tr>
      <w:tr>
        <w:trPr>
          <w:trHeight w:val="171"/>
        </w:trPr>
        <w:tc>
          <w:tcPr>
            <w:tcW w:w="47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853"/>
        </w:trPr>
        <w:tc>
          <w:tcPr>
            <w:tcW w:w="47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000"/>
          </w:cols>
          <w:pgMar w:left="240" w:top="1311" w:right="65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30, 2000 (IN MILLIONS)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SUBSIDIARY</w:t>
            </w: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NON-</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PARENT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ELIMINATIONS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CONSOLIDATED</w:t>
            </w:r>
          </w:p>
        </w:tc>
      </w:tr>
      <w:tr>
        <w:trPr>
          <w:trHeight w:val="17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w:t>
            </w:r>
          </w:p>
        </w:tc>
        <w:tc>
          <w:tcPr>
            <w:tcW w:w="134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75.4</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89.8</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208.9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286.0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82.1</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450.3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tax asset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and other assets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58.1</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208.3</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768.0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40.0</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294.1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270.5</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233.7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242.4</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746.6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74.5</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 in affiliates.............................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908.5</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(908.5)</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assets..................................</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434.3</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(449.5)</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$ 1,866.0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869.3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516.2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(1,358.0)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1,893.5</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147.6</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w:t>
            </w:r>
          </w:p>
        </w:tc>
        <w:tc>
          <w:tcPr>
            <w:tcW w:w="134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164.1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88.9</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173.0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114.2</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173.2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332.0</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110.9</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488.7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615.6</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303.1</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918.7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 ...................................</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34.0</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Intracompany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449.5</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(449.5)</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8"/>
              </w:rPr>
              <w:t>1,431.1</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431.8</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(449.5)</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1,459.2</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from parent............................</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590.6</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(643.1)</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Common shares, no par value per share,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 stated value per share....................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390.2</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390.2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shares, no par value....................</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145.6</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235.7</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(265.4)</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145.6</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 stock, 3.2 shares at cost................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(80.8)</w:t>
            </w:r>
          </w:p>
        </w:tc>
        <w:tc>
          <w:tcPr>
            <w:tcW w:w="40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expense...........</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w:t>
            </w:r>
          </w:p>
        </w:tc>
        <w:tc>
          <w:tcPr>
            <w:tcW w:w="40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shareholders' equity...........................</w:t>
            </w:r>
          </w:p>
        </w:tc>
        <w:tc>
          <w:tcPr>
            <w:tcW w:w="26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434.9</w:t>
            </w:r>
          </w:p>
        </w:tc>
        <w:tc>
          <w:tcPr>
            <w:tcW w:w="40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823.5</w:t>
            </w:r>
          </w:p>
        </w:tc>
        <w:tc>
          <w:tcPr>
            <w:tcW w:w="36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84.4</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(908.5)</w:t>
            </w:r>
          </w:p>
        </w:tc>
        <w:tc>
          <w:tcPr>
            <w:tcW w:w="1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434.3</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$ 1,866.0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869.3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516.2</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(1,358.0)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1,893.5</w:t>
            </w:r>
          </w:p>
        </w:tc>
      </w:tr>
      <w:tr>
        <w:trPr>
          <w:trHeight w:val="171"/>
        </w:trPr>
        <w:tc>
          <w:tcPr>
            <w:tcW w:w="478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000"/>
          </w:cols>
          <w:pgMar w:left="240" w:top="1140" w:right="659" w:bottom="1440" w:gutter="0" w:footer="0" w:header="0"/>
        </w:sectPr>
      </w:pPr>
    </w:p>
    <w:bookmarkStart w:id="26" w:name="page27"/>
    <w:bookmarkEnd w:id="26"/>
    <w:p>
      <w:pPr>
        <w:jc w:val="center"/>
        <w:ind w:right="3039"/>
        <w:spacing w:after="0"/>
        <w:rPr>
          <w:sz w:val="20"/>
          <w:szCs w:val="20"/>
          <w:color w:val="auto"/>
        </w:rPr>
      </w:pPr>
      <w:r>
        <w:rPr>
          <w:rFonts w:ascii="Courier New" w:cs="Courier New" w:eastAsia="Courier New" w:hAnsi="Courier New"/>
          <w:sz w:val="15"/>
          <w:szCs w:val="15"/>
          <w:color w:val="auto"/>
        </w:rPr>
        <w:t>ITEM 2. MANAGEMENT'S DISCUSSION AND ANALYSIS 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Our operations are divided into four business segments: North American Consumer, Scotts LawnService(R), Global Professional and International Consumer. The North American Consumer segment includes the Lawns, Gardens, Growing Media, Ortho and Canadian business groups.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7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Our sales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acquisitions diversify both our product line risk and geographic risk to weather conditions.</w:t>
      </w:r>
    </w:p>
    <w:p>
      <w:pPr>
        <w:spacing w:after="0" w:line="175"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and earnings trend in fiscal 2002 is expected to follow a similar pattern.</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Scotts entered into a long-term marketing agreement with Monsanto for its consumer Roundup(R) herbicide products. Under the marketing agreement, Scotts and Monsanto are jointly developing global consumer and trade marketing programs for Roundup(R), while Scotts is responsible for sales support, merchandising, distribution, logistics and certain administrative functions. See Note 2 of Notes to Condensed, Consolidated Financial Statements (unaudited) regarding revenue and expense recognition related to the Roundup(R) marketing agreement activities.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third and fourth quarter of fiscal 2001, restructuring and other charges of $75.7 million were recorded for reductions in force, facility closures, asset writedowns, etc. Costs related to the relocation of equipment, personnel and inventory were not recorded as part of the restructuring costs in 2001. These costs are being recorded as they are incurred in fiscal 2002 as required under generally accepted accounting principles.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fiscal 2001, Scotts adopted accounting policies that required certain amounts payable to customers or consumers related to the purchase of our products to be recorded as a reduction in net sales rather than as advertising and promotions expense (e.g., volume rebates). In fiscal 2002, Scotts adopted EITF-00-25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2001 have been reclassified to conform to this new presentation method for these expenses.</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in fiscal 2002 we adopted Statement of Accounting Standards No. 142, "Goodwill and Other Intangible Assets". This statement eliminates the requirement to amortize indefinite-lived intangible assets and goodwill. It also requires an initial impairment test on all indefinite-lived assets as of the date of adoption of this standard and impairment tests done at least annually thereafter. As a result of adopting the standard as of October 1, 2001, amortization expense for the first quarter of fiscal 2002 was reduced by approximately $5.4 million. The full year effect in fiscal 2002 is expected to exceed $21.0 million. The Company has not determined whether any of its goodwill is impaired. SFAS No. 142 requires that the existence of an impairment as of the date of adoption be identified by the end of the second fiscal quarter of the year of adoption and the amount of the impairment be recorded and reflected in the first quarter of adoption.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2001 includes additional information about the Company, our operations, and our financial position, and should be read in conjunction with this Quarterly Report on Form 10-Q.</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 and financial position are as follows:</w:t>
      </w:r>
    </w:p>
    <w:p>
      <w:pPr>
        <w:spacing w:after="0" w:line="182" w:lineRule="exact"/>
        <w:rPr>
          <w:sz w:val="20"/>
          <w:szCs w:val="20"/>
          <w:color w:val="auto"/>
        </w:rPr>
      </w:pPr>
    </w:p>
    <w:p>
      <w:pPr>
        <w:ind w:left="1580" w:right="3119" w:hanging="879"/>
        <w:spacing w:after="0"/>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75" w:lineRule="exact"/>
        <w:rPr>
          <w:rFonts w:ascii="Courier New" w:cs="Courier New" w:eastAsia="Courier New" w:hAnsi="Courier New"/>
          <w:sz w:val="15"/>
          <w:szCs w:val="15"/>
          <w:color w:val="auto"/>
        </w:rPr>
      </w:pPr>
    </w:p>
    <w:p>
      <w:pPr>
        <w:ind w:left="1580" w:right="3299" w:hanging="879"/>
        <w:spacing w:after="0" w:line="260" w:lineRule="auto"/>
        <w:tabs>
          <w:tab w:leader="none" w:pos="15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63" w:lineRule="exact"/>
        <w:rPr>
          <w:rFonts w:ascii="Courier New" w:cs="Courier New" w:eastAsia="Courier New" w:hAnsi="Courier New"/>
          <w:sz w:val="14"/>
          <w:szCs w:val="14"/>
          <w:color w:val="auto"/>
        </w:rPr>
      </w:pPr>
    </w:p>
    <w:p>
      <w:pPr>
        <w:ind w:left="1580" w:right="3119" w:hanging="879"/>
        <w:spacing w:after="0"/>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5" w:lineRule="exact"/>
        <w:rPr>
          <w:rFonts w:ascii="Courier New" w:cs="Courier New" w:eastAsia="Courier New" w:hAnsi="Courier New"/>
          <w:sz w:val="15"/>
          <w:szCs w:val="15"/>
          <w:color w:val="auto"/>
        </w:rPr>
      </w:pPr>
    </w:p>
    <w:p>
      <w:pPr>
        <w:ind w:left="1580" w:right="3219" w:hanging="879"/>
        <w:spacing w:after="0" w:line="259" w:lineRule="auto"/>
        <w:tabs>
          <w:tab w:leader="none" w:pos="15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unaudited, condensed, consolidated financial statements, we are involved in significant legal matters which have a high degree of uncertainty associated with them. We continually assess the likely outcomes of these matters and the adequacy of amounts, if any, provided for these matters. There can be no assurance that the ultimate outcome will not differ materially from our assessment of them. There can also be no assurance that all matters that may be brought against us or that we may bring against other parties are known to us at any point in time.</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Also, as described more fully in the notes to the unaudited, condensed financial statements, we have not accrued the deferred contribution under the Roundup(R) marketing agreement with Monsanto or the interest thereon.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 At December 29, 2001, contribution payments and related per annum charges of approximately $47.3 million had been deferred under the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640"/>
        <w:spacing w:after="0" w:line="238" w:lineRule="auto"/>
        <w:rPr>
          <w:sz w:val="20"/>
          <w:szCs w:val="20"/>
          <w:color w:val="auto"/>
        </w:rPr>
      </w:pPr>
      <w:r>
        <w:rPr>
          <w:rFonts w:ascii="Courier New" w:cs="Courier New" w:eastAsia="Courier New" w:hAnsi="Courier New"/>
          <w:sz w:val="15"/>
          <w:szCs w:val="15"/>
          <w:color w:val="auto"/>
        </w:rPr>
        <w:t>The following table sets forth sales by business segment for the three months ended December 29, 2001 and December 30, 2000: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FOR THE</w:t>
            </w:r>
          </w:p>
        </w:tc>
        <w:tc>
          <w:tcPr>
            <w:tcW w:w="9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DECEMBER 29,</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DECEMBER 30,</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American Consumer:</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Lawns ..................................................................................</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Gardens.................................................................................</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Growing Media...........................................................................</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23.1</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Ortho ..................................................................................</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16.8</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Canada..................................................................................</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0.8</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77.8</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66.8</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Scotts LawnService(R)...................................................................</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International Consumer..................................................................</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40.2</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Global Professional.....................................................................</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36.3</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35.5</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163.0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146.6</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260" w:type="dxa"/>
            <w:vAlign w:val="bottom"/>
          </w:tcPr>
          <w:p>
            <w:pPr>
              <w:spacing w:after="0"/>
              <w:rPr>
                <w:sz w:val="24"/>
                <w:szCs w:val="24"/>
                <w:color w:val="auto"/>
              </w:rPr>
            </w:pPr>
          </w:p>
        </w:tc>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The following table sets forth the components of income and expense as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rPr>
              <w:t>a percentage of sales for the three months ended December 29, 2001 and December</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30,</w:t>
            </w:r>
          </w:p>
        </w:tc>
        <w:tc>
          <w:tcPr>
            <w:tcW w:w="762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53"/>
        </w:trPr>
        <w:tc>
          <w:tcPr>
            <w:tcW w:w="2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FOR THE</w:t>
            </w:r>
          </w:p>
        </w:tc>
        <w:tc>
          <w:tcPr>
            <w:tcW w:w="920" w:type="dxa"/>
            <w:vAlign w:val="bottom"/>
          </w:tcPr>
          <w:p>
            <w:pPr>
              <w:spacing w:after="0"/>
              <w:rPr>
                <w:sz w:val="24"/>
                <w:szCs w:val="24"/>
                <w:color w:val="auto"/>
              </w:rPr>
            </w:pP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DECEMBER 29,</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DECEMBER 30,</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512"/>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sales................................................................................</w:t>
            </w:r>
          </w:p>
        </w:tc>
        <w:tc>
          <w:tcPr>
            <w:tcW w:w="10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24"/>
                <w:szCs w:val="2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100.0%</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Cost of sales............................................................................</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80.3</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78.4</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Restructuring and other charges..........................................................</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Gross profit.............................................................................</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19.1</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21.6</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Commission earned from agency agreement, net ............................................</w:t>
            </w:r>
          </w:p>
        </w:tc>
        <w:tc>
          <w:tcPr>
            <w:tcW w:w="1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Advertising and promotion.............................................................</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5.6</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Selling, general and administrative...................................................</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46.2</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52.5</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20"/>
                <w:szCs w:val="20"/>
                <w:color w:val="auto"/>
              </w:rPr>
            </w:pPr>
            <w:r>
              <w:rPr>
                <w:rFonts w:ascii="Courier New" w:cs="Courier New" w:eastAsia="Courier New" w:hAnsi="Courier New"/>
                <w:sz w:val="15"/>
                <w:szCs w:val="15"/>
                <w:color w:val="auto"/>
                <w:w w:val="98"/>
              </w:rPr>
              <w:t>Restructuring and other charges.......................................................</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Amortization of goodwill and other intangibles...........................................</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Other expense (income), net..............................................................</w:t>
            </w:r>
          </w:p>
        </w:tc>
        <w:tc>
          <w:tcPr>
            <w:tcW w:w="1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(0.8)</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Loss from operations.....................................................................</w:t>
            </w:r>
          </w:p>
        </w:tc>
        <w:tc>
          <w:tcPr>
            <w:tcW w:w="1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(35.5)</w:t>
            </w:r>
          </w:p>
        </w:tc>
        <w:tc>
          <w:tcPr>
            <w:tcW w:w="3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(43.6)</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Loss before income taxes.................................................................</w:t>
            </w:r>
          </w:p>
        </w:tc>
        <w:tc>
          <w:tcPr>
            <w:tcW w:w="1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(58.2)</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taxes.............................................................................</w:t>
            </w:r>
          </w:p>
        </w:tc>
        <w:tc>
          <w:tcPr>
            <w:tcW w:w="1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(18.0)</w:t>
            </w:r>
          </w:p>
        </w:tc>
        <w:tc>
          <w:tcPr>
            <w:tcW w:w="3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(23.3)</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788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loss.................................................................................</w:t>
            </w:r>
          </w:p>
        </w:tc>
        <w:tc>
          <w:tcPr>
            <w:tcW w:w="1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(28.8)%</w:t>
            </w:r>
          </w:p>
        </w:tc>
        <w:tc>
          <w:tcPr>
            <w:tcW w:w="3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w:t>
            </w:r>
          </w:p>
        </w:tc>
      </w:tr>
      <w:tr>
        <w:trPr>
          <w:trHeight w:val="171"/>
        </w:trPr>
        <w:tc>
          <w:tcPr>
            <w:tcW w:w="2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853"/>
        </w:trPr>
        <w:tc>
          <w:tcPr>
            <w:tcW w:w="260" w:type="dxa"/>
            <w:vAlign w:val="bottom"/>
          </w:tcPr>
          <w:p>
            <w:pPr>
              <w:spacing w:after="0"/>
              <w:rPr>
                <w:sz w:val="24"/>
                <w:szCs w:val="24"/>
                <w:color w:val="auto"/>
              </w:rPr>
            </w:pPr>
          </w:p>
        </w:tc>
        <w:tc>
          <w:tcPr>
            <w:tcW w:w="7620" w:type="dxa"/>
            <w:vAlign w:val="bottom"/>
          </w:tcPr>
          <w:p>
            <w:pPr>
              <w:ind w:left="3200"/>
              <w:spacing w:after="0"/>
              <w:rPr>
                <w:sz w:val="20"/>
                <w:szCs w:val="20"/>
                <w:color w:val="auto"/>
              </w:rPr>
            </w:pPr>
            <w:r>
              <w:rPr>
                <w:rFonts w:ascii="Courier New" w:cs="Courier New" w:eastAsia="Courier New" w:hAnsi="Courier New"/>
                <w:sz w:val="15"/>
                <w:szCs w:val="15"/>
                <w:color w:val="auto"/>
              </w:rPr>
              <w:t>29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460"/>
          </w:cols>
          <w:pgMar w:left="240" w:top="628" w:right="119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THREE MONTHS ENDED DECEMBER 29, 2001 VERSUS THREE MONTHS ENDED DECEMBER 30, 2000</w:t>
      </w:r>
    </w:p>
    <w:p>
      <w:pPr>
        <w:spacing w:after="0" w:line="18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Net sales for the three months ended December 29, 2001 were $163.0 million, an increase of 11.2% from net sales for the three months ended December 30, 2000 of $146.6 million. As mentioned previously, net sales in the first quarter of the fiscal year represent less than 10% of the expected net sales for the full year.</w:t>
      </w:r>
    </w:p>
    <w:p>
      <w:pPr>
        <w:spacing w:after="0" w:line="16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North American Consumer segment net sales were $77.8 million in the first quarter of fiscal 2002, an increase of $11.0 million, or 16.5%, over net sales for the first quarter of fiscal 2001 of $66.8 million. The four primary groups in North America Consumer; Lawns, Ortho, Gardens and Growing Media, saw a combined 26% increase in net sales from the first quarter of fiscal 2001 to the first quarter of fiscal 2002. Lawns lead the way with a 61% increase over the prior year reflecting strong sales of its Fall product offerings, primarily Winterizer(TM) lawn fertilizers and Turf Builder(TM) grass seed.</w:t>
      </w:r>
    </w:p>
    <w:p>
      <w:pPr>
        <w:spacing w:after="0" w:line="16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Net sales in the "Other" category under North America Consumer segment are sales under a supply agreement. These sales fluctuate based on the customer's needs but are not material to our results.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Scotts LawnService(R) revenues increased 77.6% from $4.9 million in the first quarter of fiscal 2001 to $8.7 million in the first quarter of fiscal 2002. The growth in revenue reflects the growth in the business from the acquisitions completed in late winter and early spring of fiscal 2001, new branch openings in late winter of fiscal 2001 and the growth in customers from our spring and fall 2001 marketing campaigns.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sales for the Global Professional segment were $36.3 million in the first quarter of fiscal 2002, which were $0.8 million, or 2.3%, higher than sales for the first quarter of fiscal 2001. Revenue growth was moderated as growers in the United States increased their focus on reducing inventory from growers in certain portions of Europe due to adverse weather conditions.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Sales for the International Consumer segment were $40.2 million in the first quarter of fiscal 2002, which were $0.8 million, or 2.0%, higher than sales for the first quarter of fiscal 2001. Sales growth for this segment was moderated due to our customers waiting until closer to the season to place orders for delivery in an effort to control inventory levels.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Gross profit was $31.1 million in the first quarter of fiscal 2002, a decrease of $0.5 million from gross profit of $31.6 million in the first quarter of fiscal 2001. As a percentage of net sales, gross profit was 19.1% of sales in the first quarter of fiscal 2002 compared to 21.6% in the first quarter of fiscal 2001. The decline in gross profit as a percentage of sales resulted from a shift in product mix toward lower margin growing media sales and away from higher margin fertilizer sales in our Global Professional segment and certain countries in our International Consumer segment. We also experienced lower margins in Scotts LawnService(R) due to fixed operating expenses for recently acquired and newly opened branches incurred during the low revenue winter months.</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net commission earned from agency agreement in the first quarter of fiscal 2002 represents net costs of $5.9 million compared to net costs of $4.7 million in the first quarter of fiscal 2001. The increase in costs from the prior year is primarily due to the increase in the contribution payment due to Monsanto to $20 million in fiscal 2002 compared to $15 million in fiscal 2001. We do not recognize commission income under the agency agreement until minimum earnings thresholds in the agreement are achieved, which is usually in our second fiscal quarter.</w:t>
      </w:r>
    </w:p>
    <w:p>
      <w:pPr>
        <w:spacing w:after="0" w:line="177"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Advertising and promotion expenses in the first quarter of fiscal 2002 were $7.1 million, a decrease of $1.0 million from advertising and promotion expenses in the first quarter of fiscal 2001 of $8.1 million. The decrease in advertising and promotion expenses from the prior year is primarily due to lower rates and more targeted programs affecting the overall expected spending in fiscal 2002.</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Selling, general and administrative expenses in the first quarter of fiscal 2002 were $75.3 million compared to $77.1 million for the first quarter of fiscal 2001. The decrease from the first quarter of fiscal 2001 to the first quarter of fiscal 2002 is due to lower costs resulting from the cost cutting and restructuring activities that occurred in fiscal 2002, offset in part by higher spending on information services and legal matters. The first quarter of fiscal 2002 includes $1.0 million of restructuring costs in costs of goods sold related to the redeployment of inventory from closed plants and warehouses and $0.8 million in selling, general 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1" w:right="1440" w:bottom="1440" w:gutter="0" w:footer="0" w:header="0"/>
        </w:sectPr>
      </w:pPr>
    </w:p>
    <w:bookmarkStart w:id="30" w:name="page31"/>
    <w:bookmarkEnd w:id="30"/>
    <w:p>
      <w:pPr>
        <w:ind w:right="3119"/>
        <w:spacing w:after="0"/>
        <w:rPr>
          <w:sz w:val="20"/>
          <w:szCs w:val="20"/>
          <w:color w:val="auto"/>
        </w:rPr>
      </w:pPr>
      <w:r>
        <w:rPr>
          <w:rFonts w:ascii="Courier New" w:cs="Courier New" w:eastAsia="Courier New" w:hAnsi="Courier New"/>
          <w:sz w:val="15"/>
          <w:szCs w:val="15"/>
          <w:color w:val="auto"/>
        </w:rPr>
        <w:t>administrative expenses related to the relocation of personnel. Under generally accepted accounting principles in the United States, these costs have been expensed in the period incurred. Amortization of goodwill and intangibles in the first quarter of fiscal 2002 was $1.8 million compared to $6.8 million in the first quarter of fiscal 2001, primarily due to the adoption of the new accounting standard. See Note 5 of Notes to Condensed, Consolidated Financial Statements (Unaudited).</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Other income was $2.0 million for the first quarter of fiscal 2002, compared to other income of $1.1 million in the first quarter of fiscal 2001. The increase is due to the gain on sale of an idled growing media plant in Florida in the first quarter of fiscal 2002.</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loss from operations for the first quarter of fiscal 2002 was $57.8 million, compared with $64.0 million for the first quarter of fiscal 2001. The reduction in the loss from operations from the prior year is the result of the increase in sales, lower selling expenses, and the effect of the change in accounting for amortization of indefinite-lived assets, partially offset by the decrease in gross profit as a percentage of sales, the $1.8 million of restructuring charges and higher legal expenses in the current quarter.</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Interest expense for the first quarter of fiscal 2002 was $18.5 million, a decrease of $2.8 million from interest expense for the first quarter of fiscal 2001 of $21.3 million. The decrease in interest expense was primarily due to a reduction in average borrowings for the quarter as compared to the prior year, and lower interest rates on our variable rate debt.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benefit for the first quarter of fiscal 2002 was $29.4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an income tax benefit for the first quarter of fiscal 2001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$34.1 million. The decrease in the tax benefit from the prior year is the result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lower pre-tax loss for the first quarter of fiscal 2002 for the reasons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noted above and the lower estimated income tax rate for the first quarter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2002 of 38.5% compared to 40.0% for the first quarter of fiscal 2001 due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elimination of amortization expense for book purposes that was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deductible for tax purposes.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reported a net loss of $46.9 million for the first quarter of fiscal 2002, or $1.63 per common share compared to a net loss of $51.2 million for the first quarter of fiscal 2001, or $1.83 per common share. Due to the net losses in the periods, the calculation of earnings per share does not include the effect of potential common shares such as options and warrants because their effect would be anti-dilutive.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Cash used in operating activities was $141.4 million for the three months ended December 29, 2001 compared to a use of cash of $202.4 million for the three months ended December 30, 2000. The seasonal nature of our operations generally requires cash to fund significant increases in working capital (primarily inventory) during the first quarter. Cash used in operations was lower in the first quarter of fiscal 2002 due to lower inventory production in the period and lower income tax payments due to lower net income in the fiscal year ended September 30, 2001 compared to the fiscal year ended September 30, 2000.</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Cash used in investing activities was $28.9 million for the first three months of fiscal 2002 compared to $29.8 million in the prior year period. Investments in acquired businesses declined due to the acquisition of Substral at the end of the first quarter of fiscal 2001 while payments on seller notes increased because of payments made on the Substral deferred purchase obligation in the first quarter of fiscal 2002.</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Financing activities provided cash of $160.2 million for the first three months of fiscal 2002 compared to providing $220.5 million in the prior year. The decrease in cash from financing activities was primarily due to a decrease in borrowings under our revolving credit facility to fund operations due to improved cash flows from operations as noted above.</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Total debt was $1,021.5 million as of December 29, 2001, a decrease of $61.3 million compared with total debt at December 30, 2000 of $1,082.8. The decrease in debt compared to the prior year was primarily due to scheduled debt repayments on our term loans during fiscal 2001.</w:t>
      </w:r>
    </w:p>
    <w:p>
      <w:pPr>
        <w:spacing w:after="0" w:line="176"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On January 25, 2002, we issued an additional $70 million of 8 5/8% Senior Subordinated Notes. The net proceeds were used to paydown borrowings on our revolving credit facility.</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31" w:name="page32"/>
    <w:bookmarkEnd w:id="31"/>
    <w:p>
      <w:pPr>
        <w:ind w:right="3479"/>
        <w:spacing w:after="0"/>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We did not repurchase any treasury shares in fiscal 2001 or in the first quarter of fiscal 2002.</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Scotts does not have any off balance sheet financing except for operating leases which are disclosed in the Notes to Consolidated Financial Statements included in the Company's Annual Report on Form 10-K or any financial arrangements with any related parties. All related party transactions are with and between our subsidiaries or management. All material intercompany transactions are eliminated in our consolidated financial statements. All transactions with management are fully described and disclosed in our proxy statement. Such transactions pertain primarily to office space provided to and administrative services provided by Hagedorn Partnership, L.P. and do not exceed $150,000 per annum.</w:t>
      </w:r>
    </w:p>
    <w:p>
      <w:pPr>
        <w:spacing w:after="0" w:line="17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2002,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of the Notes to Condensed, Consolidated Financial Statements (unaudited) as of and for the three months ended December 29, 2001 and in the fiscal 2001 Annual Report on Form 10-K under the "ITEM 1. BUSINESS -- ENVIRONMENTAL AND REGULATORY CONSIDERATIONS" and "ITEM 3. LEGAL PROCEEDINGS" sections.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WITH CUSTOMERS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in North America.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KMART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Kmart, one of our largest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 We believe the reserves we have recorded related to business conducted with Kmart prior to its bankruptcy filing are adequate.</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1" w:right="1440" w:bottom="1440" w:gutter="0" w:footer="0" w:header="0"/>
        </w:sectPr>
      </w:pPr>
    </w:p>
    <w:bookmarkStart w:id="32" w:name="page33"/>
    <w:bookmarkEnd w:id="32"/>
    <w:p>
      <w:pPr>
        <w:ind w:left="9"/>
        <w:spacing w:after="0"/>
        <w:rPr>
          <w:sz w:val="20"/>
          <w:szCs w:val="20"/>
          <w:color w:val="auto"/>
        </w:rPr>
      </w:pPr>
      <w:r>
        <w:rPr>
          <w:rFonts w:ascii="Courier New" w:cs="Courier New" w:eastAsia="Courier New" w:hAnsi="Courier New"/>
          <w:sz w:val="15"/>
          <w:szCs w:val="15"/>
          <w:color w:val="auto"/>
        </w:rPr>
        <w:t>EURO</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Effective January 1, 2002, the "euro" has been introduced in certain Economic and Monetary Union (EMU) countries as their single currency. Uncertainty still exists as to the effects the euro currency may have on the marketplace. However, thus far there has been minimal disruption to our European businesses due to the conversion to the euro. We estimate that the cost related to addressing systems and other issues related to the euro conversion were in the $1.5-$2.0 million range, most of which was expensed in fiscal 2001. However, there can be no assurance that the ultimate costs related to this issue will not exceed this range.</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6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4"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ADVERSLY IMPACT FINANCIAL RESULTS.</w:t>
      </w:r>
    </w:p>
    <w:p>
      <w:pPr>
        <w:spacing w:after="0" w:line="174"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176" w:lineRule="exact"/>
        <w:rPr>
          <w:sz w:val="20"/>
          <w:szCs w:val="20"/>
          <w:color w:val="auto"/>
        </w:rPr>
      </w:pPr>
    </w:p>
    <w:p>
      <w:pPr>
        <w:ind w:left="789" w:right="3039" w:hanging="789"/>
        <w:spacing w:after="0" w:line="238" w:lineRule="auto"/>
        <w:tabs>
          <w:tab w:leader="none" w:pos="1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8"/>
          </w:cols>
          <w:pgMar w:left="231" w:top="628" w:right="1440" w:bottom="1440" w:gutter="0" w:footer="0" w:header="0"/>
        </w:sectPr>
      </w:pPr>
    </w:p>
    <w:bookmarkStart w:id="33" w:name="page34"/>
    <w:bookmarkEnd w:id="33"/>
    <w:p>
      <w:pPr>
        <w:ind w:left="789" w:right="2959" w:hanging="789"/>
        <w:spacing w:after="0" w:line="238" w:lineRule="auto"/>
        <w:tabs>
          <w:tab w:leader="none" w:pos="1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5" w:lineRule="exact"/>
        <w:rPr>
          <w:sz w:val="20"/>
          <w:szCs w:val="20"/>
          <w:color w:val="auto"/>
        </w:rPr>
      </w:pPr>
    </w:p>
    <w:p>
      <w:pPr>
        <w:ind w:left="789" w:right="3299"/>
        <w:spacing w:after="0"/>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77" w:lineRule="exact"/>
        <w:rPr>
          <w:sz w:val="20"/>
          <w:szCs w:val="20"/>
          <w:color w:val="auto"/>
        </w:rPr>
      </w:pPr>
    </w:p>
    <w:p>
      <w:pPr>
        <w:ind w:left="789" w:right="3119" w:hanging="789"/>
        <w:spacing w:after="0" w:line="239" w:lineRule="auto"/>
        <w:tabs>
          <w:tab w:leader="none" w:pos="1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Our top 10 North American retail customers together accounted for approximately 70% of our fiscal year 2001 net sales and 37% of our outstanding accounts receivable as of September 30, 2001. Our top four customers, Home Depot, Wal*Mart, Kmart and Lowe's represented approximately 28%, 15%, 9% and 8%,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80"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178"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75" w:lineRule="exact"/>
        <w:rPr>
          <w:sz w:val="20"/>
          <w:szCs w:val="20"/>
          <w:color w:val="auto"/>
        </w:rPr>
      </w:pPr>
    </w:p>
    <w:p>
      <w:pPr>
        <w:ind w:left="789" w:right="3479" w:hanging="789"/>
        <w:spacing w:after="0" w:line="238" w:lineRule="auto"/>
        <w:tabs>
          <w:tab w:leader="none" w:pos="1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5" w:lineRule="exact"/>
        <w:rPr>
          <w:sz w:val="20"/>
          <w:szCs w:val="20"/>
          <w:color w:val="auto"/>
        </w:rPr>
      </w:pPr>
    </w:p>
    <w:p>
      <w:pPr>
        <w:ind w:left="789" w:right="3579"/>
        <w:spacing w:after="0" w:line="271" w:lineRule="auto"/>
        <w:rPr>
          <w:sz w:val="20"/>
          <w:szCs w:val="20"/>
          <w:color w:val="auto"/>
        </w:rPr>
      </w:pPr>
      <w:r>
        <w:rPr>
          <w:rFonts w:ascii="Courier New" w:cs="Courier New" w:eastAsia="Courier New" w:hAnsi="Courier New"/>
          <w:sz w:val="14"/>
          <w:szCs w:val="14"/>
          <w:color w:val="auto"/>
        </w:rPr>
        <w:t>We have a significant amount of debt. Our substantial indebtedness could have important consequences for you. For example, it could:</w:t>
      </w:r>
    </w:p>
    <w:p>
      <w:pPr>
        <w:spacing w:after="0" w:line="151" w:lineRule="exact"/>
        <w:rPr>
          <w:sz w:val="20"/>
          <w:szCs w:val="20"/>
          <w:color w:val="auto"/>
        </w:rPr>
      </w:pPr>
    </w:p>
    <w:p>
      <w:pPr>
        <w:ind w:left="1589" w:hanging="613"/>
        <w:spacing w:after="0"/>
        <w:tabs>
          <w:tab w:leader="none" w:pos="15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4" w:lineRule="exact"/>
        <w:rPr>
          <w:rFonts w:ascii="Courier New" w:cs="Courier New" w:eastAsia="Courier New" w:hAnsi="Courier New"/>
          <w:sz w:val="15"/>
          <w:szCs w:val="15"/>
          <w:color w:val="auto"/>
        </w:rPr>
      </w:pPr>
    </w:p>
    <w:p>
      <w:pPr>
        <w:ind w:left="1589" w:right="3479" w:hanging="613"/>
        <w:spacing w:after="0" w:line="238" w:lineRule="auto"/>
        <w:tabs>
          <w:tab w:leader="none" w:pos="15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4" w:lineRule="exact"/>
        <w:rPr>
          <w:rFonts w:ascii="Courier New" w:cs="Courier New" w:eastAsia="Courier New" w:hAnsi="Courier New"/>
          <w:sz w:val="15"/>
          <w:szCs w:val="15"/>
          <w:color w:val="auto"/>
        </w:rPr>
      </w:pPr>
    </w:p>
    <w:p>
      <w:pPr>
        <w:ind w:left="1589" w:right="3299" w:hanging="613"/>
        <w:spacing w:after="0"/>
        <w:tabs>
          <w:tab w:leader="none" w:pos="15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1589" w:right="3119" w:hanging="613"/>
        <w:spacing w:after="0" w:line="238" w:lineRule="auto"/>
        <w:tabs>
          <w:tab w:leader="none" w:pos="15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4" w:lineRule="exact"/>
        <w:rPr>
          <w:rFonts w:ascii="Courier New" w:cs="Courier New" w:eastAsia="Courier New" w:hAnsi="Courier New"/>
          <w:sz w:val="15"/>
          <w:szCs w:val="15"/>
          <w:color w:val="auto"/>
        </w:rPr>
      </w:pPr>
    </w:p>
    <w:p>
      <w:pPr>
        <w:ind w:left="1589" w:right="3839" w:hanging="613"/>
        <w:spacing w:after="0" w:line="238" w:lineRule="auto"/>
        <w:tabs>
          <w:tab w:leader="none" w:pos="158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8"/>
          </w:cols>
          <w:pgMar w:left="231" w:top="801" w:right="1440" w:bottom="1440" w:gutter="0" w:footer="0" w:header="0"/>
        </w:sectPr>
      </w:pPr>
    </w:p>
    <w:bookmarkStart w:id="34" w:name="page35"/>
    <w:bookmarkEnd w:id="34"/>
    <w:p>
      <w:pPr>
        <w:ind w:left="1589" w:hanging="613"/>
        <w:spacing w:after="0"/>
        <w:tabs>
          <w:tab w:leader="none" w:pos="15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4" w:lineRule="exact"/>
        <w:rPr>
          <w:rFonts w:ascii="Courier New" w:cs="Courier New" w:eastAsia="Courier New" w:hAnsi="Courier New"/>
          <w:sz w:val="15"/>
          <w:szCs w:val="15"/>
          <w:color w:val="auto"/>
        </w:rPr>
      </w:pPr>
    </w:p>
    <w:p>
      <w:pPr>
        <w:ind w:left="1589" w:right="3119" w:hanging="613"/>
        <w:spacing w:after="0" w:line="239" w:lineRule="auto"/>
        <w:tabs>
          <w:tab w:leader="none" w:pos="158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6"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5"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We cannot assure you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our other liquidity needs. We may need to refinance all or a portion of our indebtedness, on or before maturity. We cannot assure that we will be able to refinance any of our indebtedness on commercially reasonable terms or at all.</w:t>
      </w:r>
    </w:p>
    <w:p>
      <w:pPr>
        <w:spacing w:after="0" w:line="175" w:lineRule="exact"/>
        <w:rPr>
          <w:sz w:val="20"/>
          <w:szCs w:val="20"/>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the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81" w:lineRule="exact"/>
        <w:rPr>
          <w:sz w:val="20"/>
          <w:szCs w:val="20"/>
          <w:color w:val="auto"/>
        </w:rPr>
      </w:pPr>
    </w:p>
    <w:p>
      <w:pPr>
        <w:ind w:left="789" w:right="3399" w:hanging="789"/>
        <w:spacing w:after="0" w:line="239" w:lineRule="auto"/>
        <w:tabs>
          <w:tab w:leader="none" w:pos="1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5" w:lineRule="exact"/>
        <w:rPr>
          <w:sz w:val="20"/>
          <w:szCs w:val="20"/>
          <w:color w:val="auto"/>
        </w:rPr>
      </w:pPr>
    </w:p>
    <w:p>
      <w:pPr>
        <w:ind w:left="789" w:right="3299"/>
        <w:spacing w:after="0"/>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75" w:lineRule="exact"/>
        <w:rPr>
          <w:sz w:val="20"/>
          <w:szCs w:val="20"/>
          <w:color w:val="auto"/>
        </w:rPr>
      </w:pPr>
    </w:p>
    <w:p>
      <w:pPr>
        <w:ind w:left="2049" w:hanging="718"/>
        <w:spacing w:after="0"/>
        <w:tabs>
          <w:tab w:leader="none" w:pos="204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74" w:lineRule="exact"/>
        <w:rPr>
          <w:rFonts w:ascii="Courier New" w:cs="Courier New" w:eastAsia="Courier New" w:hAnsi="Courier New"/>
          <w:sz w:val="15"/>
          <w:szCs w:val="15"/>
          <w:color w:val="auto"/>
        </w:rPr>
      </w:pPr>
    </w:p>
    <w:p>
      <w:pPr>
        <w:ind w:left="2049" w:hanging="718"/>
        <w:spacing w:after="0"/>
        <w:tabs>
          <w:tab w:leader="none" w:pos="204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more than 5% for each of two consecutive fiscal years.</w:t>
      </w:r>
    </w:p>
    <w:p>
      <w:pPr>
        <w:spacing w:after="0" w:line="182" w:lineRule="exact"/>
        <w:rPr>
          <w:rFonts w:ascii="Courier New" w:cs="Courier New" w:eastAsia="Courier New" w:hAnsi="Courier New"/>
          <w:sz w:val="14"/>
          <w:szCs w:val="14"/>
          <w:color w:val="auto"/>
        </w:rPr>
      </w:pPr>
    </w:p>
    <w:p>
      <w:pPr>
        <w:ind w:left="789" w:right="3219" w:hanging="789"/>
        <w:spacing w:after="0" w:line="239" w:lineRule="auto"/>
        <w:tabs>
          <w:tab w:leader="none" w:pos="1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5" w:lineRule="exact"/>
        <w:rPr>
          <w:sz w:val="20"/>
          <w:szCs w:val="20"/>
          <w:color w:val="auto"/>
        </w:rPr>
      </w:pPr>
    </w:p>
    <w:p>
      <w:pPr>
        <w:ind w:left="789" w:right="3219"/>
        <w:spacing w:after="0"/>
        <w:rPr>
          <w:sz w:val="20"/>
          <w:szCs w:val="20"/>
          <w:color w:val="auto"/>
        </w:rPr>
      </w:pPr>
      <w:r>
        <w:rPr>
          <w:rFonts w:ascii="Courier New" w:cs="Courier New" w:eastAsia="Courier New" w:hAnsi="Courier New"/>
          <w:sz w:val="15"/>
          <w:szCs w:val="15"/>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 Kill(R) and No-Pest(R) brand names, respectively, in fiscal year 2001. We anticipate that Lowe's will introduce a one-quart glyphosate product, and that Ace Hardware Corporation will introduce one-gallon and</w:t>
      </w:r>
    </w:p>
    <w:p>
      <w:pPr>
        <w:spacing w:after="0" w:line="200" w:lineRule="exact"/>
        <w:rPr>
          <w:sz w:val="20"/>
          <w:szCs w:val="20"/>
          <w:color w:val="auto"/>
        </w:rPr>
      </w:pPr>
    </w:p>
    <w:p>
      <w:pPr>
        <w:spacing w:after="0" w:line="32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8"/>
          </w:cols>
          <w:pgMar w:left="231" w:top="628" w:right="1440" w:bottom="1440" w:gutter="0" w:footer="0" w:header="0"/>
        </w:sectPr>
      </w:pPr>
    </w:p>
    <w:bookmarkStart w:id="35" w:name="page36"/>
    <w:bookmarkEnd w:id="35"/>
    <w:p>
      <w:pPr>
        <w:ind w:left="789" w:right="3219"/>
        <w:spacing w:after="0" w:line="239" w:lineRule="auto"/>
        <w:rPr>
          <w:sz w:val="20"/>
          <w:szCs w:val="20"/>
          <w:color w:val="auto"/>
        </w:rPr>
      </w:pPr>
      <w:r>
        <w:rPr>
          <w:rFonts w:ascii="Courier New" w:cs="Courier New" w:eastAsia="Courier New" w:hAnsi="Courier New"/>
          <w:sz w:val="15"/>
          <w:szCs w:val="15"/>
          <w:color w:val="auto"/>
        </w:rPr>
        <w:t>one-quart glyphosate products, in fiscal year 2002. It is too early to determine whether these product introductions will have a material adverse effect on our sales of Roundup(R).</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176" w:lineRule="exact"/>
        <w:rPr>
          <w:sz w:val="20"/>
          <w:szCs w:val="20"/>
          <w:color w:val="auto"/>
        </w:rPr>
      </w:pPr>
    </w:p>
    <w:p>
      <w:pPr>
        <w:ind w:left="789" w:right="3119" w:hanging="789"/>
        <w:spacing w:after="0" w:line="238" w:lineRule="auto"/>
        <w:tabs>
          <w:tab w:leader="none" w:pos="1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w:t>
      </w:r>
    </w:p>
    <w:p>
      <w:pPr>
        <w:spacing w:after="0" w:line="175" w:lineRule="exact"/>
        <w:rPr>
          <w:sz w:val="20"/>
          <w:szCs w:val="20"/>
          <w:color w:val="auto"/>
        </w:rPr>
      </w:pPr>
    </w:p>
    <w:p>
      <w:pPr>
        <w:ind w:left="789" w:right="3299"/>
        <w:spacing w:after="0"/>
        <w:rPr>
          <w:sz w:val="20"/>
          <w:szCs w:val="20"/>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174" w:lineRule="exact"/>
        <w:rPr>
          <w:sz w:val="20"/>
          <w:szCs w:val="20"/>
          <w:color w:val="auto"/>
        </w:rPr>
      </w:pPr>
    </w:p>
    <w:p>
      <w:pPr>
        <w:ind w:left="789" w:right="2959" w:hanging="789"/>
        <w:spacing w:after="0" w:line="238" w:lineRule="auto"/>
        <w:tabs>
          <w:tab w:leader="none" w:pos="1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0"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86"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83" w:lineRule="exact"/>
        <w:rPr>
          <w:sz w:val="20"/>
          <w:szCs w:val="20"/>
          <w:color w:val="auto"/>
        </w:rPr>
      </w:pPr>
    </w:p>
    <w:p>
      <w:pPr>
        <w:ind w:left="789" w:right="3119"/>
        <w:spacing w:after="0" w:line="239"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631" w:right="1440" w:bottom="1440" w:gutter="0" w:footer="0" w:header="0"/>
        </w:sectPr>
      </w:pPr>
    </w:p>
    <w:bookmarkStart w:id="36" w:name="page37"/>
    <w:bookmarkEnd w:id="36"/>
    <w:p>
      <w:pPr>
        <w:ind w:left="789" w:right="3399"/>
        <w:spacing w:after="0" w:line="239" w:lineRule="auto"/>
        <w:rPr>
          <w:sz w:val="20"/>
          <w:szCs w:val="20"/>
          <w:color w:val="auto"/>
        </w:rPr>
      </w:pPr>
      <w:r>
        <w:rPr>
          <w:rFonts w:ascii="Courier New" w:cs="Courier New" w:eastAsia="Courier New" w:hAnsi="Courier New"/>
          <w:sz w:val="15"/>
          <w:szCs w:val="15"/>
          <w:color w:val="auto"/>
        </w:rPr>
        <w:t>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80"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During fiscal year 2001, we made approximately $0.6 million in environmental capital expenditures and $2.1 million in other environmental expenses, compared with approximately $0.8 million in 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79" w:lineRule="exact"/>
        <w:rPr>
          <w:sz w:val="20"/>
          <w:szCs w:val="20"/>
          <w:color w:val="auto"/>
        </w:rPr>
      </w:pPr>
    </w:p>
    <w:p>
      <w:pPr>
        <w:ind w:left="1589" w:right="3119" w:hanging="613"/>
        <w:spacing w:after="0" w:line="238" w:lineRule="auto"/>
        <w:tabs>
          <w:tab w:leader="none" w:pos="15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4" w:lineRule="exact"/>
        <w:rPr>
          <w:rFonts w:ascii="Courier New" w:cs="Courier New" w:eastAsia="Courier New" w:hAnsi="Courier New"/>
          <w:sz w:val="15"/>
          <w:szCs w:val="15"/>
          <w:color w:val="auto"/>
        </w:rPr>
      </w:pPr>
    </w:p>
    <w:p>
      <w:pPr>
        <w:ind w:left="1589" w:right="3919" w:hanging="613"/>
        <w:spacing w:after="0" w:line="238" w:lineRule="auto"/>
        <w:tabs>
          <w:tab w:leader="none" w:pos="15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4" w:lineRule="exact"/>
        <w:rPr>
          <w:rFonts w:ascii="Courier New" w:cs="Courier New" w:eastAsia="Courier New" w:hAnsi="Courier New"/>
          <w:sz w:val="15"/>
          <w:szCs w:val="15"/>
          <w:color w:val="auto"/>
        </w:rPr>
      </w:pPr>
    </w:p>
    <w:p>
      <w:pPr>
        <w:ind w:left="1589" w:right="3219" w:hanging="613"/>
        <w:spacing w:after="0"/>
        <w:tabs>
          <w:tab w:leader="none" w:pos="15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789" w:right="3119" w:hanging="789"/>
        <w:spacing w:after="0" w:line="238" w:lineRule="auto"/>
        <w:tabs>
          <w:tab w:leader="none" w:pos="16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IN 2002 COULD ADVERSELY AFFECT US.</w:t>
      </w:r>
    </w:p>
    <w:p>
      <w:pPr>
        <w:spacing w:after="0" w:line="175"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In January 2002, most Economic and Monetary Union countries began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177" w:lineRule="exact"/>
        <w:rPr>
          <w:sz w:val="20"/>
          <w:szCs w:val="20"/>
          <w:color w:val="auto"/>
        </w:rPr>
      </w:pPr>
    </w:p>
    <w:p>
      <w:pPr>
        <w:ind w:left="789" w:right="3219" w:hanging="789"/>
        <w:spacing w:after="0" w:line="239" w:lineRule="auto"/>
        <w:tabs>
          <w:tab w:leader="none" w:pos="1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5" w:lineRule="exact"/>
        <w:rPr>
          <w:sz w:val="20"/>
          <w:szCs w:val="20"/>
          <w:color w:val="auto"/>
        </w:rPr>
      </w:pPr>
    </w:p>
    <w:p>
      <w:pPr>
        <w:ind w:left="789" w:right="3119"/>
        <w:spacing w:after="0" w:line="260" w:lineRule="auto"/>
        <w:rPr>
          <w:sz w:val="20"/>
          <w:szCs w:val="20"/>
          <w:color w:val="auto"/>
        </w:rPr>
      </w:pPr>
      <w:r>
        <w:rPr>
          <w:rFonts w:ascii="Courier New" w:cs="Courier New" w:eastAsia="Courier New" w:hAnsi="Courier New"/>
          <w:sz w:val="14"/>
          <w:szCs w:val="14"/>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59" w:lineRule="exact"/>
        <w:rPr>
          <w:sz w:val="20"/>
          <w:szCs w:val="20"/>
          <w:color w:val="auto"/>
        </w:rPr>
      </w:pPr>
    </w:p>
    <w:p>
      <w:pPr>
        <w:ind w:left="1589" w:hanging="613"/>
        <w:spacing w:after="0"/>
        <w:tabs>
          <w:tab w:leader="none" w:pos="158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3" w:lineRule="exact"/>
        <w:rPr>
          <w:rFonts w:ascii="Courier New" w:cs="Courier New" w:eastAsia="Courier New" w:hAnsi="Courier New"/>
          <w:sz w:val="15"/>
          <w:szCs w:val="15"/>
          <w:color w:val="auto"/>
        </w:rPr>
      </w:pPr>
    </w:p>
    <w:p>
      <w:pPr>
        <w:ind w:left="34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631" w:right="1440" w:bottom="1440" w:gutter="0" w:footer="0" w:header="0"/>
        </w:sectPr>
      </w:pPr>
    </w:p>
    <w:bookmarkStart w:id="37" w:name="page38"/>
    <w:bookmarkEnd w:id="37"/>
    <w:p>
      <w:pPr>
        <w:ind w:left="1589" w:right="3219" w:hanging="613"/>
        <w:spacing w:after="0" w:line="238" w:lineRule="auto"/>
        <w:tabs>
          <w:tab w:leader="none" w:pos="15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4" w:lineRule="exact"/>
        <w:rPr>
          <w:rFonts w:ascii="Courier New" w:cs="Courier New" w:eastAsia="Courier New" w:hAnsi="Courier New"/>
          <w:sz w:val="15"/>
          <w:szCs w:val="15"/>
          <w:color w:val="auto"/>
        </w:rPr>
      </w:pPr>
    </w:p>
    <w:p>
      <w:pPr>
        <w:ind w:left="1589" w:right="3219" w:hanging="613"/>
        <w:spacing w:after="0" w:line="238" w:lineRule="auto"/>
        <w:tabs>
          <w:tab w:leader="none" w:pos="15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72" w:lineRule="exact"/>
        <w:rPr>
          <w:rFonts w:ascii="Courier New" w:cs="Courier New" w:eastAsia="Courier New" w:hAnsi="Courier New"/>
          <w:sz w:val="15"/>
          <w:szCs w:val="15"/>
          <w:color w:val="auto"/>
        </w:rPr>
      </w:pPr>
    </w:p>
    <w:p>
      <w:pPr>
        <w:ind w:left="1589" w:hanging="613"/>
        <w:spacing w:after="0"/>
        <w:tabs>
          <w:tab w:leader="none" w:pos="15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4" w:lineRule="exact"/>
        <w:rPr>
          <w:rFonts w:ascii="Courier New" w:cs="Courier New" w:eastAsia="Courier New" w:hAnsi="Courier New"/>
          <w:sz w:val="15"/>
          <w:szCs w:val="15"/>
          <w:color w:val="auto"/>
        </w:rPr>
      </w:pPr>
    </w:p>
    <w:p>
      <w:pPr>
        <w:ind w:left="1589" w:right="3479" w:hanging="613"/>
        <w:spacing w:after="0" w:line="238" w:lineRule="auto"/>
        <w:tabs>
          <w:tab w:leader="none" w:pos="15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5" w:lineRule="exact"/>
        <w:rPr>
          <w:sz w:val="20"/>
          <w:szCs w:val="20"/>
          <w:color w:val="auto"/>
        </w:rPr>
      </w:pPr>
    </w:p>
    <w:p>
      <w:pPr>
        <w:ind w:left="789" w:right="3399"/>
        <w:spacing w:after="0"/>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75" w:lineRule="exact"/>
        <w:rPr>
          <w:sz w:val="20"/>
          <w:szCs w:val="20"/>
          <w:color w:val="auto"/>
        </w:rPr>
      </w:pPr>
    </w:p>
    <w:p>
      <w:pPr>
        <w:ind w:left="789" w:right="3219" w:hanging="789"/>
        <w:spacing w:after="0"/>
        <w:tabs>
          <w:tab w:leader="none" w:pos="1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-TERRORIST ATTACKS, SUCH AS THE ATTACKS THAT OCCURRED IN NEW YORK AND WASHINGTON, DC, ON SEPTEMBER 11, 2001, AND OTHER ACTS OF VIOLENCE OR WAR MAY AFFECT THE MARKETS ON WHICH OUR COMMON STOCK AND REGISTERED SENIOR SUBORDINATED NOTES TRADE, THE MARKETS IN WHICH WE OPERATE, OUR OPERATIONS AND OUR PROFITABILITY.</w:t>
      </w:r>
    </w:p>
    <w:p>
      <w:pPr>
        <w:spacing w:after="0" w:line="174" w:lineRule="exact"/>
        <w:rPr>
          <w:sz w:val="20"/>
          <w:szCs w:val="20"/>
          <w:color w:val="auto"/>
        </w:rPr>
      </w:pPr>
    </w:p>
    <w:p>
      <w:pPr>
        <w:ind w:left="789" w:right="3119"/>
        <w:spacing w:after="0"/>
        <w:rPr>
          <w:sz w:val="20"/>
          <w:szCs w:val="20"/>
          <w:color w:val="auto"/>
        </w:rPr>
      </w:pPr>
      <w:r>
        <w:rPr>
          <w:rFonts w:ascii="Courier New" w:cs="Courier New" w:eastAsia="Courier New" w:hAnsi="Courier New"/>
          <w:sz w:val="15"/>
          <w:szCs w:val="15"/>
          <w:color w:val="auto"/>
        </w:rPr>
        <w:t>Terrorist attacks may negatively affect our operations and your investment. There can be no assurance that there will not be further terrorist attacks against the United States or U.S. businesses. These attacks or armed conflicts may directly impact our physical facilities or those of our suppliers or customers. Furthermore, these attacks may make travel and the transportation of our supplies and products more difficult and more expensive and ultimately affect our sales. Also as a result of terrorism, the United States has entered into an armed conflict which could have a further impact on our sales, our supply chain and our ability to deliver product to our customers. Political and economic instability in some regions of the world may also result and could negatively impact our business. The consequences of any of these armed conflicts are unpredictable, and we may not be able to foresee events that could have an adverse effect on our business or your investment. More generally, any of these events could cause consumer confidence and spending to decrease or result in increased volatility in the United States and worldwide financial markets and economy. They also could result in economic recession in the United States or abroad. Any of these occurrences could have a significant impact on our operating results, revenues and costs and may result in the volatility of the market price for our securities and on the future price of our securities.</w:t>
      </w:r>
    </w:p>
    <w:p>
      <w:pPr>
        <w:spacing w:after="0" w:line="200" w:lineRule="exact"/>
        <w:rPr>
          <w:sz w:val="20"/>
          <w:szCs w:val="20"/>
          <w:color w:val="auto"/>
        </w:rPr>
      </w:pPr>
    </w:p>
    <w:p>
      <w:pPr>
        <w:spacing w:after="0" w:line="32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3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7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left="1580" w:right="3399"/>
        <w:spacing w:after="0"/>
        <w:rPr>
          <w:sz w:val="20"/>
          <w:szCs w:val="20"/>
          <w:color w:val="auto"/>
        </w:rPr>
      </w:pPr>
      <w:r>
        <w:rPr>
          <w:rFonts w:ascii="Courier New" w:cs="Courier New" w:eastAsia="Courier New" w:hAnsi="Courier New"/>
          <w:sz w:val="15"/>
          <w:szCs w:val="15"/>
          <w:color w:val="auto"/>
        </w:rPr>
        <w:t>As noted in Note 9 to the Company's unaudited Condensed, Consolidated Financial Statements as of and for the period ended December 29, 2001, the Company is involved in several pending legal and environmental matters. Pending other material legal proceedings are as follows:</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4"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On October 15, 1999, the Company began arbitration proceedings before the International Court of Arbitration of the International Chamber of Commerce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180"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On October 9, 2000, the ICA issued a First Partial Award by the Tribunal which, inter alia: (i) found that Rhone-Poulenc breached its duty of good faith under the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 A damages hearing was held from July 2 to 5, 2001. The Tribunal heard closing arguments regarding the Company's claim to damages and restitution in January 2002.</w:t>
      </w:r>
    </w:p>
    <w:p>
      <w:pPr>
        <w:spacing w:after="0" w:line="182"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 Said stay was granted by the District Court on February 18, 2000.</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SCOTTS V. AgrEvo USA COMPANY</w:t>
      </w:r>
    </w:p>
    <w:p>
      <w:pPr>
        <w:spacing w:after="0" w:line="174"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The Company filed suit against AgrEvo USA Company on August 8, 2000 in the Court of Common Pleas for Union County, Ohio, alleging breach of contract relating to an Agreement dated June 22, 1998 entitled "Exclusive Distributor Agreement - Horticulture". The action seeks an unspecified amount of damages resulting from AgrEvo's breaches of the Agreement, an order of specific performance directing AgrEvo to comply with its obligations under the Agreement, a declaratory judgment that the Company's future performance under the Agreement is waived as a result of AgrEvo's failure to perform, and such other relief to which the Company might be entitled. This action was dismissed without prejudice on February 6, 2001, pending the outcome of settlement discussions.</w:t>
      </w:r>
    </w:p>
    <w:p>
      <w:pPr>
        <w:spacing w:after="0" w:line="180"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799" w:right="1440" w:bottom="1440" w:gutter="0" w:footer="0" w:header="0"/>
        </w:sectPr>
      </w:pPr>
    </w:p>
    <w:bookmarkStart w:id="39" w:name="page40"/>
    <w:bookmarkEnd w:id="39"/>
    <w:p>
      <w:pPr>
        <w:spacing w:after="0"/>
        <w:tabs>
          <w:tab w:leader="none" w:pos="15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left="1580" w:right="340"/>
        <w:spacing w:after="0" w:line="271" w:lineRule="auto"/>
        <w:rPr>
          <w:sz w:val="20"/>
          <w:szCs w:val="20"/>
          <w:color w:val="auto"/>
        </w:rPr>
      </w:pPr>
      <w:r>
        <w:rPr>
          <w:rFonts w:ascii="Courier New" w:cs="Courier New" w:eastAsia="Courier New" w:hAnsi="Courier New"/>
          <w:sz w:val="14"/>
          <w:szCs w:val="14"/>
          <w:color w:val="auto"/>
        </w:rPr>
        <w:t>The Annual Meeting of Shareholders of the Company (the "Annual Meeting") was held in Marysville, Ohio on January 25, 2002.</w:t>
      </w:r>
    </w:p>
    <w:p>
      <w:pPr>
        <w:spacing w:after="0" w:line="154" w:lineRule="exact"/>
        <w:rPr>
          <w:sz w:val="20"/>
          <w:szCs w:val="20"/>
          <w:color w:val="auto"/>
        </w:rPr>
      </w:pPr>
    </w:p>
    <w:p>
      <w:pPr>
        <w:ind w:left="1580" w:right="340"/>
        <w:spacing w:after="0" w:line="239" w:lineRule="auto"/>
        <w:rPr>
          <w:sz w:val="20"/>
          <w:szCs w:val="20"/>
          <w:color w:val="auto"/>
        </w:rPr>
      </w:pPr>
      <w:r>
        <w:rPr>
          <w:rFonts w:ascii="Courier New" w:cs="Courier New" w:eastAsia="Courier New" w:hAnsi="Courier New"/>
          <w:sz w:val="15"/>
          <w:szCs w:val="15"/>
          <w:color w:val="auto"/>
        </w:rPr>
        <w:t>The result of the vote of the shareholders for the matter of the election of four directors, for terms of three years each,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NOMINEE</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Charles M. Berger..............................................</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James Hagedorn.................................................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Karen G. Mills.................................................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John Walker, Ph.D..............................................</w:t>
      </w:r>
    </w:p>
    <w:p>
      <w:pPr>
        <w:spacing w:after="0" w:line="345" w:lineRule="exact"/>
        <w:rPr>
          <w:sz w:val="20"/>
          <w:szCs w:val="20"/>
          <w:color w:val="auto"/>
        </w:rPr>
      </w:pPr>
    </w:p>
    <w:p>
      <w:pPr>
        <w:ind w:left="1580" w:right="440"/>
        <w:spacing w:after="0"/>
        <w:rPr>
          <w:sz w:val="20"/>
          <w:szCs w:val="20"/>
          <w:color w:val="auto"/>
        </w:rPr>
      </w:pPr>
      <w:r>
        <w:rPr>
          <w:rFonts w:ascii="Courier New" w:cs="Courier New" w:eastAsia="Courier New" w:hAnsi="Courier New"/>
          <w:sz w:val="15"/>
          <w:szCs w:val="15"/>
          <w:color w:val="auto"/>
        </w:rPr>
        <w:t>Each of the nominees was elected. The other directors whose terms of office continue after the Annual Meeting are Arnold W. Donald, John Kenlon, John M. Sullivan, L. Jack Van Fossen, Joseph P. Flannery, Albert E. Harris, Katherine Hagedorn Littlefield and Patrick J. Norton.</w:t>
      </w:r>
    </w:p>
    <w:p>
      <w:pPr>
        <w:spacing w:after="0" w:line="174" w:lineRule="exact"/>
        <w:rPr>
          <w:sz w:val="20"/>
          <w:szCs w:val="20"/>
          <w:color w:val="auto"/>
        </w:rPr>
      </w:pPr>
    </w:p>
    <w:p>
      <w:pPr>
        <w:ind w:left="1580" w:right="520"/>
        <w:spacing w:after="0" w:line="238" w:lineRule="auto"/>
        <w:rPr>
          <w:sz w:val="20"/>
          <w:szCs w:val="20"/>
          <w:color w:val="auto"/>
        </w:rPr>
      </w:pPr>
      <w:r>
        <w:rPr>
          <w:rFonts w:ascii="Courier New" w:cs="Courier New" w:eastAsia="Courier New" w:hAnsi="Courier New"/>
          <w:sz w:val="15"/>
          <w:szCs w:val="15"/>
          <w:color w:val="auto"/>
        </w:rPr>
        <w:t>The shareholder resolution regarding genetic engineering was not adopted. The result of the vote was: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40" w:type="dxa"/>
        <w:tblCellMar>
          <w:top w:w="0" w:type="dxa"/>
          <w:left w:w="0" w:type="dxa"/>
          <w:bottom w:w="0" w:type="dxa"/>
          <w:right w:w="0" w:type="dxa"/>
        </w:tblCellMar>
      </w:tblPr>
      <w:tr>
        <w:trPr>
          <w:trHeight w:val="170"/>
        </w:trPr>
        <w:tc>
          <w:tcPr>
            <w:tcW w:w="1460" w:type="dxa"/>
            <w:vAlign w:val="bottom"/>
          </w:tcPr>
          <w:p>
            <w:pPr>
              <w:jc w:val="center"/>
              <w:ind w:right="586"/>
              <w:spacing w:after="0"/>
              <w:rPr>
                <w:sz w:val="20"/>
                <w:szCs w:val="20"/>
                <w:color w:val="auto"/>
              </w:rPr>
            </w:pPr>
            <w:r>
              <w:rPr>
                <w:rFonts w:ascii="Courier New" w:cs="Courier New" w:eastAsia="Courier New" w:hAnsi="Courier New"/>
                <w:sz w:val="15"/>
                <w:szCs w:val="15"/>
                <w:color w:val="auto"/>
                <w:w w:val="98"/>
              </w:rPr>
              <w:t>VOTES FOR</w:t>
            </w:r>
          </w:p>
        </w:tc>
        <w:tc>
          <w:tcPr>
            <w:tcW w:w="2400" w:type="dxa"/>
            <w:vAlign w:val="bottom"/>
          </w:tcPr>
          <w:p>
            <w:pPr>
              <w:ind w:left="660"/>
              <w:spacing w:after="0"/>
              <w:rPr>
                <w:sz w:val="20"/>
                <w:szCs w:val="20"/>
                <w:color w:val="auto"/>
              </w:rPr>
            </w:pPr>
            <w:r>
              <w:rPr>
                <w:rFonts w:ascii="Courier New" w:cs="Courier New" w:eastAsia="Courier New" w:hAnsi="Courier New"/>
                <w:sz w:val="15"/>
                <w:szCs w:val="15"/>
                <w:color w:val="auto"/>
              </w:rPr>
              <w:t>VOTES AGAINST</w:t>
            </w: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w w:val="96"/>
              </w:rPr>
              <w:t>ABSTENTIONS</w:t>
            </w:r>
          </w:p>
        </w:tc>
      </w:tr>
      <w:tr>
        <w:trPr>
          <w:trHeight w:val="171"/>
        </w:trPr>
        <w:tc>
          <w:tcPr>
            <w:tcW w:w="1460" w:type="dxa"/>
            <w:vAlign w:val="bottom"/>
          </w:tcPr>
          <w:p>
            <w:pPr>
              <w:jc w:val="center"/>
              <w:ind w:right="586"/>
              <w:spacing w:after="0"/>
              <w:rPr>
                <w:sz w:val="20"/>
                <w:szCs w:val="20"/>
                <w:color w:val="auto"/>
              </w:rPr>
            </w:pPr>
            <w:r>
              <w:rPr>
                <w:rFonts w:ascii="Courier New" w:cs="Courier New" w:eastAsia="Courier New" w:hAnsi="Courier New"/>
                <w:sz w:val="15"/>
                <w:szCs w:val="15"/>
                <w:color w:val="auto"/>
                <w:w w:val="98"/>
              </w:rPr>
              <w:t>---------</w:t>
            </w:r>
          </w:p>
        </w:tc>
        <w:tc>
          <w:tcPr>
            <w:tcW w:w="24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460" w:type="dxa"/>
            <w:vAlign w:val="bottom"/>
          </w:tcPr>
          <w:p>
            <w:pPr>
              <w:jc w:val="center"/>
              <w:ind w:right="606"/>
              <w:spacing w:after="0"/>
              <w:rPr>
                <w:sz w:val="20"/>
                <w:szCs w:val="20"/>
                <w:color w:val="auto"/>
              </w:rPr>
            </w:pPr>
            <w:r>
              <w:rPr>
                <w:rFonts w:ascii="Courier New" w:cs="Courier New" w:eastAsia="Courier New" w:hAnsi="Courier New"/>
                <w:sz w:val="15"/>
                <w:szCs w:val="15"/>
                <w:color w:val="auto"/>
                <w:w w:val="98"/>
              </w:rPr>
              <w:t>813,311</w:t>
            </w:r>
          </w:p>
        </w:tc>
        <w:tc>
          <w:tcPr>
            <w:tcW w:w="24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22,193,434</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554,451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VOTES</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VOTES FOR</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WITHHELD</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512"/>
        </w:trPr>
        <w:tc>
          <w:tcPr>
            <w:tcW w:w="1280" w:type="dxa"/>
            <w:vAlign w:val="bottom"/>
          </w:tcPr>
          <w:p>
            <w:pPr>
              <w:spacing w:after="0"/>
              <w:rPr>
                <w:sz w:val="20"/>
                <w:szCs w:val="20"/>
                <w:color w:val="auto"/>
              </w:rPr>
            </w:pPr>
            <w:r>
              <w:rPr>
                <w:rFonts w:ascii="Courier New" w:cs="Courier New" w:eastAsia="Courier New" w:hAnsi="Courier New"/>
                <w:sz w:val="15"/>
                <w:szCs w:val="15"/>
                <w:color w:val="auto"/>
              </w:rPr>
              <w:t>25,415,396</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276,873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25,506,002</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186,267</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25,456,422</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235,847</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25,456,723</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w w:val="95"/>
              </w:rPr>
              <w:t>235,546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BROKER NON-VOTES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2,131,073</w:t>
      </w:r>
    </w:p>
    <w:p>
      <w:pPr>
        <w:sectPr>
          <w:pgSz w:w="11900" w:h="16838" w:orient="portrait"/>
          <w:cols w:equalWidth="0" w:num="2">
            <w:col w:w="7440" w:space="720"/>
            <w:col w:w="2480"/>
          </w:cols>
          <w:pgMar w:left="240" w:top="628" w:right="1019" w:bottom="1440" w:gutter="0" w:footer="0" w:header="0"/>
        </w:sectPr>
      </w:pPr>
    </w:p>
    <w:bookmarkStart w:id="40" w:name="page41"/>
    <w:bookmarkEnd w:id="40"/>
    <w:p>
      <w:pPr>
        <w:spacing w:after="0"/>
        <w:tabs>
          <w:tab w:leader="none" w:pos="14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2300" w:right="3479" w:hanging="800"/>
        <w:spacing w:after="0" w:line="238" w:lineRule="auto"/>
        <w:tabs>
          <w:tab w:leader="none" w:pos="23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43 for a list of the exhibits included herewith.</w:t>
      </w:r>
    </w:p>
    <w:p>
      <w:pPr>
        <w:spacing w:after="0" w:line="174" w:lineRule="exact"/>
        <w:rPr>
          <w:rFonts w:ascii="Courier New" w:cs="Courier New" w:eastAsia="Courier New" w:hAnsi="Courier New"/>
          <w:sz w:val="15"/>
          <w:szCs w:val="15"/>
          <w:color w:val="auto"/>
        </w:rPr>
      </w:pPr>
    </w:p>
    <w:p>
      <w:pPr>
        <w:ind w:left="2300" w:right="3399" w:hanging="800"/>
        <w:spacing w:after="0" w:line="238" w:lineRule="auto"/>
        <w:tabs>
          <w:tab w:leader="none" w:pos="23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during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799" w:right="1440" w:bottom="1440" w:gutter="0" w:footer="0" w:header="0"/>
        </w:sectPr>
      </w:pPr>
    </w:p>
    <w:bookmarkStart w:id="41" w:name="page42"/>
    <w:bookmarkEnd w:id="41"/>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19"/>
          </w:cols>
          <w:pgMar w:left="240" w:top="7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12, 2002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 Finance,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North America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2">
            <w:col w:w="2380" w:space="720"/>
            <w:col w:w="7119"/>
          </w:cols>
          <w:pgMar w:left="240" w:top="799"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219"/>
          </w:cols>
          <w:pgMar w:left="240" w:top="799" w:right="1440" w:bottom="1440" w:gutter="0" w:footer="0" w:header="0"/>
          <w:type w:val="continuous"/>
        </w:sectPr>
      </w:pPr>
    </w:p>
    <w:bookmarkStart w:id="42" w:name="page43"/>
    <w:bookmarkEnd w:id="42"/>
    <w:p>
      <w:pPr>
        <w:jc w:val="center"/>
        <w:ind w:right="311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REPORT ON 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FOR THE FISCAL QUARTER ENDED DECEMBER 29, 2001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INDEX TO EXHIBITS</w:t>
            </w:r>
          </w:p>
        </w:tc>
        <w:tc>
          <w:tcPr>
            <w:tcW w:w="1020" w:type="dxa"/>
            <w:vAlign w:val="bottom"/>
          </w:tcPr>
          <w:p>
            <w:pPr>
              <w:spacing w:after="0"/>
              <w:rPr>
                <w:sz w:val="14"/>
                <w:szCs w:val="14"/>
                <w:color w:val="auto"/>
              </w:rPr>
            </w:pPr>
          </w:p>
        </w:tc>
      </w:tr>
      <w:tr>
        <w:trPr>
          <w:trHeight w:val="853"/>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Description</w:t>
            </w:r>
          </w:p>
        </w:tc>
        <w:tc>
          <w:tcPr>
            <w:tcW w:w="426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Location</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10(x)</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Letter</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agreement,</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dated October 10, 2001, between the Registrant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2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and M.</w:t>
            </w:r>
          </w:p>
        </w:tc>
        <w:tc>
          <w:tcPr>
            <w:tcW w:w="5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Michel Farkouh</w:t>
            </w:r>
          </w:p>
        </w:tc>
        <w:tc>
          <w:tcPr>
            <w:tcW w:w="1020" w:type="dxa"/>
            <w:vAlign w:val="bottom"/>
          </w:tcPr>
          <w:p>
            <w:pPr>
              <w:spacing w:after="0"/>
              <w:rPr>
                <w:sz w:val="14"/>
                <w:szCs w:val="14"/>
                <w:color w:val="auto"/>
              </w:rPr>
            </w:pPr>
          </w:p>
        </w:tc>
      </w:tr>
      <w:tr>
        <w:trPr>
          <w:trHeight w:val="512"/>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10(y)</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w w:val="99"/>
              </w:rPr>
              <w:t>Letter</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agreement,</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dated as of December 20, 2001, between the</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28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Registrant and L.</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Robert Stohler</w:t>
            </w:r>
          </w:p>
        </w:tc>
        <w:tc>
          <w:tcPr>
            <w:tcW w:w="102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799" w:right="1440" w:bottom="1440" w:gutter="0" w:footer="0" w:header="0"/>
        </w:sectPr>
      </w:pPr>
    </w:p>
    <w:bookmarkStart w:id="43" w:name="page44"/>
    <w:bookmarkEnd w:id="43"/>
    <w:p>
      <w:pPr>
        <w:jc w:val="right"/>
        <w:ind w:right="3119"/>
        <w:spacing w:after="0"/>
        <w:rPr>
          <w:sz w:val="20"/>
          <w:szCs w:val="20"/>
          <w:color w:val="auto"/>
        </w:rPr>
      </w:pPr>
      <w:r>
        <w:rPr>
          <w:rFonts w:ascii="Courier New" w:cs="Courier New" w:eastAsia="Courier New" w:hAnsi="Courier New"/>
          <w:sz w:val="15"/>
          <w:szCs w:val="15"/>
          <w:color w:val="auto"/>
        </w:rPr>
        <w:t>Exhibit 10(x)</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10, 2001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Michel Farkouh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Chemin de la Sauvegarde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69136 Ecully France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Farkouh:</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Pursuant to our various discussions, we confirm that in the event of termination of your employment contract by SCOTTS France SAS(2), for whatever reason except for serious or intentional misconduct, you will be entitled to a severance package equivalent to 2 years salary. The indemnity for dismissal provided for by the collective bargaining agreement ("indemnite conventionnelle de licenciement") will be considered to be included in said lump sum severance payment. The severance payment will however have no incidence on your right to a period of notice and will not be considered to include any indemnity which may be due with respect to the notice period (indemnite de preavis").</w:t>
      </w:r>
    </w:p>
    <w:p>
      <w:pPr>
        <w:spacing w:after="0" w:line="166"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company also undertakes to compensate you for any net loss which you may incur on sale of your principal residence, if you are obliged to move for business reasons for The Scotts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Hadia Lefavre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Hadia Lefavre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 Worldwide</w:t>
      </w:r>
    </w:p>
    <w:p>
      <w:pPr>
        <w:sectPr>
          <w:pgSz w:w="11900" w:h="16838" w:orient="portrait"/>
          <w:cols w:equalWidth="0" w:num="1">
            <w:col w:w="10219"/>
          </w:cols>
          <w:pgMar w:left="240" w:top="309" w:right="1440" w:bottom="1440" w:gutter="0" w:footer="0" w:header="0"/>
        </w:sectPr>
      </w:pPr>
    </w:p>
    <w:bookmarkStart w:id="44" w:name="page45"/>
    <w:bookmarkEnd w:id="44"/>
    <w:p>
      <w:pPr>
        <w:jc w:val="right"/>
        <w:ind w:right="3119"/>
        <w:spacing w:after="0"/>
        <w:rPr>
          <w:sz w:val="20"/>
          <w:szCs w:val="20"/>
          <w:color w:val="auto"/>
        </w:rPr>
      </w:pPr>
      <w:r>
        <w:rPr>
          <w:rFonts w:ascii="Courier New" w:cs="Courier New" w:eastAsia="Courier New" w:hAnsi="Courier New"/>
          <w:sz w:val="15"/>
          <w:szCs w:val="15"/>
          <w:color w:val="auto"/>
        </w:rPr>
        <w:t>Exhibit 10(y)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20, 2001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Bob:</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This letter is intended to memorialize the agreements we have reached regarding your continued employment with The Scotts Company (the "Company"). We have agreed as follows:</w:t>
      </w:r>
    </w:p>
    <w:p>
      <w:pPr>
        <w:spacing w:after="0" w:line="175" w:lineRule="exact"/>
        <w:rPr>
          <w:sz w:val="20"/>
          <w:szCs w:val="20"/>
          <w:color w:val="auto"/>
        </w:rPr>
      </w:pPr>
    </w:p>
    <w:p>
      <w:pPr>
        <w:ind w:left="880" w:right="3659" w:hanging="445"/>
        <w:spacing w:after="0" w:line="238"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continue in your present position as Executive Vice President - North America until the earlier of:</w:t>
      </w:r>
    </w:p>
    <w:p>
      <w:pPr>
        <w:spacing w:after="0" w:line="174"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2002 (or such other date as you and the Company may hereafter mutually agree);</w:t>
      </w:r>
    </w:p>
    <w:p>
      <w:pPr>
        <w:spacing w:after="0" w:line="174" w:lineRule="exact"/>
        <w:rPr>
          <w:rFonts w:ascii="Courier New" w:cs="Courier New" w:eastAsia="Courier New" w:hAnsi="Courier New"/>
          <w:sz w:val="15"/>
          <w:szCs w:val="15"/>
          <w:color w:val="auto"/>
        </w:rPr>
      </w:pPr>
    </w:p>
    <w:p>
      <w:pPr>
        <w:ind w:left="1320" w:right="3119" w:hanging="442"/>
        <w:spacing w:after="0" w:line="271" w:lineRule="auto"/>
        <w:tabs>
          <w:tab w:leader="none" w:pos="132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Company terminates your employment without Cause (as that term is defined in the Company's 1996 Stock Option Plan);</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your death or total disability; or</w:t>
      </w:r>
    </w:p>
    <w:p>
      <w:pPr>
        <w:spacing w:after="0" w:line="174" w:lineRule="exact"/>
        <w:rPr>
          <w:rFonts w:ascii="Courier New" w:cs="Courier New" w:eastAsia="Courier New" w:hAnsi="Courier New"/>
          <w:sz w:val="15"/>
          <w:szCs w:val="15"/>
          <w:color w:val="auto"/>
        </w:rPr>
      </w:pPr>
    </w:p>
    <w:p>
      <w:pPr>
        <w:ind w:left="1320" w:right="3759" w:hanging="442"/>
        <w:spacing w:after="0" w:line="238" w:lineRule="auto"/>
        <w:tabs>
          <w:tab w:leader="none" w:pos="13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a Change in Control (as that term is defined in the Company's 1996 Stock Option Plan).</w:t>
      </w:r>
    </w:p>
    <w:p>
      <w:pPr>
        <w:spacing w:after="0" w:line="175" w:lineRule="exact"/>
        <w:rPr>
          <w:sz w:val="20"/>
          <w:szCs w:val="20"/>
          <w:color w:val="auto"/>
        </w:rPr>
      </w:pPr>
    </w:p>
    <w:p>
      <w:pPr>
        <w:ind w:left="880" w:right="3399"/>
        <w:spacing w:after="0" w:line="238" w:lineRule="auto"/>
        <w:rPr>
          <w:sz w:val="20"/>
          <w:szCs w:val="20"/>
          <w:color w:val="auto"/>
        </w:rPr>
      </w:pPr>
      <w:r>
        <w:rPr>
          <w:rFonts w:ascii="Courier New" w:cs="Courier New" w:eastAsia="Courier New" w:hAnsi="Courier New"/>
          <w:sz w:val="15"/>
          <w:szCs w:val="15"/>
          <w:color w:val="auto"/>
        </w:rPr>
        <w:t>Each of the dates set forth above is hereinafter referred to as the "Termination Date."</w:t>
      </w:r>
    </w:p>
    <w:p>
      <w:pPr>
        <w:spacing w:after="0" w:line="175" w:lineRule="exact"/>
        <w:rPr>
          <w:sz w:val="20"/>
          <w:szCs w:val="20"/>
          <w:color w:val="auto"/>
        </w:rPr>
      </w:pPr>
    </w:p>
    <w:p>
      <w:pPr>
        <w:ind w:left="880" w:right="3839" w:hanging="445"/>
        <w:spacing w:after="0" w:line="238"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September 30, 2002, the Company will, at its sole discretion, offer you one of the following options:</w:t>
      </w:r>
    </w:p>
    <w:p>
      <w:pPr>
        <w:spacing w:after="0" w:line="174" w:lineRule="exact"/>
        <w:rPr>
          <w:rFonts w:ascii="Courier New" w:cs="Courier New" w:eastAsia="Courier New" w:hAnsi="Courier New"/>
          <w:sz w:val="15"/>
          <w:szCs w:val="15"/>
          <w:color w:val="auto"/>
        </w:rPr>
      </w:pPr>
    </w:p>
    <w:p>
      <w:pPr>
        <w:ind w:left="1320" w:right="3399" w:hanging="442"/>
        <w:spacing w:after="0" w:line="271" w:lineRule="auto"/>
        <w:tabs>
          <w:tab w:leader="none" w:pos="13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in your current position beyond September 30, 2002 (defined as an "Offer of Continued Employment"); or</w:t>
      </w:r>
    </w:p>
    <w:p>
      <w:pPr>
        <w:spacing w:after="0" w:line="151" w:lineRule="exact"/>
        <w:rPr>
          <w:rFonts w:ascii="Courier New" w:cs="Courier New" w:eastAsia="Courier New" w:hAnsi="Courier New"/>
          <w:sz w:val="14"/>
          <w:szCs w:val="14"/>
          <w:color w:val="auto"/>
        </w:rPr>
      </w:pPr>
    </w:p>
    <w:p>
      <w:pPr>
        <w:ind w:left="1320" w:hanging="442"/>
        <w:spacing w:after="0"/>
        <w:tabs>
          <w:tab w:leader="none" w:pos="13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your employment.</w:t>
      </w:r>
    </w:p>
    <w:p>
      <w:pPr>
        <w:spacing w:after="0" w:line="174" w:lineRule="exact"/>
        <w:rPr>
          <w:sz w:val="20"/>
          <w:szCs w:val="20"/>
          <w:color w:val="auto"/>
        </w:rPr>
      </w:pPr>
    </w:p>
    <w:p>
      <w:pPr>
        <w:ind w:left="880" w:right="3219"/>
        <w:spacing w:after="0" w:line="261" w:lineRule="auto"/>
        <w:rPr>
          <w:sz w:val="20"/>
          <w:szCs w:val="20"/>
          <w:color w:val="auto"/>
        </w:rPr>
      </w:pPr>
      <w:r>
        <w:rPr>
          <w:rFonts w:ascii="Courier New" w:cs="Courier New" w:eastAsia="Courier New" w:hAnsi="Courier New"/>
          <w:sz w:val="14"/>
          <w:szCs w:val="14"/>
          <w:color w:val="auto"/>
        </w:rPr>
        <w:t>In the event the Company makes an Offer of Continued Employment, you may elect to accept or decline such offer. If you accept such offer, your eligibility to receive the termination benefits set forth herein shall be extended to such date as you and the Company agree, or the date upon which the Company terminates your employment without Cause.</w:t>
      </w:r>
    </w:p>
    <w:p>
      <w:pPr>
        <w:spacing w:after="0" w:line="162" w:lineRule="exact"/>
        <w:rPr>
          <w:sz w:val="20"/>
          <w:szCs w:val="20"/>
          <w:color w:val="auto"/>
        </w:rPr>
      </w:pPr>
    </w:p>
    <w:p>
      <w:pPr>
        <w:ind w:left="880" w:right="3119"/>
        <w:spacing w:after="0"/>
        <w:rPr>
          <w:sz w:val="20"/>
          <w:szCs w:val="20"/>
          <w:color w:val="auto"/>
        </w:rPr>
      </w:pPr>
      <w:r>
        <w:rPr>
          <w:rFonts w:ascii="Courier New" w:cs="Courier New" w:eastAsia="Courier New" w:hAnsi="Courier New"/>
          <w:sz w:val="15"/>
          <w:szCs w:val="15"/>
          <w:color w:val="auto"/>
        </w:rPr>
        <w:t>In the event you decline the Offer of Continued Employment, you will be expected to retire on September 30, 2002, and you will be entitled to receive the termination benefits set forth herein. Assuming you retire on September 30, 2002, you will be eligible for a pay out under the 2002 Executive Annual Incentive Plan, but you will not be eligible for any further stock option grants.</w:t>
      </w:r>
    </w:p>
    <w:p>
      <w:pPr>
        <w:sectPr>
          <w:pgSz w:w="11900" w:h="16838" w:orient="portrait"/>
          <w:cols w:equalWidth="0" w:num="1">
            <w:col w:w="10219"/>
          </w:cols>
          <w:pgMar w:left="240" w:top="309" w:right="1440" w:bottom="1440" w:gutter="0" w:footer="0" w:header="0"/>
        </w:sectPr>
      </w:pPr>
    </w:p>
    <w:bookmarkStart w:id="45" w:name="page46"/>
    <w:bookmarkEnd w:id="45"/>
    <w:p>
      <w:pPr>
        <w:ind w:left="880" w:right="3119" w:hanging="445"/>
        <w:spacing w:after="0" w:line="238"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Termination Date, you will be entitled to receive the following benefits:</w:t>
      </w:r>
    </w:p>
    <w:p>
      <w:pPr>
        <w:spacing w:after="0" w:line="174" w:lineRule="exact"/>
        <w:rPr>
          <w:rFonts w:ascii="Courier New" w:cs="Courier New" w:eastAsia="Courier New" w:hAnsi="Courier New"/>
          <w:sz w:val="15"/>
          <w:szCs w:val="15"/>
          <w:color w:val="auto"/>
        </w:rPr>
      </w:pPr>
    </w:p>
    <w:p>
      <w:pPr>
        <w:ind w:left="1320" w:right="3219" w:hanging="442"/>
        <w:spacing w:after="0"/>
        <w:tabs>
          <w:tab w:leader="none" w:pos="13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severance payment (payable in 12 equal monthly installments, beginning on the 25th day of the month following the Termination Date) equal to your current annual salary plus your target bonus in effect at the Termination Date (less required tax withholding).</w:t>
      </w:r>
    </w:p>
    <w:p>
      <w:pPr>
        <w:spacing w:after="0" w:line="174" w:lineRule="exact"/>
        <w:rPr>
          <w:rFonts w:ascii="Courier New" w:cs="Courier New" w:eastAsia="Courier New" w:hAnsi="Courier New"/>
          <w:sz w:val="15"/>
          <w:szCs w:val="15"/>
          <w:color w:val="auto"/>
        </w:rPr>
      </w:pPr>
    </w:p>
    <w:p>
      <w:pPr>
        <w:ind w:left="1320" w:right="3119" w:hanging="442"/>
        <w:spacing w:after="0"/>
        <w:tabs>
          <w:tab w:leader="none" w:pos="13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coverage equal to that in effect at the Termination Date will be provided by the Company at no charge to you during the 12 months you are receiving the severance payments set forth in paragraph 3(a) above. Thereafter, you will be entitled to continue to participate in the Company's group medical and dental plans under COBRA until your 65th birthday. The Company shall make a lump sum payment to you on the date of the last monthly severance payment equal to the amount necessary to pay the premiums for group medical and dental coverage through your 65th birthday, grossed up for taxes. An example of the calculations used to determine the amount of this lump sum payment is attached to this letter as Exhibit A.</w:t>
      </w:r>
    </w:p>
    <w:p>
      <w:pPr>
        <w:spacing w:after="0" w:line="179" w:lineRule="exact"/>
        <w:rPr>
          <w:rFonts w:ascii="Courier New" w:cs="Courier New" w:eastAsia="Courier New" w:hAnsi="Courier New"/>
          <w:sz w:val="15"/>
          <w:szCs w:val="15"/>
          <w:color w:val="auto"/>
        </w:rPr>
      </w:pPr>
    </w:p>
    <w:p>
      <w:pPr>
        <w:ind w:left="1320"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After you reach your 65th birthday, you will be entitled to participate in the Scott's Retiree (Medical) Plan, which designates Medicare, as the primary medical program for post age 65.</w:t>
      </w:r>
    </w:p>
    <w:p>
      <w:pPr>
        <w:spacing w:after="0" w:line="176" w:lineRule="exact"/>
        <w:rPr>
          <w:rFonts w:ascii="Courier New" w:cs="Courier New" w:eastAsia="Courier New" w:hAnsi="Courier New"/>
          <w:sz w:val="15"/>
          <w:szCs w:val="15"/>
          <w:color w:val="auto"/>
        </w:rPr>
      </w:pPr>
    </w:p>
    <w:p>
      <w:pPr>
        <w:ind w:left="1320" w:right="3119" w:hanging="442"/>
        <w:spacing w:after="0"/>
        <w:tabs>
          <w:tab w:leader="none" w:pos="13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presently have 82,000 options to purchase common shares of the Company that have vested and 47,000 options that have not vested. On the Termination Date, you shall be considered to have retired from the Company. As a result, all of your then outstanding options shall vest and may thereafter be exercised in accordance with the terms and conditions of the Company's 1996 Stock Option Plan which states that you will have five years from the Termination Date (September 30, 2002), or the end of the Option term, which ever is the shorter period.</w:t>
      </w:r>
    </w:p>
    <w:p>
      <w:pPr>
        <w:spacing w:after="0" w:line="177" w:lineRule="exact"/>
        <w:rPr>
          <w:rFonts w:ascii="Courier New" w:cs="Courier New" w:eastAsia="Courier New" w:hAnsi="Courier New"/>
          <w:sz w:val="15"/>
          <w:szCs w:val="15"/>
          <w:color w:val="auto"/>
        </w:rPr>
      </w:pPr>
    </w:p>
    <w:p>
      <w:pPr>
        <w:ind w:left="880" w:right="3299" w:hanging="445"/>
        <w:spacing w:after="0" w:line="239"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certain you understand that the agreements set forth in this letter do not apply should you voluntarily terminate your employment with the Company prior to September 30, 2002, or should the Company terminate your employment for Cause.</w:t>
      </w:r>
    </w:p>
    <w:p>
      <w:pPr>
        <w:spacing w:after="0" w:line="176" w:lineRule="exact"/>
        <w:rPr>
          <w:rFonts w:ascii="Courier New" w:cs="Courier New" w:eastAsia="Courier New" w:hAnsi="Courier New"/>
          <w:sz w:val="15"/>
          <w:szCs w:val="15"/>
          <w:color w:val="auto"/>
        </w:rPr>
      </w:pPr>
    </w:p>
    <w:p>
      <w:pPr>
        <w:ind w:left="880" w:right="3219" w:hanging="445"/>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you die or become totally disabled following the Termination Date but before the payments due you under paragraphs 3(a) and 3(b) above have been made to you, any remaining payments shall be made to you (or your beneficiary, as applicable) within 90 days of your death or total disability.</w:t>
      </w:r>
    </w:p>
    <w:p>
      <w:pPr>
        <w:spacing w:after="0" w:line="174" w:lineRule="exact"/>
        <w:rPr>
          <w:rFonts w:ascii="Courier New" w:cs="Courier New" w:eastAsia="Courier New" w:hAnsi="Courier New"/>
          <w:sz w:val="15"/>
          <w:szCs w:val="15"/>
          <w:color w:val="auto"/>
        </w:rPr>
      </w:pPr>
    </w:p>
    <w:p>
      <w:pPr>
        <w:jc w:val="both"/>
        <w:ind w:left="880" w:right="3759" w:hanging="445"/>
        <w:spacing w:after="0" w:line="239"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subject to final approval by Scotts' Board of Directors. I expect to ask for the Board's approval at its next meeting in January 2002.</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Two copies of this letter are enclosed. Please indicate your agreement with the terms set forth herein by executing one copy of this letter and returning it to me. The second copy is for your records.</w:t>
      </w:r>
    </w:p>
    <w:p>
      <w:pPr>
        <w:sectPr>
          <w:pgSz w:w="11900" w:h="16838" w:orient="portrait"/>
          <w:cols w:equalWidth="0" w:num="1">
            <w:col w:w="10219"/>
          </w:cols>
          <w:pgMar w:left="240" w:top="1143" w:right="1440" w:bottom="1440" w:gutter="0" w:footer="0" w:header="0"/>
        </w:sectPr>
      </w:pPr>
    </w:p>
    <w:bookmarkStart w:id="46" w:name="page47"/>
    <w:bookmarkEnd w:id="46"/>
    <w:p>
      <w:pPr>
        <w:ind w:right="3119" w:firstLine="444"/>
        <w:spacing w:after="0" w:line="271" w:lineRule="auto"/>
        <w:rPr>
          <w:sz w:val="20"/>
          <w:szCs w:val="20"/>
          <w:color w:val="auto"/>
        </w:rPr>
      </w:pPr>
      <w:r>
        <w:rPr>
          <w:rFonts w:ascii="Courier New" w:cs="Courier New" w:eastAsia="Courier New" w:hAnsi="Courier New"/>
          <w:sz w:val="14"/>
          <w:szCs w:val="14"/>
          <w:color w:val="auto"/>
        </w:rPr>
        <w:t>Bob, I am pleased that we could reach agreement on the matters set forth above and I look forward to working with you for the balance of the fiscal year.</w:t>
      </w:r>
    </w:p>
    <w:p>
      <w:pPr>
        <w:spacing w:after="0" w:line="32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 /s/ James Hagedorn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James Hagedorn</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Jim:</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 agree that this letter sets forth the agreements you and I have reached regarding my continued employment with the Company.</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December __, 2001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 Robert Stohler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Robert Stohler</w:t>
      </w:r>
    </w:p>
    <w:p>
      <w:pPr>
        <w:sectPr>
          <w:pgSz w:w="11900" w:h="16838" w:orient="portrait"/>
          <w:cols w:equalWidth="0" w:num="2">
            <w:col w:w="3360" w:space="720"/>
            <w:col w:w="6139"/>
          </w:cols>
          <w:pgMar w:left="240" w:top="631" w:right="1440" w:bottom="1440" w:gutter="0" w:footer="0" w:header="0"/>
          <w:type w:val="continuous"/>
        </w:sectPr>
      </w:pPr>
    </w:p>
    <w:bookmarkStart w:id="47" w:name="page48"/>
    <w:bookmarkEnd w:id="47"/>
    <w:p>
      <w:pPr>
        <w:jc w:val="center"/>
        <w:ind w:right="3030"/>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CALCULATION OF LUMP SUM PAYMENT</w:t>
      </w:r>
    </w:p>
    <w:p>
      <w:pPr>
        <w:spacing w:after="0" w:line="171" w:lineRule="exact"/>
        <w:rPr>
          <w:sz w:val="20"/>
          <w:szCs w:val="20"/>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retirement from the Company on September 30, 2002 at age 59.</w:t>
      </w:r>
    </w:p>
    <w:p>
      <w:pPr>
        <w:spacing w:after="0" w:line="3"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the Company pays for medical and dental coverage through September 30, 2002.</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eligibility for Medicare at age 65 beginning November 1, 2007.</w:t>
      </w:r>
    </w:p>
    <w:p>
      <w:pPr>
        <w:spacing w:after="0" w:line="174"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Calculation of 61 months of COBRA payments, grossed up for tax purposes and payable to Mr. Stohler in a lump sum on September 25, 2003:</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Mr. Stohler's applicable COBRA rate today:</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632.74</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Times 61</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months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38,597.14</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Gross up</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for taxes (times 1.65)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25,088.14</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Lump sum</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63,685.28</w:t>
            </w:r>
          </w:p>
        </w:tc>
      </w:tr>
    </w:tbl>
    <w:p>
      <w:pPr>
        <w:spacing w:after="0" w:line="1" w:lineRule="exact"/>
        <w:rPr>
          <w:sz w:val="20"/>
          <w:szCs w:val="20"/>
          <w:color w:val="auto"/>
        </w:rPr>
      </w:pPr>
    </w:p>
    <w:sectPr>
      <w:pgSz w:w="11900" w:h="16838" w:orient="portrait"/>
      <w:cols w:equalWidth="0" w:num="1">
        <w:col w:w="10228"/>
      </w:cols>
      <w:pgMar w:left="231" w:top="9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3"/>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lvl w:ilvl="1">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2"/>
    </w:lvl>
    <w:lvl w:ilvl="1">
      <w:lvlJc w:val="left"/>
      <w:lvlText w:val="(%2)"/>
      <w:numFmt w:val="lowerLetter"/>
      <w:start w:val="1"/>
    </w:lvl>
  </w:abstractNum>
  <w:abstractNum w:abstractNumId="33">
    <w:nsid w:val="419AC241"/>
    <w:multiLevelType w:val="hybridMultilevel"/>
    <w:lvl w:ilvl="0">
      <w:lvlJc w:val="left"/>
      <w:lvlText w:val="%1."/>
      <w:numFmt w:val="decimal"/>
      <w:start w:val="3"/>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2019-12-20T06:21:21Z</dcterms:created>
  <dcterms:modified xsi:type="dcterms:W3CDTF">2019-12-20T06:21:21Z</dcterms:modified>
</cp:coreProperties>
</file>