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Washington, D.C. 20549</w:t>
      </w:r>
    </w:p>
    <w:p>
      <w:pPr>
        <w:jc w:val="center"/>
        <w:ind w:right="-359"/>
        <w:spacing w:after="0"/>
        <w:rPr>
          <w:sz w:val="20"/>
          <w:szCs w:val="20"/>
          <w:color w:val="auto"/>
        </w:rPr>
      </w:pPr>
      <w:r>
        <w:rPr>
          <w:rFonts w:ascii="Arial" w:cs="Arial" w:eastAsia="Arial" w:hAnsi="Arial"/>
          <w:sz w:val="24"/>
          <w:szCs w:val="24"/>
          <w:b w:val="1"/>
          <w:bCs w:val="1"/>
          <w:color w:val="auto"/>
        </w:rPr>
        <w:t>Form 10-K</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(Mark One)</w:t>
      </w:r>
    </w:p>
    <w:p>
      <w:pPr>
        <w:spacing w:after="0" w:line="35" w:lineRule="exact"/>
        <w:rPr>
          <w:sz w:val="20"/>
          <w:szCs w:val="20"/>
          <w:color w:val="auto"/>
        </w:rPr>
      </w:pPr>
    </w:p>
    <w:p>
      <w:pPr>
        <w:ind w:left="1420" w:hanging="655"/>
        <w:spacing w:after="0"/>
        <w:tabs>
          <w:tab w:leader="none" w:pos="1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For the fiscal year ended September 30, 2010</w:t>
      </w:r>
    </w:p>
    <w:p>
      <w:pPr>
        <w:spacing w:after="0" w:line="6"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OR</w:t>
      </w:r>
    </w:p>
    <w:p>
      <w:pPr>
        <w:spacing w:after="0" w:line="8" w:lineRule="exact"/>
        <w:rPr>
          <w:sz w:val="20"/>
          <w:szCs w:val="20"/>
          <w:color w:val="auto"/>
        </w:rPr>
      </w:pPr>
    </w:p>
    <w:p>
      <w:pPr>
        <w:ind w:left="1420" w:hanging="625"/>
        <w:spacing w:after="0"/>
        <w:tabs>
          <w:tab w:leader="none" w:pos="14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660" w:type="dxa"/>
        <w:tblCellMar>
          <w:top w:w="0" w:type="dxa"/>
          <w:left w:w="0" w:type="dxa"/>
          <w:bottom w:w="0" w:type="dxa"/>
          <w:right w:w="0" w:type="dxa"/>
        </w:tblCellMar>
      </w:tblPr>
      <w:tr>
        <w:trPr>
          <w:trHeight w:val="169"/>
        </w:trPr>
        <w:tc>
          <w:tcPr>
            <w:tcW w:w="2660" w:type="dxa"/>
            <w:vAlign w:val="bottom"/>
          </w:tcPr>
          <w:p>
            <w:pPr>
              <w:ind w:left="760"/>
              <w:spacing w:after="0"/>
              <w:rPr>
                <w:sz w:val="20"/>
                <w:szCs w:val="20"/>
                <w:color w:val="auto"/>
              </w:rPr>
            </w:pPr>
            <w:r>
              <w:rPr>
                <w:rFonts w:ascii="Arial" w:cs="Arial" w:eastAsia="Arial" w:hAnsi="Arial"/>
                <w:sz w:val="13"/>
                <w:szCs w:val="13"/>
                <w:b w:val="1"/>
                <w:bCs w:val="1"/>
                <w:color w:val="auto"/>
              </w:rPr>
              <w:t>For the transition period from</w:t>
            </w:r>
          </w:p>
        </w:tc>
        <w:tc>
          <w:tcPr>
            <w:tcW w:w="4040" w:type="dxa"/>
            <w:vAlign w:val="bottom"/>
            <w:gridSpan w:val="3"/>
          </w:tcPr>
          <w:p>
            <w:pPr>
              <w:ind w:left="120"/>
              <w:spacing w:after="0"/>
              <w:rPr>
                <w:sz w:val="20"/>
                <w:szCs w:val="20"/>
                <w:color w:val="auto"/>
              </w:rPr>
            </w:pPr>
            <w:r>
              <w:rPr>
                <w:rFonts w:ascii="Arial" w:cs="Arial" w:eastAsia="Arial" w:hAnsi="Arial"/>
                <w:sz w:val="13"/>
                <w:szCs w:val="13"/>
                <w:b w:val="1"/>
                <w:bCs w:val="1"/>
                <w:color w:val="auto"/>
              </w:rPr>
              <w:t>to</w:t>
            </w:r>
          </w:p>
        </w:tc>
        <w:tc>
          <w:tcPr>
            <w:tcW w:w="3140" w:type="dxa"/>
            <w:vAlign w:val="bottom"/>
          </w:tcPr>
          <w:p>
            <w:pPr>
              <w:spacing w:after="0"/>
              <w:rPr>
                <w:sz w:val="14"/>
                <w:szCs w:val="14"/>
                <w:color w:val="auto"/>
              </w:rPr>
            </w:pPr>
          </w:p>
        </w:tc>
      </w:tr>
      <w:tr>
        <w:trPr>
          <w:trHeight w:val="251"/>
        </w:trPr>
        <w:tc>
          <w:tcPr>
            <w:tcW w:w="2660" w:type="dxa"/>
            <w:vAlign w:val="bottom"/>
          </w:tcPr>
          <w:p>
            <w:pPr>
              <w:spacing w:after="0"/>
              <w:rPr>
                <w:sz w:val="21"/>
                <w:szCs w:val="21"/>
                <w:color w:val="auto"/>
              </w:rPr>
            </w:pPr>
          </w:p>
        </w:tc>
        <w:tc>
          <w:tcPr>
            <w:tcW w:w="4040" w:type="dxa"/>
            <w:vAlign w:val="bottom"/>
            <w:gridSpan w:val="3"/>
          </w:tcPr>
          <w:p>
            <w:pPr>
              <w:jc w:val="center"/>
              <w:ind w:left="723"/>
              <w:spacing w:after="0"/>
              <w:rPr>
                <w:sz w:val="20"/>
                <w:szCs w:val="20"/>
                <w:color w:val="auto"/>
              </w:rPr>
            </w:pPr>
            <w:r>
              <w:rPr>
                <w:rFonts w:ascii="Arial" w:cs="Arial" w:eastAsia="Arial" w:hAnsi="Arial"/>
                <w:sz w:val="13"/>
                <w:szCs w:val="13"/>
                <w:b w:val="1"/>
                <w:bCs w:val="1"/>
                <w:color w:val="auto"/>
                <w:w w:val="90"/>
              </w:rPr>
              <w:t>Commission file number 1-11593</w:t>
            </w:r>
          </w:p>
        </w:tc>
        <w:tc>
          <w:tcPr>
            <w:tcW w:w="3140" w:type="dxa"/>
            <w:vAlign w:val="bottom"/>
          </w:tcPr>
          <w:p>
            <w:pPr>
              <w:spacing w:after="0"/>
              <w:rPr>
                <w:sz w:val="21"/>
                <w:szCs w:val="21"/>
                <w:color w:val="auto"/>
              </w:rPr>
            </w:pPr>
          </w:p>
        </w:tc>
      </w:tr>
      <w:tr>
        <w:trPr>
          <w:trHeight w:val="401"/>
        </w:trPr>
        <w:tc>
          <w:tcPr>
            <w:tcW w:w="2660" w:type="dxa"/>
            <w:vAlign w:val="bottom"/>
          </w:tcPr>
          <w:p>
            <w:pPr>
              <w:spacing w:after="0"/>
              <w:rPr>
                <w:sz w:val="24"/>
                <w:szCs w:val="24"/>
                <w:color w:val="auto"/>
              </w:rPr>
            </w:pPr>
          </w:p>
        </w:tc>
        <w:tc>
          <w:tcPr>
            <w:tcW w:w="7180" w:type="dxa"/>
            <w:vAlign w:val="bottom"/>
            <w:gridSpan w:val="4"/>
          </w:tcPr>
          <w:p>
            <w:pPr>
              <w:jc w:val="center"/>
              <w:ind w:right="2279"/>
              <w:spacing w:after="0"/>
              <w:rPr>
                <w:sz w:val="20"/>
                <w:szCs w:val="20"/>
                <w:color w:val="auto"/>
              </w:rPr>
            </w:pPr>
            <w:r>
              <w:rPr>
                <w:rFonts w:ascii="Arial" w:cs="Arial" w:eastAsia="Arial" w:hAnsi="Arial"/>
                <w:sz w:val="31"/>
                <w:szCs w:val="31"/>
                <w:b w:val="1"/>
                <w:bCs w:val="1"/>
                <w:color w:val="auto"/>
                <w:w w:val="93"/>
              </w:rPr>
              <w:t>The Scotts Miracle-Gro Company</w:t>
            </w:r>
          </w:p>
        </w:tc>
      </w:tr>
      <w:tr>
        <w:trPr>
          <w:trHeight w:val="131"/>
        </w:trPr>
        <w:tc>
          <w:tcPr>
            <w:tcW w:w="2660" w:type="dxa"/>
            <w:vAlign w:val="bottom"/>
          </w:tcPr>
          <w:p>
            <w:pPr>
              <w:spacing w:after="0"/>
              <w:rPr>
                <w:sz w:val="11"/>
                <w:szCs w:val="11"/>
                <w:color w:val="auto"/>
              </w:rPr>
            </w:pPr>
          </w:p>
        </w:tc>
        <w:tc>
          <w:tcPr>
            <w:tcW w:w="4040" w:type="dxa"/>
            <w:vAlign w:val="bottom"/>
            <w:gridSpan w:val="3"/>
          </w:tcPr>
          <w:p>
            <w:pPr>
              <w:jc w:val="center"/>
              <w:ind w:left="703"/>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3140" w:type="dxa"/>
            <w:vAlign w:val="bottom"/>
          </w:tcPr>
          <w:p>
            <w:pPr>
              <w:spacing w:after="0"/>
              <w:rPr>
                <w:sz w:val="11"/>
                <w:szCs w:val="11"/>
                <w:color w:val="auto"/>
              </w:rPr>
            </w:pPr>
          </w:p>
        </w:tc>
      </w:tr>
      <w:tr>
        <w:trPr>
          <w:trHeight w:val="193"/>
        </w:trPr>
        <w:tc>
          <w:tcPr>
            <w:tcW w:w="2660" w:type="dxa"/>
            <w:vAlign w:val="bottom"/>
          </w:tcPr>
          <w:p>
            <w:pPr>
              <w:jc w:val="center"/>
              <w:ind w:left="2039"/>
              <w:spacing w:after="0"/>
              <w:rPr>
                <w:sz w:val="20"/>
                <w:szCs w:val="20"/>
                <w:color w:val="auto"/>
              </w:rPr>
            </w:pPr>
            <w:r>
              <w:rPr>
                <w:rFonts w:ascii="Arial" w:cs="Arial" w:eastAsia="Arial" w:hAnsi="Arial"/>
                <w:sz w:val="13"/>
                <w:szCs w:val="13"/>
                <w:b w:val="1"/>
                <w:bCs w:val="1"/>
                <w:color w:val="auto"/>
                <w:w w:val="94"/>
              </w:rPr>
              <w:t>Ohio</w:t>
            </w:r>
          </w:p>
        </w:tc>
        <w:tc>
          <w:tcPr>
            <w:tcW w:w="2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140" w:type="dxa"/>
            <w:vAlign w:val="bottom"/>
          </w:tcPr>
          <w:p>
            <w:pPr>
              <w:jc w:val="right"/>
              <w:ind w:right="1639"/>
              <w:spacing w:after="0"/>
              <w:rPr>
                <w:sz w:val="20"/>
                <w:szCs w:val="20"/>
                <w:color w:val="auto"/>
              </w:rPr>
            </w:pPr>
            <w:r>
              <w:rPr>
                <w:rFonts w:ascii="Arial" w:cs="Arial" w:eastAsia="Arial" w:hAnsi="Arial"/>
                <w:sz w:val="13"/>
                <w:szCs w:val="13"/>
                <w:b w:val="1"/>
                <w:bCs w:val="1"/>
                <w:color w:val="auto"/>
              </w:rPr>
              <w:t>31-1414921</w:t>
            </w:r>
          </w:p>
        </w:tc>
      </w:tr>
      <w:tr>
        <w:trPr>
          <w:trHeight w:val="131"/>
        </w:trPr>
        <w:tc>
          <w:tcPr>
            <w:tcW w:w="6700" w:type="dxa"/>
            <w:vAlign w:val="bottom"/>
            <w:gridSpan w:val="4"/>
          </w:tcPr>
          <w:p>
            <w:pPr>
              <w:ind w:left="1180"/>
              <w:spacing w:after="0"/>
              <w:rPr>
                <w:sz w:val="20"/>
                <w:szCs w:val="20"/>
                <w:color w:val="auto"/>
              </w:rPr>
            </w:pPr>
            <w:r>
              <w:rPr>
                <w:rFonts w:ascii="Arial" w:cs="Arial" w:eastAsia="Arial" w:hAnsi="Arial"/>
                <w:sz w:val="10"/>
                <w:szCs w:val="10"/>
                <w:i w:val="1"/>
                <w:iCs w:val="1"/>
                <w:color w:val="auto"/>
              </w:rPr>
              <w:t>(State or other jurisdiction of incorporation or organization)</w:t>
            </w:r>
          </w:p>
        </w:tc>
        <w:tc>
          <w:tcPr>
            <w:tcW w:w="3140" w:type="dxa"/>
            <w:vAlign w:val="bottom"/>
          </w:tcPr>
          <w:p>
            <w:pPr>
              <w:jc w:val="center"/>
              <w:ind w:right="819"/>
              <w:spacing w:after="0"/>
              <w:rPr>
                <w:sz w:val="20"/>
                <w:szCs w:val="20"/>
                <w:color w:val="auto"/>
              </w:rPr>
            </w:pPr>
            <w:r>
              <w:rPr>
                <w:rFonts w:ascii="Arial" w:cs="Arial" w:eastAsia="Arial" w:hAnsi="Arial"/>
                <w:sz w:val="10"/>
                <w:szCs w:val="10"/>
                <w:i w:val="1"/>
                <w:iCs w:val="1"/>
                <w:color w:val="auto"/>
                <w:w w:val="97"/>
              </w:rPr>
              <w:t>(I.R.S. Employer Identification No.)</w:t>
            </w:r>
          </w:p>
        </w:tc>
      </w:tr>
      <w:tr>
        <w:trPr>
          <w:trHeight w:val="213"/>
        </w:trPr>
        <w:tc>
          <w:tcPr>
            <w:tcW w:w="6700" w:type="dxa"/>
            <w:vAlign w:val="bottom"/>
            <w:gridSpan w:val="4"/>
          </w:tcPr>
          <w:p>
            <w:pPr>
              <w:jc w:val="center"/>
              <w:ind w:right="1940"/>
              <w:spacing w:after="0"/>
              <w:rPr>
                <w:sz w:val="20"/>
                <w:szCs w:val="20"/>
                <w:color w:val="auto"/>
              </w:rPr>
            </w:pPr>
            <w:r>
              <w:rPr>
                <w:rFonts w:ascii="Arial" w:cs="Arial" w:eastAsia="Arial" w:hAnsi="Arial"/>
                <w:sz w:val="13"/>
                <w:szCs w:val="13"/>
                <w:b w:val="1"/>
                <w:bCs w:val="1"/>
                <w:color w:val="auto"/>
                <w:w w:val="90"/>
              </w:rPr>
              <w:t>14111 Scottslawn Road, Marysville, Ohio</w:t>
            </w:r>
          </w:p>
        </w:tc>
        <w:tc>
          <w:tcPr>
            <w:tcW w:w="3140" w:type="dxa"/>
            <w:vAlign w:val="bottom"/>
          </w:tcPr>
          <w:p>
            <w:pPr>
              <w:jc w:val="right"/>
              <w:ind w:right="1799"/>
              <w:spacing w:after="0"/>
              <w:rPr>
                <w:sz w:val="20"/>
                <w:szCs w:val="20"/>
                <w:color w:val="auto"/>
              </w:rPr>
            </w:pPr>
            <w:r>
              <w:rPr>
                <w:rFonts w:ascii="Arial" w:cs="Arial" w:eastAsia="Arial" w:hAnsi="Arial"/>
                <w:sz w:val="13"/>
                <w:szCs w:val="13"/>
                <w:b w:val="1"/>
                <w:bCs w:val="1"/>
                <w:color w:val="auto"/>
              </w:rPr>
              <w:t>43041</w:t>
            </w:r>
          </w:p>
        </w:tc>
      </w:tr>
      <w:tr>
        <w:trPr>
          <w:trHeight w:val="131"/>
        </w:trPr>
        <w:tc>
          <w:tcPr>
            <w:tcW w:w="6700" w:type="dxa"/>
            <w:vAlign w:val="bottom"/>
            <w:gridSpan w:val="4"/>
          </w:tcPr>
          <w:p>
            <w:pPr>
              <w:jc w:val="center"/>
              <w:ind w:right="1940"/>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3140" w:type="dxa"/>
            <w:vAlign w:val="bottom"/>
          </w:tcPr>
          <w:p>
            <w:pPr>
              <w:jc w:val="center"/>
              <w:ind w:right="839"/>
              <w:spacing w:after="0"/>
              <w:rPr>
                <w:sz w:val="20"/>
                <w:szCs w:val="20"/>
                <w:color w:val="auto"/>
              </w:rPr>
            </w:pPr>
            <w:r>
              <w:rPr>
                <w:rFonts w:ascii="Arial" w:cs="Arial" w:eastAsia="Arial" w:hAnsi="Arial"/>
                <w:sz w:val="10"/>
                <w:szCs w:val="10"/>
                <w:i w:val="1"/>
                <w:iCs w:val="1"/>
                <w:color w:val="auto"/>
                <w:w w:val="93"/>
              </w:rPr>
              <w:t>(Zip Code)</w:t>
            </w:r>
          </w:p>
        </w:tc>
      </w:tr>
      <w:tr>
        <w:trPr>
          <w:trHeight w:val="223"/>
        </w:trPr>
        <w:tc>
          <w:tcPr>
            <w:tcW w:w="2660" w:type="dxa"/>
            <w:vAlign w:val="bottom"/>
          </w:tcPr>
          <w:p>
            <w:pPr>
              <w:spacing w:after="0"/>
              <w:rPr>
                <w:sz w:val="19"/>
                <w:szCs w:val="19"/>
                <w:color w:val="auto"/>
              </w:rPr>
            </w:pPr>
          </w:p>
        </w:tc>
        <w:tc>
          <w:tcPr>
            <w:tcW w:w="4040" w:type="dxa"/>
            <w:vAlign w:val="bottom"/>
            <w:gridSpan w:val="3"/>
          </w:tcPr>
          <w:p>
            <w:pPr>
              <w:jc w:val="center"/>
              <w:ind w:left="723"/>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3140" w:type="dxa"/>
            <w:vAlign w:val="bottom"/>
          </w:tcPr>
          <w:p>
            <w:pPr>
              <w:spacing w:after="0"/>
              <w:rPr>
                <w:sz w:val="19"/>
                <w:szCs w:val="19"/>
                <w:color w:val="auto"/>
              </w:rPr>
            </w:pPr>
          </w:p>
        </w:tc>
      </w:tr>
      <w:tr>
        <w:trPr>
          <w:trHeight w:val="141"/>
        </w:trPr>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1"/>
              </w:rPr>
              <w:t>937-644-0011</w:t>
            </w: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254"/>
        </w:trPr>
        <w:tc>
          <w:tcPr>
            <w:tcW w:w="2660" w:type="dxa"/>
            <w:vAlign w:val="bottom"/>
          </w:tcPr>
          <w:p>
            <w:pPr>
              <w:spacing w:after="0"/>
              <w:rPr>
                <w:sz w:val="22"/>
                <w:szCs w:val="22"/>
                <w:color w:val="auto"/>
              </w:rPr>
            </w:pPr>
          </w:p>
        </w:tc>
        <w:tc>
          <w:tcPr>
            <w:tcW w:w="4040" w:type="dxa"/>
            <w:vAlign w:val="bottom"/>
            <w:gridSpan w:val="3"/>
          </w:tcPr>
          <w:p>
            <w:pPr>
              <w:jc w:val="center"/>
              <w:ind w:left="723"/>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3140" w:type="dxa"/>
            <w:vAlign w:val="bottom"/>
          </w:tcPr>
          <w:p>
            <w:pPr>
              <w:spacing w:after="0"/>
              <w:rPr>
                <w:sz w:val="22"/>
                <w:szCs w:val="22"/>
                <w:color w:val="auto"/>
              </w:rPr>
            </w:pPr>
          </w:p>
        </w:tc>
      </w:tr>
      <w:tr>
        <w:trPr>
          <w:trHeight w:val="218"/>
        </w:trPr>
        <w:tc>
          <w:tcPr>
            <w:tcW w:w="6700" w:type="dxa"/>
            <w:vAlign w:val="bottom"/>
            <w:gridSpan w:val="4"/>
          </w:tcPr>
          <w:p>
            <w:pPr>
              <w:ind w:left="23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3140" w:type="dxa"/>
            <w:vAlign w:val="bottom"/>
          </w:tcPr>
          <w:p>
            <w:pPr>
              <w:ind w:left="110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Each Exchange on Which Registered</w:t>
            </w:r>
          </w:p>
        </w:tc>
      </w:tr>
      <w:tr>
        <w:trPr>
          <w:trHeight w:val="205"/>
        </w:trPr>
        <w:tc>
          <w:tcPr>
            <w:tcW w:w="6700" w:type="dxa"/>
            <w:vAlign w:val="bottom"/>
            <w:gridSpan w:val="4"/>
          </w:tcPr>
          <w:p>
            <w:pPr>
              <w:jc w:val="center"/>
              <w:ind w:right="1920"/>
              <w:spacing w:after="0"/>
              <w:rPr>
                <w:sz w:val="20"/>
                <w:szCs w:val="20"/>
                <w:color w:val="auto"/>
              </w:rPr>
            </w:pPr>
            <w:r>
              <w:rPr>
                <w:rFonts w:ascii="Arial" w:cs="Arial" w:eastAsia="Arial" w:hAnsi="Arial"/>
                <w:sz w:val="13"/>
                <w:szCs w:val="13"/>
                <w:color w:val="auto"/>
                <w:w w:val="91"/>
              </w:rPr>
              <w:t>Common Shares, without par value</w:t>
            </w:r>
          </w:p>
        </w:tc>
        <w:tc>
          <w:tcPr>
            <w:tcW w:w="3140" w:type="dxa"/>
            <w:vAlign w:val="bottom"/>
          </w:tcPr>
          <w:p>
            <w:pPr>
              <w:jc w:val="center"/>
              <w:ind w:right="839"/>
              <w:spacing w:after="0"/>
              <w:rPr>
                <w:sz w:val="20"/>
                <w:szCs w:val="20"/>
                <w:color w:val="auto"/>
              </w:rPr>
            </w:pPr>
            <w:r>
              <w:rPr>
                <w:rFonts w:ascii="Arial" w:cs="Arial" w:eastAsia="Arial" w:hAnsi="Arial"/>
                <w:sz w:val="13"/>
                <w:szCs w:val="13"/>
                <w:color w:val="auto"/>
                <w:w w:val="90"/>
              </w:rPr>
              <w:t>New York Stock Exchange</w:t>
            </w:r>
          </w:p>
        </w:tc>
      </w:tr>
      <w:tr>
        <w:trPr>
          <w:trHeight w:val="234"/>
        </w:trPr>
        <w:tc>
          <w:tcPr>
            <w:tcW w:w="2660" w:type="dxa"/>
            <w:vAlign w:val="bottom"/>
          </w:tcPr>
          <w:p>
            <w:pPr>
              <w:spacing w:after="0"/>
              <w:rPr>
                <w:sz w:val="20"/>
                <w:szCs w:val="20"/>
                <w:color w:val="auto"/>
              </w:rPr>
            </w:pPr>
          </w:p>
        </w:tc>
        <w:tc>
          <w:tcPr>
            <w:tcW w:w="4040" w:type="dxa"/>
            <w:vAlign w:val="bottom"/>
            <w:gridSpan w:val="3"/>
          </w:tcPr>
          <w:p>
            <w:pPr>
              <w:jc w:val="center"/>
              <w:ind w:left="723"/>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3140" w:type="dxa"/>
            <w:vAlign w:val="bottom"/>
          </w:tcPr>
          <w:p>
            <w:pPr>
              <w:spacing w:after="0"/>
              <w:rPr>
                <w:sz w:val="20"/>
                <w:szCs w:val="20"/>
                <w:color w:val="auto"/>
              </w:rPr>
            </w:pPr>
          </w:p>
        </w:tc>
      </w:tr>
      <w:tr>
        <w:trPr>
          <w:trHeight w:val="169"/>
        </w:trPr>
        <w:tc>
          <w:tcPr>
            <w:tcW w:w="2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0" w:type="dxa"/>
            <w:vAlign w:val="bottom"/>
            <w:gridSpan w:val="2"/>
          </w:tcPr>
          <w:p>
            <w:pPr>
              <w:jc w:val="center"/>
              <w:ind w:right="1260"/>
              <w:spacing w:after="0"/>
              <w:rPr>
                <w:sz w:val="20"/>
                <w:szCs w:val="20"/>
                <w:color w:val="auto"/>
              </w:rPr>
            </w:pPr>
            <w:r>
              <w:rPr>
                <w:rFonts w:ascii="Arial" w:cs="Arial" w:eastAsia="Arial" w:hAnsi="Arial"/>
                <w:sz w:val="13"/>
                <w:szCs w:val="13"/>
                <w:b w:val="1"/>
                <w:bCs w:val="1"/>
                <w:color w:val="auto"/>
                <w:w w:val="92"/>
              </w:rPr>
              <w:t>None</w:t>
            </w:r>
          </w:p>
        </w:tc>
        <w:tc>
          <w:tcPr>
            <w:tcW w:w="3140" w:type="dxa"/>
            <w:vAlign w:val="bottom"/>
          </w:tcPr>
          <w:p>
            <w:pPr>
              <w:spacing w:after="0"/>
              <w:rPr>
                <w:sz w:val="14"/>
                <w:szCs w:val="14"/>
                <w:color w:val="auto"/>
              </w:rPr>
            </w:pPr>
          </w:p>
        </w:tc>
      </w:tr>
      <w:tr>
        <w:trPr>
          <w:trHeight w:val="262"/>
        </w:trPr>
        <w:tc>
          <w:tcPr>
            <w:tcW w:w="6700" w:type="dxa"/>
            <w:vAlign w:val="bottom"/>
            <w:gridSpan w:val="4"/>
          </w:tcPr>
          <w:p>
            <w:pPr>
              <w:spacing w:after="0" w:line="150" w:lineRule="exact"/>
              <w:rPr>
                <w:sz w:val="20"/>
                <w:szCs w:val="20"/>
                <w:color w:val="auto"/>
              </w:rPr>
            </w:pPr>
            <w:r>
              <w:rPr>
                <w:rFonts w:ascii="Arial" w:cs="Arial" w:eastAsia="Arial" w:hAnsi="Arial"/>
                <w:sz w:val="13"/>
                <w:szCs w:val="13"/>
                <w:color w:val="auto"/>
                <w:w w:val="93"/>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3"/>
              </w:rPr>
              <w:t>☑</w:t>
            </w:r>
          </w:p>
        </w:tc>
        <w:tc>
          <w:tcPr>
            <w:tcW w:w="3140" w:type="dxa"/>
            <w:vAlign w:val="bottom"/>
          </w:tcPr>
          <w:p>
            <w:pPr>
              <w:ind w:left="20"/>
              <w:spacing w:after="0"/>
              <w:rPr>
                <w:sz w:val="20"/>
                <w:szCs w:val="20"/>
                <w:color w:val="auto"/>
              </w:rPr>
            </w:pPr>
            <w:r>
              <w:rPr>
                <w:rFonts w:ascii="Arial" w:cs="Arial" w:eastAsia="Arial" w:hAnsi="Arial"/>
                <w:sz w:val="13"/>
                <w:szCs w:val="13"/>
                <w:color w:val="auto"/>
              </w:rPr>
              <w:t>No o</w:t>
            </w:r>
          </w:p>
        </w:tc>
      </w:tr>
      <w:tr>
        <w:trPr>
          <w:trHeight w:val="246"/>
        </w:trPr>
        <w:tc>
          <w:tcPr>
            <w:tcW w:w="6700" w:type="dxa"/>
            <w:vAlign w:val="bottom"/>
            <w:gridSpan w:val="4"/>
          </w:tcPr>
          <w:p>
            <w:pPr>
              <w:spacing w:after="0"/>
              <w:rPr>
                <w:sz w:val="20"/>
                <w:szCs w:val="20"/>
                <w:color w:val="auto"/>
              </w:rPr>
            </w:pPr>
            <w:r>
              <w:rPr>
                <w:rFonts w:ascii="Arial" w:cs="Arial" w:eastAsia="Arial" w:hAnsi="Arial"/>
                <w:sz w:val="13"/>
                <w:szCs w:val="13"/>
                <w:color w:val="auto"/>
                <w:w w:val="93"/>
              </w:rPr>
              <w:t>Indicate by check mark if the registrant is not required to file reports pursuant to Section 13 or Section 15(d) of the Act. Yes o</w:t>
            </w:r>
          </w:p>
        </w:tc>
        <w:tc>
          <w:tcPr>
            <w:tcW w:w="314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65" w:lineRule="exact"/>
        <w:rPr>
          <w:sz w:val="20"/>
          <w:szCs w:val="20"/>
          <w:color w:val="auto"/>
        </w:rPr>
      </w:pPr>
    </w:p>
    <w:p>
      <w:pPr>
        <w:ind w:left="340" w:right="14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280" w:firstLine="324"/>
        <w:spacing w:after="0" w:line="169"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34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120"/>
          </w:cols>
          <w:pgMar w:left="220" w:top="127" w:right="559" w:bottom="1440" w:gutter="0" w:footer="0" w:header="0"/>
        </w:sectPr>
      </w:pPr>
    </w:p>
    <w:p>
      <w:pPr>
        <w:spacing w:after="0" w:line="15" w:lineRule="exact"/>
        <w:rPr>
          <w:sz w:val="20"/>
          <w:szCs w:val="20"/>
          <w:color w:val="auto"/>
        </w:rPr>
      </w:pPr>
    </w:p>
    <w:p>
      <w:pPr>
        <w:ind w:left="34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Accelerated filer o</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780"/>
        <w:spacing w:after="0"/>
        <w:rPr>
          <w:sz w:val="20"/>
          <w:szCs w:val="20"/>
          <w:color w:val="auto"/>
        </w:rPr>
      </w:pPr>
      <w:r>
        <w:rPr>
          <w:rFonts w:ascii="Arial" w:cs="Arial" w:eastAsia="Arial" w:hAnsi="Arial"/>
          <w:sz w:val="13"/>
          <w:szCs w:val="13"/>
          <w:color w:val="auto"/>
        </w:rPr>
        <w:t>Non-accelerated filer 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9" w:lineRule="exact"/>
        <w:rPr>
          <w:sz w:val="20"/>
          <w:szCs w:val="20"/>
          <w:color w:val="auto"/>
        </w:rPr>
      </w:pPr>
    </w:p>
    <w:p>
      <w:pPr>
        <w:sectPr>
          <w:pgSz w:w="11900" w:h="16838" w:orient="portrait"/>
          <w:cols w:equalWidth="0" w:num="4">
            <w:col w:w="3180" w:space="720"/>
            <w:col w:w="1080" w:space="720"/>
            <w:col w:w="3160" w:space="720"/>
            <w:col w:w="1540"/>
          </w:cols>
          <w:pgMar w:left="220" w:top="127" w:right="55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6420" w:space="160"/>
            <w:col w:w="4540"/>
          </w:cols>
          <w:pgMar w:left="220" w:top="127" w:right="559" w:bottom="1440" w:gutter="0" w:footer="0" w:header="0"/>
          <w:type w:val="continuous"/>
        </w:sectPr>
      </w:pPr>
    </w:p>
    <w:p>
      <w:pPr>
        <w:ind w:left="340" w:right="320" w:firstLine="324"/>
        <w:spacing w:after="0" w:line="276" w:lineRule="auto"/>
        <w:rPr>
          <w:sz w:val="20"/>
          <w:szCs w:val="20"/>
          <w:color w:val="auto"/>
        </w:rPr>
      </w:pPr>
      <w:r>
        <w:rPr>
          <w:rFonts w:ascii="Arial" w:cs="Arial" w:eastAsia="Arial" w:hAnsi="Arial"/>
          <w:sz w:val="13"/>
          <w:szCs w:val="13"/>
          <w:color w:val="auto"/>
        </w:rPr>
        <w:t>The aggregate market value of Common Shares (the only common equity of the registrant) held by non-affiliates as of April 2, 2010 (the last business day of the most recently completed second quarter) was approximately $2,182,734,513</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There were 66,596,695 Common Shares of the registrant outstanding as of November 18, 2010.</w:t>
      </w:r>
    </w:p>
    <w:p>
      <w:pPr>
        <w:spacing w:after="0" w:line="92"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2"/>
          <w:szCs w:val="12"/>
          <w:color w:val="auto"/>
        </w:rPr>
        <w:t>Portions of the definitive Proxy Statement for the registrant’s 2011 Annual Meeting of Shareholders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92710</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54"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w:t>
        </w:r>
      </w:hyperlink>
    </w:p>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BUSINESS</w:t>
        </w:r>
      </w:hyperlink>
    </w:p>
    <w:p>
      <w:pPr>
        <w:ind w:left="280"/>
        <w:spacing w:after="0" w:line="230" w:lineRule="auto"/>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ITEM 1A. RISK FACTORS</w:t>
        </w:r>
      </w:hyperlink>
    </w:p>
    <w:p>
      <w:pPr>
        <w:ind w:left="280"/>
        <w:spacing w:after="0" w:line="231" w:lineRule="auto"/>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ITEM 1B. UNRESOLVED STAFF COMMENTS</w:t>
        </w:r>
      </w:hyperlink>
    </w:p>
    <w:p>
      <w:pPr>
        <w:ind w:left="280"/>
        <w:spacing w:after="0" w:line="231" w:lineRule="auto"/>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ITEM 2. PROPERTIES</w:t>
        </w:r>
      </w:hyperlink>
    </w:p>
    <w:p>
      <w:pPr>
        <w:ind w:left="280"/>
        <w:spacing w:after="0" w:line="231" w:lineRule="auto"/>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ITEM 3. LEGAL PROCEEDINGS</w:t>
        </w:r>
      </w:hyperlink>
    </w:p>
    <w:p>
      <w:pPr>
        <w:ind w:left="280"/>
        <w:spacing w:after="0" w:line="230" w:lineRule="auto"/>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ITEM 4. (REMOVED AND RESERVED)</w:t>
        </w:r>
      </w:hyperlink>
    </w:p>
    <w:p>
      <w:pPr>
        <w:spacing w:after="0" w:line="231" w:lineRule="auto"/>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PART II</w:t>
        </w:r>
      </w:hyperlink>
    </w:p>
    <w:p>
      <w:pPr>
        <w:ind w:left="280"/>
        <w:spacing w:after="0" w:line="231" w:lineRule="auto"/>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ITEM 5. MARKET FOR REGISTRANT’S COMMON EQUITY, RELATED STOCKHOLDER MATTERS AND ISSUER</w:t>
        </w:r>
      </w:hyperlink>
    </w:p>
    <w:p>
      <w:pPr>
        <w:ind w:left="280"/>
        <w:spacing w:after="0" w:line="231" w:lineRule="auto"/>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PURCHASES OF EQUITY SECURITIES</w:t>
        </w:r>
      </w:hyperlink>
    </w:p>
    <w:p>
      <w:pPr>
        <w:ind w:left="280"/>
        <w:spacing w:after="0" w:line="231" w:lineRule="auto"/>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ITEM 6. SELECTED FINANCIAL DATA</w:t>
        </w:r>
      </w:hyperlink>
    </w:p>
    <w:p>
      <w:pPr>
        <w:ind w:left="280" w:right="399"/>
        <w:spacing w:after="0" w:line="230" w:lineRule="auto"/>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ITEM 7. MANAGEMENT’S DISCUSSION AND ANALYSIS OF FINANCIAL CONDITION AND RESULTS OF OPERATIONS</w:t>
        </w:r>
      </w:hyperlink>
      <w:r>
        <w:rPr>
          <w:rFonts w:ascii="Arial" w:cs="Arial" w:eastAsia="Arial" w:hAnsi="Arial"/>
          <w:sz w:val="16"/>
          <w:szCs w:val="16"/>
          <w:u w:val="single" w:color="auto"/>
          <w:color w:val="0000EE"/>
        </w:rPr>
        <w:t xml:space="preserve"> </w:t>
      </w:r>
      <w:hyperlink w:anchor="page45">
        <w:r>
          <w:rPr>
            <w:rFonts w:ascii="Arial" w:cs="Arial" w:eastAsia="Arial" w:hAnsi="Arial"/>
            <w:sz w:val="16"/>
            <w:szCs w:val="16"/>
            <w:u w:val="single" w:color="auto"/>
            <w:color w:val="0000EE"/>
          </w:rPr>
          <w:t>ITEM 7A. QUANTITATIVE AND QUALITATIVE DISCLOSURES ABOUT MARKET RISK</w:t>
        </w:r>
      </w:hyperlink>
      <w:r>
        <w:rPr>
          <w:rFonts w:ascii="Arial" w:cs="Arial" w:eastAsia="Arial" w:hAnsi="Arial"/>
          <w:sz w:val="16"/>
          <w:szCs w:val="16"/>
          <w:u w:val="single" w:color="auto"/>
          <w:color w:val="0000EE"/>
        </w:rPr>
        <w:t xml:space="preserve"> </w:t>
      </w:r>
      <w:hyperlink w:anchor="page47">
        <w:r>
          <w:rPr>
            <w:rFonts w:ascii="Arial" w:cs="Arial" w:eastAsia="Arial" w:hAnsi="Arial"/>
            <w:sz w:val="16"/>
            <w:szCs w:val="16"/>
            <w:u w:val="single" w:color="auto"/>
            <w:color w:val="0000EE"/>
          </w:rPr>
          <w:t>ITEM 8. FINANCIAL STATEMENTS AND SUPPLEMENTARY DATA</w:t>
        </w:r>
      </w:hyperlink>
    </w:p>
    <w:p>
      <w:pPr>
        <w:spacing w:after="0" w:line="2" w:lineRule="exact"/>
        <w:rPr>
          <w:rFonts w:ascii="Arial" w:cs="Arial" w:eastAsia="Arial" w:hAnsi="Arial"/>
          <w:sz w:val="16"/>
          <w:szCs w:val="16"/>
          <w:u w:val="single" w:color="auto"/>
          <w:color w:val="0000EE"/>
        </w:rPr>
      </w:pPr>
    </w:p>
    <w:p>
      <w:pPr>
        <w:ind w:left="280"/>
        <w:spacing w:after="0"/>
        <w:rPr>
          <w:rFonts w:ascii="Arial" w:cs="Arial" w:eastAsia="Arial" w:hAnsi="Arial"/>
          <w:sz w:val="15"/>
          <w:szCs w:val="15"/>
          <w:u w:val="single" w:color="auto"/>
          <w:color w:val="0000EE"/>
        </w:rPr>
      </w:pPr>
      <w:hyperlink w:anchor="page47">
        <w:r>
          <w:rPr>
            <w:rFonts w:ascii="Arial" w:cs="Arial" w:eastAsia="Arial" w:hAnsi="Arial"/>
            <w:sz w:val="15"/>
            <w:szCs w:val="15"/>
            <w:u w:val="single" w:color="auto"/>
            <w:color w:val="0000EE"/>
          </w:rPr>
          <w:t>ITEM 9. CHANGES IN AND DISAGREEMENTS WITH ACCOUNTANTS ON ACCOUNTING AND FINANCIAL DISCLOSURE</w:t>
        </w:r>
      </w:hyperlink>
    </w:p>
    <w:p>
      <w:pPr>
        <w:ind w:left="280"/>
        <w:spacing w:after="0" w:line="236"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ITEM 9A. CONTROLS AND PROCEDURES</w:t>
        </w:r>
      </w:hyperlink>
    </w:p>
    <w:p>
      <w:pPr>
        <w:ind w:left="280"/>
        <w:spacing w:after="0" w:line="231"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ITEM 9B. OTHER INFORMATION</w:t>
        </w:r>
      </w:hyperlink>
    </w:p>
    <w:p>
      <w:pPr>
        <w:spacing w:after="0" w:line="231"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PART III</w:t>
        </w:r>
      </w:hyperlink>
    </w:p>
    <w:p>
      <w:pPr>
        <w:ind w:left="280" w:right="3059"/>
        <w:spacing w:after="0" w:line="230"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ITEM 10. DIRECTORS, EXECUTIVE OFFICERS AND CORPORATE GOVERNANCE</w:t>
        </w:r>
      </w:hyperlink>
      <w:r>
        <w:rPr>
          <w:rFonts w:ascii="Arial" w:cs="Arial" w:eastAsia="Arial" w:hAnsi="Arial"/>
          <w:sz w:val="16"/>
          <w:szCs w:val="16"/>
          <w:u w:val="single" w:color="auto"/>
          <w:color w:val="0000EE"/>
        </w:rPr>
        <w:t xml:space="preserve"> </w:t>
      </w:r>
      <w:hyperlink w:anchor="page49">
        <w:r>
          <w:rPr>
            <w:rFonts w:ascii="Arial" w:cs="Arial" w:eastAsia="Arial" w:hAnsi="Arial"/>
            <w:sz w:val="16"/>
            <w:szCs w:val="16"/>
            <w:u w:val="single" w:color="auto"/>
            <w:color w:val="0000EE"/>
          </w:rPr>
          <w:t>ITEM 11. EXECUTIVE COMPENSATION</w:t>
        </w:r>
      </w:hyperlink>
    </w:p>
    <w:p>
      <w:pPr>
        <w:spacing w:after="0" w:line="1" w:lineRule="exact"/>
        <w:rPr>
          <w:sz w:val="20"/>
          <w:szCs w:val="20"/>
          <w:color w:val="auto"/>
        </w:rPr>
      </w:pPr>
    </w:p>
    <w:p>
      <w:pPr>
        <w:ind w:left="280" w:right="1119"/>
        <w:spacing w:after="0" w:line="230" w:lineRule="auto"/>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ITEM 12. SECURITY OWNERSHIP OF CERTAIN BENEFICIAL OWNERS AND MANAGEMENT AND RELATED</w:t>
        </w:r>
      </w:hyperlink>
      <w:r>
        <w:rPr>
          <w:rFonts w:ascii="Arial" w:cs="Arial" w:eastAsia="Arial" w:hAnsi="Arial"/>
          <w:sz w:val="16"/>
          <w:szCs w:val="16"/>
          <w:u w:val="single" w:color="auto"/>
          <w:color w:val="0000EE"/>
        </w:rPr>
        <w:t xml:space="preserve"> </w:t>
      </w:r>
      <w:hyperlink w:anchor="page49">
        <w:r>
          <w:rPr>
            <w:rFonts w:ascii="Arial" w:cs="Arial" w:eastAsia="Arial" w:hAnsi="Arial"/>
            <w:sz w:val="16"/>
            <w:szCs w:val="16"/>
            <w:u w:val="single" w:color="auto"/>
            <w:color w:val="0000EE"/>
          </w:rPr>
          <w:t>STOCKHOLDER MATTERS</w:t>
        </w:r>
      </w:hyperlink>
    </w:p>
    <w:p>
      <w:pPr>
        <w:spacing w:after="0" w:line="1" w:lineRule="exact"/>
        <w:rPr>
          <w:sz w:val="20"/>
          <w:szCs w:val="20"/>
          <w:color w:val="auto"/>
        </w:rPr>
      </w:pPr>
    </w:p>
    <w:p>
      <w:pPr>
        <w:ind w:left="280" w:right="1379"/>
        <w:spacing w:after="0" w:line="230" w:lineRule="auto"/>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ITEM 13. CERTAIN RELATIONSHIPS AND RELATED TRANSACTIONS, AND DIRECTOR INDEPENDENCE</w:t>
        </w:r>
      </w:hyperlink>
      <w:r>
        <w:rPr>
          <w:rFonts w:ascii="Arial" w:cs="Arial" w:eastAsia="Arial" w:hAnsi="Arial"/>
          <w:sz w:val="16"/>
          <w:szCs w:val="16"/>
          <w:u w:val="single" w:color="auto"/>
          <w:color w:val="0000EE"/>
        </w:rPr>
        <w:t xml:space="preserve"> </w:t>
      </w:r>
      <w:hyperlink w:anchor="page50">
        <w:r>
          <w:rPr>
            <w:rFonts w:ascii="Arial" w:cs="Arial" w:eastAsia="Arial" w:hAnsi="Arial"/>
            <w:sz w:val="16"/>
            <w:szCs w:val="16"/>
            <w:u w:val="single" w:color="auto"/>
            <w:color w:val="0000EE"/>
          </w:rPr>
          <w:t>ITEM 14. PRINCIPAL ACCOUNTING FEES AND SERVICES</w:t>
        </w:r>
      </w:hyperlink>
    </w:p>
    <w:p>
      <w:pPr>
        <w:spacing w:after="0" w:line="232" w:lineRule="auto"/>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PART IV</w:t>
        </w:r>
      </w:hyperlink>
    </w:p>
    <w:p>
      <w:pPr>
        <w:ind w:left="280"/>
        <w:spacing w:after="0" w:line="231" w:lineRule="auto"/>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ITEM 15. EXHIBITS, FINANCIAL STATEMENT SCHEDULES</w:t>
        </w:r>
      </w:hyperlink>
    </w:p>
    <w:p>
      <w:pPr>
        <w:spacing w:after="0" w:line="230" w:lineRule="auto"/>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MANAGEMENT CONRACTS AND COMPENSATORY PLANS AND ARRANGEMENTS</w:t>
        </w:r>
      </w:hyperlink>
    </w:p>
    <w:p>
      <w:pPr>
        <w:spacing w:after="0" w:line="231" w:lineRule="auto"/>
        <w:rPr>
          <w:sz w:val="20"/>
          <w:szCs w:val="20"/>
          <w:color w:val="auto"/>
        </w:rPr>
      </w:pPr>
      <w:r>
        <w:rPr>
          <w:rFonts w:ascii="Arial" w:cs="Arial" w:eastAsia="Arial" w:hAnsi="Arial"/>
          <w:sz w:val="16"/>
          <w:szCs w:val="16"/>
          <w:u w:val="single" w:color="auto"/>
          <w:color w:val="0000EE"/>
        </w:rPr>
        <w:t>EX-4.4</w:t>
      </w:r>
    </w:p>
    <w:p>
      <w:pPr>
        <w:spacing w:after="0" w:line="231" w:lineRule="auto"/>
        <w:rPr>
          <w:sz w:val="20"/>
          <w:szCs w:val="20"/>
          <w:color w:val="auto"/>
        </w:rPr>
      </w:pPr>
      <w:r>
        <w:rPr>
          <w:rFonts w:ascii="Arial" w:cs="Arial" w:eastAsia="Arial" w:hAnsi="Arial"/>
          <w:sz w:val="16"/>
          <w:szCs w:val="16"/>
          <w:u w:val="single" w:color="auto"/>
          <w:color w:val="0000EE"/>
        </w:rPr>
        <w:t>EX-10.6.C</w:t>
      </w:r>
    </w:p>
    <w:p>
      <w:pPr>
        <w:spacing w:after="0" w:line="231" w:lineRule="auto"/>
        <w:rPr>
          <w:sz w:val="20"/>
          <w:szCs w:val="20"/>
          <w:color w:val="auto"/>
        </w:rPr>
      </w:pPr>
      <w:r>
        <w:rPr>
          <w:rFonts w:ascii="Arial" w:cs="Arial" w:eastAsia="Arial" w:hAnsi="Arial"/>
          <w:sz w:val="16"/>
          <w:szCs w:val="16"/>
          <w:u w:val="single" w:color="auto"/>
          <w:color w:val="0000EE"/>
        </w:rPr>
        <w:t>EX-12</w:t>
      </w:r>
    </w:p>
    <w:p>
      <w:pPr>
        <w:spacing w:after="0" w:line="231" w:lineRule="auto"/>
        <w:rPr>
          <w:sz w:val="20"/>
          <w:szCs w:val="20"/>
          <w:color w:val="auto"/>
        </w:rPr>
      </w:pPr>
      <w:r>
        <w:rPr>
          <w:rFonts w:ascii="Arial" w:cs="Arial" w:eastAsia="Arial" w:hAnsi="Arial"/>
          <w:sz w:val="16"/>
          <w:szCs w:val="16"/>
          <w:u w:val="single" w:color="auto"/>
          <w:color w:val="0000EE"/>
        </w:rPr>
        <w:t>EX-21</w:t>
      </w:r>
    </w:p>
    <w:p>
      <w:pPr>
        <w:spacing w:after="0" w:line="230" w:lineRule="auto"/>
        <w:rPr>
          <w:sz w:val="20"/>
          <w:szCs w:val="20"/>
          <w:color w:val="auto"/>
        </w:rPr>
      </w:pPr>
      <w:r>
        <w:rPr>
          <w:rFonts w:ascii="Arial" w:cs="Arial" w:eastAsia="Arial" w:hAnsi="Arial"/>
          <w:sz w:val="16"/>
          <w:szCs w:val="16"/>
          <w:u w:val="single" w:color="auto"/>
          <w:color w:val="0000EE"/>
        </w:rPr>
        <w:t>EX-23</w:t>
      </w:r>
    </w:p>
    <w:p>
      <w:pPr>
        <w:spacing w:after="0" w:line="231" w:lineRule="auto"/>
        <w:rPr>
          <w:sz w:val="20"/>
          <w:szCs w:val="20"/>
          <w:color w:val="auto"/>
        </w:rPr>
      </w:pPr>
      <w:r>
        <w:rPr>
          <w:rFonts w:ascii="Arial" w:cs="Arial" w:eastAsia="Arial" w:hAnsi="Arial"/>
          <w:sz w:val="16"/>
          <w:szCs w:val="16"/>
          <w:u w:val="single" w:color="auto"/>
          <w:color w:val="0000EE"/>
        </w:rPr>
        <w:t>EX-24</w:t>
      </w:r>
    </w:p>
    <w:p>
      <w:pPr>
        <w:spacing w:after="0" w:line="231" w:lineRule="auto"/>
        <w:rPr>
          <w:sz w:val="20"/>
          <w:szCs w:val="20"/>
          <w:color w:val="auto"/>
        </w:rPr>
      </w:pPr>
      <w:r>
        <w:rPr>
          <w:rFonts w:ascii="Arial" w:cs="Arial" w:eastAsia="Arial" w:hAnsi="Arial"/>
          <w:sz w:val="16"/>
          <w:szCs w:val="16"/>
          <w:u w:val="single" w:color="auto"/>
          <w:color w:val="0000EE"/>
        </w:rPr>
        <w:t>EX-31.1</w:t>
      </w:r>
    </w:p>
    <w:p>
      <w:pPr>
        <w:spacing w:after="0" w:line="231" w:lineRule="auto"/>
        <w:rPr>
          <w:sz w:val="20"/>
          <w:szCs w:val="20"/>
          <w:color w:val="auto"/>
        </w:rPr>
      </w:pPr>
      <w:r>
        <w:rPr>
          <w:rFonts w:ascii="Arial" w:cs="Arial" w:eastAsia="Arial" w:hAnsi="Arial"/>
          <w:sz w:val="16"/>
          <w:szCs w:val="16"/>
          <w:u w:val="single" w:color="auto"/>
          <w:color w:val="0000EE"/>
        </w:rPr>
        <w:t>EX-31.2</w:t>
      </w:r>
    </w:p>
    <w:p>
      <w:pPr>
        <w:spacing w:after="0" w:line="231" w:lineRule="auto"/>
        <w:rPr>
          <w:sz w:val="20"/>
          <w:szCs w:val="20"/>
          <w:color w:val="auto"/>
        </w:rPr>
      </w:pPr>
      <w:r>
        <w:rPr>
          <w:rFonts w:ascii="Arial" w:cs="Arial" w:eastAsia="Arial" w:hAnsi="Arial"/>
          <w:sz w:val="16"/>
          <w:szCs w:val="16"/>
          <w:u w:val="single" w:color="auto"/>
          <w:color w:val="0000EE"/>
        </w:rPr>
        <w:t>EX-32</w:t>
      </w:r>
    </w:p>
    <w:p>
      <w:pPr>
        <w:spacing w:after="0" w:line="230" w:lineRule="auto"/>
        <w:rPr>
          <w:sz w:val="20"/>
          <w:szCs w:val="20"/>
          <w:color w:val="auto"/>
        </w:rPr>
      </w:pPr>
      <w:r>
        <w:rPr>
          <w:rFonts w:ascii="Arial" w:cs="Arial" w:eastAsia="Arial" w:hAnsi="Arial"/>
          <w:sz w:val="16"/>
          <w:szCs w:val="16"/>
          <w:u w:val="single" w:color="auto"/>
          <w:color w:val="0000EE"/>
        </w:rPr>
        <w:t>EX-101 INSTANCE DOCUMENT</w:t>
      </w:r>
    </w:p>
    <w:p>
      <w:pPr>
        <w:spacing w:after="0" w:line="231" w:lineRule="auto"/>
        <w:rPr>
          <w:sz w:val="20"/>
          <w:szCs w:val="20"/>
          <w:color w:val="auto"/>
        </w:rPr>
      </w:pPr>
      <w:r>
        <w:rPr>
          <w:rFonts w:ascii="Arial" w:cs="Arial" w:eastAsia="Arial" w:hAnsi="Arial"/>
          <w:sz w:val="16"/>
          <w:szCs w:val="16"/>
          <w:u w:val="single" w:color="auto"/>
          <w:color w:val="0000EE"/>
        </w:rPr>
        <w:t>EX-101 SCHEMA DOCUMENT</w:t>
      </w:r>
    </w:p>
    <w:p>
      <w:pPr>
        <w:spacing w:after="0" w:line="231" w:lineRule="auto"/>
        <w:rPr>
          <w:sz w:val="20"/>
          <w:szCs w:val="20"/>
          <w:color w:val="auto"/>
        </w:rPr>
      </w:pPr>
      <w:r>
        <w:rPr>
          <w:rFonts w:ascii="Arial" w:cs="Arial" w:eastAsia="Arial" w:hAnsi="Arial"/>
          <w:sz w:val="16"/>
          <w:szCs w:val="16"/>
          <w:u w:val="single" w:color="auto"/>
          <w:color w:val="0000EE"/>
        </w:rPr>
        <w:t>EX-101 CALCULATION LINKBASE DOCUMENT</w:t>
      </w:r>
    </w:p>
    <w:p>
      <w:pPr>
        <w:spacing w:after="0" w:line="231" w:lineRule="auto"/>
        <w:rPr>
          <w:sz w:val="20"/>
          <w:szCs w:val="20"/>
          <w:color w:val="auto"/>
        </w:rPr>
      </w:pPr>
      <w:r>
        <w:rPr>
          <w:rFonts w:ascii="Arial" w:cs="Arial" w:eastAsia="Arial" w:hAnsi="Arial"/>
          <w:sz w:val="16"/>
          <w:szCs w:val="16"/>
          <w:u w:val="single" w:color="auto"/>
          <w:color w:val="0000EE"/>
        </w:rPr>
        <w:t>EX-101 LABELS LINKBASE DOCUMENT</w:t>
      </w:r>
    </w:p>
    <w:p>
      <w:pPr>
        <w:spacing w:after="0" w:line="231" w:lineRule="auto"/>
        <w:rPr>
          <w:sz w:val="20"/>
          <w:szCs w:val="20"/>
          <w:color w:val="auto"/>
        </w:rPr>
      </w:pPr>
      <w:r>
        <w:rPr>
          <w:rFonts w:ascii="Arial" w:cs="Arial" w:eastAsia="Arial" w:hAnsi="Arial"/>
          <w:sz w:val="16"/>
          <w:szCs w:val="16"/>
          <w:u w:val="single" w:color="auto"/>
          <w:color w:val="0000EE"/>
        </w:rPr>
        <w:t>EX-101 PRESENTATION LINKBASE DOCUMENT</w:t>
      </w:r>
    </w:p>
    <w:p>
      <w:pPr>
        <w:spacing w:after="0"/>
        <w:rPr>
          <w:sz w:val="20"/>
          <w:szCs w:val="20"/>
          <w:color w:val="auto"/>
        </w:rPr>
      </w:pPr>
      <w:r>
        <w:rPr>
          <w:rFonts w:ascii="Arial" w:cs="Arial" w:eastAsia="Arial" w:hAnsi="Arial"/>
          <w:sz w:val="16"/>
          <w:szCs w:val="16"/>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93980</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u w:val="single" w:color="auto"/>
          <w:color w:val="auto"/>
        </w:rPr>
        <w:t>ITEM 1.</w:t>
      </w:r>
      <w:r>
        <w:rPr>
          <w:sz w:val="20"/>
          <w:szCs w:val="20"/>
          <w:color w:val="auto"/>
        </w:rPr>
        <w:tab/>
      </w:r>
      <w:r>
        <w:rPr>
          <w:rFonts w:ascii="Arial" w:cs="Arial" w:eastAsia="Arial" w:hAnsi="Arial"/>
          <w:sz w:val="12"/>
          <w:szCs w:val="12"/>
          <w:b w:val="1"/>
          <w:bCs w:val="1"/>
          <w:i w:val="1"/>
          <w:iCs w:val="1"/>
          <w:u w:val="single" w:color="auto"/>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Description and Development of the Business</w:t>
      </w:r>
    </w:p>
    <w:p>
      <w:pPr>
        <w:spacing w:after="0" w:line="10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The discussion below provides a brief description of the business conducted by The Scotts Miracle-Gro Company (“Scotts Miracle-Gro” and, together with its subsidiaries, the “Company,” “we” or “us”), including general developments in the Company’s business during the fiscal year ended September 30, 2010 (“fiscal 2010”). For additional information on recent business developments, see “ITEM 7. MANAGEMENT’S DISCUSSION AND ANALYSIS OF FINANCIAL CONDITION AND RESULTS OF OPERATIONS” of this Annual Report on Form 10-K.</w:t>
      </w:r>
    </w:p>
    <w:p>
      <w:pPr>
        <w:spacing w:after="0" w:line="70" w:lineRule="exact"/>
        <w:rPr>
          <w:sz w:val="20"/>
          <w:szCs w:val="20"/>
          <w:color w:val="auto"/>
        </w:rPr>
      </w:pPr>
    </w:p>
    <w:p>
      <w:pPr>
        <w:ind w:right="140" w:firstLine="399"/>
        <w:spacing w:after="0" w:line="256" w:lineRule="auto"/>
        <w:rPr>
          <w:sz w:val="20"/>
          <w:szCs w:val="20"/>
          <w:color w:val="auto"/>
        </w:rPr>
      </w:pPr>
      <w:r>
        <w:rPr>
          <w:rFonts w:ascii="Arial" w:cs="Arial" w:eastAsia="Arial" w:hAnsi="Arial"/>
          <w:sz w:val="13"/>
          <w:szCs w:val="13"/>
          <w:color w:val="auto"/>
        </w:rPr>
        <w:t>We are a leading manufacturer and marketer of branded consumer lawn and garden products, with products for professional horticulture as well. Our products are marketed under some of the most recognized brand names in the industry, including, in North America, Scotts</w:t>
      </w:r>
      <w:r>
        <w:rPr>
          <w:rFonts w:ascii="Arial" w:cs="Arial" w:eastAsia="Arial" w:hAnsi="Arial"/>
          <w:sz w:val="11"/>
          <w:szCs w:val="11"/>
          <w:color w:val="auto"/>
        </w:rPr>
        <w:t>®</w:t>
      </w:r>
      <w:r>
        <w:rPr>
          <w:rFonts w:ascii="Arial" w:cs="Arial" w:eastAsia="Arial" w:hAnsi="Arial"/>
          <w:sz w:val="13"/>
          <w:szCs w:val="13"/>
          <w:color w:val="auto"/>
        </w:rPr>
        <w:t xml:space="preserve"> and Turf Builder</w:t>
      </w:r>
      <w:r>
        <w:rPr>
          <w:rFonts w:ascii="Arial" w:cs="Arial" w:eastAsia="Arial" w:hAnsi="Arial"/>
          <w:sz w:val="11"/>
          <w:szCs w:val="11"/>
          <w:color w:val="auto"/>
        </w:rPr>
        <w:t>®</w:t>
      </w:r>
      <w:r>
        <w:rPr>
          <w:rFonts w:ascii="Arial" w:cs="Arial" w:eastAsia="Arial" w:hAnsi="Arial"/>
          <w:sz w:val="13"/>
          <w:szCs w:val="13"/>
          <w:color w:val="auto"/>
        </w:rPr>
        <w:t xml:space="preserve"> lawn and grass seed products, Miracle-Gro</w:t>
      </w:r>
      <w:r>
        <w:rPr>
          <w:rFonts w:ascii="Arial" w:cs="Arial" w:eastAsia="Arial" w:hAnsi="Arial"/>
          <w:sz w:val="11"/>
          <w:szCs w:val="11"/>
          <w:color w:val="auto"/>
        </w:rPr>
        <w:t>®</w:t>
      </w:r>
      <w:r>
        <w:rPr>
          <w:rFonts w:ascii="Arial" w:cs="Arial" w:eastAsia="Arial" w:hAnsi="Arial"/>
          <w:sz w:val="13"/>
          <w:szCs w:val="13"/>
          <w:color w:val="auto"/>
        </w:rPr>
        <w:t>, Scotts</w:t>
      </w:r>
      <w:r>
        <w:rPr>
          <w:rFonts w:ascii="Arial" w:cs="Arial" w:eastAsia="Arial" w:hAnsi="Arial"/>
          <w:sz w:val="11"/>
          <w:szCs w:val="11"/>
          <w:color w:val="auto"/>
        </w:rPr>
        <w:t>®</w:t>
      </w:r>
      <w:r>
        <w:rPr>
          <w:rFonts w:ascii="Arial" w:cs="Arial" w:eastAsia="Arial" w:hAnsi="Arial"/>
          <w:sz w:val="13"/>
          <w:szCs w:val="13"/>
          <w:color w:val="auto"/>
        </w:rPr>
        <w:t xml:space="preserve"> and Osmocote</w:t>
      </w:r>
      <w:r>
        <w:rPr>
          <w:rFonts w:ascii="Arial" w:cs="Arial" w:eastAsia="Arial" w:hAnsi="Arial"/>
          <w:sz w:val="11"/>
          <w:szCs w:val="11"/>
          <w:color w:val="auto"/>
        </w:rPr>
        <w:t>®</w:t>
      </w:r>
      <w:r>
        <w:rPr>
          <w:rFonts w:ascii="Arial" w:cs="Arial" w:eastAsia="Arial" w:hAnsi="Arial"/>
          <w:sz w:val="13"/>
          <w:szCs w:val="13"/>
          <w:color w:val="auto"/>
        </w:rPr>
        <w:t xml:space="preserve"> gardening and landscape products, Ortho</w:t>
      </w:r>
      <w:r>
        <w:rPr>
          <w:rFonts w:ascii="Arial" w:cs="Arial" w:eastAsia="Arial" w:hAnsi="Arial"/>
          <w:sz w:val="11"/>
          <w:szCs w:val="11"/>
          <w:color w:val="auto"/>
        </w:rPr>
        <w:t>®</w:t>
      </w:r>
      <w:r>
        <w:rPr>
          <w:rFonts w:ascii="Arial" w:cs="Arial" w:eastAsia="Arial" w:hAnsi="Arial"/>
          <w:sz w:val="13"/>
          <w:szCs w:val="13"/>
          <w:color w:val="auto"/>
        </w:rPr>
        <w:t>, Roundup</w:t>
      </w:r>
      <w:r>
        <w:rPr>
          <w:rFonts w:ascii="Arial" w:cs="Arial" w:eastAsia="Arial" w:hAnsi="Arial"/>
          <w:sz w:val="11"/>
          <w:szCs w:val="11"/>
          <w:color w:val="auto"/>
        </w:rPr>
        <w:t>®</w:t>
      </w:r>
      <w:r>
        <w:rPr>
          <w:rFonts w:ascii="Arial" w:cs="Arial" w:eastAsia="Arial" w:hAnsi="Arial"/>
          <w:sz w:val="13"/>
          <w:szCs w:val="13"/>
          <w:color w:val="auto"/>
        </w:rPr>
        <w:t>* and Home Defense</w:t>
      </w:r>
      <w:r>
        <w:rPr>
          <w:rFonts w:ascii="Arial" w:cs="Arial" w:eastAsia="Arial" w:hAnsi="Arial"/>
          <w:sz w:val="11"/>
          <w:szCs w:val="11"/>
          <w:color w:val="auto"/>
        </w:rPr>
        <w:t>®</w:t>
      </w:r>
      <w:r>
        <w:rPr>
          <w:rFonts w:ascii="Arial" w:cs="Arial" w:eastAsia="Arial" w:hAnsi="Arial"/>
          <w:sz w:val="13"/>
          <w:szCs w:val="13"/>
          <w:color w:val="auto"/>
        </w:rPr>
        <w:t xml:space="preserve"> branded insect control, weed control and rodenticide products, and Scotts</w:t>
      </w:r>
      <w:r>
        <w:rPr>
          <w:rFonts w:ascii="Arial" w:cs="Arial" w:eastAsia="Arial" w:hAnsi="Arial"/>
          <w:sz w:val="11"/>
          <w:szCs w:val="11"/>
          <w:color w:val="auto"/>
        </w:rPr>
        <w:t>®</w:t>
      </w:r>
      <w:r>
        <w:rPr>
          <w:rFonts w:ascii="Arial" w:cs="Arial" w:eastAsia="Arial" w:hAnsi="Arial"/>
          <w:sz w:val="13"/>
          <w:szCs w:val="13"/>
          <w:color w:val="auto"/>
        </w:rPr>
        <w:t xml:space="preserve"> and Morning Song</w:t>
      </w:r>
      <w:r>
        <w:rPr>
          <w:rFonts w:ascii="Arial" w:cs="Arial" w:eastAsia="Arial" w:hAnsi="Arial"/>
          <w:sz w:val="11"/>
          <w:szCs w:val="11"/>
          <w:color w:val="auto"/>
        </w:rPr>
        <w:t>®</w:t>
      </w:r>
      <w:r>
        <w:rPr>
          <w:rFonts w:ascii="Arial" w:cs="Arial" w:eastAsia="Arial" w:hAnsi="Arial"/>
          <w:sz w:val="13"/>
          <w:szCs w:val="13"/>
          <w:color w:val="auto"/>
        </w:rPr>
        <w:t xml:space="preserve"> bird food products. In the United Kingdom, key brands include Miracle-Gro</w:t>
      </w:r>
      <w:r>
        <w:rPr>
          <w:rFonts w:ascii="Arial" w:cs="Arial" w:eastAsia="Arial" w:hAnsi="Arial"/>
          <w:sz w:val="11"/>
          <w:szCs w:val="11"/>
          <w:color w:val="auto"/>
        </w:rPr>
        <w:t>®</w:t>
      </w:r>
      <w:r>
        <w:rPr>
          <w:rFonts w:ascii="Arial" w:cs="Arial" w:eastAsia="Arial" w:hAnsi="Arial"/>
          <w:sz w:val="13"/>
          <w:szCs w:val="13"/>
          <w:color w:val="auto"/>
        </w:rPr>
        <w:t xml:space="preserve"> plant fertilizers, Weedol</w:t>
      </w:r>
      <w:r>
        <w:rPr>
          <w:rFonts w:ascii="Arial" w:cs="Arial" w:eastAsia="Arial" w:hAnsi="Arial"/>
          <w:sz w:val="11"/>
          <w:szCs w:val="11"/>
          <w:color w:val="auto"/>
        </w:rPr>
        <w:t>®</w:t>
      </w:r>
      <w:r>
        <w:rPr>
          <w:rFonts w:ascii="Arial" w:cs="Arial" w:eastAsia="Arial" w:hAnsi="Arial"/>
          <w:sz w:val="13"/>
          <w:szCs w:val="13"/>
          <w:color w:val="auto"/>
        </w:rPr>
        <w:t xml:space="preserve"> and Pathclear</w:t>
      </w:r>
      <w:r>
        <w:rPr>
          <w:rFonts w:ascii="Arial" w:cs="Arial" w:eastAsia="Arial" w:hAnsi="Arial"/>
          <w:sz w:val="11"/>
          <w:szCs w:val="11"/>
          <w:color w:val="auto"/>
        </w:rPr>
        <w:t>®</w:t>
      </w:r>
      <w:r>
        <w:rPr>
          <w:rFonts w:ascii="Arial" w:cs="Arial" w:eastAsia="Arial" w:hAnsi="Arial"/>
          <w:sz w:val="13"/>
          <w:szCs w:val="13"/>
          <w:color w:val="auto"/>
        </w:rPr>
        <w:t xml:space="preserve"> herbicides, EverGreen</w:t>
      </w:r>
      <w:r>
        <w:rPr>
          <w:rFonts w:ascii="Arial" w:cs="Arial" w:eastAsia="Arial" w:hAnsi="Arial"/>
          <w:sz w:val="11"/>
          <w:szCs w:val="11"/>
          <w:color w:val="auto"/>
        </w:rPr>
        <w:t>®</w:t>
      </w:r>
      <w:r>
        <w:rPr>
          <w:rFonts w:ascii="Arial" w:cs="Arial" w:eastAsia="Arial" w:hAnsi="Arial"/>
          <w:sz w:val="13"/>
          <w:szCs w:val="13"/>
          <w:color w:val="auto"/>
        </w:rPr>
        <w:t xml:space="preserve"> lawn fertilizers and Levington</w:t>
      </w:r>
      <w:r>
        <w:rPr>
          <w:rFonts w:ascii="Arial" w:cs="Arial" w:eastAsia="Arial" w:hAnsi="Arial"/>
          <w:sz w:val="11"/>
          <w:szCs w:val="11"/>
          <w:color w:val="auto"/>
        </w:rPr>
        <w:t>®</w:t>
      </w:r>
      <w:r>
        <w:rPr>
          <w:rFonts w:ascii="Arial" w:cs="Arial" w:eastAsia="Arial" w:hAnsi="Arial"/>
          <w:sz w:val="13"/>
          <w:szCs w:val="13"/>
          <w:color w:val="auto"/>
        </w:rPr>
        <w:t xml:space="preserve"> gardening and landscape products. Other significant brands in Europe include KB</w:t>
      </w:r>
      <w:r>
        <w:rPr>
          <w:rFonts w:ascii="Arial" w:cs="Arial" w:eastAsia="Arial" w:hAnsi="Arial"/>
          <w:sz w:val="11"/>
          <w:szCs w:val="11"/>
          <w:color w:val="auto"/>
        </w:rPr>
        <w:t>®</w:t>
      </w:r>
      <w:r>
        <w:rPr>
          <w:rFonts w:ascii="Arial" w:cs="Arial" w:eastAsia="Arial" w:hAnsi="Arial"/>
          <w:sz w:val="13"/>
          <w:szCs w:val="13"/>
          <w:color w:val="auto"/>
        </w:rPr>
        <w:t xml:space="preserve"> and Fertiligène </w:t>
      </w:r>
      <w:r>
        <w:rPr>
          <w:rFonts w:ascii="Arial" w:cs="Arial" w:eastAsia="Arial" w:hAnsi="Arial"/>
          <w:sz w:val="11"/>
          <w:szCs w:val="11"/>
          <w:color w:val="auto"/>
        </w:rPr>
        <w:t>®</w:t>
      </w:r>
      <w:r>
        <w:rPr>
          <w:rFonts w:ascii="Arial" w:cs="Arial" w:eastAsia="Arial" w:hAnsi="Arial"/>
          <w:sz w:val="13"/>
          <w:szCs w:val="13"/>
          <w:color w:val="auto"/>
        </w:rPr>
        <w:t xml:space="preserve"> in France; Celaflor</w:t>
      </w:r>
      <w:r>
        <w:rPr>
          <w:rFonts w:ascii="Arial" w:cs="Arial" w:eastAsia="Arial" w:hAnsi="Arial"/>
          <w:sz w:val="11"/>
          <w:szCs w:val="11"/>
          <w:color w:val="auto"/>
        </w:rPr>
        <w:t>®</w:t>
      </w:r>
      <w:r>
        <w:rPr>
          <w:rFonts w:ascii="Arial" w:cs="Arial" w:eastAsia="Arial" w:hAnsi="Arial"/>
          <w:sz w:val="13"/>
          <w:szCs w:val="13"/>
          <w:color w:val="auto"/>
        </w:rPr>
        <w:t>, Nexa Lotte</w:t>
      </w:r>
      <w:r>
        <w:rPr>
          <w:rFonts w:ascii="Arial" w:cs="Arial" w:eastAsia="Arial" w:hAnsi="Arial"/>
          <w:sz w:val="11"/>
          <w:szCs w:val="11"/>
          <w:color w:val="auto"/>
        </w:rPr>
        <w:t>®</w:t>
      </w:r>
      <w:r>
        <w:rPr>
          <w:rFonts w:ascii="Arial" w:cs="Arial" w:eastAsia="Arial" w:hAnsi="Arial"/>
          <w:sz w:val="13"/>
          <w:szCs w:val="13"/>
          <w:color w:val="auto"/>
        </w:rPr>
        <w:t xml:space="preserve"> and Substral</w:t>
      </w:r>
      <w:r>
        <w:rPr>
          <w:rFonts w:ascii="Arial" w:cs="Arial" w:eastAsia="Arial" w:hAnsi="Arial"/>
          <w:sz w:val="11"/>
          <w:szCs w:val="11"/>
          <w:color w:val="auto"/>
        </w:rPr>
        <w:t>®</w:t>
      </w:r>
      <w:r>
        <w:rPr>
          <w:rFonts w:ascii="Arial" w:cs="Arial" w:eastAsia="Arial" w:hAnsi="Arial"/>
          <w:sz w:val="13"/>
          <w:szCs w:val="13"/>
          <w:color w:val="auto"/>
        </w:rPr>
        <w:t xml:space="preserve"> in Germany and Austria; and ASEF</w:t>
      </w:r>
      <w:r>
        <w:rPr>
          <w:rFonts w:ascii="Arial" w:cs="Arial" w:eastAsia="Arial" w:hAnsi="Arial"/>
          <w:sz w:val="11"/>
          <w:szCs w:val="11"/>
          <w:color w:val="auto"/>
        </w:rPr>
        <w:t>®</w:t>
      </w:r>
      <w:r>
        <w:rPr>
          <w:rFonts w:ascii="Arial" w:cs="Arial" w:eastAsia="Arial" w:hAnsi="Arial"/>
          <w:sz w:val="13"/>
          <w:szCs w:val="13"/>
          <w:color w:val="auto"/>
        </w:rPr>
        <w:t>, KB</w:t>
      </w:r>
      <w:r>
        <w:rPr>
          <w:rFonts w:ascii="Arial" w:cs="Arial" w:eastAsia="Arial" w:hAnsi="Arial"/>
          <w:sz w:val="11"/>
          <w:szCs w:val="11"/>
          <w:color w:val="auto"/>
        </w:rPr>
        <w:t>®</w:t>
      </w:r>
      <w:r>
        <w:rPr>
          <w:rFonts w:ascii="Arial" w:cs="Arial" w:eastAsia="Arial" w:hAnsi="Arial"/>
          <w:sz w:val="13"/>
          <w:szCs w:val="13"/>
          <w:color w:val="auto"/>
        </w:rPr>
        <w:t xml:space="preserve"> and Substral</w:t>
      </w:r>
      <w:r>
        <w:rPr>
          <w:rFonts w:ascii="Arial" w:cs="Arial" w:eastAsia="Arial" w:hAnsi="Arial"/>
          <w:sz w:val="11"/>
          <w:szCs w:val="11"/>
          <w:color w:val="auto"/>
        </w:rPr>
        <w:t>®</w:t>
      </w:r>
      <w:r>
        <w:rPr>
          <w:rFonts w:ascii="Arial" w:cs="Arial" w:eastAsia="Arial" w:hAnsi="Arial"/>
          <w:sz w:val="13"/>
          <w:szCs w:val="13"/>
          <w:color w:val="auto"/>
        </w:rPr>
        <w:t xml:space="preserve"> in Belgium, the Netherlands and Luxembourg. We also operate the Scotts LawnService</w:t>
      </w:r>
      <w:r>
        <w:rPr>
          <w:rFonts w:ascii="Arial" w:cs="Arial" w:eastAsia="Arial" w:hAnsi="Arial"/>
          <w:sz w:val="11"/>
          <w:szCs w:val="11"/>
          <w:color w:val="auto"/>
        </w:rPr>
        <w:t>®</w:t>
      </w:r>
      <w:r>
        <w:rPr>
          <w:rFonts w:ascii="Arial" w:cs="Arial" w:eastAsia="Arial" w:hAnsi="Arial"/>
          <w:sz w:val="13"/>
          <w:szCs w:val="13"/>
          <w:color w:val="auto"/>
        </w:rPr>
        <w:t xml:space="preserve"> business, which provides residential and commercial lawn care, tree and shrub care and limited pest control services in the United States.</w:t>
      </w:r>
    </w:p>
    <w:p>
      <w:pPr>
        <w:spacing w:after="0" w:line="73"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Our heritage is tied to the 1995 merger of The Scotts Company, which traces its roots to a company founded by O.M. Scott in Marysville, Ohio in 1868, and Stern’s Miracle-Gro Products, Inc., which was formed on Long Island by Horace Hagedorn and Otto Stern in 1951. Scotts Miracle-Gro is an Ohio corporation.</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During fiscal 2010, we continued to transform our business by focusing on the regional sales, marketing and distribution initiatives that were launched during the fiscal year ended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September 30, 2009 (“fiscal 2009”):</w:t>
      </w:r>
    </w:p>
    <w:p>
      <w:pPr>
        <w:spacing w:after="0" w:line="89" w:lineRule="exact"/>
        <w:rPr>
          <w:sz w:val="20"/>
          <w:szCs w:val="20"/>
          <w:color w:val="auto"/>
        </w:rPr>
      </w:pPr>
    </w:p>
    <w:p>
      <w:pPr>
        <w:ind w:left="600" w:hanging="190"/>
        <w:spacing w:after="0" w:line="258" w:lineRule="auto"/>
        <w:tabs>
          <w:tab w:leader="none" w:pos="600" w:val="left"/>
        </w:tabs>
        <w:numPr>
          <w:ilvl w:val="1"/>
          <w:numId w:val="3"/>
        </w:numPr>
        <w:rPr>
          <w:rFonts w:ascii="Arial" w:cs="Arial" w:eastAsia="Arial" w:hAnsi="Arial"/>
          <w:sz w:val="13"/>
          <w:szCs w:val="13"/>
          <w:color w:val="auto"/>
        </w:rPr>
      </w:pPr>
      <w:r>
        <w:rPr>
          <w:rFonts w:ascii="Arial" w:cs="Arial" w:eastAsia="Arial" w:hAnsi="Arial"/>
          <w:sz w:val="13"/>
          <w:szCs w:val="13"/>
          <w:color w:val="auto"/>
        </w:rPr>
        <w:t>We opened regional sales and marketing offices in the Northeast and the Midwest, adding to the offices in the Southeast, the Southwest and the West that were opened in the latter half of fiscal 2009. The regional offices are focused on better understanding and meeting the needs of consumers at the local level, thereby increasing both the overall participation rate in lawn and garden activities and our market share. Our headquarters in Marysville, Ohio continues to support the regional offices with programs and services designed to attract more consumers, enhance support to retailers, and drive innovation in our products, services, programs and operations in order to keep consumers engaged in lawn and garden activities and to improve business efficiencies over the long term.</w:t>
      </w:r>
    </w:p>
    <w:p>
      <w:pPr>
        <w:spacing w:after="0" w:line="61" w:lineRule="exact"/>
        <w:rPr>
          <w:rFonts w:ascii="Arial" w:cs="Arial" w:eastAsia="Arial" w:hAnsi="Arial"/>
          <w:sz w:val="13"/>
          <w:szCs w:val="13"/>
          <w:color w:val="auto"/>
        </w:rPr>
      </w:pPr>
    </w:p>
    <w:p>
      <w:pPr>
        <w:ind w:left="600" w:hanging="190"/>
        <w:spacing w:after="0"/>
        <w:tabs>
          <w:tab w:leader="none" w:pos="60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Fiscal 2010 marked year two of a multi-year plan to regionalize our supply chain through various distribution and manufacturing initiatives:</w:t>
      </w:r>
    </w:p>
    <w:p>
      <w:pPr>
        <w:spacing w:after="0" w:line="96" w:lineRule="exact"/>
        <w:rPr>
          <w:rFonts w:ascii="Arial" w:cs="Arial" w:eastAsia="Arial" w:hAnsi="Arial"/>
          <w:sz w:val="13"/>
          <w:szCs w:val="13"/>
          <w:color w:val="auto"/>
        </w:rPr>
      </w:pPr>
    </w:p>
    <w:p>
      <w:pPr>
        <w:jc w:val="both"/>
        <w:ind w:left="820" w:right="80" w:hanging="214"/>
        <w:spacing w:after="0" w:line="264" w:lineRule="auto"/>
        <w:tabs>
          <w:tab w:leader="none" w:pos="820" w:val="left"/>
        </w:tabs>
        <w:numPr>
          <w:ilvl w:val="2"/>
          <w:numId w:val="3"/>
        </w:numPr>
        <w:rPr>
          <w:rFonts w:ascii="Arial" w:cs="Arial" w:eastAsia="Arial" w:hAnsi="Arial"/>
          <w:sz w:val="9"/>
          <w:szCs w:val="9"/>
          <w:color w:val="auto"/>
        </w:rPr>
      </w:pPr>
      <w:r>
        <w:rPr>
          <w:rFonts w:ascii="Arial" w:cs="Arial" w:eastAsia="Arial" w:hAnsi="Arial"/>
          <w:sz w:val="13"/>
          <w:szCs w:val="13"/>
          <w:color w:val="auto"/>
        </w:rPr>
        <w:t>One supply chain initiative entails co-joining distribution networks for our heavy-weight, highly seasonal, bagged growing media and lawn fertilizer products at a number of our growing media facilities, while further consolidating our regional warehousing for higher value, less seasonal case goods, primarily consisting of plant foods, insect and weed controls, and rodenticide products. In fiscal 2010 we extended this model to several new geographies.</w:t>
      </w:r>
    </w:p>
    <w:p>
      <w:pPr>
        <w:spacing w:after="0" w:line="96" w:lineRule="exact"/>
        <w:rPr>
          <w:rFonts w:ascii="Arial" w:cs="Arial" w:eastAsia="Arial" w:hAnsi="Arial"/>
          <w:sz w:val="9"/>
          <w:szCs w:val="9"/>
          <w:color w:val="auto"/>
        </w:rPr>
      </w:pPr>
    </w:p>
    <w:p>
      <w:pPr>
        <w:ind w:left="820" w:right="20" w:hanging="214"/>
        <w:spacing w:after="0" w:line="264" w:lineRule="auto"/>
        <w:tabs>
          <w:tab w:leader="none" w:pos="820" w:val="left"/>
        </w:tabs>
        <w:numPr>
          <w:ilvl w:val="2"/>
          <w:numId w:val="3"/>
        </w:numPr>
        <w:rPr>
          <w:rFonts w:ascii="Arial" w:cs="Arial" w:eastAsia="Arial" w:hAnsi="Arial"/>
          <w:sz w:val="9"/>
          <w:szCs w:val="9"/>
          <w:color w:val="auto"/>
        </w:rPr>
      </w:pPr>
      <w:r>
        <w:rPr>
          <w:rFonts w:ascii="Arial" w:cs="Arial" w:eastAsia="Arial" w:hAnsi="Arial"/>
          <w:sz w:val="13"/>
          <w:szCs w:val="13"/>
          <w:color w:val="auto"/>
        </w:rPr>
        <w:t>A second supply chain initiative involves further regionalization of our manufacturing capabilities. In fiscal 2010 we invested in a growing media facility in Louisiana and a new liquids facility in Mississippi. We anticipate that investments in these and other regional facilities will help drive cost savings through a combination of reduced in-bound and out-bound freight combined with reduced inventory investments.</w:t>
      </w:r>
    </w:p>
    <w:p>
      <w:pPr>
        <w:spacing w:after="0" w:line="133" w:lineRule="exact"/>
        <w:rPr>
          <w:rFonts w:ascii="Arial" w:cs="Arial" w:eastAsia="Arial" w:hAnsi="Arial"/>
          <w:sz w:val="9"/>
          <w:szCs w:val="9"/>
          <w:color w:val="auto"/>
        </w:rPr>
      </w:pPr>
    </w:p>
    <w:p>
      <w:pPr>
        <w:ind w:left="200"/>
        <w:spacing w:after="0"/>
        <w:rPr>
          <w:rFonts w:ascii="Arial" w:cs="Arial" w:eastAsia="Arial" w:hAnsi="Arial"/>
          <w:sz w:val="9"/>
          <w:szCs w:val="9"/>
          <w:color w:val="auto"/>
        </w:rPr>
      </w:pPr>
      <w:r>
        <w:rPr>
          <w:rFonts w:ascii="Arial" w:cs="Arial" w:eastAsia="Arial" w:hAnsi="Arial"/>
          <w:sz w:val="13"/>
          <w:szCs w:val="13"/>
          <w:color w:val="auto"/>
        </w:rPr>
        <w:t>* Roundup</w:t>
      </w:r>
      <w:r>
        <w:rPr>
          <w:rFonts w:ascii="Arial" w:cs="Arial" w:eastAsia="Arial" w:hAnsi="Arial"/>
          <w:sz w:val="11"/>
          <w:szCs w:val="11"/>
          <w:color w:val="auto"/>
        </w:rPr>
        <w:t>®</w:t>
      </w:r>
      <w:r>
        <w:rPr>
          <w:rFonts w:ascii="Arial" w:cs="Arial" w:eastAsia="Arial" w:hAnsi="Arial"/>
          <w:sz w:val="13"/>
          <w:szCs w:val="13"/>
          <w:color w:val="auto"/>
        </w:rPr>
        <w:t xml:space="preserve"> is a registered trademark of Monsanto Technology LLC, a company affiliated with Monsanto Company (“Monsanto”).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82359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343"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340" w:firstLine="399"/>
        <w:spacing w:after="0" w:line="280" w:lineRule="auto"/>
        <w:rPr>
          <w:sz w:val="20"/>
          <w:szCs w:val="20"/>
          <w:color w:val="auto"/>
        </w:rPr>
      </w:pPr>
      <w:r>
        <w:rPr>
          <w:rFonts w:ascii="Arial" w:cs="Arial" w:eastAsia="Arial" w:hAnsi="Arial"/>
          <w:sz w:val="13"/>
          <w:szCs w:val="13"/>
          <w:color w:val="auto"/>
        </w:rPr>
        <w:t>We also continued the process of focusing our business on our core branded consumer lawn and garden products business by completing the wind-down of Smith &amp; Hawken</w:t>
      </w:r>
      <w:r>
        <w:rPr>
          <w:rFonts w:ascii="Arial" w:cs="Arial" w:eastAsia="Arial" w:hAnsi="Arial"/>
          <w:sz w:val="11"/>
          <w:szCs w:val="11"/>
          <w:color w:val="auto"/>
        </w:rPr>
        <w:t>®</w:t>
      </w:r>
      <w:r>
        <w:rPr>
          <w:rFonts w:ascii="Arial" w:cs="Arial" w:eastAsia="Arial" w:hAnsi="Arial"/>
          <w:sz w:val="13"/>
          <w:szCs w:val="13"/>
          <w:color w:val="auto"/>
        </w:rPr>
        <w:t>+ during our first quarter of fiscal 2010.</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Segments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divide our business into the following segments:</w:t>
      </w:r>
    </w:p>
    <w:p>
      <w:pPr>
        <w:spacing w:after="0" w:line="96"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Global Consumer;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Global Professional; and</w:t>
      </w:r>
    </w:p>
    <w:p>
      <w:pPr>
        <w:spacing w:after="0" w:line="84"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r>
        <w:rPr>
          <w:rFonts w:ascii="Arial" w:cs="Arial" w:eastAsia="Arial" w:hAnsi="Arial"/>
          <w:sz w:val="13"/>
          <w:szCs w:val="13"/>
          <w:color w:val="auto"/>
        </w:rPr>
        <w:t>.</w:t>
      </w:r>
    </w:p>
    <w:p>
      <w:pPr>
        <w:spacing w:after="0" w:line="9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For the first three quarters of fiscal 2010, we included Corporate &amp; Other as a separate reportable segment. That segment included our Smith &amp; Hawken business until the first quarter of fiscal 2010, at which time substantially all operational activities of Smith &amp; Hawken were discontinued and we classified Smith &amp; Hawken as discontinued operations. As a result, Corporate activity is no longer presented as part of a segment. This division of reportable segments is consistent with how the segments report to and are managed by our senior management. Financial information about these segments for each of the three years ended September 30, 2010 is presented in “NOTE 22. SEGMENT INFORMATION” of the Notes to Consolidated Financial Statements included in this Annual Report on Form 10-K.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Principal Products and Services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Global Consumer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our Global Consumer segment, we manufacture and market consumer lawn and garden products in the following categories:</w:t>
      </w:r>
    </w:p>
    <w:p>
      <w:pPr>
        <w:spacing w:after="0" w:line="96" w:lineRule="exact"/>
        <w:rPr>
          <w:sz w:val="20"/>
          <w:szCs w:val="20"/>
          <w:color w:val="auto"/>
        </w:rPr>
      </w:pPr>
    </w:p>
    <w:p>
      <w:pPr>
        <w:ind w:left="1080" w:right="140" w:firstLine="383"/>
        <w:spacing w:after="0" w:line="282" w:lineRule="auto"/>
        <w:rPr>
          <w:sz w:val="20"/>
          <w:szCs w:val="20"/>
          <w:color w:val="auto"/>
        </w:rPr>
      </w:pPr>
      <w:r>
        <w:rPr>
          <w:rFonts w:ascii="Arial" w:cs="Arial" w:eastAsia="Arial" w:hAnsi="Arial"/>
          <w:sz w:val="12"/>
          <w:szCs w:val="12"/>
          <w:i w:val="1"/>
          <w:iCs w:val="1"/>
          <w:color w:val="auto"/>
        </w:rPr>
        <w:t xml:space="preserve">Lawn Care: </w:t>
      </w:r>
      <w:r>
        <w:rPr>
          <w:rFonts w:ascii="Arial" w:cs="Arial" w:eastAsia="Arial" w:hAnsi="Arial"/>
          <w:sz w:val="12"/>
          <w:szCs w:val="12"/>
          <w:color w:val="auto"/>
        </w:rPr>
        <w:t>The lawn care category is designed to help consumers obtain and enjoy the lawn they want. In the United States, products within this category include fertilizer</w:t>
      </w:r>
      <w:r>
        <w:rPr>
          <w:rFonts w:ascii="Arial" w:cs="Arial" w:eastAsia="Arial" w:hAnsi="Arial"/>
          <w:sz w:val="12"/>
          <w:szCs w:val="12"/>
          <w:i w:val="1"/>
          <w:iCs w:val="1"/>
          <w:color w:val="auto"/>
        </w:rPr>
        <w:t xml:space="preserve"> </w:t>
      </w:r>
      <w:r>
        <w:rPr>
          <w:rFonts w:ascii="Arial" w:cs="Arial" w:eastAsia="Arial" w:hAnsi="Arial"/>
          <w:sz w:val="12"/>
          <w:szCs w:val="12"/>
          <w:color w:val="auto"/>
        </w:rPr>
        <w:t>products under the Scotts</w:t>
      </w:r>
      <w:r>
        <w:rPr>
          <w:rFonts w:ascii="Arial" w:cs="Arial" w:eastAsia="Arial" w:hAnsi="Arial"/>
          <w:sz w:val="10"/>
          <w:szCs w:val="10"/>
          <w:color w:val="auto"/>
        </w:rPr>
        <w:t>®</w:t>
      </w:r>
      <w:r>
        <w:rPr>
          <w:rFonts w:ascii="Arial" w:cs="Arial" w:eastAsia="Arial" w:hAnsi="Arial"/>
          <w:sz w:val="12"/>
          <w:szCs w:val="12"/>
          <w:color w:val="auto"/>
        </w:rPr>
        <w:t xml:space="preserve"> and Turf Builder</w:t>
      </w:r>
      <w:r>
        <w:rPr>
          <w:rFonts w:ascii="Arial" w:cs="Arial" w:eastAsia="Arial" w:hAnsi="Arial"/>
          <w:sz w:val="10"/>
          <w:szCs w:val="10"/>
          <w:color w:val="auto"/>
        </w:rPr>
        <w:t>®</w:t>
      </w:r>
      <w:r>
        <w:rPr>
          <w:rFonts w:ascii="Arial" w:cs="Arial" w:eastAsia="Arial" w:hAnsi="Arial"/>
          <w:sz w:val="12"/>
          <w:szCs w:val="12"/>
          <w:color w:val="auto"/>
        </w:rPr>
        <w:t xml:space="preserve"> brand names, grass seed products under the Scotts</w:t>
      </w:r>
      <w:r>
        <w:rPr>
          <w:rFonts w:ascii="Arial" w:cs="Arial" w:eastAsia="Arial" w:hAnsi="Arial"/>
          <w:sz w:val="10"/>
          <w:szCs w:val="10"/>
          <w:color w:val="auto"/>
        </w:rPr>
        <w:t>®</w:t>
      </w:r>
      <w:r>
        <w:rPr>
          <w:rFonts w:ascii="Arial" w:cs="Arial" w:eastAsia="Arial" w:hAnsi="Arial"/>
          <w:sz w:val="12"/>
          <w:szCs w:val="12"/>
          <w:color w:val="auto"/>
        </w:rPr>
        <w:t>, Turf Builder</w:t>
      </w:r>
      <w:r>
        <w:rPr>
          <w:rFonts w:ascii="Arial" w:cs="Arial" w:eastAsia="Arial" w:hAnsi="Arial"/>
          <w:sz w:val="10"/>
          <w:szCs w:val="10"/>
          <w:color w:val="auto"/>
        </w:rPr>
        <w:t>®</w:t>
      </w:r>
      <w:r>
        <w:rPr>
          <w:rFonts w:ascii="Arial" w:cs="Arial" w:eastAsia="Arial" w:hAnsi="Arial"/>
          <w:sz w:val="12"/>
          <w:szCs w:val="12"/>
          <w:color w:val="auto"/>
        </w:rPr>
        <w:t>, EZ Seed</w:t>
      </w:r>
      <w:r>
        <w:rPr>
          <w:rFonts w:ascii="Arial" w:cs="Arial" w:eastAsia="Arial" w:hAnsi="Arial"/>
          <w:sz w:val="10"/>
          <w:szCs w:val="10"/>
          <w:color w:val="auto"/>
        </w:rPr>
        <w:t>®</w:t>
      </w:r>
      <w:r>
        <w:rPr>
          <w:rFonts w:ascii="Arial" w:cs="Arial" w:eastAsia="Arial" w:hAnsi="Arial"/>
          <w:sz w:val="12"/>
          <w:szCs w:val="12"/>
          <w:color w:val="auto"/>
        </w:rPr>
        <w:t>, Water Smart</w:t>
      </w:r>
      <w:r>
        <w:rPr>
          <w:rFonts w:ascii="Arial" w:cs="Arial" w:eastAsia="Arial" w:hAnsi="Arial"/>
          <w:sz w:val="10"/>
          <w:szCs w:val="10"/>
          <w:color w:val="auto"/>
        </w:rPr>
        <w:t>®</w:t>
      </w:r>
      <w:r>
        <w:rPr>
          <w:rFonts w:ascii="Arial" w:cs="Arial" w:eastAsia="Arial" w:hAnsi="Arial"/>
          <w:sz w:val="12"/>
          <w:szCs w:val="12"/>
          <w:color w:val="auto"/>
        </w:rPr>
        <w:t xml:space="preserve"> and PatchMaster</w:t>
      </w:r>
      <w:r>
        <w:rPr>
          <w:rFonts w:ascii="Arial" w:cs="Arial" w:eastAsia="Arial" w:hAnsi="Arial"/>
          <w:sz w:val="10"/>
          <w:szCs w:val="10"/>
          <w:color w:val="auto"/>
        </w:rPr>
        <w:t>®</w:t>
      </w:r>
      <w:r>
        <w:rPr>
          <w:rFonts w:ascii="Arial" w:cs="Arial" w:eastAsia="Arial" w:hAnsi="Arial"/>
          <w:sz w:val="12"/>
          <w:szCs w:val="12"/>
          <w:color w:val="auto"/>
        </w:rPr>
        <w:t xml:space="preserve"> brand names and lawn-related weed, pest and disease control products primarily under the Ortho</w:t>
      </w:r>
      <w:r>
        <w:rPr>
          <w:rFonts w:ascii="Arial" w:cs="Arial" w:eastAsia="Arial" w:hAnsi="Arial"/>
          <w:sz w:val="10"/>
          <w:szCs w:val="10"/>
          <w:color w:val="auto"/>
        </w:rPr>
        <w:t>®</w:t>
      </w:r>
      <w:r>
        <w:rPr>
          <w:rFonts w:ascii="Arial" w:cs="Arial" w:eastAsia="Arial" w:hAnsi="Arial"/>
          <w:sz w:val="12"/>
          <w:szCs w:val="12"/>
          <w:color w:val="auto"/>
        </w:rPr>
        <w:t xml:space="preserve"> and Scotts</w:t>
      </w:r>
      <w:r>
        <w:rPr>
          <w:rFonts w:ascii="Arial" w:cs="Arial" w:eastAsia="Arial" w:hAnsi="Arial"/>
          <w:sz w:val="10"/>
          <w:szCs w:val="10"/>
          <w:color w:val="auto"/>
        </w:rPr>
        <w:t>®</w:t>
      </w:r>
      <w:r>
        <w:rPr>
          <w:rFonts w:ascii="Arial" w:cs="Arial" w:eastAsia="Arial" w:hAnsi="Arial"/>
          <w:sz w:val="12"/>
          <w:szCs w:val="12"/>
          <w:color w:val="auto"/>
        </w:rPr>
        <w:t xml:space="preserve"> brand names, including sub-brands such as Weed B Gon</w:t>
      </w:r>
      <w:r>
        <w:rPr>
          <w:rFonts w:ascii="Arial" w:cs="Arial" w:eastAsia="Arial" w:hAnsi="Arial"/>
          <w:sz w:val="10"/>
          <w:szCs w:val="10"/>
          <w:color w:val="auto"/>
        </w:rPr>
        <w:t>®</w:t>
      </w:r>
      <w:r>
        <w:rPr>
          <w:rFonts w:ascii="Arial" w:cs="Arial" w:eastAsia="Arial" w:hAnsi="Arial"/>
          <w:sz w:val="12"/>
          <w:szCs w:val="12"/>
          <w:color w:val="auto"/>
        </w:rPr>
        <w:t>, Bug B Gon Max</w:t>
      </w:r>
      <w:r>
        <w:rPr>
          <w:rFonts w:ascii="Arial" w:cs="Arial" w:eastAsia="Arial" w:hAnsi="Arial"/>
          <w:sz w:val="10"/>
          <w:szCs w:val="10"/>
          <w:color w:val="auto"/>
        </w:rPr>
        <w:t>®</w:t>
      </w:r>
      <w:r>
        <w:rPr>
          <w:rFonts w:ascii="Arial" w:cs="Arial" w:eastAsia="Arial" w:hAnsi="Arial"/>
          <w:sz w:val="12"/>
          <w:szCs w:val="12"/>
          <w:color w:val="auto"/>
        </w:rPr>
        <w:t xml:space="preserve"> and GrubEx</w:t>
      </w:r>
      <w:r>
        <w:rPr>
          <w:rFonts w:ascii="Arial" w:cs="Arial" w:eastAsia="Arial" w:hAnsi="Arial"/>
          <w:sz w:val="10"/>
          <w:szCs w:val="10"/>
          <w:color w:val="auto"/>
        </w:rPr>
        <w:t>®</w:t>
      </w:r>
      <w:r>
        <w:rPr>
          <w:rFonts w:ascii="Arial" w:cs="Arial" w:eastAsia="Arial" w:hAnsi="Arial"/>
          <w:sz w:val="12"/>
          <w:szCs w:val="12"/>
          <w:color w:val="auto"/>
        </w:rPr>
        <w:t>. A similar range of products is marketed in Europe under a variety of brands such as EverGreen</w:t>
      </w:r>
      <w:r>
        <w:rPr>
          <w:rFonts w:ascii="Arial" w:cs="Arial" w:eastAsia="Arial" w:hAnsi="Arial"/>
          <w:sz w:val="10"/>
          <w:szCs w:val="10"/>
          <w:color w:val="auto"/>
        </w:rPr>
        <w:t>®</w:t>
      </w:r>
      <w:r>
        <w:rPr>
          <w:rFonts w:ascii="Arial" w:cs="Arial" w:eastAsia="Arial" w:hAnsi="Arial"/>
          <w:sz w:val="12"/>
          <w:szCs w:val="12"/>
          <w:color w:val="auto"/>
        </w:rPr>
        <w:t>, Fertiligène</w:t>
      </w:r>
      <w:r>
        <w:rPr>
          <w:rFonts w:ascii="Arial" w:cs="Arial" w:eastAsia="Arial" w:hAnsi="Arial"/>
          <w:sz w:val="10"/>
          <w:szCs w:val="10"/>
          <w:color w:val="auto"/>
        </w:rPr>
        <w:t>®</w:t>
      </w:r>
      <w:r>
        <w:rPr>
          <w:rFonts w:ascii="Arial" w:cs="Arial" w:eastAsia="Arial" w:hAnsi="Arial"/>
          <w:sz w:val="12"/>
          <w:szCs w:val="12"/>
          <w:color w:val="auto"/>
        </w:rPr>
        <w:t>, Substral</w:t>
      </w:r>
      <w:r>
        <w:rPr>
          <w:rFonts w:ascii="Arial" w:cs="Arial" w:eastAsia="Arial" w:hAnsi="Arial"/>
          <w:sz w:val="10"/>
          <w:szCs w:val="10"/>
          <w:color w:val="auto"/>
        </w:rPr>
        <w:t>®</w:t>
      </w:r>
      <w:r>
        <w:rPr>
          <w:rFonts w:ascii="Arial" w:cs="Arial" w:eastAsia="Arial" w:hAnsi="Arial"/>
          <w:sz w:val="12"/>
          <w:szCs w:val="12"/>
          <w:color w:val="auto"/>
        </w:rPr>
        <w:t>, Miracle-Gro Patch Magic</w:t>
      </w:r>
      <w:r>
        <w:rPr>
          <w:rFonts w:ascii="Arial" w:cs="Arial" w:eastAsia="Arial" w:hAnsi="Arial"/>
          <w:sz w:val="10"/>
          <w:szCs w:val="10"/>
          <w:color w:val="auto"/>
        </w:rPr>
        <w:t>®</w:t>
      </w:r>
      <w:r>
        <w:rPr>
          <w:rFonts w:ascii="Arial" w:cs="Arial" w:eastAsia="Arial" w:hAnsi="Arial"/>
          <w:sz w:val="12"/>
          <w:szCs w:val="12"/>
          <w:color w:val="auto"/>
        </w:rPr>
        <w:t>, Weedol</w:t>
      </w:r>
      <w:r>
        <w:rPr>
          <w:rFonts w:ascii="Arial" w:cs="Arial" w:eastAsia="Arial" w:hAnsi="Arial"/>
          <w:sz w:val="10"/>
          <w:szCs w:val="10"/>
          <w:color w:val="auto"/>
        </w:rPr>
        <w:t>®</w:t>
      </w:r>
      <w:r>
        <w:rPr>
          <w:rFonts w:ascii="Arial" w:cs="Arial" w:eastAsia="Arial" w:hAnsi="Arial"/>
          <w:sz w:val="12"/>
          <w:szCs w:val="12"/>
          <w:color w:val="auto"/>
        </w:rPr>
        <w:t>, Pathclear</w:t>
      </w:r>
      <w:r>
        <w:rPr>
          <w:rFonts w:ascii="Arial" w:cs="Arial" w:eastAsia="Arial" w:hAnsi="Arial"/>
          <w:sz w:val="10"/>
          <w:szCs w:val="10"/>
          <w:color w:val="auto"/>
        </w:rPr>
        <w:t>®</w:t>
      </w:r>
      <w:r>
        <w:rPr>
          <w:rFonts w:ascii="Arial" w:cs="Arial" w:eastAsia="Arial" w:hAnsi="Arial"/>
          <w:sz w:val="12"/>
          <w:szCs w:val="12"/>
          <w:color w:val="auto"/>
        </w:rPr>
        <w:t>, KB</w:t>
      </w:r>
      <w:r>
        <w:rPr>
          <w:rFonts w:ascii="Arial" w:cs="Arial" w:eastAsia="Arial" w:hAnsi="Arial"/>
          <w:sz w:val="10"/>
          <w:szCs w:val="10"/>
          <w:color w:val="auto"/>
        </w:rPr>
        <w:t>®</w:t>
      </w:r>
      <w:r>
        <w:rPr>
          <w:rFonts w:ascii="Arial" w:cs="Arial" w:eastAsia="Arial" w:hAnsi="Arial"/>
          <w:sz w:val="12"/>
          <w:szCs w:val="12"/>
          <w:color w:val="auto"/>
        </w:rPr>
        <w:t>, Celaflor</w:t>
      </w:r>
      <w:r>
        <w:rPr>
          <w:rFonts w:ascii="Arial" w:cs="Arial" w:eastAsia="Arial" w:hAnsi="Arial"/>
          <w:sz w:val="10"/>
          <w:szCs w:val="10"/>
          <w:color w:val="auto"/>
        </w:rPr>
        <w:t>®</w:t>
      </w:r>
      <w:r>
        <w:rPr>
          <w:rFonts w:ascii="Arial" w:cs="Arial" w:eastAsia="Arial" w:hAnsi="Arial"/>
          <w:sz w:val="12"/>
          <w:szCs w:val="12"/>
          <w:color w:val="auto"/>
        </w:rPr>
        <w:t xml:space="preserve"> and Nexa Lotte</w:t>
      </w:r>
      <w:r>
        <w:rPr>
          <w:rFonts w:ascii="Arial" w:cs="Arial" w:eastAsia="Arial" w:hAnsi="Arial"/>
          <w:sz w:val="10"/>
          <w:szCs w:val="10"/>
          <w:color w:val="auto"/>
        </w:rPr>
        <w:t>®</w:t>
      </w:r>
      <w:r>
        <w:rPr>
          <w:rFonts w:ascii="Arial" w:cs="Arial" w:eastAsia="Arial" w:hAnsi="Arial"/>
          <w:sz w:val="12"/>
          <w:szCs w:val="12"/>
          <w:color w:val="auto"/>
        </w:rPr>
        <w:t>. The lawn care category also includes spreaders and other durables under the Scotts</w:t>
      </w:r>
      <w:r>
        <w:rPr>
          <w:rFonts w:ascii="Arial" w:cs="Arial" w:eastAsia="Arial" w:hAnsi="Arial"/>
          <w:sz w:val="10"/>
          <w:szCs w:val="10"/>
          <w:color w:val="auto"/>
        </w:rPr>
        <w:t>®</w:t>
      </w:r>
      <w:r>
        <w:rPr>
          <w:rFonts w:ascii="Arial" w:cs="Arial" w:eastAsia="Arial" w:hAnsi="Arial"/>
          <w:sz w:val="12"/>
          <w:szCs w:val="12"/>
          <w:color w:val="auto"/>
        </w:rPr>
        <w:t xml:space="preserve"> brand name, including Turf Builder</w:t>
      </w:r>
      <w:r>
        <w:rPr>
          <w:rFonts w:ascii="Arial" w:cs="Arial" w:eastAsia="Arial" w:hAnsi="Arial"/>
          <w:sz w:val="10"/>
          <w:szCs w:val="10"/>
          <w:color w:val="auto"/>
        </w:rPr>
        <w:t>®</w:t>
      </w:r>
      <w:r>
        <w:rPr>
          <w:rFonts w:ascii="Arial" w:cs="Arial" w:eastAsia="Arial" w:hAnsi="Arial"/>
          <w:sz w:val="12"/>
          <w:szCs w:val="12"/>
          <w:color w:val="auto"/>
        </w:rPr>
        <w:t xml:space="preserve"> EdgeGuard</w:t>
      </w:r>
      <w:r>
        <w:rPr>
          <w:rFonts w:ascii="Arial" w:cs="Arial" w:eastAsia="Arial" w:hAnsi="Arial"/>
          <w:sz w:val="10"/>
          <w:szCs w:val="10"/>
          <w:color w:val="auto"/>
        </w:rPr>
        <w:t>®</w:t>
      </w:r>
      <w:r>
        <w:rPr>
          <w:rFonts w:ascii="Arial" w:cs="Arial" w:eastAsia="Arial" w:hAnsi="Arial"/>
          <w:sz w:val="12"/>
          <w:szCs w:val="12"/>
          <w:color w:val="auto"/>
        </w:rPr>
        <w:t xml:space="preserve"> spreaders, AccuGreen</w:t>
      </w:r>
      <w:r>
        <w:rPr>
          <w:rFonts w:ascii="Arial" w:cs="Arial" w:eastAsia="Arial" w:hAnsi="Arial"/>
          <w:sz w:val="10"/>
          <w:szCs w:val="10"/>
          <w:color w:val="auto"/>
        </w:rPr>
        <w:t>®</w:t>
      </w:r>
      <w:r>
        <w:rPr>
          <w:rFonts w:ascii="Arial" w:cs="Arial" w:eastAsia="Arial" w:hAnsi="Arial"/>
          <w:sz w:val="12"/>
          <w:szCs w:val="12"/>
          <w:color w:val="auto"/>
        </w:rPr>
        <w:t xml:space="preserve"> drop spreaders and Handy Green</w:t>
      </w:r>
      <w:r>
        <w:rPr>
          <w:rFonts w:ascii="Arial" w:cs="Arial" w:eastAsia="Arial" w:hAnsi="Arial"/>
          <w:sz w:val="8"/>
          <w:szCs w:val="8"/>
          <w:color w:val="auto"/>
        </w:rPr>
        <w:t>®</w:t>
      </w:r>
      <w:r>
        <w:rPr>
          <w:rFonts w:ascii="Arial" w:cs="Arial" w:eastAsia="Arial" w:hAnsi="Arial"/>
          <w:sz w:val="12"/>
          <w:szCs w:val="12"/>
          <w:color w:val="auto"/>
        </w:rPr>
        <w:t>II handheld spreaders.</w:t>
      </w:r>
    </w:p>
    <w:p>
      <w:pPr>
        <w:spacing w:after="0" w:line="59" w:lineRule="exact"/>
        <w:rPr>
          <w:sz w:val="20"/>
          <w:szCs w:val="20"/>
          <w:color w:val="auto"/>
        </w:rPr>
      </w:pPr>
    </w:p>
    <w:p>
      <w:pPr>
        <w:ind w:left="1080" w:right="20" w:firstLine="383"/>
        <w:spacing w:after="0" w:line="257" w:lineRule="auto"/>
        <w:rPr>
          <w:sz w:val="20"/>
          <w:szCs w:val="20"/>
          <w:color w:val="auto"/>
        </w:rPr>
      </w:pPr>
      <w:r>
        <w:rPr>
          <w:rFonts w:ascii="Arial" w:cs="Arial" w:eastAsia="Arial" w:hAnsi="Arial"/>
          <w:sz w:val="13"/>
          <w:szCs w:val="13"/>
          <w:i w:val="1"/>
          <w:iCs w:val="1"/>
          <w:color w:val="auto"/>
        </w:rPr>
        <w:t xml:space="preserve">Gardening and Landscape: </w:t>
      </w:r>
      <w:r>
        <w:rPr>
          <w:rFonts w:ascii="Arial" w:cs="Arial" w:eastAsia="Arial" w:hAnsi="Arial"/>
          <w:sz w:val="13"/>
          <w:szCs w:val="13"/>
          <w:color w:val="auto"/>
        </w:rPr>
        <w:t>The gardening and landscape category is designed to help consumers grow and enjoy flower and vegetable gardens and beautify landscaped areas.</w:t>
      </w:r>
      <w:r>
        <w:rPr>
          <w:rFonts w:ascii="Arial" w:cs="Arial" w:eastAsia="Arial" w:hAnsi="Arial"/>
          <w:sz w:val="13"/>
          <w:szCs w:val="13"/>
          <w:i w:val="1"/>
          <w:iCs w:val="1"/>
          <w:color w:val="auto"/>
        </w:rPr>
        <w:t xml:space="preserve"> </w:t>
      </w:r>
      <w:r>
        <w:rPr>
          <w:rFonts w:ascii="Arial" w:cs="Arial" w:eastAsia="Arial" w:hAnsi="Arial"/>
          <w:sz w:val="13"/>
          <w:szCs w:val="13"/>
          <w:color w:val="auto"/>
        </w:rPr>
        <w:t>In the United States, products within this category include a complete line of water soluble plant foods under the Miracle-Gro</w:t>
      </w:r>
      <w:r>
        <w:rPr>
          <w:rFonts w:ascii="Arial" w:cs="Arial" w:eastAsia="Arial" w:hAnsi="Arial"/>
          <w:sz w:val="11"/>
          <w:szCs w:val="11"/>
          <w:color w:val="auto"/>
        </w:rPr>
        <w:t>®</w:t>
      </w:r>
      <w:r>
        <w:rPr>
          <w:rFonts w:ascii="Arial" w:cs="Arial" w:eastAsia="Arial" w:hAnsi="Arial"/>
          <w:sz w:val="13"/>
          <w:szCs w:val="13"/>
          <w:color w:val="auto"/>
        </w:rPr>
        <w:t xml:space="preserve"> brand and sub-brands such as LiquaFeed</w:t>
      </w:r>
      <w:r>
        <w:rPr>
          <w:rFonts w:ascii="Arial" w:cs="Arial" w:eastAsia="Arial" w:hAnsi="Arial"/>
          <w:sz w:val="11"/>
          <w:szCs w:val="11"/>
          <w:color w:val="auto"/>
        </w:rPr>
        <w:t>®</w:t>
      </w:r>
      <w:r>
        <w:rPr>
          <w:rFonts w:ascii="Arial" w:cs="Arial" w:eastAsia="Arial" w:hAnsi="Arial"/>
          <w:sz w:val="13"/>
          <w:szCs w:val="13"/>
          <w:color w:val="auto"/>
        </w:rPr>
        <w:t>, continuous-release plant foods under the Osmocote</w:t>
      </w:r>
      <w:r>
        <w:rPr>
          <w:rFonts w:ascii="Arial" w:cs="Arial" w:eastAsia="Arial" w:hAnsi="Arial"/>
          <w:sz w:val="11"/>
          <w:szCs w:val="11"/>
          <w:color w:val="auto"/>
        </w:rPr>
        <w:t>®</w:t>
      </w:r>
      <w:r>
        <w:rPr>
          <w:rFonts w:ascii="Arial" w:cs="Arial" w:eastAsia="Arial" w:hAnsi="Arial"/>
          <w:sz w:val="13"/>
          <w:szCs w:val="13"/>
          <w:color w:val="auto"/>
        </w:rPr>
        <w:t xml:space="preserve"> and Shake ’N Feed</w:t>
      </w:r>
      <w:r>
        <w:rPr>
          <w:rFonts w:ascii="Arial" w:cs="Arial" w:eastAsia="Arial" w:hAnsi="Arial"/>
          <w:sz w:val="11"/>
          <w:szCs w:val="11"/>
          <w:color w:val="auto"/>
        </w:rPr>
        <w:t>®</w:t>
      </w:r>
      <w:r>
        <w:rPr>
          <w:rFonts w:ascii="Arial" w:cs="Arial" w:eastAsia="Arial" w:hAnsi="Arial"/>
          <w:sz w:val="13"/>
          <w:szCs w:val="13"/>
          <w:color w:val="auto"/>
        </w:rPr>
        <w:t xml:space="preserve"> brand names, potting mixes and garden soils under the Miracle-Gro</w:t>
      </w:r>
      <w:r>
        <w:rPr>
          <w:rFonts w:ascii="Arial" w:cs="Arial" w:eastAsia="Arial" w:hAnsi="Arial"/>
          <w:sz w:val="11"/>
          <w:szCs w:val="11"/>
          <w:color w:val="auto"/>
        </w:rPr>
        <w:t>®</w:t>
      </w:r>
      <w:r>
        <w:rPr>
          <w:rFonts w:ascii="Arial" w:cs="Arial" w:eastAsia="Arial" w:hAnsi="Arial"/>
          <w:sz w:val="13"/>
          <w:szCs w:val="13"/>
          <w:color w:val="auto"/>
        </w:rPr>
        <w:t>, Scotts</w:t>
      </w:r>
      <w:r>
        <w:rPr>
          <w:rFonts w:ascii="Arial" w:cs="Arial" w:eastAsia="Arial" w:hAnsi="Arial"/>
          <w:sz w:val="11"/>
          <w:szCs w:val="11"/>
          <w:color w:val="auto"/>
        </w:rPr>
        <w:t>®</w:t>
      </w:r>
      <w:r>
        <w:rPr>
          <w:rFonts w:ascii="Arial" w:cs="Arial" w:eastAsia="Arial" w:hAnsi="Arial"/>
          <w:sz w:val="13"/>
          <w:szCs w:val="13"/>
          <w:color w:val="auto"/>
        </w:rPr>
        <w:t>, Hyponex</w:t>
      </w:r>
      <w:r>
        <w:rPr>
          <w:rFonts w:ascii="Arial" w:cs="Arial" w:eastAsia="Arial" w:hAnsi="Arial"/>
          <w:sz w:val="11"/>
          <w:szCs w:val="11"/>
          <w:color w:val="auto"/>
        </w:rPr>
        <w:t>®</w:t>
      </w:r>
      <w:r>
        <w:rPr>
          <w:rFonts w:ascii="Arial" w:cs="Arial" w:eastAsia="Arial" w:hAnsi="Arial"/>
          <w:sz w:val="13"/>
          <w:szCs w:val="13"/>
          <w:color w:val="auto"/>
        </w:rPr>
        <w:t>, Earthgro</w:t>
      </w:r>
      <w:r>
        <w:rPr>
          <w:rFonts w:ascii="Arial" w:cs="Arial" w:eastAsia="Arial" w:hAnsi="Arial"/>
          <w:sz w:val="11"/>
          <w:szCs w:val="11"/>
          <w:color w:val="auto"/>
        </w:rPr>
        <w:t>®</w:t>
      </w:r>
      <w:r>
        <w:rPr>
          <w:rFonts w:ascii="Arial" w:cs="Arial" w:eastAsia="Arial" w:hAnsi="Arial"/>
          <w:sz w:val="13"/>
          <w:szCs w:val="13"/>
          <w:color w:val="auto"/>
        </w:rPr>
        <w:t xml:space="preserve"> and SuperSoil</w:t>
      </w:r>
      <w:r>
        <w:rPr>
          <w:rFonts w:ascii="Arial" w:cs="Arial" w:eastAsia="Arial" w:hAnsi="Arial"/>
          <w:sz w:val="11"/>
          <w:szCs w:val="11"/>
          <w:color w:val="auto"/>
        </w:rPr>
        <w:t>®</w:t>
      </w:r>
      <w:r>
        <w:rPr>
          <w:rFonts w:ascii="Arial" w:cs="Arial" w:eastAsia="Arial" w:hAnsi="Arial"/>
          <w:sz w:val="13"/>
          <w:szCs w:val="13"/>
          <w:color w:val="auto"/>
        </w:rPr>
        <w:t xml:space="preserve"> brand names, mulch and decorative groundcover products under the Scotts</w:t>
      </w:r>
      <w:r>
        <w:rPr>
          <w:rFonts w:ascii="Arial" w:cs="Arial" w:eastAsia="Arial" w:hAnsi="Arial"/>
          <w:sz w:val="11"/>
          <w:szCs w:val="11"/>
          <w:color w:val="auto"/>
        </w:rPr>
        <w:t>®</w:t>
      </w:r>
      <w:r>
        <w:rPr>
          <w:rFonts w:ascii="Arial" w:cs="Arial" w:eastAsia="Arial" w:hAnsi="Arial"/>
          <w:sz w:val="13"/>
          <w:szCs w:val="13"/>
          <w:color w:val="auto"/>
        </w:rPr>
        <w:t xml:space="preserve"> brand, including the Nature Scapes</w:t>
      </w:r>
      <w:r>
        <w:rPr>
          <w:rFonts w:ascii="Arial" w:cs="Arial" w:eastAsia="Arial" w:hAnsi="Arial"/>
          <w:sz w:val="11"/>
          <w:szCs w:val="11"/>
          <w:color w:val="auto"/>
        </w:rPr>
        <w:t>®</w:t>
      </w:r>
      <w:r>
        <w:rPr>
          <w:rFonts w:ascii="Arial" w:cs="Arial" w:eastAsia="Arial" w:hAnsi="Arial"/>
          <w:sz w:val="13"/>
          <w:szCs w:val="13"/>
          <w:color w:val="auto"/>
        </w:rPr>
        <w:t xml:space="preserve"> sub-brand, landscape weed prevention products under the Ortho</w:t>
      </w:r>
      <w:r>
        <w:rPr>
          <w:rFonts w:ascii="Arial" w:cs="Arial" w:eastAsia="Arial" w:hAnsi="Arial"/>
          <w:sz w:val="11"/>
          <w:szCs w:val="11"/>
          <w:color w:val="auto"/>
        </w:rPr>
        <w:t>®</w:t>
      </w:r>
      <w:r>
        <w:rPr>
          <w:rFonts w:ascii="Arial" w:cs="Arial" w:eastAsia="Arial" w:hAnsi="Arial"/>
          <w:sz w:val="13"/>
          <w:szCs w:val="13"/>
          <w:color w:val="auto"/>
        </w:rPr>
        <w:t xml:space="preserve"> brand, and plant-related pest and disease control products under the Ortho</w:t>
      </w:r>
      <w:r>
        <w:rPr>
          <w:rFonts w:ascii="Arial" w:cs="Arial" w:eastAsia="Arial" w:hAnsi="Arial"/>
          <w:sz w:val="11"/>
          <w:szCs w:val="11"/>
          <w:color w:val="auto"/>
        </w:rPr>
        <w:t>®</w:t>
      </w:r>
      <w:r>
        <w:rPr>
          <w:rFonts w:ascii="Arial" w:cs="Arial" w:eastAsia="Arial" w:hAnsi="Arial"/>
          <w:sz w:val="13"/>
          <w:szCs w:val="13"/>
          <w:color w:val="auto"/>
        </w:rPr>
        <w:t xml:space="preserve"> brand. Internationally, similar products are marketed under the Miracle-Gro</w:t>
      </w:r>
      <w:r>
        <w:rPr>
          <w:rFonts w:ascii="Arial" w:cs="Arial" w:eastAsia="Arial" w:hAnsi="Arial"/>
          <w:sz w:val="11"/>
          <w:szCs w:val="11"/>
          <w:color w:val="auto"/>
        </w:rPr>
        <w:t>®</w:t>
      </w:r>
      <w:r>
        <w:rPr>
          <w:rFonts w:ascii="Arial" w:cs="Arial" w:eastAsia="Arial" w:hAnsi="Arial"/>
          <w:sz w:val="13"/>
          <w:szCs w:val="13"/>
          <w:color w:val="auto"/>
        </w:rPr>
        <w:t>, Fertiligène</w:t>
      </w:r>
      <w:r>
        <w:rPr>
          <w:rFonts w:ascii="Arial" w:cs="Arial" w:eastAsia="Arial" w:hAnsi="Arial"/>
          <w:sz w:val="11"/>
          <w:szCs w:val="11"/>
          <w:color w:val="auto"/>
        </w:rPr>
        <w:t>®</w:t>
      </w:r>
      <w:r>
        <w:rPr>
          <w:rFonts w:ascii="Arial" w:cs="Arial" w:eastAsia="Arial" w:hAnsi="Arial"/>
          <w:sz w:val="13"/>
          <w:szCs w:val="13"/>
          <w:color w:val="auto"/>
        </w:rPr>
        <w:t>, Substral</w:t>
      </w:r>
      <w:r>
        <w:rPr>
          <w:rFonts w:ascii="Arial" w:cs="Arial" w:eastAsia="Arial" w:hAnsi="Arial"/>
          <w:sz w:val="11"/>
          <w:szCs w:val="11"/>
          <w:color w:val="auto"/>
        </w:rPr>
        <w:t>®</w:t>
      </w:r>
      <w:r>
        <w:rPr>
          <w:rFonts w:ascii="Arial" w:cs="Arial" w:eastAsia="Arial" w:hAnsi="Arial"/>
          <w:sz w:val="13"/>
          <w:szCs w:val="13"/>
          <w:color w:val="auto"/>
        </w:rPr>
        <w:t>, KB</w:t>
      </w:r>
      <w:r>
        <w:rPr>
          <w:rFonts w:ascii="Arial" w:cs="Arial" w:eastAsia="Arial" w:hAnsi="Arial"/>
          <w:sz w:val="11"/>
          <w:szCs w:val="11"/>
          <w:color w:val="auto"/>
        </w:rPr>
        <w:t>®</w:t>
      </w:r>
      <w:r>
        <w:rPr>
          <w:rFonts w:ascii="Arial" w:cs="Arial" w:eastAsia="Arial" w:hAnsi="Arial"/>
          <w:sz w:val="13"/>
          <w:szCs w:val="13"/>
          <w:color w:val="auto"/>
        </w:rPr>
        <w:t>, Celaflor</w:t>
      </w:r>
      <w:r>
        <w:rPr>
          <w:rFonts w:ascii="Arial" w:cs="Arial" w:eastAsia="Arial" w:hAnsi="Arial"/>
          <w:sz w:val="11"/>
          <w:szCs w:val="11"/>
          <w:color w:val="auto"/>
        </w:rPr>
        <w:t>®</w:t>
      </w:r>
      <w:r>
        <w:rPr>
          <w:rFonts w:ascii="Arial" w:cs="Arial" w:eastAsia="Arial" w:hAnsi="Arial"/>
          <w:sz w:val="13"/>
          <w:szCs w:val="13"/>
          <w:color w:val="auto"/>
        </w:rPr>
        <w:t xml:space="preserve"> and ASEF</w:t>
      </w:r>
      <w:r>
        <w:rPr>
          <w:rFonts w:ascii="Arial" w:cs="Arial" w:eastAsia="Arial" w:hAnsi="Arial"/>
          <w:sz w:val="11"/>
          <w:szCs w:val="11"/>
          <w:color w:val="auto"/>
        </w:rPr>
        <w:t>®</w:t>
      </w:r>
      <w:r>
        <w:rPr>
          <w:rFonts w:ascii="Arial" w:cs="Arial" w:eastAsia="Arial" w:hAnsi="Arial"/>
          <w:sz w:val="13"/>
          <w:szCs w:val="13"/>
          <w:color w:val="auto"/>
        </w:rPr>
        <w:t xml:space="preserve"> brand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57150</wp:posOffset>
            </wp:positionV>
            <wp:extent cx="82359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680" w:right="20" w:firstLine="203"/>
        <w:spacing w:after="0" w:line="266" w:lineRule="auto"/>
        <w:tabs>
          <w:tab w:leader="none" w:pos="967" w:val="left"/>
        </w:tabs>
        <w:numPr>
          <w:ilvl w:val="0"/>
          <w:numId w:val="5"/>
        </w:numPr>
        <w:rPr>
          <w:rFonts w:ascii="Arial" w:cs="Arial" w:eastAsia="Arial" w:hAnsi="Arial"/>
          <w:sz w:val="11"/>
          <w:szCs w:val="11"/>
          <w:color w:val="auto"/>
        </w:rPr>
      </w:pPr>
      <w:r>
        <w:rPr>
          <w:rFonts w:ascii="Arial" w:cs="Arial" w:eastAsia="Arial" w:hAnsi="Arial"/>
          <w:sz w:val="13"/>
          <w:szCs w:val="13"/>
          <w:color w:val="auto"/>
        </w:rPr>
        <w:t>Smith &amp; Hawken</w:t>
      </w:r>
      <w:r>
        <w:rPr>
          <w:rFonts w:ascii="Arial" w:cs="Arial" w:eastAsia="Arial" w:hAnsi="Arial"/>
          <w:sz w:val="11"/>
          <w:szCs w:val="11"/>
          <w:color w:val="auto"/>
        </w:rPr>
        <w:t>®</w:t>
      </w:r>
      <w:r>
        <w:rPr>
          <w:rFonts w:ascii="Arial" w:cs="Arial" w:eastAsia="Arial" w:hAnsi="Arial"/>
          <w:sz w:val="13"/>
          <w:szCs w:val="13"/>
          <w:color w:val="auto"/>
        </w:rPr>
        <w:t xml:space="preserve"> is a registered trademark of Target Brands, Inc. We sold the Smith &amp; Hawken brand and certain intellectual property rights related thereto to Target Brands, Inc. on December 30, 2009, and subsequently changed the name of the subsidiary entity formerly known as Smith &amp; Hawken, Ltd. to Teak 2, Ltd. References in this Annual Report on Form 10-K to Smith &amp; Hawken refer to the subsidiary entity, not the brand itself.</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100" w:firstLine="383"/>
        <w:spacing w:after="0" w:line="260" w:lineRule="auto"/>
        <w:rPr>
          <w:sz w:val="20"/>
          <w:szCs w:val="20"/>
          <w:color w:val="auto"/>
        </w:rPr>
      </w:pPr>
      <w:r>
        <w:rPr>
          <w:rFonts w:ascii="Arial" w:cs="Arial" w:eastAsia="Arial" w:hAnsi="Arial"/>
          <w:sz w:val="13"/>
          <w:szCs w:val="13"/>
          <w:i w:val="1"/>
          <w:iCs w:val="1"/>
          <w:color w:val="auto"/>
        </w:rPr>
        <w:t xml:space="preserve">Home Protection: </w:t>
      </w:r>
      <w:r>
        <w:rPr>
          <w:rFonts w:ascii="Arial" w:cs="Arial" w:eastAsia="Arial" w:hAnsi="Arial"/>
          <w:sz w:val="13"/>
          <w:szCs w:val="13"/>
          <w:color w:val="auto"/>
        </w:rPr>
        <w:t>The home protection category is designed to help consumers protect their homes from pests and maintain external home areas. In the United States, insect</w:t>
      </w:r>
      <w:r>
        <w:rPr>
          <w:rFonts w:ascii="Arial" w:cs="Arial" w:eastAsia="Arial" w:hAnsi="Arial"/>
          <w:sz w:val="13"/>
          <w:szCs w:val="13"/>
          <w:i w:val="1"/>
          <w:iCs w:val="1"/>
          <w:color w:val="auto"/>
        </w:rPr>
        <w:t xml:space="preserve"> </w:t>
      </w:r>
      <w:r>
        <w:rPr>
          <w:rFonts w:ascii="Arial" w:cs="Arial" w:eastAsia="Arial" w:hAnsi="Arial"/>
          <w:sz w:val="13"/>
          <w:szCs w:val="13"/>
          <w:color w:val="auto"/>
        </w:rPr>
        <w:t>control and rodenticide products are marketed under the Ortho</w:t>
      </w:r>
      <w:r>
        <w:rPr>
          <w:rFonts w:ascii="Arial" w:cs="Arial" w:eastAsia="Arial" w:hAnsi="Arial"/>
          <w:sz w:val="11"/>
          <w:szCs w:val="11"/>
          <w:color w:val="auto"/>
        </w:rPr>
        <w:t>®</w:t>
      </w:r>
      <w:r>
        <w:rPr>
          <w:rFonts w:ascii="Arial" w:cs="Arial" w:eastAsia="Arial" w:hAnsi="Arial"/>
          <w:sz w:val="13"/>
          <w:szCs w:val="13"/>
          <w:color w:val="auto"/>
        </w:rPr>
        <w:t xml:space="preserve"> brand name, including insect control products under the Ortho Max</w:t>
      </w:r>
      <w:r>
        <w:rPr>
          <w:rFonts w:ascii="Arial" w:cs="Arial" w:eastAsia="Arial" w:hAnsi="Arial"/>
          <w:sz w:val="11"/>
          <w:szCs w:val="11"/>
          <w:color w:val="auto"/>
        </w:rPr>
        <w:t>®</w:t>
      </w:r>
      <w:r>
        <w:rPr>
          <w:rFonts w:ascii="Arial" w:cs="Arial" w:eastAsia="Arial" w:hAnsi="Arial"/>
          <w:sz w:val="13"/>
          <w:szCs w:val="13"/>
          <w:color w:val="auto"/>
        </w:rPr>
        <w:t xml:space="preserve"> sub-brand and rodenticide products under the Home Defense Max</w:t>
      </w:r>
      <w:r>
        <w:rPr>
          <w:rFonts w:ascii="Arial" w:cs="Arial" w:eastAsia="Arial" w:hAnsi="Arial"/>
          <w:sz w:val="11"/>
          <w:szCs w:val="11"/>
          <w:color w:val="auto"/>
        </w:rPr>
        <w:t>®</w:t>
      </w:r>
      <w:r>
        <w:rPr>
          <w:rFonts w:ascii="Arial" w:cs="Arial" w:eastAsia="Arial" w:hAnsi="Arial"/>
          <w:sz w:val="13"/>
          <w:szCs w:val="13"/>
          <w:color w:val="auto"/>
        </w:rPr>
        <w:t xml:space="preserve"> sub-brand, while non-selective weed control products are marketed under the Roundup</w:t>
      </w:r>
      <w:r>
        <w:rPr>
          <w:rFonts w:ascii="Arial" w:cs="Arial" w:eastAsia="Arial" w:hAnsi="Arial"/>
          <w:sz w:val="11"/>
          <w:szCs w:val="11"/>
          <w:color w:val="auto"/>
        </w:rPr>
        <w:t>®</w:t>
      </w:r>
      <w:r>
        <w:rPr>
          <w:rFonts w:ascii="Arial" w:cs="Arial" w:eastAsia="Arial" w:hAnsi="Arial"/>
          <w:sz w:val="13"/>
          <w:szCs w:val="13"/>
          <w:color w:val="auto"/>
        </w:rPr>
        <w:t xml:space="preserve"> brand name. Internationally, products within this category are marketed under the Nexa Lotte</w:t>
      </w:r>
      <w:r>
        <w:rPr>
          <w:rFonts w:ascii="Arial" w:cs="Arial" w:eastAsia="Arial" w:hAnsi="Arial"/>
          <w:sz w:val="11"/>
          <w:szCs w:val="11"/>
          <w:color w:val="auto"/>
        </w:rPr>
        <w:t>®</w:t>
      </w:r>
      <w:r>
        <w:rPr>
          <w:rFonts w:ascii="Arial" w:cs="Arial" w:eastAsia="Arial" w:hAnsi="Arial"/>
          <w:sz w:val="13"/>
          <w:szCs w:val="13"/>
          <w:color w:val="auto"/>
        </w:rPr>
        <w:t>, Fertiligène</w:t>
      </w:r>
      <w:r>
        <w:rPr>
          <w:rFonts w:ascii="Arial" w:cs="Arial" w:eastAsia="Arial" w:hAnsi="Arial"/>
          <w:sz w:val="11"/>
          <w:szCs w:val="11"/>
          <w:color w:val="auto"/>
        </w:rPr>
        <w:t>®</w:t>
      </w:r>
      <w:r>
        <w:rPr>
          <w:rFonts w:ascii="Arial" w:cs="Arial" w:eastAsia="Arial" w:hAnsi="Arial"/>
          <w:sz w:val="13"/>
          <w:szCs w:val="13"/>
          <w:color w:val="auto"/>
        </w:rPr>
        <w:t>, KB</w:t>
      </w:r>
      <w:r>
        <w:rPr>
          <w:rFonts w:ascii="Arial" w:cs="Arial" w:eastAsia="Arial" w:hAnsi="Arial"/>
          <w:sz w:val="11"/>
          <w:szCs w:val="11"/>
          <w:color w:val="auto"/>
        </w:rPr>
        <w:t>®</w:t>
      </w:r>
      <w:r>
        <w:rPr>
          <w:rFonts w:ascii="Arial" w:cs="Arial" w:eastAsia="Arial" w:hAnsi="Arial"/>
          <w:sz w:val="13"/>
          <w:szCs w:val="13"/>
          <w:color w:val="auto"/>
        </w:rPr>
        <w:t>, Home Defence</w:t>
      </w:r>
      <w:r>
        <w:rPr>
          <w:rFonts w:ascii="Arial" w:cs="Arial" w:eastAsia="Arial" w:hAnsi="Arial"/>
          <w:sz w:val="11"/>
          <w:szCs w:val="11"/>
          <w:color w:val="auto"/>
        </w:rPr>
        <w:t>®</w:t>
      </w:r>
      <w:r>
        <w:rPr>
          <w:rFonts w:ascii="Arial" w:cs="Arial" w:eastAsia="Arial" w:hAnsi="Arial"/>
          <w:sz w:val="13"/>
          <w:szCs w:val="13"/>
          <w:color w:val="auto"/>
        </w:rPr>
        <w:t xml:space="preserve"> and Roundup</w:t>
      </w:r>
      <w:r>
        <w:rPr>
          <w:rFonts w:ascii="Arial" w:cs="Arial" w:eastAsia="Arial" w:hAnsi="Arial"/>
          <w:sz w:val="11"/>
          <w:szCs w:val="11"/>
          <w:color w:val="auto"/>
        </w:rPr>
        <w:t>®</w:t>
      </w:r>
      <w:r>
        <w:rPr>
          <w:rFonts w:ascii="Arial" w:cs="Arial" w:eastAsia="Arial" w:hAnsi="Arial"/>
          <w:sz w:val="13"/>
          <w:szCs w:val="13"/>
          <w:color w:val="auto"/>
        </w:rPr>
        <w:t xml:space="preserve"> brands.</w:t>
      </w:r>
    </w:p>
    <w:p>
      <w:pPr>
        <w:spacing w:after="0" w:line="70" w:lineRule="exact"/>
        <w:rPr>
          <w:sz w:val="20"/>
          <w:szCs w:val="20"/>
          <w:color w:val="auto"/>
        </w:rPr>
      </w:pPr>
    </w:p>
    <w:p>
      <w:pPr>
        <w:ind w:left="1080" w:right="40" w:firstLine="383"/>
        <w:spacing w:after="0" w:line="258" w:lineRule="auto"/>
        <w:rPr>
          <w:sz w:val="20"/>
          <w:szCs w:val="20"/>
          <w:color w:val="auto"/>
        </w:rPr>
      </w:pPr>
      <w:r>
        <w:rPr>
          <w:rFonts w:ascii="Arial" w:cs="Arial" w:eastAsia="Arial" w:hAnsi="Arial"/>
          <w:sz w:val="13"/>
          <w:szCs w:val="13"/>
          <w:i w:val="1"/>
          <w:iCs w:val="1"/>
          <w:color w:val="auto"/>
        </w:rPr>
        <w:t xml:space="preserve">Outdoor Living: </w:t>
      </w:r>
      <w:r>
        <w:rPr>
          <w:rFonts w:ascii="Arial" w:cs="Arial" w:eastAsia="Arial" w:hAnsi="Arial"/>
          <w:sz w:val="13"/>
          <w:szCs w:val="13"/>
          <w:color w:val="auto"/>
        </w:rPr>
        <w:t>The outdoor living category is designed to help consumers enjoy their outdoor living experiences. In the United States, products within this category include</w:t>
      </w:r>
      <w:r>
        <w:rPr>
          <w:rFonts w:ascii="Arial" w:cs="Arial" w:eastAsia="Arial" w:hAnsi="Arial"/>
          <w:sz w:val="13"/>
          <w:szCs w:val="13"/>
          <w:i w:val="1"/>
          <w:iCs w:val="1"/>
          <w:color w:val="auto"/>
        </w:rPr>
        <w:t xml:space="preserve"> </w:t>
      </w:r>
      <w:r>
        <w:rPr>
          <w:rFonts w:ascii="Arial" w:cs="Arial" w:eastAsia="Arial" w:hAnsi="Arial"/>
          <w:sz w:val="13"/>
          <w:szCs w:val="13"/>
          <w:color w:val="auto"/>
        </w:rPr>
        <w:t>wild bird food and bird feeder products under the Scotts Songbird Selections</w:t>
      </w:r>
      <w:r>
        <w:rPr>
          <w:rFonts w:ascii="Arial" w:cs="Arial" w:eastAsia="Arial" w:hAnsi="Arial"/>
          <w:sz w:val="11"/>
          <w:szCs w:val="11"/>
          <w:color w:val="auto"/>
        </w:rPr>
        <w:t>®</w:t>
      </w:r>
      <w:r>
        <w:rPr>
          <w:rFonts w:ascii="Arial" w:cs="Arial" w:eastAsia="Arial" w:hAnsi="Arial"/>
          <w:sz w:val="13"/>
          <w:szCs w:val="13"/>
          <w:color w:val="auto"/>
        </w:rPr>
        <w:t>, Morning Song</w:t>
      </w:r>
      <w:r>
        <w:rPr>
          <w:rFonts w:ascii="Arial" w:cs="Arial" w:eastAsia="Arial" w:hAnsi="Arial"/>
          <w:sz w:val="11"/>
          <w:szCs w:val="11"/>
          <w:color w:val="auto"/>
        </w:rPr>
        <w:t>®</w:t>
      </w:r>
      <w:r>
        <w:rPr>
          <w:rFonts w:ascii="Arial" w:cs="Arial" w:eastAsia="Arial" w:hAnsi="Arial"/>
          <w:sz w:val="13"/>
          <w:szCs w:val="13"/>
          <w:color w:val="auto"/>
        </w:rPr>
        <w:t xml:space="preserve"> and Country Pride</w:t>
      </w:r>
      <w:r>
        <w:rPr>
          <w:rFonts w:ascii="Arial" w:cs="Arial" w:eastAsia="Arial" w:hAnsi="Arial"/>
          <w:sz w:val="11"/>
          <w:szCs w:val="11"/>
          <w:color w:val="auto"/>
        </w:rPr>
        <w:t>®</w:t>
      </w:r>
      <w:r>
        <w:rPr>
          <w:rFonts w:ascii="Arial" w:cs="Arial" w:eastAsia="Arial" w:hAnsi="Arial"/>
          <w:sz w:val="13"/>
          <w:szCs w:val="13"/>
          <w:color w:val="auto"/>
        </w:rPr>
        <w:t xml:space="preserve"> brand names, weed control products for hard surfaces (such as patios, sidewalks and driveways) under the Ortho</w:t>
      </w:r>
      <w:r>
        <w:rPr>
          <w:rFonts w:ascii="Arial" w:cs="Arial" w:eastAsia="Arial" w:hAnsi="Arial"/>
          <w:sz w:val="11"/>
          <w:szCs w:val="11"/>
          <w:color w:val="auto"/>
        </w:rPr>
        <w:t>®</w:t>
      </w:r>
      <w:r>
        <w:rPr>
          <w:rFonts w:ascii="Arial" w:cs="Arial" w:eastAsia="Arial" w:hAnsi="Arial"/>
          <w:sz w:val="13"/>
          <w:szCs w:val="13"/>
          <w:color w:val="auto"/>
        </w:rPr>
        <w:t xml:space="preserve"> brand and organic garden products under the Miracle-Gro Organic Choice</w:t>
      </w:r>
      <w:r>
        <w:rPr>
          <w:rFonts w:ascii="Arial" w:cs="Arial" w:eastAsia="Arial" w:hAnsi="Arial"/>
          <w:sz w:val="11"/>
          <w:szCs w:val="11"/>
          <w:color w:val="auto"/>
        </w:rPr>
        <w:t>®</w:t>
      </w:r>
      <w:r>
        <w:rPr>
          <w:rFonts w:ascii="Arial" w:cs="Arial" w:eastAsia="Arial" w:hAnsi="Arial"/>
          <w:sz w:val="13"/>
          <w:szCs w:val="13"/>
          <w:color w:val="auto"/>
        </w:rPr>
        <w:t>, Scotts</w:t>
      </w:r>
      <w:r>
        <w:rPr>
          <w:rFonts w:ascii="Arial" w:cs="Arial" w:eastAsia="Arial" w:hAnsi="Arial"/>
          <w:sz w:val="11"/>
          <w:szCs w:val="11"/>
          <w:color w:val="auto"/>
        </w:rPr>
        <w:t>®</w:t>
      </w:r>
      <w:r>
        <w:rPr>
          <w:rFonts w:ascii="Arial" w:cs="Arial" w:eastAsia="Arial" w:hAnsi="Arial"/>
          <w:sz w:val="13"/>
          <w:szCs w:val="13"/>
          <w:color w:val="auto"/>
        </w:rPr>
        <w:t xml:space="preserve"> and Whitney Farms</w:t>
      </w:r>
      <w:r>
        <w:rPr>
          <w:rFonts w:ascii="Arial" w:cs="Arial" w:eastAsia="Arial" w:hAnsi="Arial"/>
          <w:sz w:val="11"/>
          <w:szCs w:val="11"/>
          <w:color w:val="auto"/>
        </w:rPr>
        <w:t>®</w:t>
      </w:r>
      <w:r>
        <w:rPr>
          <w:rFonts w:ascii="Arial" w:cs="Arial" w:eastAsia="Arial" w:hAnsi="Arial"/>
          <w:sz w:val="13"/>
          <w:szCs w:val="13"/>
          <w:color w:val="auto"/>
        </w:rPr>
        <w:t xml:space="preserve"> brand names. Internationally, products within the outdoor living category are marketed under the Scotts</w:t>
      </w:r>
      <w:r>
        <w:rPr>
          <w:rFonts w:ascii="Arial" w:cs="Arial" w:eastAsia="Arial" w:hAnsi="Arial"/>
          <w:sz w:val="11"/>
          <w:szCs w:val="11"/>
          <w:color w:val="auto"/>
        </w:rPr>
        <w:t>®</w:t>
      </w:r>
      <w:r>
        <w:rPr>
          <w:rFonts w:ascii="Arial" w:cs="Arial" w:eastAsia="Arial" w:hAnsi="Arial"/>
          <w:sz w:val="13"/>
          <w:szCs w:val="13"/>
          <w:color w:val="auto"/>
        </w:rPr>
        <w:t>, Morning Melodies</w:t>
      </w:r>
      <w:r>
        <w:rPr>
          <w:rFonts w:ascii="Arial" w:cs="Arial" w:eastAsia="Arial" w:hAnsi="Arial"/>
          <w:sz w:val="11"/>
          <w:szCs w:val="11"/>
          <w:color w:val="auto"/>
        </w:rPr>
        <w:t>®</w:t>
      </w:r>
      <w:r>
        <w:rPr>
          <w:rFonts w:ascii="Arial" w:cs="Arial" w:eastAsia="Arial" w:hAnsi="Arial"/>
          <w:sz w:val="13"/>
          <w:szCs w:val="13"/>
          <w:color w:val="auto"/>
        </w:rPr>
        <w:t>, Weedol</w:t>
      </w:r>
      <w:r>
        <w:rPr>
          <w:rFonts w:ascii="Arial" w:cs="Arial" w:eastAsia="Arial" w:hAnsi="Arial"/>
          <w:sz w:val="11"/>
          <w:szCs w:val="11"/>
          <w:color w:val="auto"/>
        </w:rPr>
        <w:t>®</w:t>
      </w:r>
      <w:r>
        <w:rPr>
          <w:rFonts w:ascii="Arial" w:cs="Arial" w:eastAsia="Arial" w:hAnsi="Arial"/>
          <w:sz w:val="13"/>
          <w:szCs w:val="13"/>
          <w:color w:val="auto"/>
        </w:rPr>
        <w:t>, Pathclear</w:t>
      </w:r>
      <w:r>
        <w:rPr>
          <w:rFonts w:ascii="Arial" w:cs="Arial" w:eastAsia="Arial" w:hAnsi="Arial"/>
          <w:sz w:val="11"/>
          <w:szCs w:val="11"/>
          <w:color w:val="auto"/>
        </w:rPr>
        <w:t>®</w:t>
      </w:r>
      <w:r>
        <w:rPr>
          <w:rFonts w:ascii="Arial" w:cs="Arial" w:eastAsia="Arial" w:hAnsi="Arial"/>
          <w:sz w:val="13"/>
          <w:szCs w:val="13"/>
          <w:color w:val="auto"/>
        </w:rPr>
        <w:t>, Scotts EcoSense</w:t>
      </w:r>
      <w:r>
        <w:rPr>
          <w:rFonts w:ascii="Arial" w:cs="Arial" w:eastAsia="Arial" w:hAnsi="Arial"/>
          <w:sz w:val="11"/>
          <w:szCs w:val="11"/>
          <w:color w:val="auto"/>
        </w:rPr>
        <w:t>®</w:t>
      </w:r>
      <w:r>
        <w:rPr>
          <w:rFonts w:ascii="Arial" w:cs="Arial" w:eastAsia="Arial" w:hAnsi="Arial"/>
          <w:sz w:val="13"/>
          <w:szCs w:val="13"/>
          <w:color w:val="auto"/>
        </w:rPr>
        <w:t>, Fertiligène Naturen</w:t>
      </w:r>
      <w:r>
        <w:rPr>
          <w:rFonts w:ascii="Arial" w:cs="Arial" w:eastAsia="Arial" w:hAnsi="Arial"/>
          <w:sz w:val="11"/>
          <w:szCs w:val="11"/>
          <w:color w:val="auto"/>
        </w:rPr>
        <w:t>®</w:t>
      </w:r>
      <w:r>
        <w:rPr>
          <w:rFonts w:ascii="Arial" w:cs="Arial" w:eastAsia="Arial" w:hAnsi="Arial"/>
          <w:sz w:val="13"/>
          <w:szCs w:val="13"/>
          <w:color w:val="auto"/>
        </w:rPr>
        <w:t>, Substral Naturen</w:t>
      </w:r>
      <w:r>
        <w:rPr>
          <w:rFonts w:ascii="Arial" w:cs="Arial" w:eastAsia="Arial" w:hAnsi="Arial"/>
          <w:sz w:val="11"/>
          <w:szCs w:val="11"/>
          <w:color w:val="auto"/>
        </w:rPr>
        <w:t>®</w:t>
      </w:r>
      <w:r>
        <w:rPr>
          <w:rFonts w:ascii="Arial" w:cs="Arial" w:eastAsia="Arial" w:hAnsi="Arial"/>
          <w:sz w:val="13"/>
          <w:szCs w:val="13"/>
          <w:color w:val="auto"/>
        </w:rPr>
        <w:t>, KB Naturen</w:t>
      </w:r>
      <w:r>
        <w:rPr>
          <w:rFonts w:ascii="Arial" w:cs="Arial" w:eastAsia="Arial" w:hAnsi="Arial"/>
          <w:sz w:val="11"/>
          <w:szCs w:val="11"/>
          <w:color w:val="auto"/>
        </w:rPr>
        <w:t>®</w:t>
      </w:r>
      <w:r>
        <w:rPr>
          <w:rFonts w:ascii="Arial" w:cs="Arial" w:eastAsia="Arial" w:hAnsi="Arial"/>
          <w:sz w:val="13"/>
          <w:szCs w:val="13"/>
          <w:color w:val="auto"/>
        </w:rPr>
        <w:t>, Carre Vert</w:t>
      </w:r>
      <w:r>
        <w:rPr>
          <w:rFonts w:ascii="Arial" w:cs="Arial" w:eastAsia="Arial" w:hAnsi="Arial"/>
          <w:sz w:val="11"/>
          <w:szCs w:val="11"/>
          <w:color w:val="auto"/>
        </w:rPr>
        <w:t>®</w:t>
      </w:r>
      <w:r>
        <w:rPr>
          <w:rFonts w:ascii="Arial" w:cs="Arial" w:eastAsia="Arial" w:hAnsi="Arial"/>
          <w:sz w:val="13"/>
          <w:szCs w:val="13"/>
          <w:color w:val="auto"/>
        </w:rPr>
        <w:t xml:space="preserve"> and Miracle-Gro Organic Choice</w:t>
      </w:r>
      <w:r>
        <w:rPr>
          <w:rFonts w:ascii="Arial" w:cs="Arial" w:eastAsia="Arial" w:hAnsi="Arial"/>
          <w:sz w:val="11"/>
          <w:szCs w:val="11"/>
          <w:color w:val="auto"/>
        </w:rPr>
        <w:t>®</w:t>
      </w:r>
      <w:r>
        <w:rPr>
          <w:rFonts w:ascii="Arial" w:cs="Arial" w:eastAsia="Arial" w:hAnsi="Arial"/>
          <w:sz w:val="13"/>
          <w:szCs w:val="13"/>
          <w:color w:val="auto"/>
        </w:rPr>
        <w:t xml:space="preserve"> brand names.</w:t>
      </w:r>
    </w:p>
    <w:p>
      <w:pPr>
        <w:spacing w:after="0" w:line="6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Since 1999, we have served as Monsanto’s exclusive agent for the marketing and distribution of consumer Roundup</w:t>
      </w:r>
      <w:r>
        <w:rPr>
          <w:rFonts w:ascii="Arial" w:cs="Arial" w:eastAsia="Arial" w:hAnsi="Arial"/>
          <w:sz w:val="11"/>
          <w:szCs w:val="11"/>
          <w:color w:val="auto"/>
        </w:rPr>
        <w:t>®</w:t>
      </w:r>
      <w:r>
        <w:rPr>
          <w:rFonts w:ascii="Arial" w:cs="Arial" w:eastAsia="Arial" w:hAnsi="Arial"/>
          <w:sz w:val="13"/>
          <w:szCs w:val="13"/>
          <w:color w:val="auto"/>
        </w:rPr>
        <w:t xml:space="preserve"> products in the consumer lawn and garden market within the United States and other specified countries, including Australia, Austria, Belgium, Canada, France, Germany, the Netherlands and the United Kingdom. Under the terms of the Amended and Restated Exclusive Agency and Marketing Agreement (the “Marketing Agreement”) between the Company and Monsanto, we are jointly responsible with Monsanto for developing global consumer and trade marketing programs for consumer Roundup</w:t>
      </w:r>
      <w:r>
        <w:rPr>
          <w:rFonts w:ascii="Arial" w:cs="Arial" w:eastAsia="Arial" w:hAnsi="Arial"/>
          <w:sz w:val="11"/>
          <w:szCs w:val="11"/>
          <w:color w:val="auto"/>
        </w:rPr>
        <w:t>®</w:t>
      </w:r>
      <w:r>
        <w:rPr>
          <w:rFonts w:ascii="Arial" w:cs="Arial" w:eastAsia="Arial" w:hAnsi="Arial"/>
          <w:sz w:val="13"/>
          <w:szCs w:val="13"/>
          <w:color w:val="auto"/>
        </w:rPr>
        <w:t>. We have responsibility for manufacturing conversion, distribution and logistics, and selling and marketing support for consumer Roundup</w:t>
      </w:r>
      <w:r>
        <w:rPr>
          <w:rFonts w:ascii="Arial" w:cs="Arial" w:eastAsia="Arial" w:hAnsi="Arial"/>
          <w:sz w:val="11"/>
          <w:szCs w:val="11"/>
          <w:color w:val="auto"/>
        </w:rPr>
        <w:t>®</w:t>
      </w:r>
      <w:r>
        <w:rPr>
          <w:rFonts w:ascii="Arial" w:cs="Arial" w:eastAsia="Arial" w:hAnsi="Arial"/>
          <w:sz w:val="13"/>
          <w:szCs w:val="13"/>
          <w:color w:val="auto"/>
        </w:rPr>
        <w:t>. Monsanto continues to own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and provides significant oversight of the brand. In addition, Monsanto continues to own and operate the agricultural Roundup</w:t>
      </w:r>
      <w:r>
        <w:rPr>
          <w:rFonts w:ascii="Arial" w:cs="Arial" w:eastAsia="Arial" w:hAnsi="Arial"/>
          <w:sz w:val="11"/>
          <w:szCs w:val="11"/>
          <w:color w:val="auto"/>
        </w:rPr>
        <w:t>®</w:t>
      </w:r>
      <w:r>
        <w:rPr>
          <w:rFonts w:ascii="Arial" w:cs="Arial" w:eastAsia="Arial" w:hAnsi="Arial"/>
          <w:sz w:val="13"/>
          <w:szCs w:val="13"/>
          <w:color w:val="auto"/>
        </w:rPr>
        <w:t xml:space="preserve"> business. For additional details regarding the Marketing Agreement, see “NOTE 7. MARKETING AGREEMENT” of the Notes to Consolidated Financial Statements included in this Annual Report on Form 10-K.</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Global Professional</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Global Professional segment sells professional horticulture products to commercial nurseries and greenhouses and specialty crop growers primarily in North America and Europe. Our professional products include a broad line of controlled-release fertilizers, water-soluble fertilizers, plant protection products, wetting agents, growing media and grass seed products that are sold under brand names that include Osmocote</w:t>
      </w:r>
      <w:r>
        <w:rPr>
          <w:rFonts w:ascii="Arial" w:cs="Arial" w:eastAsia="Arial" w:hAnsi="Arial"/>
          <w:sz w:val="11"/>
          <w:szCs w:val="11"/>
          <w:color w:val="auto"/>
        </w:rPr>
        <w:t>®</w:t>
      </w:r>
      <w:r>
        <w:rPr>
          <w:rFonts w:ascii="Arial" w:cs="Arial" w:eastAsia="Arial" w:hAnsi="Arial"/>
          <w:sz w:val="13"/>
          <w:szCs w:val="13"/>
          <w:color w:val="auto"/>
        </w:rPr>
        <w:t>, Sierrablen</w:t>
      </w:r>
      <w:r>
        <w:rPr>
          <w:rFonts w:ascii="Arial" w:cs="Arial" w:eastAsia="Arial" w:hAnsi="Arial"/>
          <w:sz w:val="11"/>
          <w:szCs w:val="11"/>
          <w:color w:val="auto"/>
        </w:rPr>
        <w:t>®</w:t>
      </w:r>
      <w:r>
        <w:rPr>
          <w:rFonts w:ascii="Arial" w:cs="Arial" w:eastAsia="Arial" w:hAnsi="Arial"/>
          <w:sz w:val="13"/>
          <w:szCs w:val="13"/>
          <w:color w:val="auto"/>
        </w:rPr>
        <w:t>, Peters Professional</w:t>
      </w:r>
      <w:r>
        <w:rPr>
          <w:rFonts w:ascii="Arial" w:cs="Arial" w:eastAsia="Arial" w:hAnsi="Arial"/>
          <w:sz w:val="11"/>
          <w:szCs w:val="11"/>
          <w:color w:val="auto"/>
        </w:rPr>
        <w:t>®</w:t>
      </w:r>
      <w:r>
        <w:rPr>
          <w:rFonts w:ascii="Arial" w:cs="Arial" w:eastAsia="Arial" w:hAnsi="Arial"/>
          <w:sz w:val="13"/>
          <w:szCs w:val="13"/>
          <w:color w:val="auto"/>
        </w:rPr>
        <w:t>, Peters Excel</w:t>
      </w:r>
      <w:r>
        <w:rPr>
          <w:rFonts w:ascii="Arial" w:cs="Arial" w:eastAsia="Arial" w:hAnsi="Arial"/>
          <w:sz w:val="11"/>
          <w:szCs w:val="11"/>
          <w:color w:val="auto"/>
        </w:rPr>
        <w:t>®</w:t>
      </w:r>
      <w:r>
        <w:rPr>
          <w:rFonts w:ascii="Arial" w:cs="Arial" w:eastAsia="Arial" w:hAnsi="Arial"/>
          <w:sz w:val="13"/>
          <w:szCs w:val="13"/>
          <w:color w:val="auto"/>
        </w:rPr>
        <w:t>, Agroblen</w:t>
      </w:r>
      <w:r>
        <w:rPr>
          <w:rFonts w:ascii="Arial" w:cs="Arial" w:eastAsia="Arial" w:hAnsi="Arial"/>
          <w:sz w:val="11"/>
          <w:szCs w:val="11"/>
          <w:color w:val="auto"/>
        </w:rPr>
        <w:t>®</w:t>
      </w:r>
      <w:r>
        <w:rPr>
          <w:rFonts w:ascii="Arial" w:cs="Arial" w:eastAsia="Arial" w:hAnsi="Arial"/>
          <w:sz w:val="13"/>
          <w:szCs w:val="13"/>
          <w:color w:val="auto"/>
        </w:rPr>
        <w:t>, Agrocote</w:t>
      </w:r>
      <w:r>
        <w:rPr>
          <w:rFonts w:ascii="Arial" w:cs="Arial" w:eastAsia="Arial" w:hAnsi="Arial"/>
          <w:sz w:val="11"/>
          <w:szCs w:val="11"/>
          <w:color w:val="auto"/>
        </w:rPr>
        <w:t>®</w:t>
      </w:r>
      <w:r>
        <w:rPr>
          <w:rFonts w:ascii="Arial" w:cs="Arial" w:eastAsia="Arial" w:hAnsi="Arial"/>
          <w:sz w:val="13"/>
          <w:szCs w:val="13"/>
          <w:color w:val="auto"/>
        </w:rPr>
        <w:t>, Agroleaf</w:t>
      </w:r>
      <w:r>
        <w:rPr>
          <w:rFonts w:ascii="Arial" w:cs="Arial" w:eastAsia="Arial" w:hAnsi="Arial"/>
          <w:sz w:val="11"/>
          <w:szCs w:val="11"/>
          <w:color w:val="auto"/>
        </w:rPr>
        <w:t>®</w:t>
      </w:r>
      <w:r>
        <w:rPr>
          <w:rFonts w:ascii="Arial" w:cs="Arial" w:eastAsia="Arial" w:hAnsi="Arial"/>
          <w:sz w:val="13"/>
          <w:szCs w:val="13"/>
          <w:color w:val="auto"/>
        </w:rPr>
        <w:t>, Rout</w:t>
      </w:r>
      <w:r>
        <w:rPr>
          <w:rFonts w:ascii="Arial" w:cs="Arial" w:eastAsia="Arial" w:hAnsi="Arial"/>
          <w:sz w:val="11"/>
          <w:szCs w:val="11"/>
          <w:color w:val="auto"/>
        </w:rPr>
        <w:t>®</w:t>
      </w:r>
      <w:r>
        <w:rPr>
          <w:rFonts w:ascii="Arial" w:cs="Arial" w:eastAsia="Arial" w:hAnsi="Arial"/>
          <w:sz w:val="13"/>
          <w:szCs w:val="13"/>
          <w:color w:val="auto"/>
        </w:rPr>
        <w:t>, OH2</w:t>
      </w:r>
      <w:r>
        <w:rPr>
          <w:rFonts w:ascii="Arial" w:cs="Arial" w:eastAsia="Arial" w:hAnsi="Arial"/>
          <w:sz w:val="11"/>
          <w:szCs w:val="11"/>
          <w:color w:val="auto"/>
        </w:rPr>
        <w:t>®</w:t>
      </w:r>
      <w:r>
        <w:rPr>
          <w:rFonts w:ascii="Arial" w:cs="Arial" w:eastAsia="Arial" w:hAnsi="Arial"/>
          <w:sz w:val="13"/>
          <w:szCs w:val="13"/>
          <w:color w:val="auto"/>
        </w:rPr>
        <w:t>, Scotts</w:t>
      </w:r>
      <w:r>
        <w:rPr>
          <w:rFonts w:ascii="Arial" w:cs="Arial" w:eastAsia="Arial" w:hAnsi="Arial"/>
          <w:sz w:val="11"/>
          <w:szCs w:val="11"/>
          <w:color w:val="auto"/>
        </w:rPr>
        <w:t>®</w:t>
      </w:r>
      <w:r>
        <w:rPr>
          <w:rFonts w:ascii="Arial" w:cs="Arial" w:eastAsia="Arial" w:hAnsi="Arial"/>
          <w:sz w:val="13"/>
          <w:szCs w:val="13"/>
          <w:color w:val="auto"/>
        </w:rPr>
        <w:t xml:space="preserve"> Professional Seed and Scotts</w:t>
      </w:r>
      <w:r>
        <w:rPr>
          <w:rFonts w:ascii="Arial" w:cs="Arial" w:eastAsia="Arial" w:hAnsi="Arial"/>
          <w:sz w:val="11"/>
          <w:szCs w:val="11"/>
          <w:color w:val="auto"/>
        </w:rPr>
        <w:t>®</w:t>
      </w:r>
      <w:r>
        <w:rPr>
          <w:rFonts w:ascii="Arial" w:cs="Arial" w:eastAsia="Arial" w:hAnsi="Arial"/>
          <w:sz w:val="13"/>
          <w:szCs w:val="13"/>
          <w:color w:val="auto"/>
        </w:rPr>
        <w:t xml:space="preserve"> Turf-Seed</w:t>
      </w:r>
      <w:r>
        <w:rPr>
          <w:rFonts w:ascii="Arial" w:cs="Arial" w:eastAsia="Arial" w:hAnsi="Arial"/>
          <w:sz w:val="7"/>
          <w:szCs w:val="7"/>
          <w:color w:val="auto"/>
        </w:rPr>
        <w:t>TM</w:t>
      </w:r>
      <w:r>
        <w:rPr>
          <w:rFonts w:ascii="Arial" w:cs="Arial" w:eastAsia="Arial" w:hAnsi="Arial"/>
          <w:sz w:val="13"/>
          <w:szCs w:val="13"/>
          <w:color w:val="auto"/>
        </w:rPr>
        <w:t>.</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On August 10, 2010, we indicated that we are actively exploring strategic alternatives for our Global Professional business segment. These strategic alternatives include the potential divestiture of that segment, consistent with our previously stated intent to focus on our core Global Consumer business segment.</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Scotts LawnService</w:t>
      </w:r>
      <w:r>
        <w:rPr>
          <w:rFonts w:ascii="Arial" w:cs="Arial" w:eastAsia="Arial" w:hAnsi="Arial"/>
          <w:sz w:val="11"/>
          <w:szCs w:val="11"/>
          <w:b w:val="1"/>
          <w:bCs w:val="1"/>
          <w:i w:val="1"/>
          <w:iCs w:val="1"/>
          <w:color w:val="auto"/>
        </w:rPr>
        <w:t>®</w:t>
      </w:r>
    </w:p>
    <w:p>
      <w:pPr>
        <w:spacing w:after="0" w:line="96" w:lineRule="exact"/>
        <w:rPr>
          <w:sz w:val="20"/>
          <w:szCs w:val="20"/>
          <w:color w:val="auto"/>
        </w:rPr>
      </w:pPr>
    </w:p>
    <w:p>
      <w:pPr>
        <w:jc w:val="both"/>
        <w:ind w:left="680" w:right="500" w:firstLine="399"/>
        <w:spacing w:after="0" w:line="266" w:lineRule="auto"/>
        <w:rPr>
          <w:sz w:val="20"/>
          <w:szCs w:val="20"/>
          <w:color w:val="auto"/>
        </w:rPr>
      </w:pPr>
      <w:r>
        <w:rPr>
          <w:rFonts w:ascii="Arial" w:cs="Arial" w:eastAsia="Arial" w:hAnsi="Arial"/>
          <w:sz w:val="13"/>
          <w:szCs w:val="13"/>
          <w:color w:val="auto"/>
        </w:rPr>
        <w:t>The Scotts LawnService</w:t>
      </w:r>
      <w:r>
        <w:rPr>
          <w:rFonts w:ascii="Arial" w:cs="Arial" w:eastAsia="Arial" w:hAnsi="Arial"/>
          <w:sz w:val="11"/>
          <w:szCs w:val="11"/>
          <w:color w:val="auto"/>
        </w:rPr>
        <w:t>®</w:t>
      </w:r>
      <w:r>
        <w:rPr>
          <w:rFonts w:ascii="Arial" w:cs="Arial" w:eastAsia="Arial" w:hAnsi="Arial"/>
          <w:sz w:val="13"/>
          <w:szCs w:val="13"/>
          <w:color w:val="auto"/>
        </w:rPr>
        <w:t xml:space="preserve"> segment provides residential and commercial lawn care, tree and shrub care and limited pest control services in the United States through periodic applications of fertilizer and control products. As of September 30, 2010, Scotts LawnService</w:t>
      </w:r>
      <w:r>
        <w:rPr>
          <w:rFonts w:ascii="Arial" w:cs="Arial" w:eastAsia="Arial" w:hAnsi="Arial"/>
          <w:sz w:val="11"/>
          <w:szCs w:val="11"/>
          <w:color w:val="auto"/>
        </w:rPr>
        <w:t>®</w:t>
      </w:r>
      <w:r>
        <w:rPr>
          <w:rFonts w:ascii="Arial" w:cs="Arial" w:eastAsia="Arial" w:hAnsi="Arial"/>
          <w:sz w:val="13"/>
          <w:szCs w:val="13"/>
          <w:color w:val="auto"/>
        </w:rPr>
        <w:t xml:space="preserve"> had 78 Company-operated locations as well as 87 locations operated by independent franchisees.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Discontinued Operations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our first quarter of fiscal 2010, all Smith &amp; Hawken stores were closed and substantially all operational activities of Smith &amp; Hawken were discontinued. As a result, effective in our first quarter of fiscal 2010, we classified Smith &amp; Hawken as discontinued operations. See “NOTE 2. DISCONTINUED OPERATIONS” of the Notes to Consolidated Financial Statements included in this Annual Report on Form 10-K for additional information regarding the Smith &amp; Hawken closure process.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Principal Markets and Methods of Distribution</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Our products are sold to home centers, mass merchandisers, warehouse clubs, large hardware chains, independent hardware stores, nurseries, garden centers, food and drug stores, commercial nurseries and greenhouses and specialty crop growers through both a direct sales force and our network of brokers and distributors. In addition, in fiscal 2010, we employed over 2,500 full-time and seasonal in-store associates to help our retail partners merchandise their lawn and garden departments directly to consumers of our products.</w:t>
      </w:r>
    </w:p>
    <w:p>
      <w:pPr>
        <w:spacing w:after="0" w:line="5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majority of shipments to customers are made via common carriers or through distributors in the United States and through a network of public warehouses and distributors in Europe. We manage the primary distribution centers for our Global Consumer business in North America, which are strategically placed across the United States. The primary distribution centers for our Global Consumer business internationally are located in the United Kingdom, Canada, France and Germany and are managed by a logistics provider. Growing media products are generally shipped direct-to-store without passing through a distribution center. As discussed in “ITEM 1. BUSINESS — Company Description and Development of the Business” of this Annual Report on Form 10-K, fiscal 2010 marked year two of our multi-year plan to regionalize our supply chain by co-distributing fertilizer and growing media products directly to our retail customers, which could help eliminate up to half of our third-party warehouse space.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Raw Materials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purchase raw materials for our products from various sources. We are subject to market risk as a result of the fluctuating prices of raw materials such as urea and other fertilizer inputs, resins, fuel, sphagnum peat, grass seed and wild bird food components. Our objectives surrounding the procurement of these materials are to ensure continuous supply, to minimize costs and to improve predictability. We seek to achieve these objectives through negotiation of contracts with favorable terms directly with vendors. When appropriate, we will procure a certain percentage of our needs in advance of the season to secure pre-determined prices. We also hedge certain commodities, particularly fuel and urea, to improve predictability and control costs. Sufficient raw materials were available during fiscal 2010.</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Trademarks, Patents and Licenses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consider our trademarks, patents and licenses to be key competitive advantages. We pursue a vigorous trademark protection strategy consisting of registration and maintenance of key trademarks and proactive monitoring and enforcement activities to protect against infringement. The Scotts</w:t>
      </w:r>
      <w:r>
        <w:rPr>
          <w:rFonts w:ascii="Arial" w:cs="Arial" w:eastAsia="Arial" w:hAnsi="Arial"/>
          <w:sz w:val="11"/>
          <w:szCs w:val="11"/>
          <w:color w:val="auto"/>
        </w:rPr>
        <w:t>®</w:t>
      </w:r>
      <w:r>
        <w:rPr>
          <w:rFonts w:ascii="Arial" w:cs="Arial" w:eastAsia="Arial" w:hAnsi="Arial"/>
          <w:sz w:val="13"/>
          <w:szCs w:val="13"/>
          <w:color w:val="auto"/>
        </w:rPr>
        <w:t>, Miracle-Gro</w:t>
      </w:r>
      <w:r>
        <w:rPr>
          <w:rFonts w:ascii="Arial" w:cs="Arial" w:eastAsia="Arial" w:hAnsi="Arial"/>
          <w:sz w:val="11"/>
          <w:szCs w:val="11"/>
          <w:color w:val="auto"/>
        </w:rPr>
        <w:t>®</w:t>
      </w:r>
      <w:r>
        <w:rPr>
          <w:rFonts w:ascii="Arial" w:cs="Arial" w:eastAsia="Arial" w:hAnsi="Arial"/>
          <w:sz w:val="13"/>
          <w:szCs w:val="13"/>
          <w:color w:val="auto"/>
        </w:rPr>
        <w:t>, Ortho</w:t>
      </w:r>
      <w:r>
        <w:rPr>
          <w:rFonts w:ascii="Arial" w:cs="Arial" w:eastAsia="Arial" w:hAnsi="Arial"/>
          <w:sz w:val="11"/>
          <w:szCs w:val="11"/>
          <w:color w:val="auto"/>
        </w:rPr>
        <w:t>®</w:t>
      </w:r>
      <w:r>
        <w:rPr>
          <w:rFonts w:ascii="Arial" w:cs="Arial" w:eastAsia="Arial" w:hAnsi="Arial"/>
          <w:sz w:val="13"/>
          <w:szCs w:val="13"/>
          <w:color w:val="auto"/>
        </w:rPr>
        <w:t>, Scotts LawnService</w:t>
      </w:r>
      <w:r>
        <w:rPr>
          <w:rFonts w:ascii="Arial" w:cs="Arial" w:eastAsia="Arial" w:hAnsi="Arial"/>
          <w:sz w:val="11"/>
          <w:szCs w:val="11"/>
          <w:color w:val="auto"/>
        </w:rPr>
        <w:t>®</w:t>
      </w:r>
      <w:r>
        <w:rPr>
          <w:rFonts w:ascii="Arial" w:cs="Arial" w:eastAsia="Arial" w:hAnsi="Arial"/>
          <w:sz w:val="13"/>
          <w:szCs w:val="13"/>
          <w:color w:val="auto"/>
        </w:rPr>
        <w:t>, Osmocote</w:t>
      </w:r>
      <w:r>
        <w:rPr>
          <w:rFonts w:ascii="Arial" w:cs="Arial" w:eastAsia="Arial" w:hAnsi="Arial"/>
          <w:sz w:val="11"/>
          <w:szCs w:val="11"/>
          <w:color w:val="auto"/>
        </w:rPr>
        <w:t>®</w:t>
      </w:r>
      <w:r>
        <w:rPr>
          <w:rFonts w:ascii="Arial" w:cs="Arial" w:eastAsia="Arial" w:hAnsi="Arial"/>
          <w:sz w:val="13"/>
          <w:szCs w:val="13"/>
          <w:color w:val="auto"/>
        </w:rPr>
        <w:t>, Hyponex</w:t>
      </w:r>
      <w:r>
        <w:rPr>
          <w:rFonts w:ascii="Arial" w:cs="Arial" w:eastAsia="Arial" w:hAnsi="Arial"/>
          <w:sz w:val="11"/>
          <w:szCs w:val="11"/>
          <w:color w:val="auto"/>
        </w:rPr>
        <w:t>®</w:t>
      </w:r>
      <w:r>
        <w:rPr>
          <w:rFonts w:ascii="Arial" w:cs="Arial" w:eastAsia="Arial" w:hAnsi="Arial"/>
          <w:sz w:val="13"/>
          <w:szCs w:val="13"/>
          <w:color w:val="auto"/>
        </w:rPr>
        <w:t xml:space="preserve"> and Earthgro</w:t>
      </w:r>
      <w:r>
        <w:rPr>
          <w:rFonts w:ascii="Arial" w:cs="Arial" w:eastAsia="Arial" w:hAnsi="Arial"/>
          <w:sz w:val="11"/>
          <w:szCs w:val="11"/>
          <w:color w:val="auto"/>
        </w:rPr>
        <w:t>®</w:t>
      </w:r>
      <w:r>
        <w:rPr>
          <w:rFonts w:ascii="Arial" w:cs="Arial" w:eastAsia="Arial" w:hAnsi="Arial"/>
          <w:sz w:val="13"/>
          <w:szCs w:val="13"/>
          <w:color w:val="auto"/>
        </w:rPr>
        <w:t xml:space="preserve"> brand names and logos, as well as a number of product trademarks, including Turf Builder</w:t>
      </w:r>
      <w:r>
        <w:rPr>
          <w:rFonts w:ascii="Arial" w:cs="Arial" w:eastAsia="Arial" w:hAnsi="Arial"/>
          <w:sz w:val="11"/>
          <w:szCs w:val="11"/>
          <w:color w:val="auto"/>
        </w:rPr>
        <w:t>®</w:t>
      </w:r>
      <w:r>
        <w:rPr>
          <w:rFonts w:ascii="Arial" w:cs="Arial" w:eastAsia="Arial" w:hAnsi="Arial"/>
          <w:sz w:val="13"/>
          <w:szCs w:val="13"/>
          <w:color w:val="auto"/>
        </w:rPr>
        <w:t>, Organic Choice</w:t>
      </w:r>
      <w:r>
        <w:rPr>
          <w:rFonts w:ascii="Arial" w:cs="Arial" w:eastAsia="Arial" w:hAnsi="Arial"/>
          <w:sz w:val="11"/>
          <w:szCs w:val="11"/>
          <w:color w:val="auto"/>
        </w:rPr>
        <w:t>®</w:t>
      </w:r>
      <w:r>
        <w:rPr>
          <w:rFonts w:ascii="Arial" w:cs="Arial" w:eastAsia="Arial" w:hAnsi="Arial"/>
          <w:sz w:val="13"/>
          <w:szCs w:val="13"/>
          <w:color w:val="auto"/>
        </w:rPr>
        <w:t>, Home Defense Max</w:t>
      </w:r>
      <w:r>
        <w:rPr>
          <w:rFonts w:ascii="Arial" w:cs="Arial" w:eastAsia="Arial" w:hAnsi="Arial"/>
          <w:sz w:val="11"/>
          <w:szCs w:val="11"/>
          <w:color w:val="auto"/>
        </w:rPr>
        <w:t>®</w:t>
      </w:r>
      <w:r>
        <w:rPr>
          <w:rFonts w:ascii="Arial" w:cs="Arial" w:eastAsia="Arial" w:hAnsi="Arial"/>
          <w:sz w:val="13"/>
          <w:szCs w:val="13"/>
          <w:color w:val="auto"/>
        </w:rPr>
        <w:t xml:space="preserve"> and Weed-B-Gon Max</w:t>
      </w:r>
      <w:r>
        <w:rPr>
          <w:rFonts w:ascii="Arial" w:cs="Arial" w:eastAsia="Arial" w:hAnsi="Arial"/>
          <w:sz w:val="11"/>
          <w:szCs w:val="11"/>
          <w:color w:val="auto"/>
        </w:rPr>
        <w:t>®</w:t>
      </w:r>
      <w:r>
        <w:rPr>
          <w:rFonts w:ascii="Arial" w:cs="Arial" w:eastAsia="Arial" w:hAnsi="Arial"/>
          <w:sz w:val="13"/>
          <w:szCs w:val="13"/>
          <w:color w:val="auto"/>
        </w:rPr>
        <w:t>, are registered in the United States and/or internationally and are considered material to our business.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addition, we actively develop and maintain a vast portfolio of utility and design patents covering subject matter such as fertilizer, chemical and growing media compositions and processes; grass varieties; and mechanical dispensing devices such as applicators, spreaders and sprayers. Our utility patents provide protection generally extending to 20 years from the date of filing, and many of our patents will continue well into the next decade. We also hold exclusive and non-exclusive patent licenses and supply arrangements, permitting the use and sale of additional patented fertilizers, pesticides and mechanical devices. Although our portfolio of patents and patent licenses is important to our success, no single patent or group of related patents is considered significant to any of our business segments or the business as a whole.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 and Backlog</w:t>
      </w:r>
    </w:p>
    <w:p>
      <w:pPr>
        <w:spacing w:after="0" w:line="100" w:lineRule="exact"/>
        <w:rPr>
          <w:sz w:val="20"/>
          <w:szCs w:val="20"/>
          <w:color w:val="auto"/>
        </w:rPr>
      </w:pPr>
    </w:p>
    <w:p>
      <w:pPr>
        <w:jc w:val="both"/>
        <w:ind w:left="680" w:right="20" w:firstLine="399"/>
        <w:spacing w:after="0" w:line="371" w:lineRule="auto"/>
        <w:rPr>
          <w:sz w:val="20"/>
          <w:szCs w:val="20"/>
          <w:color w:val="auto"/>
        </w:rPr>
      </w:pPr>
      <w:r>
        <w:rPr>
          <w:rFonts w:ascii="Arial" w:cs="Arial" w:eastAsia="Arial" w:hAnsi="Arial"/>
          <w:sz w:val="11"/>
          <w:szCs w:val="11"/>
          <w:color w:val="auto"/>
        </w:rPr>
        <w:t>Our business is highly seasonal, with 70% to 75% of our annual net sales occurring in our second and third fiscal quarters combined. Our annual sales are further concentrated in our second and third fiscal quarters by retailers who increasingly rely on our ability to deliver products “in season” when consumers buy our products, thereby reducing the retailers’ inventories.</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anticipate significant orders for the upcoming spring season will start to be received late in the winter and continue through the spring season. Historically, substantially all orders are received and shipped within the same fiscal year with minimal carryover of open orders at the end of the fiscal year.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Significant Customers</w:t>
      </w:r>
    </w:p>
    <w:p>
      <w:pPr>
        <w:spacing w:after="0" w:line="100" w:lineRule="exact"/>
        <w:rPr>
          <w:sz w:val="20"/>
          <w:szCs w:val="20"/>
          <w:color w:val="auto"/>
        </w:rPr>
      </w:pPr>
    </w:p>
    <w:p>
      <w:pPr>
        <w:jc w:val="both"/>
        <w:ind w:left="680" w:right="180" w:firstLine="399"/>
        <w:spacing w:after="0" w:line="322" w:lineRule="auto"/>
        <w:rPr>
          <w:sz w:val="20"/>
          <w:szCs w:val="20"/>
          <w:color w:val="auto"/>
        </w:rPr>
      </w:pPr>
      <w:r>
        <w:rPr>
          <w:rFonts w:ascii="Arial" w:cs="Arial" w:eastAsia="Arial" w:hAnsi="Arial"/>
          <w:sz w:val="11"/>
          <w:szCs w:val="11"/>
          <w:color w:val="auto"/>
        </w:rPr>
        <w:t>Approximately 84% of our worldwide net sales in fiscal 2010 were made by our Global Consumer segment. Our three largest customers are reported within the Global Consumer segment and are the only customers that individually represent more than 10% of reported consolidated net sales. Approximately 28% of our net sales in fiscal 2010 were made to Home Depot, 17% to Lowe’s and 15% to Walmart. We face strong competition for the business of these significant customers. The loss of any of these customers or a substantial decrease in the volume or profitability of our business with any of these customers could have a material adverse effect on our financial condition, results of operations or cash flows.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Competitive Marketplace</w:t>
      </w:r>
    </w:p>
    <w:p>
      <w:pPr>
        <w:spacing w:after="0" w:line="10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The markets in which we sell our products are highly competitive and many of our competitors sell their products at prices lower than ours. In the United States Global Consumer lawn and garden and pest control markets, our products compete against private-label as well as branded products. Primary competitors include Spectrum Brands, Bayer AG, Central Garden &amp; Pet Company, Enforcer Products, Inc., Green Light Company and Lebanon Seaboard Corporation. In addition, we face competition from regional competitors who compete primarily on the basis of price for commodity growing media products.</w:t>
      </w:r>
    </w:p>
    <w:p>
      <w:pPr>
        <w:spacing w:after="0" w:line="70"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Internationally, we face strong competition in the Global Consumer lawn and garden market, particularly in Europe. Our competitors in the European Union include Bayer AG, Compo GmbH, a subsidiary of K&amp;S Aktiengesellschaft (which owns the Compo</w:t>
      </w:r>
      <w:r>
        <w:rPr>
          <w:rFonts w:ascii="Arial" w:cs="Arial" w:eastAsia="Arial" w:hAnsi="Arial"/>
          <w:sz w:val="10"/>
          <w:szCs w:val="10"/>
          <w:color w:val="auto"/>
        </w:rPr>
        <w:t>®</w:t>
      </w:r>
      <w:r>
        <w:rPr>
          <w:rFonts w:ascii="Arial" w:cs="Arial" w:eastAsia="Arial" w:hAnsi="Arial"/>
          <w:sz w:val="12"/>
          <w:szCs w:val="12"/>
          <w:color w:val="auto"/>
        </w:rPr>
        <w:t>, Sem</w:t>
      </w:r>
      <w:r>
        <w:rPr>
          <w:rFonts w:ascii="Arial" w:cs="Arial" w:eastAsia="Arial" w:hAnsi="Arial"/>
          <w:sz w:val="10"/>
          <w:szCs w:val="10"/>
          <w:color w:val="auto"/>
        </w:rPr>
        <w:t>®</w:t>
      </w:r>
      <w:r>
        <w:rPr>
          <w:rFonts w:ascii="Arial" w:cs="Arial" w:eastAsia="Arial" w:hAnsi="Arial"/>
          <w:sz w:val="12"/>
          <w:szCs w:val="12"/>
          <w:color w:val="auto"/>
        </w:rPr>
        <w:t xml:space="preserve"> and Algoflash</w:t>
      </w:r>
      <w:r>
        <w:rPr>
          <w:rFonts w:ascii="Arial" w:cs="Arial" w:eastAsia="Arial" w:hAnsi="Arial"/>
          <w:sz w:val="10"/>
          <w:szCs w:val="10"/>
          <w:color w:val="auto"/>
        </w:rPr>
        <w:t>®</w:t>
      </w:r>
      <w:r>
        <w:rPr>
          <w:rFonts w:ascii="Arial" w:cs="Arial" w:eastAsia="Arial" w:hAnsi="Arial"/>
          <w:sz w:val="12"/>
          <w:szCs w:val="12"/>
          <w:color w:val="auto"/>
        </w:rPr>
        <w:t xml:space="preserve"> brands), Westland Horticulture and a variety of local companies.</w:t>
      </w:r>
    </w:p>
    <w:p>
      <w:pPr>
        <w:spacing w:after="0" w:line="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the North American Global Professional horticulture markets, we face a broad range of competition from numerous companies such as Agrium, Inc., Haifa Chemicals Ltd., Chisso Asahi Fertilizer Co. Ltd., Syngenta AG and Bayer AG. Some of these competitors have significant financial resources and research departments.</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International Global Professional horticulture markets in which we operate are also very competitive, particularly the markets for controlled-release and water-soluble fertilizer products. We have numerous U.S. and European competitors in these international markets, including Pursell Industries, Inc., Compo GmbH, a subsidiary of K&amp;S Aktiengesellschaft, Norsk Hydro ASA, Haifa Chemicals Ltd. and Kemira Oyj.</w:t>
      </w:r>
    </w:p>
    <w:p>
      <w:pPr>
        <w:spacing w:after="0" w:line="65" w:lineRule="exact"/>
        <w:rPr>
          <w:sz w:val="20"/>
          <w:szCs w:val="20"/>
          <w:color w:val="auto"/>
        </w:rPr>
      </w:pPr>
    </w:p>
    <w:p>
      <w:pPr>
        <w:ind w:left="680" w:right="380" w:firstLine="399"/>
        <w:spacing w:after="0" w:line="375" w:lineRule="auto"/>
        <w:rPr>
          <w:sz w:val="20"/>
          <w:szCs w:val="20"/>
          <w:color w:val="auto"/>
        </w:rPr>
      </w:pPr>
      <w:r>
        <w:rPr>
          <w:rFonts w:ascii="Arial" w:cs="Arial" w:eastAsia="Arial" w:hAnsi="Arial"/>
          <w:sz w:val="11"/>
          <w:szCs w:val="11"/>
          <w:color w:val="auto"/>
        </w:rPr>
        <w:t>We have the second largest market share position in the fragmented U.S. lawn care service market. We compete against TruGreen</w:t>
      </w:r>
      <w:r>
        <w:rPr>
          <w:rFonts w:ascii="Arial" w:cs="Arial" w:eastAsia="Arial" w:hAnsi="Arial"/>
          <w:sz w:val="9"/>
          <w:szCs w:val="9"/>
          <w:color w:val="auto"/>
        </w:rPr>
        <w:t>®</w:t>
      </w:r>
      <w:r>
        <w:rPr>
          <w:rFonts w:ascii="Arial" w:cs="Arial" w:eastAsia="Arial" w:hAnsi="Arial"/>
          <w:sz w:val="11"/>
          <w:szCs w:val="11"/>
          <w:color w:val="auto"/>
        </w:rPr>
        <w:t>, a division of ServiceMaster</w:t>
      </w:r>
      <w:r>
        <w:rPr>
          <w:rFonts w:ascii="Arial" w:cs="Arial" w:eastAsia="Arial" w:hAnsi="Arial"/>
          <w:sz w:val="9"/>
          <w:szCs w:val="9"/>
          <w:color w:val="auto"/>
        </w:rPr>
        <w:t>®</w:t>
      </w:r>
      <w:r>
        <w:rPr>
          <w:rFonts w:ascii="Arial" w:cs="Arial" w:eastAsia="Arial" w:hAnsi="Arial"/>
          <w:sz w:val="11"/>
          <w:szCs w:val="11"/>
          <w:color w:val="auto"/>
        </w:rPr>
        <w:t>, which has a substantially larger share of this market than Scotts LawnService</w:t>
      </w:r>
      <w:r>
        <w:rPr>
          <w:rFonts w:ascii="Arial" w:cs="Arial" w:eastAsia="Arial" w:hAnsi="Arial"/>
          <w:sz w:val="9"/>
          <w:szCs w:val="9"/>
          <w:color w:val="auto"/>
        </w:rPr>
        <w:t>®</w:t>
      </w:r>
      <w:r>
        <w:rPr>
          <w:rFonts w:ascii="Arial" w:cs="Arial" w:eastAsia="Arial" w:hAnsi="Arial"/>
          <w:sz w:val="11"/>
          <w:szCs w:val="11"/>
          <w:color w:val="auto"/>
        </w:rPr>
        <w:t>, as well as numerous regional and local lawn care service operations and national and regional franchisors.</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continually invest in research and development, both in the laboratory and at the consumer level, to improve our products, manufacturing processes, packaging and delivery systems. Spending on research and development was $51.6 million, $56.3 million and $44.7 million in fiscal 2010, fiscal 2009 and fiscal 2008, respectively, including product registration costs of $12.9 million, $15.6 million and $9.8 million, respectively. In addition to the benefits of our own research and development, we actively seek ways to leverage the research and development activities of our suppliers.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Considerations</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Local, state, federal and foreign laws and regulations affect the sale of our products in several ways. In the United States, all products containing pesticides must comply with the Federal Insecticide, Fungicide, and Rodenticide Act of 1947, as amended (“FIFRA”), and be registered with the U.S. Environmental Protection Agency (the “U.S. EPA”) and similar state agencies before they can be sold or distributed. Fertilizer and growing</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
        <w:spacing w:after="0" w:line="296" w:lineRule="auto"/>
        <w:rPr>
          <w:sz w:val="20"/>
          <w:szCs w:val="20"/>
          <w:color w:val="auto"/>
        </w:rPr>
      </w:pPr>
      <w:r>
        <w:rPr>
          <w:rFonts w:ascii="Arial" w:cs="Arial" w:eastAsia="Arial" w:hAnsi="Arial"/>
          <w:sz w:val="12"/>
          <w:szCs w:val="12"/>
          <w:color w:val="auto"/>
        </w:rPr>
        <w:t>media products are subject to state and foreign labeling regulations. Our manufacturing operations are subject to waste, water and air quality permitting and other regulatory requirements of federal, state and foreign agencies. Our wild bird food business is subject to regulation by the U.S. Food and Drug Administration and various state regulations. Our grass seed products are regulated by the Federal Seed Act and various state regulations. The failure to comply with any of these laws or regulations could have an adverse effect on our business.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w:t>
      </w:r>
    </w:p>
    <w:p>
      <w:pPr>
        <w:spacing w:after="0" w:line="7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53"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For more information regarding how compliance with federal, state, local and foreign laws and regulations may affect us, see “ITEM 1A. RISK FACTORS — Compliance with environmental and other public health regulations could increase our costs of doing business or limit our ability to market all of our products” of this Annual Report on Form 10-K.</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FIFRA Compliance, the Corresponding Governmental Investigations and Similar Matters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In April 2008, we became aware that a former associate apparently deliberately circumvented our policies and U.S. EPA regulations under FIFRA by failing to obtain valid registrations for certain products and/or causing certain invalid product registration forms to be submitted to regulators. Since that time, we have been cooperating with both the U.S. EPA and the U.S. Department of Justice (the “U.S. DOJ”) in related civil and criminal investigations into our pesticide product registration issues as well as a state civil investigation into related allegations arising under state pesticide registration laws and regulations.</w:t>
      </w:r>
    </w:p>
    <w:p>
      <w:pPr>
        <w:spacing w:after="0" w:line="7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late April of 2008, in connection with the U.S. EPA’s investigation, we conducted a consumer-level recall of certain consumer lawn and garden products and a Scotts LawnService</w:t>
      </w:r>
      <w:r>
        <w:rPr>
          <w:rFonts w:ascii="Arial" w:cs="Arial" w:eastAsia="Arial" w:hAnsi="Arial"/>
          <w:sz w:val="10"/>
          <w:szCs w:val="10"/>
          <w:color w:val="auto"/>
        </w:rPr>
        <w:t>®</w:t>
      </w:r>
      <w:r>
        <w:rPr>
          <w:rFonts w:ascii="Arial" w:cs="Arial" w:eastAsia="Arial" w:hAnsi="Arial"/>
          <w:sz w:val="12"/>
          <w:szCs w:val="12"/>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Quality Associates Incorporated (“QAI”), reviewed substantially all of our U.S. pesticide product registrations and associated advertisements,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substantially complete. The results of the QAI review process did not materially affect our fiscal 2009 and fiscal 2010 sales, and are not expected to materially affect our fiscal 2011 sales.</w:t>
      </w:r>
    </w:p>
    <w:p>
      <w:pPr>
        <w:spacing w:after="0" w:line="59"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June of 2008, the California Department of Pesticide Regulation (“CDPR”) issued a request for information to the Company relating to products that had been the subject of our April 2008 recall. We cooperated with that inquiry and reached agreement with CDPR that CDPR would place its investigation on hold pending the completion of our internal audit. In furtherance of that agreement, in May of 2010, the Company and CDPR executed a tolling agreement that extends CDPR’s rights through April 2012. In July of 2010, CDPR notified us that it planned to proceed with its investigation independent of the U.S. EPA and U.S. DOJ. We are continuing to cooperate with CDPR’s investigation.</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For more information with respect to additional risks and uncertainties that we may face in connection with the ongoing investigations and for a discussion of the costs and expenses related to the matters discussed above, see “ITEM 1A. RISK FACTORS — The ongoing governmental investigations regarding our compliance with FIFRA could adversely affect our financial condition, results of operations or cash flows” of this Annual Report on Form 10-K and “NOTE 3. PRODUCT REGISTRATION AND RECALL MATTERS” of the Notes to Consolidated Financial Statements included in this Annual Report on Form 10-K.</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Other Regulatory Matters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2004, we completed negotiations with the Philadelphia District of the U.S. Army Corps of Engineers (the “Corps”) regarding the terms of site remediation and the resolution of the Corps’ civil penalty demand in connection with our prior peat harvesting operations at our Lafayette, New Jersey facility. The final consent decree requires us to perform five years of wetland monitoring and to complete additional actions if after five years the monitoring indicates the wetlands have not developed satisfactorily. As site monitoring activities were not initiated until the beginning of 2006, the five-year monitoring period will extend until December 2010.</w:t>
      </w:r>
    </w:p>
    <w:p>
      <w:pPr>
        <w:spacing w:after="0" w:line="7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On or about March 19, 2010, the U.S. EPA Region VII issued notice to the Company indicating that the U.S. EPA intended to file an administrative complaint under the federal Resource Conservation and Recovery Act of 1976, as amended (“RCRA”), with respect to alleged RCRA violations arising out of an October 28-29, 2008 inspection of our Fort Madison, Iowa facility. The notice proposed a penalty of $466,977 and offered us the opportunity to negotiate a resolution of the proposed penalty before any complaint was filed. We made a timely response to the U.S. EPA and agreed to enter into pre-filing negotiations. On September 30, 2010, we agreed to pay a civil penalty of $148,388 to settle the alleged violations. In addition to the civil penalty, we agreed to perform two supplemental environmental projects, including a wastewater treatment and reuse pilot project on which we will spend at least $122,000 and a project to identify, remove and safely dispose of obsolete chemicals and hazardous wastes from selected schools in Fort Madison, on which we will spend at least $30,000.</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At September 30, 2010, $2.6 million was accrued for non-FIFRA compliance-related environmental actions, the majority of which is for site remediation. During fiscal 2010, fiscal 2009 and fiscal 2008, we expensed $0.5 million, $0.8 million and $1.4 million, respectively, for non-FIFRA compliance-related environmental matters. We had no material capital expenditures during the last three fiscal years related to environmental or regulatory matters.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of September 30, 2010, we employed approximately 6,750 employees. During peak sales and production periods, we employ approximately 8,000 employees, including seasonal and temporary labor.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Information About Geographic Areas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For certain information concerning our international revenues and long-lived assets, see “NOTE 22. SEGMENT INFORMATION” of the Notes to Consolidated Financial Statements included in this Annual Report on Form 10-K.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Information</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maintain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u w:val="single" w:color="auto"/>
          <w:color w:val="auto"/>
        </w:rPr>
        <w:t>ITEM 1A.</w:t>
      </w:r>
      <w:r>
        <w:rPr>
          <w:sz w:val="20"/>
          <w:szCs w:val="20"/>
          <w:color w:val="auto"/>
        </w:rPr>
        <w:tab/>
      </w:r>
      <w:r>
        <w:rPr>
          <w:rFonts w:ascii="Arial" w:cs="Arial" w:eastAsia="Arial" w:hAnsi="Arial"/>
          <w:sz w:val="12"/>
          <w:szCs w:val="12"/>
          <w:b w:val="1"/>
          <w:bCs w:val="1"/>
          <w:i w:val="1"/>
          <w:iCs w:val="1"/>
          <w:u w:val="single" w:color="auto"/>
          <w:color w:val="auto"/>
        </w:rPr>
        <w:t>RISK FACTORS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0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This Annual Report on Form 10-K, including the exhibits hereto and the information incorporated by reference herein, as well as our 2010 Annual Report to Shareholders (our “2010 Annual Report”),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6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Forward-looking statements contained in this Annual Report on Form 10-K and our 2010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forward-looking statements that we make in this Annual Report on Form 10-K and our 2010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28"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i w:val="1"/>
          <w:iCs w:val="1"/>
          <w:color w:val="auto"/>
        </w:rPr>
        <w:t>The ongoing governmental investigations regarding our compliance with FIFRA could adversely affect our financial condition, results of operations or cash flows.</w:t>
      </w:r>
    </w:p>
    <w:p>
      <w:pPr>
        <w:spacing w:after="0" w:line="96"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Our products that contain pesticides must comply with FIFRA and be registered with the U.S. EPA and similar state agencies before they can be sold or distributed. In April 2008, we became aware that a former associate apparently deliberately circumvented our policies and U.S. EPA regulations under FIFRA by failing to obtain valid registrations for certain products and/or causing certain invalid product registration forms to be submitted to regulators. Since that time, internal and third-party reviews have identified additional potential pesticide product registration issues (some of which appear unrelated to the actions of the former associate) and we have been cooperating with both the U.S. EPA and the U.S. DOJ in related civil and criminal investigations into our pesticide product registration issues as well as a state civil investigation into related allegations arising under state pesticide registration laws and regulations.</w:t>
      </w:r>
    </w:p>
    <w:p>
      <w:pPr>
        <w:spacing w:after="0" w:line="42"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In connection with the registration investigations and FIFRA compliance review process, we have recorded, and in the future expect to record, charges and costs for estimated retailer inventory returns, consumer returns and replacement costs, costs to rework existing products, inventory write-downs and legal and professional fees and costs associated with administration of the registration investigations and FIFRA compliance review process. Because expected future charges are based on estimates, they may increase as a result of numerous factors, many of which are beyond our control, including the number and type of legal or regulatory proceedings relating to the registration investigations and FIFRA compliance review process and regulatory or judicial orders or decrees that may require us to take certain actions in connection with the registration investigations and FIFRA compliance review process or to pay civil or criminal fines and/or penalties at the state and/or federal level.</w:t>
      </w:r>
    </w:p>
    <w:p>
      <w:pPr>
        <w:spacing w:after="0" w:line="72"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The U.S. EPA, U.S. DOJ and related state investigations continue and may result in future state, federal or private actions including fines and/or penalties with respect to known or potential additional product registration issues. Until the U.S. EPA, U.S. DOJ and related state investigations are complete, we cannot reasonably determine</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80"/>
        <w:spacing w:after="0" w:line="264" w:lineRule="auto"/>
        <w:rPr>
          <w:sz w:val="20"/>
          <w:szCs w:val="20"/>
          <w:color w:val="auto"/>
        </w:rPr>
      </w:pPr>
      <w:r>
        <w:rPr>
          <w:rFonts w:ascii="Arial" w:cs="Arial" w:eastAsia="Arial" w:hAnsi="Arial"/>
          <w:sz w:val="13"/>
          <w:szCs w:val="13"/>
          <w:color w:val="auto"/>
        </w:rPr>
        <w:t>the scope or magnitude of possible liabilities that could result from known or potential product registration issues, and no reserves for these potential liabilities have been established as of September 30, 2010. However, it is possible that such liabilities, including fines, penalties, judgments and/or litigation costs could be material and have an adverse effect on our financial condition, results of operations or cash flows.</w:t>
      </w:r>
    </w:p>
    <w:p>
      <w:pPr>
        <w:spacing w:after="0" w:line="67"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There can be no assurance that the ultimate outcome of the investigations will not result in further action against us, whether administrative, civil or criminal, by the U.S. EPA, the U.S. DOJ, state regulatory agencies or private litigants, and any such action, in addition to the costs we have incurred and would continue to incur in connection therewith, could materially and adversely affect our financial condition, results of operations or cash flows. For example, the realization of a significant fine, penalty or judgment against us could materially affect our ability to remain in compliance with certain covenants of our senior secured credit facilities, potentially causing us to have to seek a waiver from our lending group, which may increase our costs of borrowing.</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Compliance with environmental and other public health regulations could increase our costs of doing business or limit our ability to market all of our products.</w:t>
      </w:r>
    </w:p>
    <w:p>
      <w:pPr>
        <w:spacing w:after="0" w:line="108"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Local, state, federal and foreign laws and regulations relating to environmental matters affect us in several ways. In the United States, all products containing pesticides must comply with FIFRA and be registered with the U.S. EPA and similar state agencies before they can be sold or distributed. The inability to obtain or maintain such compliance,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the European Union (the “EU”), the European Parliament has adopted various forms of regulation which may substantially restrict or eliminate our ability to market and sell certain of our consumer and professional pesticide products in their current form in the EU. In addition, in Canada, regulations have been adopted by several provinces that substantially restrict our ability to market and sell certain of our consumer pesticide products.</w:t>
      </w:r>
    </w:p>
    <w:p>
      <w:pPr>
        <w:spacing w:after="0" w:line="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continuing evaluations.</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may require users to post notices on properties to which products have been or will be applied, may require notification to individuals in the vicinity that products will be applied in the future or may ban the use of certain ingredients. Even if we are able to comply with all such regulations and obtain all necessary registrations,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7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regulation.</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Under certain environmental laws, we may be liable for the costs of investigation regarding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55"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The adequacy of our current non-FIFRA compliance-related environmental reserves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and our financial condition, results of operations or cash flows.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Damage to our reputation could have an adverse effect on our business.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Maintaining our strong reputation with both consumers and our retail customers is a key component in our success. Product recalls, our inability to ship, sell or transport affected products and the on-going governmental investigations may harm our reputation and acceptance of our products by our retail customers and consumers, which may materially and adversely affect our business operations, decrease sales and increase costs.</w:t>
      </w:r>
    </w:p>
    <w:p>
      <w:pPr>
        <w:spacing w:after="0" w:line="67" w:lineRule="exact"/>
        <w:rPr>
          <w:sz w:val="20"/>
          <w:szCs w:val="20"/>
          <w:color w:val="auto"/>
        </w:rPr>
      </w:pPr>
    </w:p>
    <w:p>
      <w:pPr>
        <w:jc w:val="both"/>
        <w:ind w:left="680" w:right="40" w:firstLine="399"/>
        <w:spacing w:after="0" w:line="285" w:lineRule="auto"/>
        <w:rPr>
          <w:sz w:val="20"/>
          <w:szCs w:val="20"/>
          <w:color w:val="auto"/>
        </w:rPr>
      </w:pPr>
      <w:r>
        <w:rPr>
          <w:rFonts w:ascii="Arial" w:cs="Arial" w:eastAsia="Arial" w:hAnsi="Arial"/>
          <w:sz w:val="12"/>
          <w:szCs w:val="12"/>
          <w:color w:val="auto"/>
        </w:rPr>
        <w:t>In addition, perceptions that the products we produce and market are not safe could adversely affect us and contribute to the risk we will be subjected to legal action. We manufacture and market a variety of products, such as fertilizers, certain growing media, herbicides and pesticides. On occasion, allegations are made that some of our products have failed to perform up to expectations or have caused damage or injury to individuals or property. Based on reports of contamination at a third-party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effect on our business.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Increases in the prices of raw materials could adversely affect our results of operations.</w:t>
      </w:r>
    </w:p>
    <w:p>
      <w:pPr>
        <w:spacing w:after="0" w:line="96"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Our ability to manage our cost structure can be adversely affected by movements in commodity and other raw material prices. Market conditions may limit our ability to raise selling prices to offset increases in our raw material costs. The uniqueness of our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utilize hedge agreements periodically to fix the prices of a portion of our urea and fuel needs. The hedge agreements are designed to mitigate the earnings and cash flow fluctuations associated with the costs of urea and fuel. However, in periods of declining urea and fuel prices the hedge agreements can have the effect of increasing our expenditures for these raw materials.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Economic conditions could adversely affect our business.</w:t>
      </w:r>
    </w:p>
    <w:p>
      <w:pPr>
        <w:spacing w:after="0" w:line="96"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Uncertain global economic conditions could adversely affect our business. Recent global economic trends, such as decreased consumer and business spending, high unemployment levels and declining consumer or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highly competitive nature of our markets could adversely affect our ability to maintain or grow revenues.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be more likely to trade down to lower priced products during challenging economic times or if current economic conditions worsen. We compete primarily on the basis of product innovation, product quality, product performance, value, brand strength, supply chain competency, field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or cash flows. Our inability to continue to develop and grow brands with leading market positions, maintain our relationships with key retailers and deliver products on a reliable basis at competitive prices could have a material adverse effect on us.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not successfully develop new products or improve existing products.</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Our future success depends, in part, upon our ability to improve our existing products and to develop, manufacture and market new, innovative products to meet evolving consumer needs. We cannot be certain that we will be successful in the development, manufacturing and marketing of new products or product innovations which satisfy consumer needs or achieve market acceptance, or that we will develop and market new products or product innovations in a timely manner. If we fail to successfully develop, manufacture and market new or enhanced products or develop product innovations, our ability to maintain or grow our market share may be adversely affected, which in turn could materially adversely affect our business, financial condition and results of operations. In addition, the development and introduction of new products and product innovations require substantial research, development and marketing expenditures, which we may be unable to recoup if such new products or innovations do not achieve market acceptance.</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innovations, further exacerbating the risks to our business.</w:t>
      </w:r>
    </w:p>
    <w:p>
      <w:pPr>
        <w:spacing w:after="0" w:line="146"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Because of the concentration of our sales to a small number of retail customers, the loss of one or more of, or significant reduction in orders from, our top customers could adversely affect our financial results.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Global Consumer net sales represented approximately 84% of our worldwide net sales in fiscal 2010. Our top three retail customers together accounted for 60% of our fiscal 2010 net sales and 44% of our outstanding accounts receivable as of September 30, 2010. Home Depot, Lowe’s and Walmart represented approximately 28%, 17% and 15%, respectively, of our fiscal 2010 net sales. The loss of, or reduction in orders from, Home Depot, Lowe’s, Walmart or any other significant customer could have a material adverse effect on our business, financial condition, results of operations or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or cash flows.</w:t>
      </w:r>
    </w:p>
    <w:p>
      <w:pPr>
        <w:spacing w:after="0" w:line="72"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key retailers whose bargaining strength is strong. To the extent such concentration continues to occur, our net sales and income from operations may be increasingly sensitive to deterioration in the financial condition of, or other adverse developments involving our relationship with, one or more of our customers. In addition, our business may be negatively affected by changes in the policies of our retailers, such as inventory destocking, limitations on access to shelf space, price demands and other conditions.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reliance on third-party manufacturers could harm our business.</w:t>
      </w:r>
    </w:p>
    <w:p>
      <w:pPr>
        <w:spacing w:after="0" w:line="96"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We rely on third-party service providers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providers could result in cost overruns, shortages or other problems, which could result in significant customer dissatisfaction and thereby materially affect our business, financial condition and results of operations.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one or more of our third-party manufacturers becomes insolvent or unwilling to continue to manufacture products of acceptable quality, at acceptable costs, in a timely manner, our ability to deliver products to our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reliance on a limited base of suppliers may result in disruptions to our business and adversely affect our financial results.</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We rely on a limited number of suppliers for certain of our raw materials, product components and other necessary supplies. If we are unable to maintain supplier arrangements and relationships, if we are unable to contract with suppliers at the quantity and quality levels needed for our business, or if any of our key suppliers becomes insolvent or experiences other financial distress, we could experience disruptions in production, which could have a material adverse effect on our financial results.</w:t>
      </w:r>
    </w:p>
    <w:p>
      <w:pPr>
        <w:spacing w:after="0" w:line="128"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Operations at our and our suppliers’ facilities are subject to disruption for a variety of reasons, including fire, flooding or other natural disasters, disease outbreaks or pandemics, acts of war, terrorism and work stoppages. A significant interruption in the operation of our or our suppliers’ facilities could significantly impact our capacity to produce products and service our retail customers in a timely manner, which could have a material adverse effect on our revenues, earnings and financial position. This is especially true for those products that we manufacture at a limited number of facilities, such as our fertilizer and liquid products in both the United States and Europe.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Adverse weather conditions could adversely impact financial results.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Weather conditions in North America and Europe can have a significant impact on the timing of sales in the spring selling season and overall annual sales. An abnormally wet and/or cold spring throughout North America or Europe could adversely affect both fertilizer and pesticide sales and, therefore, our financial results.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indebtedness could limit our flexibility and adversely affect our financial condition.</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As of September 30, 2010, we had $631.7 million of debt. Our inability to meet restrictive financial and non-financial covenants associated with that debt, or to generate sufficient cash flow to repay maturing debt, could adversely affect our financial condition.</w:t>
      </w:r>
    </w:p>
    <w:p>
      <w:pPr>
        <w:spacing w:after="0" w:line="59" w:lineRule="exact"/>
        <w:rPr>
          <w:sz w:val="20"/>
          <w:szCs w:val="20"/>
          <w:color w:val="auto"/>
        </w:rPr>
      </w:pPr>
    </w:p>
    <w:p>
      <w:pPr>
        <w:ind w:left="680" w:right="180" w:firstLine="399"/>
        <w:spacing w:after="0" w:line="371" w:lineRule="auto"/>
        <w:rPr>
          <w:sz w:val="20"/>
          <w:szCs w:val="20"/>
          <w:color w:val="auto"/>
        </w:rPr>
      </w:pPr>
      <w:r>
        <w:rPr>
          <w:rFonts w:ascii="Arial" w:cs="Arial" w:eastAsia="Arial" w:hAnsi="Arial"/>
          <w:sz w:val="11"/>
          <w:szCs w:val="11"/>
          <w:color w:val="auto"/>
        </w:rPr>
        <w:t>Our ability to make payments on and to refinance our indebtedness, fund planned capital expenditures and acquisitions, pay dividends and make share repurchases depends on our ability to generate cash in the future. This, to some extent, is subject to general economic, financial, competitive, legislative, regulatory and other factors that are beyond our control.</w:t>
      </w:r>
    </w:p>
    <w:p>
      <w:pPr>
        <w:spacing w:after="0" w:line="1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cannot assure you that our business will generate sufficient cash flow from operating activities or that future borrowings will be available to us under our senior secured credit facilities in amounts sufficient to enable us to pay our indebtedness or to fund our other liquidity needs. Our senior secured credit facilities mature in 2012. We will need to refinance all or a portion of our indebtedness under our senior secured credit facilities on or before maturity. We also cannot assure you that we will be able to refinance our indebtedness or that we will be able to refinance it on commercially reasonable terms or terms consistent with the terms currently in place. Any refinancing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our indebtedness will likely be at higher interest rates and may require us to comply with more onerous covenants, which could restrict our business operations.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senior secured credit facilities and the indenture governing our 7.25% Senior Notes due 2018 (the “Senior Notes”) contain restrictive covenants and cross-default provisions. In addition, our senior secured credit facilities require us to maintain specified financial ratios. Our ability to comply with those covenants and satisfy those financial ratios can be affected by events beyond our control. A breach of any of those financial ratio covenants or other covenants could result in a default. Upon the occurrence of such an event of default, the lenders could elect to declare all of the outstanding indebtedness immediately due and payable and terminate all commitments to extend further credit. We cannot assure you that our lenders would waive a default or that we could pay the indebtedness in full if it were accelerated.</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Subject to compliance with certain covenants under our senior secured credit facilities and the indenture governing our Senior Notes, we may incur additional debt in the future. If we incur additional debt, the risks described above could intensify.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postretirement-related costs and funding requirements could increase as a result of volatility in the financial markets, changes in interest rates and actuarial assumptions.</w:t>
      </w:r>
    </w:p>
    <w:p>
      <w:pPr>
        <w:spacing w:after="0" w:line="119"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1"/>
          <w:szCs w:val="11"/>
          <w:color w:val="auto"/>
        </w:rPr>
        <w:t>We sponsor a number of defined benefit pension plans associated with our U.S. and international businesses, as well as a postretirement medical plan in the U.S.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3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the expected long-term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international operations make us susceptible to fluctuations in currency exchange rates and to other costs and risks associated with international regulation.</w:t>
      </w:r>
    </w:p>
    <w:p>
      <w:pPr>
        <w:spacing w:after="0" w:line="108"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We currently operate manufacturing, sales and service facilities outside of the United States, particularly in Canada, France, the United Kingdom, Germany and the Netherlands. In fiscal 2010, international net sales, including Canada, accounted for approximately 21% of our total net sales. Accordingly, we are subject to risks associated with operating in foreign countries, including:</w:t>
      </w:r>
    </w:p>
    <w:p>
      <w:pPr>
        <w:spacing w:after="0" w:line="67"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fluctuations in currency exchange rates;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limitations on the remittance of dividends and other payments by foreign subsidiaries;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additional costs of compliance with local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historically, in certain countries, higher rates of inflation than in the United States;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changes in the economic conditions or consumer preferences or demand for our products in these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restrictive actions by multi-national governing bodies, foreign governments or subdivisions thereof;</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changes in foreign labor laws and regulations affecting our ability to hire and retain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changes in U.S. and foreign laws regarding trade and investment;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less robust protection of our intellectual property under foreign laws; and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difficulty in obtaining distribution and support for our products.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International business could adversely affect our results of operations, financial condition or cash flows in the future.</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not be able to adequately protect our intellectual property and other proprietary rights that are material to our business.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ability to compete effectively depends in part on our rights to service marks, trademarks, trade names and other intellectual property rights we own or license, particularly our registered brand names and issued patents. We have not sought to register every one of our marks either in the United States or in every country in which they are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or results of operations.</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under our recognized brand names, which could have a material adverse effect on our business, financial condition or results of operations.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depend on key personnel and may not be able to retain those employees or recruit additional qualified personnel.</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We are highly dependent on the continuing efforts of our senior management team and other key personnel. Our businesses, financial condition and results of operations could be materially adversely affected if we lose the services of more than one of these persons in a short period of time and are unable to attract and retain qualified replacements.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Monsanto were to terminate the Marketing Agreement for consumer Roundup</w:t>
      </w:r>
      <w:r>
        <w:rPr>
          <w:rFonts w:ascii="Arial" w:cs="Arial" w:eastAsia="Arial" w:hAnsi="Arial"/>
          <w:sz w:val="9"/>
          <w:szCs w:val="9"/>
          <w:b w:val="1"/>
          <w:bCs w:val="1"/>
          <w:i w:val="1"/>
          <w:iCs w:val="1"/>
          <w:color w:val="auto"/>
        </w:rPr>
        <w:t>®</w:t>
      </w:r>
      <w:r>
        <w:rPr>
          <w:rFonts w:ascii="Arial" w:cs="Arial" w:eastAsia="Arial" w:hAnsi="Arial"/>
          <w:sz w:val="11"/>
          <w:szCs w:val="11"/>
          <w:b w:val="1"/>
          <w:bCs w:val="1"/>
          <w:i w:val="1"/>
          <w:iCs w:val="1"/>
          <w:color w:val="auto"/>
        </w:rPr>
        <w:t xml:space="preserve"> products, we would lose a substantial source of future earnings and overhead expense absorption.</w:t>
      </w:r>
    </w:p>
    <w:p>
      <w:pPr>
        <w:spacing w:after="0" w:line="119" w:lineRule="exact"/>
        <w:rPr>
          <w:sz w:val="20"/>
          <w:szCs w:val="20"/>
          <w:color w:val="auto"/>
        </w:rPr>
      </w:pPr>
    </w:p>
    <w:p>
      <w:pPr>
        <w:ind w:left="680" w:right="60" w:firstLine="399"/>
        <w:spacing w:after="0" w:line="259" w:lineRule="auto"/>
        <w:rPr>
          <w:sz w:val="20"/>
          <w:szCs w:val="20"/>
          <w:color w:val="auto"/>
        </w:rPr>
      </w:pPr>
      <w:r>
        <w:rPr>
          <w:rFonts w:ascii="Arial" w:cs="Arial" w:eastAsia="Arial" w:hAnsi="Arial"/>
          <w:sz w:val="13"/>
          <w:szCs w:val="13"/>
          <w:color w:val="auto"/>
        </w:rPr>
        <w:t>If we were to commit a serious default under the Marketing Agreement with Monsanto for consumer Roundup</w:t>
      </w:r>
      <w:r>
        <w:rPr>
          <w:rFonts w:ascii="Arial" w:cs="Arial" w:eastAsia="Arial" w:hAnsi="Arial"/>
          <w:sz w:val="11"/>
          <w:szCs w:val="11"/>
          <w:color w:val="auto"/>
        </w:rPr>
        <w:t>®</w:t>
      </w:r>
      <w:r>
        <w:rPr>
          <w:rFonts w:ascii="Arial" w:cs="Arial" w:eastAsia="Arial" w:hAnsi="Arial"/>
          <w:sz w:val="13"/>
          <w:szCs w:val="13"/>
          <w:color w:val="auto"/>
        </w:rPr>
        <w:t xml:space="preserve"> products, Monsanto may have the right to terminate the Marketing Agreement. If Monsanto were to terminate the Marketing Agreement for cause, we would not be entitled to any termination fee, and we would lose all, or a substantial portion, of the significant source of earnings and overhead expense absorption the Marketing Agreement provides. Monsanto may also be able to terminate the Marketing Agreement within a given region, including North America, without paying us a termination fee if unit volume sales to consumers in that region decline: (i) over a cumulative three-fiscal-year period; or (ii) by more than 5% for each of two consecutive years.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Hagedorn Partnership, L.P. beneficially owns approximately 30% of our common shares and can significantly influence decisions that require the approval of shareholders.</w:t>
      </w:r>
    </w:p>
    <w:p>
      <w:pPr>
        <w:spacing w:after="0" w:line="119" w:lineRule="exact"/>
        <w:rPr>
          <w:sz w:val="20"/>
          <w:szCs w:val="20"/>
          <w:color w:val="auto"/>
        </w:rPr>
      </w:pPr>
    </w:p>
    <w:p>
      <w:pPr>
        <w:ind w:left="680" w:right="100" w:firstLine="399"/>
        <w:spacing w:after="0" w:line="316" w:lineRule="auto"/>
        <w:rPr>
          <w:sz w:val="20"/>
          <w:szCs w:val="20"/>
          <w:color w:val="auto"/>
        </w:rPr>
      </w:pPr>
      <w:r>
        <w:rPr>
          <w:rFonts w:ascii="Arial" w:cs="Arial" w:eastAsia="Arial" w:hAnsi="Arial"/>
          <w:sz w:val="11"/>
          <w:szCs w:val="11"/>
          <w:color w:val="auto"/>
        </w:rPr>
        <w:t>Hagedorn Partnership, L.P. beneficially owned approximately 30% of our outstanding common shares on a fully diluted basis as of November 18, 2010.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shares and voting control presently lies with Hagedorn Partnership, L.P. As such, it would be difficult for shareholders to propose and have approved proposals not supported by Hagedorn Partnership,</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L.P. Hagedorn Partnership, L.P. may have an interest in our pursuing transactions that it believes may enhance the value of its equity investment in us, even though such transactions may involve certain risks.</w:t>
      </w:r>
    </w:p>
    <w:p>
      <w:pPr>
        <w:spacing w:after="0" w:line="98" w:lineRule="exact"/>
        <w:rPr>
          <w:sz w:val="20"/>
          <w:szCs w:val="20"/>
          <w:color w:val="auto"/>
        </w:rPr>
      </w:pPr>
    </w:p>
    <w:p>
      <w:pPr>
        <w:ind w:left="880" w:right="520"/>
        <w:spacing w:after="0" w:line="276" w:lineRule="auto"/>
        <w:rPr>
          <w:sz w:val="20"/>
          <w:szCs w:val="20"/>
          <w:color w:val="auto"/>
        </w:rPr>
      </w:pPr>
      <w:r>
        <w:rPr>
          <w:rFonts w:ascii="Arial" w:cs="Arial" w:eastAsia="Arial" w:hAnsi="Arial"/>
          <w:sz w:val="13"/>
          <w:szCs w:val="13"/>
          <w:b w:val="1"/>
          <w:bCs w:val="1"/>
          <w:i w:val="1"/>
          <w:iCs w:val="1"/>
          <w:color w:val="auto"/>
        </w:rPr>
        <w:t>We may pursue acquisitions, dispositions, investments, dividends, share repurchases and/or other corporate transactions that we believe will maximize equity returns of our shareholders but may involve risks.</w:t>
      </w:r>
    </w:p>
    <w:p>
      <w:pPr>
        <w:spacing w:after="0" w:line="59"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1"/>
          <w:szCs w:val="11"/>
          <w:color w:val="auto"/>
        </w:rPr>
        <w:t>From time to time, we consider opportunities for acquisitions of businesses, product lines or other assets, dispositions of all or part of one or more of our businesses other than our core Global Consumer business (including our Global Professional business and/or Scotts LawnService</w:t>
      </w:r>
      <w:r>
        <w:rPr>
          <w:rFonts w:ascii="Arial" w:cs="Arial" w:eastAsia="Arial" w:hAnsi="Arial"/>
          <w:sz w:val="9"/>
          <w:szCs w:val="9"/>
          <w:color w:val="auto"/>
        </w:rPr>
        <w:t>®</w:t>
      </w:r>
      <w:r>
        <w:rPr>
          <w:rFonts w:ascii="Arial" w:cs="Arial" w:eastAsia="Arial" w:hAnsi="Arial"/>
          <w:sz w:val="11"/>
          <w:szCs w:val="11"/>
          <w:color w:val="auto"/>
        </w:rPr>
        <w:t>) and other strategic transactions. For example, we recently indicated that we are actively exploring strategic alternatives for our Global Professional business segment, including the potential divestiture of that segment. These transactions, including the potential divestiture of our Global Professional business, may involve risks, such as risks of integration of acquired businesses and loss of cash flows and market positions of disposed businesses.</w:t>
      </w:r>
    </w:p>
    <w:p>
      <w:pPr>
        <w:spacing w:after="0" w:line="3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addition, if our business performs according to our financial plan, subject to the discretion of our Board of Directors and to market and other conditions we may, over time, significantly increase the rate of dividends on, and the amount of repurchases of, our common shares. For example, in the fourth quarter of fiscal 2010 we doubled the amount of our quarterly cash dividend, and our Board of Directors authorized the repurchase of up to $500 million of Scotts Miracle-Gro common shares over the next four years. We may further increase the rate of dividends on, and the amount of repurchases of, our common shares in the future.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can be no assurance that we will effect any of these transactions or activities, but, if we do, certain risks may be increased, possibly materially.</w:t>
      </w:r>
    </w:p>
    <w:p>
      <w:pPr>
        <w:spacing w:after="0" w:line="132"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u w:val="single" w:color="auto"/>
          <w:color w:val="auto"/>
        </w:rPr>
        <w:t>ITEM 1B.</w:t>
      </w:r>
      <w:r>
        <w:rPr>
          <w:sz w:val="20"/>
          <w:szCs w:val="20"/>
          <w:color w:val="auto"/>
        </w:rPr>
        <w:tab/>
      </w:r>
      <w:r>
        <w:rPr>
          <w:rFonts w:ascii="Arial" w:cs="Arial" w:eastAsia="Arial" w:hAnsi="Arial"/>
          <w:sz w:val="12"/>
          <w:szCs w:val="12"/>
          <w:b w:val="1"/>
          <w:bCs w:val="1"/>
          <w:i w:val="1"/>
          <w:iCs w:val="1"/>
          <w:u w:val="single" w:color="auto"/>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3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u w:val="single" w:color="auto"/>
          <w:color w:val="auto"/>
        </w:rPr>
        <w:t>ITEM 2.</w:t>
      </w:r>
      <w:r>
        <w:rPr>
          <w:sz w:val="20"/>
          <w:szCs w:val="20"/>
          <w:color w:val="auto"/>
        </w:rPr>
        <w:tab/>
      </w:r>
      <w:r>
        <w:rPr>
          <w:rFonts w:ascii="Arial" w:cs="Arial" w:eastAsia="Arial" w:hAnsi="Arial"/>
          <w:sz w:val="12"/>
          <w:szCs w:val="12"/>
          <w:b w:val="1"/>
          <w:bCs w:val="1"/>
          <w:i w:val="1"/>
          <w:iCs w:val="1"/>
          <w:u w:val="single" w:color="auto"/>
          <w:color w:val="auto"/>
        </w:rPr>
        <w:t>PROPERTIES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owns or leases, as appropriate, numerous facilities throughout the world to support each of its respective business segments:</w:t>
      </w:r>
    </w:p>
    <w:p>
      <w:pPr>
        <w:spacing w:after="0" w:line="96" w:lineRule="exact"/>
        <w:rPr>
          <w:sz w:val="20"/>
          <w:szCs w:val="20"/>
          <w:color w:val="auto"/>
        </w:rPr>
      </w:pPr>
    </w:p>
    <w:p>
      <w:pPr>
        <w:ind w:left="1280" w:hanging="190"/>
        <w:spacing w:after="0" w:line="285" w:lineRule="auto"/>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i w:val="1"/>
          <w:iCs w:val="1"/>
          <w:u w:val="single" w:color="auto"/>
          <w:color w:val="auto"/>
        </w:rPr>
        <w:t>Global Consumer</w:t>
      </w:r>
      <w:r>
        <w:rPr>
          <w:rFonts w:ascii="Arial" w:cs="Arial" w:eastAsia="Arial" w:hAnsi="Arial"/>
          <w:sz w:val="12"/>
          <w:szCs w:val="12"/>
          <w:i w:val="1"/>
          <w:iCs w:val="1"/>
          <w:color w:val="auto"/>
        </w:rPr>
        <w:t xml:space="preserve"> — </w:t>
      </w:r>
      <w:r>
        <w:rPr>
          <w:rFonts w:ascii="Arial" w:cs="Arial" w:eastAsia="Arial" w:hAnsi="Arial"/>
          <w:sz w:val="12"/>
          <w:szCs w:val="12"/>
          <w:color w:val="auto"/>
        </w:rPr>
        <w:t>We own manufacturing, distribution, research and development and office facilities in Marysville, Ohio; research facilities in Apopka, Florida and Gervais,</w:t>
      </w:r>
      <w:r>
        <w:rPr>
          <w:rFonts w:ascii="Arial" w:cs="Arial" w:eastAsia="Arial" w:hAnsi="Arial"/>
          <w:sz w:val="12"/>
          <w:szCs w:val="12"/>
          <w:i w:val="1"/>
          <w:iCs w:val="1"/>
          <w:color w:val="auto"/>
        </w:rPr>
        <w:t xml:space="preserve"> </w:t>
      </w:r>
      <w:r>
        <w:rPr>
          <w:rFonts w:ascii="Arial" w:cs="Arial" w:eastAsia="Arial" w:hAnsi="Arial"/>
          <w:sz w:val="12"/>
          <w:szCs w:val="12"/>
          <w:color w:val="auto"/>
        </w:rPr>
        <w:t>Oregon; and production facilities in Pearl, Mississippi and Fort Madison, Iowa. We lease a spreader and other durable components manufacturing facility in Temecula, California. In addition, we operate 27 stand-alone growing media facilities in North America — 23 of which are owned by the Company and four of which are leased. Most of these facilities include production lines, warehouses, offices and field processing areas. We also lease a fertilizer and growing media manufacturing facility and distribution center in Orrville, Ohio. We own four production facilities for our wild bird food operations in Indiana, South Dakota, South Carolina and Texas.</w:t>
      </w:r>
    </w:p>
    <w:p>
      <w:pPr>
        <w:spacing w:after="0" w:line="55" w:lineRule="exact"/>
        <w:rPr>
          <w:rFonts w:ascii="Arial" w:cs="Arial" w:eastAsia="Arial" w:hAnsi="Arial"/>
          <w:sz w:val="12"/>
          <w:szCs w:val="12"/>
          <w:color w:val="auto"/>
        </w:rPr>
      </w:pPr>
    </w:p>
    <w:p>
      <w:pPr>
        <w:ind w:left="1280" w:right="320"/>
        <w:spacing w:after="0" w:line="276" w:lineRule="auto"/>
        <w:rPr>
          <w:rFonts w:ascii="Arial" w:cs="Arial" w:eastAsia="Arial" w:hAnsi="Arial"/>
          <w:sz w:val="12"/>
          <w:szCs w:val="12"/>
          <w:color w:val="auto"/>
        </w:rPr>
      </w:pPr>
      <w:r>
        <w:rPr>
          <w:rFonts w:ascii="Arial" w:cs="Arial" w:eastAsia="Arial" w:hAnsi="Arial"/>
          <w:sz w:val="13"/>
          <w:szCs w:val="13"/>
          <w:color w:val="auto"/>
        </w:rPr>
        <w:t>Further, we own a manufacturing facility in Sutton Bridge, United Kingdom; a blending and bagging facility for growing media in Hautmont, France; and a plant in Bourth, France that we use for formulating, blending and packaging plant protection products mainly for the consumer market.</w:t>
      </w:r>
    </w:p>
    <w:p>
      <w:pPr>
        <w:spacing w:after="0" w:line="59" w:lineRule="exact"/>
        <w:rPr>
          <w:rFonts w:ascii="Arial" w:cs="Arial" w:eastAsia="Arial" w:hAnsi="Arial"/>
          <w:sz w:val="12"/>
          <w:szCs w:val="12"/>
          <w:color w:val="auto"/>
        </w:rPr>
      </w:pPr>
    </w:p>
    <w:p>
      <w:pPr>
        <w:jc w:val="both"/>
        <w:ind w:left="1280" w:right="60" w:hanging="190"/>
        <w:spacing w:after="0" w:line="296" w:lineRule="auto"/>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i w:val="1"/>
          <w:iCs w:val="1"/>
          <w:u w:val="single" w:color="auto"/>
          <w:color w:val="auto"/>
        </w:rPr>
        <w:t>Global Professional</w:t>
      </w:r>
      <w:r>
        <w:rPr>
          <w:rFonts w:ascii="Arial" w:cs="Arial" w:eastAsia="Arial" w:hAnsi="Arial"/>
          <w:sz w:val="12"/>
          <w:szCs w:val="12"/>
          <w:i w:val="1"/>
          <w:iCs w:val="1"/>
          <w:color w:val="auto"/>
        </w:rPr>
        <w:t xml:space="preserve"> — </w:t>
      </w:r>
      <w:r>
        <w:rPr>
          <w:rFonts w:ascii="Arial" w:cs="Arial" w:eastAsia="Arial" w:hAnsi="Arial"/>
          <w:sz w:val="12"/>
          <w:szCs w:val="12"/>
          <w:color w:val="auto"/>
        </w:rPr>
        <w:t>We lease a controlled-release fertilizer manufacturing facility in North Charleston, South Carolina; a corporate office in Waardenburg, Netherlands; and a</w:t>
      </w:r>
      <w:r>
        <w:rPr>
          <w:rFonts w:ascii="Arial" w:cs="Arial" w:eastAsia="Arial" w:hAnsi="Arial"/>
          <w:sz w:val="12"/>
          <w:szCs w:val="12"/>
          <w:i w:val="1"/>
          <w:iCs w:val="1"/>
          <w:color w:val="auto"/>
        </w:rPr>
        <w:t xml:space="preserve"> </w:t>
      </w:r>
      <w:r>
        <w:rPr>
          <w:rFonts w:ascii="Arial" w:cs="Arial" w:eastAsia="Arial" w:hAnsi="Arial"/>
          <w:sz w:val="12"/>
          <w:szCs w:val="12"/>
          <w:color w:val="auto"/>
        </w:rPr>
        <w:t>sales office in Bramford, United Kingdom, where we also have some supply chain services. Our site in Heerlen, Netherlands includes a research facility, a distribution center and a manufacturing site for coated fertilizers (we own the land and the building for the manufacturing facility, but lease two distribution center/warehousing buildings).</w:t>
      </w:r>
    </w:p>
    <w:p>
      <w:pPr>
        <w:spacing w:after="0" w:line="39" w:lineRule="exact"/>
        <w:rPr>
          <w:rFonts w:ascii="Arial" w:cs="Arial" w:eastAsia="Arial" w:hAnsi="Arial"/>
          <w:sz w:val="12"/>
          <w:szCs w:val="12"/>
          <w:color w:val="auto"/>
        </w:rPr>
      </w:pPr>
    </w:p>
    <w:p>
      <w:pPr>
        <w:jc w:val="both"/>
        <w:ind w:left="1280" w:right="20" w:hanging="190"/>
        <w:spacing w:after="0" w:line="334" w:lineRule="auto"/>
        <w:tabs>
          <w:tab w:leader="none" w:pos="1280" w:val="left"/>
        </w:tabs>
        <w:numPr>
          <w:ilvl w:val="0"/>
          <w:numId w:val="8"/>
        </w:numPr>
        <w:rPr>
          <w:rFonts w:ascii="Arial" w:cs="Arial" w:eastAsia="Arial" w:hAnsi="Arial"/>
          <w:sz w:val="11"/>
          <w:szCs w:val="11"/>
          <w:color w:val="auto"/>
        </w:rPr>
      </w:pPr>
      <w:r>
        <w:rPr>
          <w:rFonts w:ascii="Arial" w:cs="Arial" w:eastAsia="Arial" w:hAnsi="Arial"/>
          <w:sz w:val="11"/>
          <w:szCs w:val="11"/>
          <w:i w:val="1"/>
          <w:iCs w:val="1"/>
          <w:u w:val="single" w:color="auto"/>
          <w:color w:val="auto"/>
        </w:rPr>
        <w:t>Global Consumer and Global Professional</w:t>
      </w:r>
      <w:r>
        <w:rPr>
          <w:rFonts w:ascii="Arial" w:cs="Arial" w:eastAsia="Arial" w:hAnsi="Arial"/>
          <w:sz w:val="11"/>
          <w:szCs w:val="11"/>
          <w:i w:val="1"/>
          <w:iCs w:val="1"/>
          <w:color w:val="auto"/>
        </w:rPr>
        <w:t xml:space="preserve"> — </w:t>
      </w:r>
      <w:r>
        <w:rPr>
          <w:rFonts w:ascii="Arial" w:cs="Arial" w:eastAsia="Arial" w:hAnsi="Arial"/>
          <w:sz w:val="11"/>
          <w:szCs w:val="11"/>
          <w:color w:val="auto"/>
        </w:rPr>
        <w:t>In addition to the above, we own or lease a number of properties that we use for both the Global Consumer and Global Professional</w:t>
      </w:r>
      <w:r>
        <w:rPr>
          <w:rFonts w:ascii="Arial" w:cs="Arial" w:eastAsia="Arial" w:hAnsi="Arial"/>
          <w:sz w:val="11"/>
          <w:szCs w:val="11"/>
          <w:i w:val="1"/>
          <w:iCs w:val="1"/>
          <w:color w:val="auto"/>
        </w:rPr>
        <w:t xml:space="preserve"> </w:t>
      </w:r>
      <w:r>
        <w:rPr>
          <w:rFonts w:ascii="Arial" w:cs="Arial" w:eastAsia="Arial" w:hAnsi="Arial"/>
          <w:sz w:val="11"/>
          <w:szCs w:val="11"/>
          <w:color w:val="auto"/>
        </w:rPr>
        <w:t>segments of our business. We own manufacturing facilities in Howden (East Yorkshire) and Hatfield (South Yorkshire), both in the United Kingdom. We own five peat extraction facilities in Scotland and we lease land for peat extraction at three additional locations across England and Scotland. We own a grass seed production facility in Albany,</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Oregon. We lease a research and development facility in Morance, France and own a research and development facility in Levington, United Kingdom.</w:t>
      </w:r>
    </w:p>
    <w:p>
      <w:pPr>
        <w:spacing w:after="0" w:line="94"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i w:val="1"/>
          <w:iCs w:val="1"/>
          <w:u w:val="single" w:color="auto"/>
          <w:color w:val="auto"/>
        </w:rPr>
        <w:t>Scotts LawnService</w:t>
      </w:r>
      <w:r>
        <w:rPr>
          <w:rFonts w:ascii="Arial" w:cs="Arial" w:eastAsia="Arial" w:hAnsi="Arial"/>
          <w:sz w:val="10"/>
          <w:szCs w:val="10"/>
          <w:u w:val="single" w:color="auto"/>
          <w:color w:val="auto"/>
        </w:rPr>
        <w:t>®</w:t>
      </w:r>
      <w:r>
        <w:rPr>
          <w:rFonts w:ascii="Arial" w:cs="Arial" w:eastAsia="Arial" w:hAnsi="Arial"/>
          <w:sz w:val="12"/>
          <w:szCs w:val="12"/>
          <w:i w:val="1"/>
          <w:iCs w:val="1"/>
          <w:color w:val="auto"/>
        </w:rPr>
        <w:t xml:space="preserve"> — </w:t>
      </w:r>
      <w:r>
        <w:rPr>
          <w:rFonts w:ascii="Arial" w:cs="Arial" w:eastAsia="Arial" w:hAnsi="Arial"/>
          <w:sz w:val="12"/>
          <w:szCs w:val="12"/>
          <w:color w:val="auto"/>
        </w:rPr>
        <w:t>We lease facilities for each of our 78 Company-operated Scotts LawnService</w:t>
      </w:r>
      <w:r>
        <w:rPr>
          <w:rFonts w:ascii="Arial" w:cs="Arial" w:eastAsia="Arial" w:hAnsi="Arial"/>
          <w:sz w:val="10"/>
          <w:szCs w:val="10"/>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locations. The facilities are primarily located in industrial parks.</w:t>
      </w:r>
    </w:p>
    <w:p>
      <w:pPr>
        <w:spacing w:after="0" w:line="110"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Our corporate headquarters are located in Marysville, Ohio, where we own or lease approximately 750 acres. The Company leases warehouse space throughout North America and continental Europe as needed. We believe that our facilities are adequate to serve their intended purposes and that our property leasing arrangements are satisfactory.</w:t>
      </w:r>
    </w:p>
    <w:p>
      <w:pPr>
        <w:spacing w:after="0" w:line="1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u w:val="single" w:color="auto"/>
          <w:color w:val="auto"/>
        </w:rPr>
        <w:t>ITEM 3.</w:t>
      </w:r>
      <w:r>
        <w:rPr>
          <w:sz w:val="20"/>
          <w:szCs w:val="20"/>
          <w:color w:val="auto"/>
        </w:rPr>
        <w:tab/>
      </w:r>
      <w:r>
        <w:rPr>
          <w:rFonts w:ascii="Arial" w:cs="Arial" w:eastAsia="Arial" w:hAnsi="Arial"/>
          <w:sz w:val="12"/>
          <w:szCs w:val="12"/>
          <w:b w:val="1"/>
          <w:bCs w:val="1"/>
          <w:i w:val="1"/>
          <w:iCs w:val="1"/>
          <w:u w:val="single" w:color="auto"/>
          <w:color w:val="auto"/>
        </w:rPr>
        <w:t>LEGAL PROCEEDINGS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noted in the discussion in “ITEM 1. BUSINESS — Regulatory Considerations — FIFRA Compliance, the Corresponding Governmental Investigations and Similar Matters” and “ITEM 1. BUSINESS — Regulatory Considerations — Other Regulatory Matters” of this Annual Report on Form 10-K, we are involved in several pending environmental and regulatory matters. We believe that our assessment of contingencies is reasonable and that related reserves, in the aggregate, are adequate; however, there can be no assurance that the final resolution of these matters will not have a material adverse effect on our financial condition, results of operations or cash flows.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FIFRA Compliance, the Corresponding Governmental Investigations and Similar Matters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Information with respect to the ongoing investigations and a discussion of the costs and expenses related to such matters is hereby incorporated by reference to “NOTE 3. PRODUCT REGISTRATION AND RECALL MATTERS” of the Notes to Consolidated Financial Statements included in this Annual Report on Form 10-K.</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Regulatory Matters</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On or about March 19, 2010, the U.S. EPA Region VII issued notice to the Company indicating that the U.S. EPA intended to file an administrative complaint under RCRA with respect to alleged RCRA violations arising out of an October 28-29, 2008 inspection of our Fort Madison, Iowa facility. The notice proposed a penalty of $466,977 and offered us the opportunity to negotiate a resolution of the proposed penalty before any complaint was filed. We made a timely response to the U.S. EPA and agreed to enter into pre-filing negotiations. On September 30, 2010, we agreed to pay a civil penalty of $148,388 to settle the alleged violations. In addition to the civil penalty, we agreed to perform two supplemental environmental projects, including a wastewater treatment and reuse pilot project on which we will spend at least $122,000 and a project to identify, remove and safely dispose of obsolete chemicals and hazardous wastes from selected schools in Fort Madison, on which we will spend at least $30,000.</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Pending Significant Legal Proceedings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have been named as a defendant in a number of cases alleging injuries that the lawsuits claim resulted from exposure to asbestos-containing products, apparently based on our historic use of vermiculite in certain of our products. In many of these cases, the complaints are not specific about the plaintiffs’ contacts with us or our products. None of the claims seek damages from us alone. We believe that the claims against us are without merit and are vigorously defending against them. It is not currently possible to reasonably estimate a probable loss, if any, associated with the cases and, accordingly, no accrual or reserves have been recorded in our consolidated financial statements. We are reviewing agreements and policies that may provide insurance coverage or indemnity as to these claims and are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our financial condition, results of operations or cash flows.</w:t>
      </w:r>
    </w:p>
    <w:p>
      <w:pPr>
        <w:spacing w:after="0" w:line="73"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On April 27, 2007, we received a proposed Order On Consent from the New York State Department of Environmental Conservation (the “Proposed Order”) alleging that, during calendar year 2003, we and James Hagedorn, individually and as Chairman of the Board and Chief Executive Officer of the Company, unlawfully donated to a Port Washington, New York youth sports organization 40 bags of Scotts</w:t>
      </w:r>
      <w:r>
        <w:rPr>
          <w:rFonts w:ascii="Arial" w:cs="Arial" w:eastAsia="Arial" w:hAnsi="Arial"/>
          <w:sz w:val="11"/>
          <w:szCs w:val="11"/>
          <w:color w:val="auto"/>
        </w:rPr>
        <w:t>®</w:t>
      </w:r>
      <w:r>
        <w:rPr>
          <w:rFonts w:ascii="Arial" w:cs="Arial" w:eastAsia="Arial" w:hAnsi="Arial"/>
          <w:sz w:val="13"/>
          <w:szCs w:val="13"/>
          <w:color w:val="auto"/>
        </w:rPr>
        <w:t xml:space="preserve"> LawnPro</w:t>
      </w:r>
      <w:r>
        <w:rPr>
          <w:rFonts w:ascii="Arial" w:cs="Arial" w:eastAsia="Arial" w:hAnsi="Arial"/>
          <w:sz w:val="11"/>
          <w:szCs w:val="11"/>
          <w:color w:val="auto"/>
        </w:rPr>
        <w:t>®</w:t>
      </w:r>
      <w:r>
        <w:rPr>
          <w:rFonts w:ascii="Arial" w:cs="Arial" w:eastAsia="Arial" w:hAnsi="Arial"/>
          <w:sz w:val="13"/>
          <w:szCs w:val="13"/>
          <w:color w:val="auto"/>
        </w:rPr>
        <w:t xml:space="preserve"> Annual Program Step 3 Insect Control Plus Fertilizer which, while federally registered, was allegedly not registered in the state of New York. The Proposed Order requests penalties totaling $695,000. We have responded in writing to the New York State Department of Environmental Conservation and are awaiting a response.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are involved in other lawsuits and claims which arise in the normal course of our business. In our opinion, these claims individually and in the aggregate are not expected to result in a material adverse effect on our financial condition, results of operations or cash flows.</w:t>
      </w:r>
    </w:p>
    <w:p>
      <w:pPr>
        <w:spacing w:after="0" w:line="8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u w:val="single" w:color="auto"/>
          <w:color w:val="auto"/>
        </w:rPr>
        <w:t>ITEM 4.</w:t>
      </w:r>
      <w:r>
        <w:rPr>
          <w:sz w:val="20"/>
          <w:szCs w:val="20"/>
          <w:color w:val="auto"/>
        </w:rPr>
        <w:tab/>
      </w:r>
      <w:r>
        <w:rPr>
          <w:rFonts w:ascii="Arial" w:cs="Arial" w:eastAsia="Arial" w:hAnsi="Arial"/>
          <w:sz w:val="12"/>
          <w:szCs w:val="12"/>
          <w:b w:val="1"/>
          <w:bCs w:val="1"/>
          <w:i w:val="1"/>
          <w:iCs w:val="1"/>
          <w:u w:val="single" w:color="auto"/>
          <w:color w:val="auto"/>
        </w:rPr>
        <w:t>(REMOVED AND RESERVED)</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 xml:space="preserve">SUPPLEMENTAL ITEM. </w:t>
      </w:r>
      <w:r>
        <w:rPr>
          <w:rFonts w:ascii="Arial" w:cs="Arial" w:eastAsia="Arial" w:hAnsi="Arial"/>
          <w:sz w:val="13"/>
          <w:szCs w:val="13"/>
          <w:b w:val="1"/>
          <w:bCs w:val="1"/>
          <w:i w:val="1"/>
          <w:iCs w:val="1"/>
          <w:u w:val="single" w:color="auto"/>
          <w:color w:val="auto"/>
        </w:rPr>
        <w:t>EXECUTIVE OFFICERS OF THE REGISTRANT</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executive officers of Scotts Miracle-Gro, their positions and, as of November 18, 2010, their ages and years with Scotts Miracle-Gro (and its predecessors) are set forth below.</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200" w:type="dxa"/>
            <w:vAlign w:val="bottom"/>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Age</w:t>
            </w:r>
          </w:p>
        </w:tc>
        <w:tc>
          <w:tcPr>
            <w:tcW w:w="200" w:type="dxa"/>
            <w:vAlign w:val="bottom"/>
          </w:tcPr>
          <w:p>
            <w:pPr>
              <w:spacing w:after="0"/>
              <w:rPr>
                <w:sz w:val="10"/>
                <w:szCs w:val="10"/>
                <w:color w:val="auto"/>
              </w:rPr>
            </w:pPr>
          </w:p>
        </w:tc>
        <w:tc>
          <w:tcPr>
            <w:tcW w:w="3200" w:type="dxa"/>
            <w:vAlign w:val="bottom"/>
            <w:vMerge w:val="restart"/>
          </w:tcPr>
          <w:p>
            <w:pPr>
              <w:ind w:left="1260"/>
              <w:spacing w:after="0"/>
              <w:rPr>
                <w:sz w:val="20"/>
                <w:szCs w:val="20"/>
                <w:color w:val="auto"/>
              </w:rPr>
            </w:pPr>
            <w:r>
              <w:rPr>
                <w:rFonts w:ascii="Arial" w:cs="Arial" w:eastAsia="Arial" w:hAnsi="Arial"/>
                <w:sz w:val="10"/>
                <w:szCs w:val="10"/>
                <w:b w:val="1"/>
                <w:bCs w:val="1"/>
                <w:color w:val="auto"/>
              </w:rPr>
              <w:t>Position(s) Held</w:t>
            </w:r>
          </w:p>
        </w:tc>
        <w:tc>
          <w:tcPr>
            <w:tcW w:w="200" w:type="dxa"/>
            <w:vAlign w:val="bottom"/>
          </w:tcPr>
          <w:p>
            <w:pPr>
              <w:spacing w:after="0"/>
              <w:rPr>
                <w:sz w:val="10"/>
                <w:szCs w:val="10"/>
                <w:color w:val="auto"/>
              </w:rPr>
            </w:pPr>
          </w:p>
        </w:tc>
        <w:tc>
          <w:tcPr>
            <w:tcW w:w="740" w:type="dxa"/>
            <w:vAlign w:val="bottom"/>
          </w:tcPr>
          <w:p>
            <w:pPr>
              <w:jc w:val="right"/>
              <w:ind w:right="68"/>
              <w:spacing w:after="0"/>
              <w:rPr>
                <w:sz w:val="20"/>
                <w:szCs w:val="20"/>
                <w:color w:val="auto"/>
              </w:rPr>
            </w:pPr>
            <w:r>
              <w:rPr>
                <w:rFonts w:ascii="Arial" w:cs="Arial" w:eastAsia="Arial" w:hAnsi="Arial"/>
                <w:sz w:val="10"/>
                <w:szCs w:val="10"/>
                <w:b w:val="1"/>
                <w:bCs w:val="1"/>
                <w:color w:val="auto"/>
              </w:rPr>
              <w:t>Years with</w:t>
            </w:r>
          </w:p>
        </w:tc>
        <w:tc>
          <w:tcPr>
            <w:tcW w:w="0" w:type="dxa"/>
            <w:vAlign w:val="bottom"/>
          </w:tcPr>
          <w:p>
            <w:pPr>
              <w:spacing w:after="0"/>
              <w:rPr>
                <w:sz w:val="1"/>
                <w:szCs w:val="1"/>
                <w:color w:val="auto"/>
              </w:rPr>
            </w:pPr>
          </w:p>
        </w:tc>
      </w:tr>
      <w:tr>
        <w:trPr>
          <w:trHeight w:val="125"/>
        </w:trPr>
        <w:tc>
          <w:tcPr>
            <w:tcW w:w="512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32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Company</w:t>
            </w:r>
          </w:p>
        </w:tc>
        <w:tc>
          <w:tcPr>
            <w:tcW w:w="0" w:type="dxa"/>
            <w:vAlign w:val="bottom"/>
          </w:tcPr>
          <w:p>
            <w:pPr>
              <w:spacing w:after="0"/>
              <w:rPr>
                <w:sz w:val="1"/>
                <w:szCs w:val="1"/>
                <w:color w:val="auto"/>
              </w:rPr>
            </w:pPr>
          </w:p>
        </w:tc>
      </w:tr>
      <w:tr>
        <w:trPr>
          <w:trHeight w:val="29"/>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James Hagedorn</w:t>
            </w:r>
          </w:p>
        </w:tc>
        <w:tc>
          <w:tcPr>
            <w:tcW w:w="520" w:type="dxa"/>
            <w:vAlign w:val="bottom"/>
            <w:gridSpan w:val="2"/>
            <w:shd w:val="clear" w:color="auto" w:fill="CCEEFF"/>
          </w:tcPr>
          <w:p>
            <w:pPr>
              <w:jc w:val="center"/>
              <w:ind w:left="154"/>
              <w:spacing w:after="0"/>
              <w:rPr>
                <w:sz w:val="20"/>
                <w:szCs w:val="20"/>
                <w:color w:val="auto"/>
              </w:rPr>
            </w:pPr>
            <w:r>
              <w:rPr>
                <w:rFonts w:ascii="Arial" w:cs="Arial" w:eastAsia="Arial" w:hAnsi="Arial"/>
                <w:sz w:val="13"/>
                <w:szCs w:val="13"/>
                <w:color w:val="auto"/>
                <w:w w:val="96"/>
              </w:rPr>
              <w:t>55</w:t>
            </w:r>
          </w:p>
        </w:tc>
        <w:tc>
          <w:tcPr>
            <w:tcW w:w="20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Chief Executive Officer and Chairman of the Board</w:t>
            </w:r>
          </w:p>
        </w:tc>
        <w:tc>
          <w:tcPr>
            <w:tcW w:w="9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5120" w:type="dxa"/>
            <w:vAlign w:val="bottom"/>
          </w:tcPr>
          <w:p>
            <w:pPr>
              <w:spacing w:after="0"/>
              <w:rPr>
                <w:sz w:val="20"/>
                <w:szCs w:val="20"/>
                <w:color w:val="auto"/>
              </w:rPr>
            </w:pPr>
            <w:r>
              <w:rPr>
                <w:rFonts w:ascii="Arial" w:cs="Arial" w:eastAsia="Arial" w:hAnsi="Arial"/>
                <w:sz w:val="13"/>
                <w:szCs w:val="13"/>
                <w:color w:val="auto"/>
              </w:rPr>
              <w:t>Barry W. Sanders</w:t>
            </w:r>
          </w:p>
        </w:tc>
        <w:tc>
          <w:tcPr>
            <w:tcW w:w="520" w:type="dxa"/>
            <w:vAlign w:val="bottom"/>
            <w:gridSpan w:val="2"/>
          </w:tcPr>
          <w:p>
            <w:pPr>
              <w:jc w:val="center"/>
              <w:ind w:left="154"/>
              <w:spacing w:after="0"/>
              <w:rPr>
                <w:sz w:val="20"/>
                <w:szCs w:val="20"/>
                <w:color w:val="auto"/>
              </w:rPr>
            </w:pPr>
            <w:r>
              <w:rPr>
                <w:rFonts w:ascii="Arial" w:cs="Arial" w:eastAsia="Arial" w:hAnsi="Arial"/>
                <w:sz w:val="13"/>
                <w:szCs w:val="13"/>
                <w:color w:val="auto"/>
                <w:w w:val="96"/>
              </w:rPr>
              <w:t>46</w:t>
            </w:r>
          </w:p>
        </w:tc>
        <w:tc>
          <w:tcPr>
            <w:tcW w:w="20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President</w:t>
            </w:r>
          </w:p>
        </w:tc>
        <w:tc>
          <w:tcPr>
            <w:tcW w:w="940" w:type="dxa"/>
            <w:vAlign w:val="bottom"/>
            <w:gridSpan w:val="2"/>
          </w:tcPr>
          <w:p>
            <w:pPr>
              <w:jc w:val="right"/>
              <w:ind w:right="248"/>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David C. Evans</w:t>
            </w:r>
          </w:p>
        </w:tc>
        <w:tc>
          <w:tcPr>
            <w:tcW w:w="520" w:type="dxa"/>
            <w:vAlign w:val="bottom"/>
            <w:gridSpan w:val="2"/>
            <w:shd w:val="clear" w:color="auto" w:fill="CCEEFF"/>
          </w:tcPr>
          <w:p>
            <w:pPr>
              <w:jc w:val="center"/>
              <w:ind w:left="154"/>
              <w:spacing w:after="0"/>
              <w:rPr>
                <w:sz w:val="20"/>
                <w:szCs w:val="20"/>
                <w:color w:val="auto"/>
              </w:rPr>
            </w:pPr>
            <w:r>
              <w:rPr>
                <w:rFonts w:ascii="Arial" w:cs="Arial" w:eastAsia="Arial" w:hAnsi="Arial"/>
                <w:sz w:val="13"/>
                <w:szCs w:val="13"/>
                <w:color w:val="auto"/>
                <w:w w:val="96"/>
              </w:rPr>
              <w:t>47</w:t>
            </w:r>
          </w:p>
        </w:tc>
        <w:tc>
          <w:tcPr>
            <w:tcW w:w="20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Executive Vice President and Chief Financial Officer</w:t>
            </w:r>
          </w:p>
        </w:tc>
        <w:tc>
          <w:tcPr>
            <w:tcW w:w="9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5120" w:type="dxa"/>
            <w:vAlign w:val="bottom"/>
          </w:tcPr>
          <w:p>
            <w:pPr>
              <w:spacing w:after="0"/>
              <w:rPr>
                <w:sz w:val="20"/>
                <w:szCs w:val="20"/>
                <w:color w:val="auto"/>
              </w:rPr>
            </w:pPr>
            <w:r>
              <w:rPr>
                <w:rFonts w:ascii="Arial" w:cs="Arial" w:eastAsia="Arial" w:hAnsi="Arial"/>
                <w:sz w:val="13"/>
                <w:szCs w:val="13"/>
                <w:color w:val="auto"/>
              </w:rPr>
              <w:t>Denise S. Stump</w:t>
            </w:r>
          </w:p>
        </w:tc>
        <w:tc>
          <w:tcPr>
            <w:tcW w:w="520" w:type="dxa"/>
            <w:vAlign w:val="bottom"/>
            <w:gridSpan w:val="2"/>
          </w:tcPr>
          <w:p>
            <w:pPr>
              <w:jc w:val="center"/>
              <w:ind w:left="154"/>
              <w:spacing w:after="0"/>
              <w:rPr>
                <w:sz w:val="20"/>
                <w:szCs w:val="20"/>
                <w:color w:val="auto"/>
              </w:rPr>
            </w:pPr>
            <w:r>
              <w:rPr>
                <w:rFonts w:ascii="Arial" w:cs="Arial" w:eastAsia="Arial" w:hAnsi="Arial"/>
                <w:sz w:val="13"/>
                <w:szCs w:val="13"/>
                <w:color w:val="auto"/>
                <w:w w:val="96"/>
              </w:rPr>
              <w:t>56</w:t>
            </w:r>
          </w:p>
        </w:tc>
        <w:tc>
          <w:tcPr>
            <w:tcW w:w="20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Executive Vice President, Global Human Resources</w:t>
            </w:r>
          </w:p>
        </w:tc>
        <w:tc>
          <w:tcPr>
            <w:tcW w:w="940" w:type="dxa"/>
            <w:vAlign w:val="bottom"/>
            <w:gridSpan w:val="2"/>
          </w:tcPr>
          <w:p>
            <w:pPr>
              <w:jc w:val="right"/>
              <w:ind w:right="248"/>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Vincent C. Brockman</w:t>
            </w:r>
          </w:p>
        </w:tc>
        <w:tc>
          <w:tcPr>
            <w:tcW w:w="520" w:type="dxa"/>
            <w:vAlign w:val="bottom"/>
            <w:gridSpan w:val="2"/>
            <w:shd w:val="clear" w:color="auto" w:fill="CCEEFF"/>
          </w:tcPr>
          <w:p>
            <w:pPr>
              <w:jc w:val="center"/>
              <w:ind w:left="154"/>
              <w:spacing w:after="0" w:line="149" w:lineRule="exact"/>
              <w:rPr>
                <w:sz w:val="20"/>
                <w:szCs w:val="20"/>
                <w:color w:val="auto"/>
              </w:rPr>
            </w:pPr>
            <w:r>
              <w:rPr>
                <w:rFonts w:ascii="Arial" w:cs="Arial" w:eastAsia="Arial" w:hAnsi="Arial"/>
                <w:sz w:val="13"/>
                <w:szCs w:val="13"/>
                <w:color w:val="auto"/>
                <w:w w:val="96"/>
              </w:rPr>
              <w:t>47</w:t>
            </w:r>
          </w:p>
        </w:tc>
        <w:tc>
          <w:tcPr>
            <w:tcW w:w="2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Executive Vice President, General Counsel, Corporate</w:t>
            </w:r>
          </w:p>
        </w:tc>
        <w:tc>
          <w:tcPr>
            <w:tcW w:w="94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6"/>
        </w:trPr>
        <w:tc>
          <w:tcPr>
            <w:tcW w:w="5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Secretary and Chief Ethics &amp; Compliance Officer</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Executive officers serve at the discretion of the Board of Directors of Scotts Miracle-Gro and pursuant to employment agreements or other arrangements.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business experience of each of the individuals listed above during at least the past five years is as follows:</w:t>
      </w:r>
    </w:p>
    <w:p>
      <w:pPr>
        <w:spacing w:after="0" w:line="96" w:lineRule="exact"/>
        <w:rPr>
          <w:sz w:val="20"/>
          <w:szCs w:val="20"/>
          <w:color w:val="auto"/>
        </w:rPr>
      </w:pPr>
    </w:p>
    <w:p>
      <w:pPr>
        <w:ind w:left="1080" w:right="100" w:firstLine="383"/>
        <w:spacing w:after="0" w:line="260" w:lineRule="auto"/>
        <w:rPr>
          <w:sz w:val="20"/>
          <w:szCs w:val="20"/>
          <w:color w:val="auto"/>
        </w:rPr>
      </w:pPr>
      <w:r>
        <w:rPr>
          <w:rFonts w:ascii="Arial" w:cs="Arial" w:eastAsia="Arial" w:hAnsi="Arial"/>
          <w:sz w:val="13"/>
          <w:szCs w:val="13"/>
          <w:i w:val="1"/>
          <w:iCs w:val="1"/>
          <w:color w:val="auto"/>
        </w:rPr>
        <w:t xml:space="preserve">Mr. Hagedorn </w:t>
      </w:r>
      <w:r>
        <w:rPr>
          <w:rFonts w:ascii="Arial" w:cs="Arial" w:eastAsia="Arial" w:hAnsi="Arial"/>
          <w:sz w:val="13"/>
          <w:szCs w:val="13"/>
          <w:color w:val="auto"/>
        </w:rPr>
        <w:t>was named Chairman of the Board of Scotts Miracle-Gro’s predecessor in January 2003 and named Chief Executive Officer of Scotts Miracle-Gro’s</w:t>
      </w:r>
      <w:r>
        <w:rPr>
          <w:rFonts w:ascii="Arial" w:cs="Arial" w:eastAsia="Arial" w:hAnsi="Arial"/>
          <w:sz w:val="13"/>
          <w:szCs w:val="13"/>
          <w:i w:val="1"/>
          <w:iCs w:val="1"/>
          <w:color w:val="auto"/>
        </w:rPr>
        <w:t xml:space="preserve"> </w:t>
      </w:r>
      <w:r>
        <w:rPr>
          <w:rFonts w:ascii="Arial" w:cs="Arial" w:eastAsia="Arial" w:hAnsi="Arial"/>
          <w:sz w:val="13"/>
          <w:szCs w:val="13"/>
          <w:color w:val="auto"/>
        </w:rPr>
        <w:t>predecessor in May 2001. He also served as President of Scotts Miracle-Gro (or its predecessor) from November 2006 until October 2008 and from May 2001 until December 2005. Mr. Hagedorn serves on Scotts Miracle-Gro’s Board of Directors, a position he has held with Scotts Miracle-Gro (or its predecessor) since 1995. Mr. Hagedorn is the brother of Katherine Hagedorn Littlefield, a director of Scotts Miracle-Gro.</w:t>
      </w:r>
    </w:p>
    <w:p>
      <w:pPr>
        <w:spacing w:after="0" w:line="70" w:lineRule="exact"/>
        <w:rPr>
          <w:sz w:val="20"/>
          <w:szCs w:val="20"/>
          <w:color w:val="auto"/>
        </w:rPr>
      </w:pPr>
    </w:p>
    <w:p>
      <w:pPr>
        <w:ind w:left="1080" w:right="260" w:firstLine="383"/>
        <w:spacing w:after="0" w:line="257" w:lineRule="auto"/>
        <w:rPr>
          <w:sz w:val="20"/>
          <w:szCs w:val="20"/>
          <w:color w:val="auto"/>
        </w:rPr>
      </w:pPr>
      <w:r>
        <w:rPr>
          <w:rFonts w:ascii="Arial" w:cs="Arial" w:eastAsia="Arial" w:hAnsi="Arial"/>
          <w:sz w:val="13"/>
          <w:szCs w:val="13"/>
          <w:i w:val="1"/>
          <w:iCs w:val="1"/>
          <w:color w:val="auto"/>
        </w:rPr>
        <w:t xml:space="preserve">Mr. Sanders </w:t>
      </w:r>
      <w:r>
        <w:rPr>
          <w:rFonts w:ascii="Arial" w:cs="Arial" w:eastAsia="Arial" w:hAnsi="Arial"/>
          <w:sz w:val="13"/>
          <w:szCs w:val="13"/>
          <w:color w:val="auto"/>
        </w:rPr>
        <w:t>was named President of Scotts Miracle-Gro in October 2010. In this position, Mr. Sanders oversees all business unit and operating functions at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his election as President, Mr. Sanders had served as the Company’s Executive Vice President, Global Consumer since June 2010. Previously, he served as Executive Vice President, North America of Scotts Miracle-Gro from September 2007 until May 2010. He served as Executive Vice President of Global Technology and Operations of Scotts Miracle-Gro from January to September 2007, where he was responsible for the Company’s supply chain and information systems, as well as research and development efforts. Before January 2007, he led the North American and global supply chain organizations as well as the North American sales force. In 2005, Mr. Sanders ran the Smith &amp; Hawken business on an interim basis.</w:t>
      </w:r>
    </w:p>
    <w:p>
      <w:pPr>
        <w:spacing w:after="0" w:line="72" w:lineRule="exact"/>
        <w:rPr>
          <w:sz w:val="20"/>
          <w:szCs w:val="20"/>
          <w:color w:val="auto"/>
        </w:rPr>
      </w:pPr>
    </w:p>
    <w:p>
      <w:pPr>
        <w:ind w:left="1080" w:right="100" w:firstLine="383"/>
        <w:spacing w:after="0" w:line="276" w:lineRule="auto"/>
        <w:rPr>
          <w:sz w:val="20"/>
          <w:szCs w:val="20"/>
          <w:color w:val="auto"/>
        </w:rPr>
      </w:pPr>
      <w:r>
        <w:rPr>
          <w:rFonts w:ascii="Arial" w:cs="Arial" w:eastAsia="Arial" w:hAnsi="Arial"/>
          <w:sz w:val="13"/>
          <w:szCs w:val="13"/>
          <w:i w:val="1"/>
          <w:iCs w:val="1"/>
          <w:color w:val="auto"/>
        </w:rPr>
        <w:t xml:space="preserve">Mr. Evans </w:t>
      </w:r>
      <w:r>
        <w:rPr>
          <w:rFonts w:ascii="Arial" w:cs="Arial" w:eastAsia="Arial" w:hAnsi="Arial"/>
          <w:sz w:val="13"/>
          <w:szCs w:val="13"/>
          <w:color w:val="auto"/>
        </w:rPr>
        <w:t>was named Executive Vice President and Chief Financial Officer of Scotts Miracle-Gro on September 14, 2006. From October 2005 to September 2006, he served</w:t>
      </w:r>
      <w:r>
        <w:rPr>
          <w:rFonts w:ascii="Arial" w:cs="Arial" w:eastAsia="Arial" w:hAnsi="Arial"/>
          <w:sz w:val="13"/>
          <w:szCs w:val="13"/>
          <w:i w:val="1"/>
          <w:iCs w:val="1"/>
          <w:color w:val="auto"/>
        </w:rPr>
        <w:t xml:space="preserve"> </w:t>
      </w:r>
      <w:r>
        <w:rPr>
          <w:rFonts w:ascii="Arial" w:cs="Arial" w:eastAsia="Arial" w:hAnsi="Arial"/>
          <w:sz w:val="13"/>
          <w:szCs w:val="13"/>
          <w:color w:val="auto"/>
        </w:rPr>
        <w:t>as Senior Vice President, Finance and Global Shared Services of The Scotts Company LLC (“Scotts LLC”).</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Ms. Stump </w:t>
      </w:r>
      <w:r>
        <w:rPr>
          <w:rFonts w:ascii="Arial" w:cs="Arial" w:eastAsia="Arial" w:hAnsi="Arial"/>
          <w:sz w:val="13"/>
          <w:szCs w:val="13"/>
          <w:color w:val="auto"/>
        </w:rPr>
        <w:t>has served as Executive Vice President, Global Human Resources of Scotts Miracle-Gro (or its predecessor) since February 2003.</w:t>
      </w:r>
    </w:p>
    <w:p>
      <w:pPr>
        <w:spacing w:after="0" w:line="96" w:lineRule="exact"/>
        <w:rPr>
          <w:sz w:val="20"/>
          <w:szCs w:val="20"/>
          <w:color w:val="auto"/>
        </w:rPr>
      </w:pPr>
    </w:p>
    <w:p>
      <w:pPr>
        <w:jc w:val="both"/>
        <w:ind w:left="1080" w:right="260" w:firstLine="383"/>
        <w:spacing w:after="0" w:line="264" w:lineRule="auto"/>
        <w:rPr>
          <w:sz w:val="20"/>
          <w:szCs w:val="20"/>
          <w:color w:val="auto"/>
        </w:rPr>
      </w:pPr>
      <w:r>
        <w:rPr>
          <w:rFonts w:ascii="Arial" w:cs="Arial" w:eastAsia="Arial" w:hAnsi="Arial"/>
          <w:sz w:val="13"/>
          <w:szCs w:val="13"/>
          <w:i w:val="1"/>
          <w:iCs w:val="1"/>
          <w:color w:val="auto"/>
        </w:rPr>
        <w:t xml:space="preserve">Mr. Brockman </w:t>
      </w:r>
      <w:r>
        <w:rPr>
          <w:rFonts w:ascii="Arial" w:cs="Arial" w:eastAsia="Arial" w:hAnsi="Arial"/>
          <w:sz w:val="13"/>
          <w:szCs w:val="13"/>
          <w:color w:val="auto"/>
        </w:rPr>
        <w:t>was named Executive Vice President, General Counsel and Corporate Secretary of Scotts Miracle-Gro in January 2008 and was also named Chief Ethics &amp;</w:t>
      </w:r>
      <w:r>
        <w:rPr>
          <w:rFonts w:ascii="Arial" w:cs="Arial" w:eastAsia="Arial" w:hAnsi="Arial"/>
          <w:sz w:val="13"/>
          <w:szCs w:val="13"/>
          <w:i w:val="1"/>
          <w:iCs w:val="1"/>
          <w:color w:val="auto"/>
        </w:rPr>
        <w:t xml:space="preserve"> </w:t>
      </w:r>
      <w:r>
        <w:rPr>
          <w:rFonts w:ascii="Arial" w:cs="Arial" w:eastAsia="Arial" w:hAnsi="Arial"/>
          <w:sz w:val="13"/>
          <w:szCs w:val="13"/>
          <w:color w:val="auto"/>
        </w:rPr>
        <w:t>Compliance Officer in May 2009. From April 2006 until January 2008, he served as Chief Ethics &amp; Compliance Officer and Chief Administrative Officer of Scotts LLC. Prior to April 2006, he had served as Chief Ethics &amp; Compliance Officer of Scotts LLC (or its predecessor) since 2004.</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u w:val="single" w:color="auto"/>
          <w:color w:val="auto"/>
        </w:rPr>
        <w:t>ITEM 5.</w:t>
      </w:r>
      <w:r>
        <w:rPr>
          <w:sz w:val="20"/>
          <w:szCs w:val="20"/>
          <w:color w:val="auto"/>
        </w:rPr>
        <w:tab/>
      </w:r>
      <w:r>
        <w:rPr>
          <w:rFonts w:ascii="Arial" w:cs="Arial" w:eastAsia="Arial" w:hAnsi="Arial"/>
          <w:sz w:val="12"/>
          <w:szCs w:val="12"/>
          <w:b w:val="1"/>
          <w:bCs w:val="1"/>
          <w:i w:val="1"/>
          <w:iCs w:val="1"/>
          <w:u w:val="single" w:color="auto"/>
          <w:color w:val="auto"/>
        </w:rPr>
        <w:t>MARKET FOR REGISTRANT’S COMMON EQUITY, RELATED STOCKHOLDER MATTERS AND ISSUER PURCHASES OF EQUITY SECURITIES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common shares of Scotts Miracle-Gro (the “Common Shares”) trade on the New York Stock Exchange under the symbol “SMG.” The quarterly high and low sale prices for the fiscal years ended September 30, 2010 and 2009 were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0"/>
                <w:szCs w:val="10"/>
                <w:b w:val="1"/>
                <w:bCs w:val="1"/>
                <w:color w:val="auto"/>
                <w:w w:val="97"/>
              </w:rPr>
              <w:t>Sale Prices</w:t>
            </w:r>
          </w:p>
        </w:tc>
      </w:tr>
      <w:tr>
        <w:trPr>
          <w:trHeight w:val="98"/>
        </w:trPr>
        <w:tc>
          <w:tcPr>
            <w:tcW w:w="8320" w:type="dxa"/>
            <w:vAlign w:val="bottom"/>
          </w:tcPr>
          <w:p>
            <w:pPr>
              <w:spacing w:after="0"/>
              <w:rPr>
                <w:sz w:val="8"/>
                <w:szCs w:val="8"/>
                <w:color w:val="auto"/>
              </w:rPr>
            </w:pPr>
          </w:p>
        </w:tc>
        <w:tc>
          <w:tcPr>
            <w:tcW w:w="54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High</w:t>
            </w:r>
          </w:p>
        </w:tc>
        <w:tc>
          <w:tcPr>
            <w:tcW w:w="1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Low</w:t>
            </w:r>
          </w:p>
        </w:tc>
      </w:tr>
      <w:tr>
        <w:trPr>
          <w:trHeight w:val="29"/>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FISCAL 2010</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First quarter</w:t>
            </w:r>
          </w:p>
        </w:tc>
        <w:tc>
          <w:tcPr>
            <w:tcW w:w="540" w:type="dxa"/>
            <w:vAlign w:val="bottom"/>
          </w:tcPr>
          <w:p>
            <w:pPr>
              <w:jc w:val="right"/>
              <w:spacing w:after="0"/>
              <w:rPr>
                <w:sz w:val="20"/>
                <w:szCs w:val="20"/>
                <w:color w:val="auto"/>
              </w:rPr>
            </w:pPr>
            <w:r>
              <w:rPr>
                <w:rFonts w:ascii="Arial" w:cs="Arial" w:eastAsia="Arial" w:hAnsi="Arial"/>
                <w:sz w:val="13"/>
                <w:szCs w:val="13"/>
                <w:color w:val="auto"/>
              </w:rPr>
              <w:t>$44.14</w:t>
            </w:r>
          </w:p>
        </w:tc>
        <w:tc>
          <w:tcPr>
            <w:tcW w:w="1120" w:type="dxa"/>
            <w:vAlign w:val="bottom"/>
            <w:gridSpan w:val="3"/>
          </w:tcPr>
          <w:p>
            <w:pPr>
              <w:jc w:val="right"/>
              <w:ind w:right="148"/>
              <w:spacing w:after="0"/>
              <w:rPr>
                <w:sz w:val="20"/>
                <w:szCs w:val="20"/>
                <w:color w:val="auto"/>
              </w:rPr>
            </w:pPr>
            <w:r>
              <w:rPr>
                <w:rFonts w:ascii="Arial" w:cs="Arial" w:eastAsia="Arial" w:hAnsi="Arial"/>
                <w:sz w:val="13"/>
                <w:szCs w:val="13"/>
                <w:color w:val="auto"/>
              </w:rPr>
              <w:t>$38.52</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$46.94</w:t>
            </w:r>
          </w:p>
        </w:tc>
        <w:tc>
          <w:tcPr>
            <w:tcW w:w="112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$37.50</w:t>
            </w: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Third quarter</w:t>
            </w:r>
          </w:p>
        </w:tc>
        <w:tc>
          <w:tcPr>
            <w:tcW w:w="540" w:type="dxa"/>
            <w:vAlign w:val="bottom"/>
          </w:tcPr>
          <w:p>
            <w:pPr>
              <w:jc w:val="right"/>
              <w:spacing w:after="0"/>
              <w:rPr>
                <w:sz w:val="20"/>
                <w:szCs w:val="20"/>
                <w:color w:val="auto"/>
              </w:rPr>
            </w:pPr>
            <w:r>
              <w:rPr>
                <w:rFonts w:ascii="Arial" w:cs="Arial" w:eastAsia="Arial" w:hAnsi="Arial"/>
                <w:sz w:val="13"/>
                <w:szCs w:val="13"/>
                <w:color w:val="auto"/>
              </w:rPr>
              <w:t>$49.58</w:t>
            </w:r>
          </w:p>
        </w:tc>
        <w:tc>
          <w:tcPr>
            <w:tcW w:w="1120" w:type="dxa"/>
            <w:vAlign w:val="bottom"/>
            <w:gridSpan w:val="3"/>
          </w:tcPr>
          <w:p>
            <w:pPr>
              <w:jc w:val="right"/>
              <w:ind w:right="148"/>
              <w:spacing w:after="0"/>
              <w:rPr>
                <w:sz w:val="20"/>
                <w:szCs w:val="20"/>
                <w:color w:val="auto"/>
              </w:rPr>
            </w:pPr>
            <w:r>
              <w:rPr>
                <w:rFonts w:ascii="Arial" w:cs="Arial" w:eastAsia="Arial" w:hAnsi="Arial"/>
                <w:sz w:val="13"/>
                <w:szCs w:val="13"/>
                <w:color w:val="auto"/>
              </w:rPr>
              <w:t>$42.03</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$52.56</w:t>
            </w:r>
          </w:p>
        </w:tc>
        <w:tc>
          <w:tcPr>
            <w:tcW w:w="112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$43.88</w:t>
            </w: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FISCAL 2009</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$32.36</w:t>
            </w:r>
          </w:p>
        </w:tc>
        <w:tc>
          <w:tcPr>
            <w:tcW w:w="112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$18.27</w:t>
            </w: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Second quarter</w:t>
            </w:r>
          </w:p>
        </w:tc>
        <w:tc>
          <w:tcPr>
            <w:tcW w:w="540" w:type="dxa"/>
            <w:vAlign w:val="bottom"/>
          </w:tcPr>
          <w:p>
            <w:pPr>
              <w:jc w:val="right"/>
              <w:spacing w:after="0"/>
              <w:rPr>
                <w:sz w:val="20"/>
                <w:szCs w:val="20"/>
                <w:color w:val="auto"/>
              </w:rPr>
            </w:pPr>
            <w:r>
              <w:rPr>
                <w:rFonts w:ascii="Arial" w:cs="Arial" w:eastAsia="Arial" w:hAnsi="Arial"/>
                <w:sz w:val="13"/>
                <w:szCs w:val="13"/>
                <w:color w:val="auto"/>
              </w:rPr>
              <w:t>$36.50</w:t>
            </w:r>
          </w:p>
        </w:tc>
        <w:tc>
          <w:tcPr>
            <w:tcW w:w="1120" w:type="dxa"/>
            <w:vAlign w:val="bottom"/>
            <w:gridSpan w:val="3"/>
          </w:tcPr>
          <w:p>
            <w:pPr>
              <w:jc w:val="right"/>
              <w:ind w:right="148"/>
              <w:spacing w:after="0"/>
              <w:rPr>
                <w:sz w:val="20"/>
                <w:szCs w:val="20"/>
                <w:color w:val="auto"/>
              </w:rPr>
            </w:pPr>
            <w:r>
              <w:rPr>
                <w:rFonts w:ascii="Arial" w:cs="Arial" w:eastAsia="Arial" w:hAnsi="Arial"/>
                <w:sz w:val="13"/>
                <w:szCs w:val="13"/>
                <w:color w:val="auto"/>
              </w:rPr>
              <w:t>$24.89</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$39.06</w:t>
            </w:r>
          </w:p>
        </w:tc>
        <w:tc>
          <w:tcPr>
            <w:tcW w:w="112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$30.49</w:t>
            </w:r>
          </w:p>
        </w:tc>
      </w:tr>
      <w:tr>
        <w:trPr>
          <w:trHeight w:val="165"/>
        </w:trPr>
        <w:tc>
          <w:tcPr>
            <w:tcW w:w="8320" w:type="dxa"/>
            <w:vAlign w:val="bottom"/>
          </w:tcPr>
          <w:p>
            <w:pPr>
              <w:spacing w:after="0"/>
              <w:rPr>
                <w:sz w:val="20"/>
                <w:szCs w:val="20"/>
                <w:color w:val="auto"/>
              </w:rPr>
            </w:pPr>
            <w:r>
              <w:rPr>
                <w:rFonts w:ascii="Arial" w:cs="Arial" w:eastAsia="Arial" w:hAnsi="Arial"/>
                <w:sz w:val="13"/>
                <w:szCs w:val="13"/>
                <w:color w:val="auto"/>
              </w:rPr>
              <w:t>Fourth quarter</w:t>
            </w:r>
          </w:p>
        </w:tc>
        <w:tc>
          <w:tcPr>
            <w:tcW w:w="540" w:type="dxa"/>
            <w:vAlign w:val="bottom"/>
          </w:tcPr>
          <w:p>
            <w:pPr>
              <w:jc w:val="right"/>
              <w:spacing w:after="0"/>
              <w:rPr>
                <w:sz w:val="20"/>
                <w:szCs w:val="20"/>
                <w:color w:val="auto"/>
              </w:rPr>
            </w:pPr>
            <w:r>
              <w:rPr>
                <w:rFonts w:ascii="Arial" w:cs="Arial" w:eastAsia="Arial" w:hAnsi="Arial"/>
                <w:sz w:val="13"/>
                <w:szCs w:val="13"/>
                <w:color w:val="auto"/>
              </w:rPr>
              <w:t>$44.25</w:t>
            </w:r>
          </w:p>
        </w:tc>
        <w:tc>
          <w:tcPr>
            <w:tcW w:w="1120" w:type="dxa"/>
            <w:vAlign w:val="bottom"/>
            <w:gridSpan w:val="3"/>
          </w:tcPr>
          <w:p>
            <w:pPr>
              <w:jc w:val="right"/>
              <w:ind w:right="148"/>
              <w:spacing w:after="0"/>
              <w:rPr>
                <w:sz w:val="20"/>
                <w:szCs w:val="20"/>
                <w:color w:val="auto"/>
              </w:rPr>
            </w:pPr>
            <w:r>
              <w:rPr>
                <w:rFonts w:ascii="Arial" w:cs="Arial" w:eastAsia="Arial" w:hAnsi="Arial"/>
                <w:sz w:val="13"/>
                <w:szCs w:val="13"/>
                <w:color w:val="auto"/>
              </w:rPr>
              <w:t>$33.13</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quarterly dividend of $0.125 per Common Share was paid in December, February, June and September of fiscal 2009 and December, February and June of fiscal 2010. 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August 10, 2010, Scotts Miracle-Gro announced that its Board of Directors had increased the quarterly cash dividend to $0.25 per Common Share, which was first paid in September of fiscal</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2010. The payment of future dividends, if any, on the Common Shares will be determined by the Board of Directors in light of conditions then existing, including the Company’s earnings,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financial condition and capital requirements, restrictions in financing agreements, business conditions and other factors. Future dividend payments are currently restricted to an aggregate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$75 million annually under our existing credit facilities. See “NOTE 11. DEBT” of the Notes to Consolidated Financial Statements included in this Annual Report on Form 10-K for further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discussion regarding the restrictions on dividend payments.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November 18, 2010, there were approximately 31,500 shareholders, including holders of record and our estimate of beneficial holders.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shows the purchases of Common Shares made by or on behalf of Scotts Miracle-Gro or any “affiliated purchaser” (as defined in Rule 10b-18(a)(3) under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 Exchange Act of 1934, as amended) of Scotts Miracle-Gro for each of the three fiscal months in the quarter ended September 30, 2010:</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2"/>
              </w:rPr>
              <w:t>Total Number of</w:t>
            </w:r>
          </w:p>
        </w:tc>
        <w:tc>
          <w:tcPr>
            <w:tcW w:w="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9"/>
              </w:rPr>
              <w:t>Common Shares</w:t>
            </w:r>
          </w:p>
        </w:tc>
        <w:tc>
          <w:tcPr>
            <w:tcW w:w="200" w:type="dxa"/>
            <w:vAlign w:val="bottom"/>
          </w:tcPr>
          <w:p>
            <w:pPr>
              <w:spacing w:after="0"/>
              <w:rPr>
                <w:sz w:val="8"/>
                <w:szCs w:val="8"/>
                <w:color w:val="auto"/>
              </w:rPr>
            </w:pPr>
          </w:p>
        </w:tc>
        <w:tc>
          <w:tcPr>
            <w:tcW w:w="15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6"/>
              </w:rPr>
              <w:t>Approximate Dollar</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8"/>
              </w:rPr>
              <w:t>Purchased as</w:t>
            </w:r>
          </w:p>
        </w:tc>
        <w:tc>
          <w:tcPr>
            <w:tcW w:w="200" w:type="dxa"/>
            <w:vAlign w:val="bottom"/>
          </w:tcPr>
          <w:p>
            <w:pPr>
              <w:spacing w:after="0"/>
              <w:rPr>
                <w:sz w:val="8"/>
                <w:szCs w:val="8"/>
                <w:color w:val="auto"/>
              </w:rPr>
            </w:pPr>
          </w:p>
        </w:tc>
        <w:tc>
          <w:tcPr>
            <w:tcW w:w="15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1"/>
              </w:rPr>
              <w:t>Value of Common Shares</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2"/>
              </w:rPr>
              <w:t>Total Number of</w:t>
            </w: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94"/>
              </w:rPr>
              <w:t>Part of Publicly</w:t>
            </w:r>
          </w:p>
        </w:tc>
        <w:tc>
          <w:tcPr>
            <w:tcW w:w="200" w:type="dxa"/>
            <w:vAlign w:val="bottom"/>
          </w:tcPr>
          <w:p>
            <w:pPr>
              <w:spacing w:after="0"/>
              <w:rPr>
                <w:sz w:val="8"/>
                <w:szCs w:val="8"/>
                <w:color w:val="auto"/>
              </w:rPr>
            </w:pPr>
          </w:p>
        </w:tc>
        <w:tc>
          <w:tcPr>
            <w:tcW w:w="15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3"/>
              </w:rPr>
              <w:t>That May Yet be</w:t>
            </w:r>
          </w:p>
        </w:tc>
        <w:tc>
          <w:tcPr>
            <w:tcW w:w="0" w:type="dxa"/>
            <w:vAlign w:val="bottom"/>
          </w:tcPr>
          <w:p>
            <w:pPr>
              <w:spacing w:after="0"/>
              <w:rPr>
                <w:sz w:val="1"/>
                <w:szCs w:val="1"/>
                <w:color w:val="auto"/>
              </w:rPr>
            </w:pPr>
          </w:p>
        </w:tc>
      </w:tr>
      <w:tr>
        <w:trPr>
          <w:trHeight w:val="108"/>
        </w:trPr>
        <w:tc>
          <w:tcPr>
            <w:tcW w:w="3820" w:type="dxa"/>
            <w:vAlign w:val="bottom"/>
            <w:gridSpan w:val="2"/>
            <w:vMerge w:val="restart"/>
          </w:tcPr>
          <w:p>
            <w:pPr>
              <w:spacing w:after="0"/>
              <w:rPr>
                <w:sz w:val="20"/>
                <w:szCs w:val="20"/>
                <w:color w:val="auto"/>
              </w:rPr>
            </w:pPr>
            <w:r>
              <w:rPr>
                <w:rFonts w:ascii="Arial" w:cs="Arial" w:eastAsia="Arial" w:hAnsi="Arial"/>
                <w:sz w:val="9"/>
                <w:szCs w:val="9"/>
                <w:b w:val="1"/>
                <w:bCs w:val="1"/>
                <w:u w:val="single" w:color="auto"/>
                <w:color w:val="auto"/>
              </w:rPr>
              <w:t>P</w:t>
            </w:r>
            <w:r>
              <w:rPr>
                <w:rFonts w:ascii="Arial" w:cs="Arial" w:eastAsia="Arial" w:hAnsi="Arial"/>
                <w:sz w:val="9"/>
                <w:szCs w:val="9"/>
                <w:b w:val="1"/>
                <w:bCs w:val="1"/>
                <w:color w:val="auto"/>
              </w:rPr>
              <w:t>eriod</w:t>
            </w:r>
          </w:p>
        </w:tc>
        <w:tc>
          <w:tcPr>
            <w:tcW w:w="12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9"/>
              </w:rPr>
              <w:t>Common Shares</w:t>
            </w:r>
          </w:p>
        </w:tc>
        <w:tc>
          <w:tcPr>
            <w:tcW w:w="180" w:type="dxa"/>
            <w:vAlign w:val="bottom"/>
          </w:tcPr>
          <w:p>
            <w:pPr>
              <w:spacing w:after="0"/>
              <w:rPr>
                <w:sz w:val="9"/>
                <w:szCs w:val="9"/>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0"/>
              </w:rPr>
              <w:t>Average Price Paid</w:t>
            </w:r>
          </w:p>
        </w:tc>
        <w:tc>
          <w:tcPr>
            <w:tcW w:w="14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Announced Plans or</w:t>
            </w:r>
          </w:p>
        </w:tc>
        <w:tc>
          <w:tcPr>
            <w:tcW w:w="200" w:type="dxa"/>
            <w:vAlign w:val="bottom"/>
          </w:tcPr>
          <w:p>
            <w:pPr>
              <w:spacing w:after="0"/>
              <w:rPr>
                <w:sz w:val="9"/>
                <w:szCs w:val="9"/>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2"/>
              </w:rPr>
              <w:t>Purchased Under the</w:t>
            </w:r>
          </w:p>
        </w:tc>
        <w:tc>
          <w:tcPr>
            <w:tcW w:w="0" w:type="dxa"/>
            <w:vAlign w:val="bottom"/>
          </w:tcPr>
          <w:p>
            <w:pPr>
              <w:spacing w:after="0"/>
              <w:rPr>
                <w:sz w:val="1"/>
                <w:szCs w:val="1"/>
                <w:color w:val="auto"/>
              </w:rPr>
            </w:pPr>
          </w:p>
        </w:tc>
      </w:tr>
      <w:tr>
        <w:trPr>
          <w:trHeight w:val="111"/>
        </w:trPr>
        <w:tc>
          <w:tcPr>
            <w:tcW w:w="3820" w:type="dxa"/>
            <w:vAlign w:val="bottom"/>
            <w:gridSpan w:val="2"/>
            <w:vMerge w:val="continue"/>
          </w:tcPr>
          <w:p>
            <w:pPr>
              <w:spacing w:after="0"/>
              <w:rPr>
                <w:sz w:val="9"/>
                <w:szCs w:val="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Purchased(1)</w:t>
            </w:r>
          </w:p>
        </w:tc>
        <w:tc>
          <w:tcPr>
            <w:tcW w:w="180" w:type="dxa"/>
            <w:vAlign w:val="bottom"/>
          </w:tcPr>
          <w:p>
            <w:pPr>
              <w:spacing w:after="0"/>
              <w:rPr>
                <w:sz w:val="9"/>
                <w:szCs w:val="9"/>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1"/>
              </w:rPr>
              <w:t>per Common Share(2)</w:t>
            </w:r>
          </w:p>
        </w:tc>
        <w:tc>
          <w:tcPr>
            <w:tcW w:w="14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4"/>
              </w:rPr>
              <w:t>Programs(3)</w:t>
            </w:r>
          </w:p>
        </w:tc>
        <w:tc>
          <w:tcPr>
            <w:tcW w:w="200" w:type="dxa"/>
            <w:vAlign w:val="bottom"/>
          </w:tcPr>
          <w:p>
            <w:pPr>
              <w:spacing w:after="0"/>
              <w:rPr>
                <w:sz w:val="9"/>
                <w:szCs w:val="9"/>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2"/>
              </w:rPr>
              <w:t>Plans or Programs(3)</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July 4 through July 31, 2010</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48.33</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w:t>
            </w:r>
          </w:p>
        </w:tc>
        <w:tc>
          <w:tcPr>
            <w:tcW w:w="2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Not applicable</w:t>
            </w:r>
          </w:p>
        </w:tc>
        <w:tc>
          <w:tcPr>
            <w:tcW w:w="0" w:type="dxa"/>
            <w:vAlign w:val="bottom"/>
          </w:tcPr>
          <w:p>
            <w:pPr>
              <w:spacing w:after="0"/>
              <w:rPr>
                <w:sz w:val="1"/>
                <w:szCs w:val="1"/>
                <w:color w:val="auto"/>
              </w:rPr>
            </w:pPr>
          </w:p>
        </w:tc>
      </w:tr>
      <w:tr>
        <w:trPr>
          <w:trHeight w:val="147"/>
        </w:trPr>
        <w:tc>
          <w:tcPr>
            <w:tcW w:w="3820" w:type="dxa"/>
            <w:vAlign w:val="bottom"/>
            <w:gridSpan w:val="2"/>
          </w:tcPr>
          <w:p>
            <w:pPr>
              <w:spacing w:after="0"/>
              <w:rPr>
                <w:sz w:val="20"/>
                <w:szCs w:val="20"/>
                <w:color w:val="auto"/>
              </w:rPr>
            </w:pPr>
            <w:r>
              <w:rPr>
                <w:rFonts w:ascii="Arial" w:cs="Arial" w:eastAsia="Arial" w:hAnsi="Arial"/>
                <w:sz w:val="12"/>
                <w:szCs w:val="12"/>
                <w:color w:val="auto"/>
              </w:rPr>
              <w:t>August 1 through August 28, 2010</w:t>
            </w:r>
          </w:p>
        </w:tc>
        <w:tc>
          <w:tcPr>
            <w:tcW w:w="1000" w:type="dxa"/>
            <w:vAlign w:val="bottom"/>
          </w:tcPr>
          <w:p>
            <w:pPr>
              <w:jc w:val="right"/>
              <w:spacing w:after="0"/>
              <w:rPr>
                <w:sz w:val="20"/>
                <w:szCs w:val="20"/>
                <w:color w:val="auto"/>
              </w:rPr>
            </w:pPr>
            <w:r>
              <w:rPr>
                <w:rFonts w:ascii="Arial" w:cs="Arial" w:eastAsia="Arial" w:hAnsi="Arial"/>
                <w:sz w:val="12"/>
                <w:szCs w:val="12"/>
                <w:color w:val="auto"/>
              </w:rPr>
              <w:t>103,461</w:t>
            </w:r>
          </w:p>
        </w:tc>
        <w:tc>
          <w:tcPr>
            <w:tcW w:w="20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520" w:type="dxa"/>
            <w:vAlign w:val="bottom"/>
            <w:gridSpan w:val="2"/>
          </w:tcPr>
          <w:p>
            <w:pPr>
              <w:jc w:val="right"/>
              <w:ind w:right="200"/>
              <w:spacing w:after="0"/>
              <w:rPr>
                <w:sz w:val="20"/>
                <w:szCs w:val="20"/>
                <w:color w:val="auto"/>
              </w:rPr>
            </w:pPr>
            <w:r>
              <w:rPr>
                <w:rFonts w:ascii="Arial" w:cs="Arial" w:eastAsia="Arial" w:hAnsi="Arial"/>
                <w:sz w:val="12"/>
                <w:szCs w:val="12"/>
                <w:color w:val="auto"/>
              </w:rPr>
              <w:t>48.24</w:t>
            </w:r>
          </w:p>
        </w:tc>
        <w:tc>
          <w:tcPr>
            <w:tcW w:w="1480" w:type="dxa"/>
            <w:vAlign w:val="bottom"/>
            <w:gridSpan w:val="2"/>
          </w:tcPr>
          <w:p>
            <w:pPr>
              <w:jc w:val="right"/>
              <w:ind w:right="200"/>
              <w:spacing w:after="0"/>
              <w:rPr>
                <w:sz w:val="20"/>
                <w:szCs w:val="20"/>
                <w:color w:val="auto"/>
              </w:rPr>
            </w:pPr>
            <w:r>
              <w:rPr>
                <w:rFonts w:ascii="Arial" w:cs="Arial" w:eastAsia="Arial" w:hAnsi="Arial"/>
                <w:sz w:val="12"/>
                <w:szCs w:val="12"/>
                <w:color w:val="auto"/>
              </w:rPr>
              <w:t>103,200</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580" w:type="dxa"/>
            <w:vAlign w:val="bottom"/>
            <w:gridSpan w:val="2"/>
          </w:tcPr>
          <w:p>
            <w:pPr>
              <w:jc w:val="right"/>
              <w:ind w:right="100"/>
              <w:spacing w:after="0"/>
              <w:rPr>
                <w:sz w:val="20"/>
                <w:szCs w:val="20"/>
                <w:color w:val="auto"/>
              </w:rPr>
            </w:pPr>
            <w:r>
              <w:rPr>
                <w:rFonts w:ascii="Arial" w:cs="Arial" w:eastAsia="Arial" w:hAnsi="Arial"/>
                <w:sz w:val="12"/>
                <w:szCs w:val="12"/>
                <w:color w:val="auto"/>
              </w:rPr>
              <w:t>495,021,603</w:t>
            </w:r>
          </w:p>
        </w:tc>
        <w:tc>
          <w:tcPr>
            <w:tcW w:w="0" w:type="dxa"/>
            <w:vAlign w:val="bottom"/>
          </w:tcPr>
          <w:p>
            <w:pPr>
              <w:spacing w:after="0"/>
              <w:rPr>
                <w:sz w:val="1"/>
                <w:szCs w:val="1"/>
                <w:color w:val="auto"/>
              </w:rPr>
            </w:pPr>
          </w:p>
        </w:tc>
      </w:tr>
      <w:tr>
        <w:trPr>
          <w:trHeight w:val="147"/>
        </w:trPr>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August 29 through September 30, 2010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402,391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49.89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400,984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475,015,123</w:t>
            </w:r>
          </w:p>
        </w:tc>
        <w:tc>
          <w:tcPr>
            <w:tcW w:w="0" w:type="dxa"/>
            <w:vAlign w:val="bottom"/>
          </w:tcPr>
          <w:p>
            <w:pPr>
              <w:spacing w:after="0"/>
              <w:rPr>
                <w:sz w:val="1"/>
                <w:szCs w:val="1"/>
                <w:color w:val="auto"/>
              </w:rPr>
            </w:pPr>
          </w:p>
        </w:tc>
      </w:tr>
      <w:tr>
        <w:trPr>
          <w:trHeight w:val="157"/>
        </w:trPr>
        <w:tc>
          <w:tcPr>
            <w:tcW w:w="3820" w:type="dxa"/>
            <w:vAlign w:val="bottom"/>
            <w:gridSpan w:val="2"/>
          </w:tcPr>
          <w:p>
            <w:pPr>
              <w:spacing w:after="0"/>
              <w:rPr>
                <w:sz w:val="20"/>
                <w:szCs w:val="20"/>
                <w:color w:val="auto"/>
              </w:rPr>
            </w:pPr>
            <w:r>
              <w:rPr>
                <w:rFonts w:ascii="Arial" w:cs="Arial" w:eastAsia="Arial" w:hAnsi="Arial"/>
                <w:sz w:val="12"/>
                <w:szCs w:val="12"/>
                <w:color w:val="auto"/>
              </w:rPr>
              <w:t>Total</w:t>
            </w:r>
          </w:p>
        </w:tc>
        <w:tc>
          <w:tcPr>
            <w:tcW w:w="1000" w:type="dxa"/>
            <w:vAlign w:val="bottom"/>
          </w:tcPr>
          <w:p>
            <w:pPr>
              <w:jc w:val="right"/>
              <w:spacing w:after="0"/>
              <w:rPr>
                <w:sz w:val="20"/>
                <w:szCs w:val="20"/>
                <w:color w:val="auto"/>
              </w:rPr>
            </w:pPr>
            <w:r>
              <w:rPr>
                <w:rFonts w:ascii="Arial" w:cs="Arial" w:eastAsia="Arial" w:hAnsi="Arial"/>
                <w:sz w:val="12"/>
                <w:szCs w:val="12"/>
                <w:color w:val="auto"/>
              </w:rPr>
              <w:t>506,111</w:t>
            </w:r>
          </w:p>
        </w:tc>
        <w:tc>
          <w:tcPr>
            <w:tcW w:w="20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520" w:type="dxa"/>
            <w:vAlign w:val="bottom"/>
            <w:gridSpan w:val="2"/>
          </w:tcPr>
          <w:p>
            <w:pPr>
              <w:jc w:val="right"/>
              <w:ind w:right="200"/>
              <w:spacing w:after="0"/>
              <w:rPr>
                <w:sz w:val="20"/>
                <w:szCs w:val="20"/>
                <w:color w:val="auto"/>
              </w:rPr>
            </w:pPr>
            <w:r>
              <w:rPr>
                <w:rFonts w:ascii="Arial" w:cs="Arial" w:eastAsia="Arial" w:hAnsi="Arial"/>
                <w:sz w:val="12"/>
                <w:szCs w:val="12"/>
                <w:color w:val="auto"/>
              </w:rPr>
              <w:t>49.56</w:t>
            </w:r>
          </w:p>
        </w:tc>
        <w:tc>
          <w:tcPr>
            <w:tcW w:w="1480" w:type="dxa"/>
            <w:vAlign w:val="bottom"/>
            <w:gridSpan w:val="2"/>
          </w:tcPr>
          <w:p>
            <w:pPr>
              <w:jc w:val="right"/>
              <w:ind w:right="200"/>
              <w:spacing w:after="0"/>
              <w:rPr>
                <w:sz w:val="20"/>
                <w:szCs w:val="20"/>
                <w:color w:val="auto"/>
              </w:rPr>
            </w:pPr>
            <w:r>
              <w:rPr>
                <w:rFonts w:ascii="Arial" w:cs="Arial" w:eastAsia="Arial" w:hAnsi="Arial"/>
                <w:sz w:val="12"/>
                <w:szCs w:val="12"/>
                <w:color w:val="auto"/>
              </w:rPr>
              <w:t>504,184</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580" w:type="dxa"/>
            <w:vAlign w:val="bottom"/>
            <w:gridSpan w:val="2"/>
          </w:tcPr>
          <w:p>
            <w:pPr>
              <w:jc w:val="right"/>
              <w:ind w:right="100"/>
              <w:spacing w:after="0"/>
              <w:rPr>
                <w:sz w:val="20"/>
                <w:szCs w:val="20"/>
                <w:color w:val="auto"/>
              </w:rPr>
            </w:pPr>
            <w:r>
              <w:rPr>
                <w:rFonts w:ascii="Arial" w:cs="Arial" w:eastAsia="Arial" w:hAnsi="Arial"/>
                <w:sz w:val="12"/>
                <w:szCs w:val="12"/>
                <w:color w:val="auto"/>
              </w:rPr>
              <w:t>475,015,123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1000" w:right="40" w:hanging="259"/>
        <w:spacing w:after="0" w:line="334" w:lineRule="auto"/>
        <w:tabs>
          <w:tab w:leader="none" w:pos="1000" w:val="left"/>
        </w:tabs>
        <w:numPr>
          <w:ilvl w:val="0"/>
          <w:numId w:val="10"/>
        </w:numPr>
        <w:rPr>
          <w:rFonts w:ascii="Arial" w:cs="Arial" w:eastAsia="Arial" w:hAnsi="Arial"/>
          <w:sz w:val="11"/>
          <w:szCs w:val="11"/>
          <w:color w:val="auto"/>
        </w:rPr>
      </w:pPr>
      <w:r>
        <w:rPr>
          <w:rFonts w:ascii="Arial" w:cs="Arial" w:eastAsia="Arial" w:hAnsi="Arial"/>
          <w:sz w:val="11"/>
          <w:szCs w:val="11"/>
          <w:color w:val="auto"/>
        </w:rPr>
        <w:t>All of the Common Shares purchased during the quarter were purchased in open market transactions. The total number of Common Shares purchased during the quarter includes 1,927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spacing w:after="0" w:line="278" w:lineRule="auto"/>
        <w:rPr>
          <w:sz w:val="20"/>
          <w:szCs w:val="20"/>
          <w:color w:val="auto"/>
        </w:rPr>
      </w:pPr>
      <w:r>
        <w:rPr>
          <w:rFonts w:ascii="Arial" w:cs="Arial" w:eastAsia="Arial" w:hAnsi="Arial"/>
          <w:sz w:val="12"/>
          <w:szCs w:val="12"/>
          <w:color w:val="auto"/>
        </w:rPr>
        <w:t>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4" w:lineRule="exact"/>
        <w:rPr>
          <w:sz w:val="20"/>
          <w:szCs w:val="20"/>
          <w:color w:val="auto"/>
        </w:rPr>
      </w:pPr>
    </w:p>
    <w:p>
      <w:pPr>
        <w:ind w:left="1000" w:hanging="259"/>
        <w:spacing w:after="0"/>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average price paid per Common Share is calculated on a settlement basis and excludes commissions.</w:t>
      </w:r>
    </w:p>
    <w:p>
      <w:pPr>
        <w:spacing w:after="0" w:line="47" w:lineRule="exact"/>
        <w:rPr>
          <w:rFonts w:ascii="Arial" w:cs="Arial" w:eastAsia="Arial" w:hAnsi="Arial"/>
          <w:sz w:val="13"/>
          <w:szCs w:val="13"/>
          <w:color w:val="auto"/>
        </w:rPr>
      </w:pPr>
    </w:p>
    <w:p>
      <w:pPr>
        <w:ind w:left="1000" w:right="260" w:hanging="259"/>
        <w:spacing w:after="0" w:line="276" w:lineRule="auto"/>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 August 10, 2010, Scotts Miracle-Gro announced that its Board of Directors had authorized the repurchase of up to $500 million of the Common Shares over a four-year period (through September 30, 2014).</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u w:val="single" w:color="auto"/>
          <w:color w:val="auto"/>
        </w:rPr>
        <w:t>ITEM 6.</w:t>
      </w:r>
      <w:r>
        <w:rPr>
          <w:sz w:val="20"/>
          <w:szCs w:val="20"/>
          <w:color w:val="auto"/>
        </w:rPr>
        <w:tab/>
      </w:r>
      <w:r>
        <w:rPr>
          <w:rFonts w:ascii="Arial" w:cs="Arial" w:eastAsia="Arial" w:hAnsi="Arial"/>
          <w:sz w:val="12"/>
          <w:szCs w:val="12"/>
          <w:b w:val="1"/>
          <w:bCs w:val="1"/>
          <w:i w:val="1"/>
          <w:iCs w:val="1"/>
          <w:u w:val="single" w:color="auto"/>
          <w:color w:val="auto"/>
        </w:rPr>
        <w:t>SELECTED FINANCIAL DATA</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Five-Year Summary(1)(2)</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fiscal year ended September 30,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95"/>
              <w:spacing w:after="0"/>
              <w:rPr>
                <w:sz w:val="20"/>
                <w:szCs w:val="20"/>
                <w:color w:val="auto"/>
              </w:rPr>
            </w:pPr>
            <w:r>
              <w:rPr>
                <w:rFonts w:ascii="Arial" w:cs="Arial" w:eastAsia="Arial" w:hAnsi="Arial"/>
                <w:sz w:val="10"/>
                <w:szCs w:val="10"/>
                <w:b w:val="1"/>
                <w:bCs w:val="1"/>
                <w:color w:val="auto"/>
              </w:rPr>
              <w:t>2010</w:t>
            </w: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0"/>
                <w:szCs w:val="10"/>
                <w:b w:val="1"/>
                <w:bCs w:val="1"/>
                <w:color w:val="auto"/>
              </w:rPr>
              <w:t>2009(3)</w:t>
            </w: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2008</w:t>
            </w: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2007</w:t>
            </w: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0"/>
                <w:szCs w:val="10"/>
                <w:b w:val="1"/>
                <w:bCs w:val="1"/>
                <w:color w:val="auto"/>
              </w:rPr>
              <w:t>2006(3)</w:t>
            </w: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1160" w:type="dxa"/>
            <w:vAlign w:val="bottom"/>
            <w:gridSpan w:val="3"/>
          </w:tcPr>
          <w:p>
            <w:pPr>
              <w:jc w:val="right"/>
              <w:spacing w:after="0"/>
              <w:rPr>
                <w:sz w:val="20"/>
                <w:szCs w:val="20"/>
                <w:color w:val="auto"/>
              </w:rPr>
            </w:pPr>
            <w:r>
              <w:rPr>
                <w:rFonts w:ascii="Arial" w:cs="Arial" w:eastAsia="Arial" w:hAnsi="Arial"/>
                <w:sz w:val="10"/>
                <w:szCs w:val="10"/>
                <w:b w:val="1"/>
                <w:bCs w:val="1"/>
                <w:color w:val="auto"/>
                <w:w w:val="91"/>
              </w:rPr>
              <w:t>millions, except per share</w:t>
            </w:r>
          </w:p>
        </w:tc>
        <w:tc>
          <w:tcPr>
            <w:tcW w:w="440" w:type="dxa"/>
            <w:vAlign w:val="bottom"/>
            <w:gridSpan w:val="2"/>
          </w:tcPr>
          <w:p>
            <w:pPr>
              <w:ind w:left="20"/>
              <w:spacing w:after="0"/>
              <w:rPr>
                <w:sz w:val="20"/>
                <w:szCs w:val="20"/>
                <w:color w:val="auto"/>
              </w:rPr>
            </w:pPr>
            <w:r>
              <w:rPr>
                <w:rFonts w:ascii="Arial" w:cs="Arial" w:eastAsia="Arial" w:hAnsi="Arial"/>
                <w:sz w:val="10"/>
                <w:szCs w:val="10"/>
                <w:b w:val="1"/>
                <w:bCs w:val="1"/>
                <w:color w:val="auto"/>
                <w:w w:val="88"/>
              </w:rPr>
              <w:t>amounts)</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OPERATING RESULTS(4):</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Net sales</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3,139.9</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2,980.7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2,823.2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2,687.8</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2,527.9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profit</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1,147.3</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1,057.6</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911.7</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952.8</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910.0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Operating income</w:t>
            </w: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384.6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297.6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139.8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318.0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265.2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212.4</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154.6</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32.8</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149.3</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142.0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Loss from discontinued operations</w:t>
            </w:r>
          </w:p>
        </w:tc>
        <w:tc>
          <w:tcPr>
            <w:tcW w:w="26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(8.3)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(43.7)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(35.9)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(9.3)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204.1</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153.3</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(10.9)</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113.4</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132.7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ADJUSTED OPERATING RESULTS(5):</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Adjusted operating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411.8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326.1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290.8</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345.1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340.6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Adjusted income from continuing operations</w:t>
            </w: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230.7</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172.9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144.9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166.9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189.8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FINANCIAL POSITION:</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Working capital</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313.7</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334.1</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366.8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412.7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445.8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ratio</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1.4</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1.4</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1.7</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Property, plant and equipment, net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394.8</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369.7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344.1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365.9</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367.6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2,164.0</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2,220.1</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2,156.3</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2,277.2</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2,217.6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Total debt to total book capitalization(6)</w:t>
            </w:r>
          </w:p>
        </w:tc>
        <w:tc>
          <w:tcPr>
            <w:tcW w:w="260" w:type="dxa"/>
            <w:vAlign w:val="bottom"/>
          </w:tcPr>
          <w:p>
            <w:pPr>
              <w:spacing w:after="0"/>
              <w:rPr>
                <w:sz w:val="13"/>
                <w:szCs w:val="13"/>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45.2%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58.1%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69.6%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70.0%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auto"/>
              </w:rPr>
              <w:t>30.8%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debt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631.7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810.1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999.5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7"/>
              </w:rPr>
              <w:t>1,117.8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481.2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Total shareholders’ equity</w:t>
            </w: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764.5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584.5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436.7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479.3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w w:val="87"/>
              </w:rPr>
              <w:t>1,081.7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CASH FLOWS:</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Cash flows from operating activities</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295.9</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264.6</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200.9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246.6</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182.4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property, plant and equipment</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83.4</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72.0</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56.1</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54.0</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57.0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Investments in intellectual property</w:t>
            </w: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3.4</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acquisitions, including seller note payments</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0.6</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10.7</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2.7</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21.4</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122.9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Free cash flow(5)</w:t>
            </w: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212.5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189.2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140.7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192.6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125.4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PER SHARE DATA:</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Basic earnings (loss) per common share</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from continuing operations</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3.20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0.51</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2.29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280"/>
              <w:spacing w:after="0"/>
              <w:rPr>
                <w:sz w:val="20"/>
                <w:szCs w:val="20"/>
                <w:color w:val="auto"/>
              </w:rPr>
            </w:pPr>
            <w:r>
              <w:rPr>
                <w:rFonts w:ascii="Arial" w:cs="Arial" w:eastAsia="Arial" w:hAnsi="Arial"/>
                <w:sz w:val="13"/>
                <w:szCs w:val="13"/>
                <w:color w:val="auto"/>
              </w:rPr>
              <w:t>Loss from discontinued operations</w:t>
            </w:r>
          </w:p>
        </w:tc>
        <w:tc>
          <w:tcPr>
            <w:tcW w:w="26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(0.12)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(0.02)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(0.68)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(0.55)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(0.14)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income (loss)</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3.08</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2.36</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(0.17)</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1.74</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1.97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Diluted earnings (loss) per common share</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from continuing operations</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3.14</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2.34</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0.50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2.23</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2.05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280"/>
              <w:spacing w:after="0"/>
              <w:rPr>
                <w:sz w:val="20"/>
                <w:szCs w:val="20"/>
                <w:color w:val="auto"/>
              </w:rPr>
            </w:pPr>
            <w:r>
              <w:rPr>
                <w:rFonts w:ascii="Arial" w:cs="Arial" w:eastAsia="Arial" w:hAnsi="Arial"/>
                <w:sz w:val="13"/>
                <w:szCs w:val="13"/>
                <w:color w:val="auto"/>
              </w:rPr>
              <w:t>Loss from discontinued operations</w:t>
            </w:r>
          </w:p>
        </w:tc>
        <w:tc>
          <w:tcPr>
            <w:tcW w:w="26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(0.12)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(0.02)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(0.67)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(0.54)</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color w:val="auto"/>
              </w:rPr>
              <w:t>(0.14)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income (loss)</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3.02</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2.32</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(0.17)</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1.69</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Adjusted diluted earnings per share from continuing operations(5)</w:t>
            </w: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3.41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2.62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2.22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2.49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2.74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cash dividends paid</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42.6</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33.4</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32.5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543.6</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33.5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Dividends per common share(7)(8)</w:t>
            </w: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0.625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0.50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0.50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8.50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0.50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price at year-end(8)</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51.73</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42.95</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23.64</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42.75</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44.49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Stock price range — High(8)</w:t>
            </w: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52.56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44.25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46.90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57.45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50.47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price range — Low(8)</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37.50</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18.27</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16.12</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40.57</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37.22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OTHER:</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Adjusted EBITDA(9)</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440.1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350.5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318.4</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382.6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385.9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Leverage ratio(9)</w:t>
            </w: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2.0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3.6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coverage ratio(9)</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9.4</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6.2</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3.9</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5.4</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9.7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40" w:type="dxa"/>
            <w:vAlign w:val="bottom"/>
          </w:tcPr>
          <w:p>
            <w:pPr>
              <w:ind w:left="140"/>
              <w:spacing w:after="0"/>
              <w:rPr>
                <w:sz w:val="20"/>
                <w:szCs w:val="20"/>
                <w:color w:val="auto"/>
              </w:rPr>
            </w:pPr>
            <w:r>
              <w:rPr>
                <w:rFonts w:ascii="Arial" w:cs="Arial" w:eastAsia="Arial" w:hAnsi="Arial"/>
                <w:sz w:val="13"/>
                <w:szCs w:val="13"/>
                <w:color w:val="auto"/>
              </w:rPr>
              <w:t>Weighted average common shares outstanding</w:t>
            </w: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66.3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65.0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64.5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65.2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Arial" w:cs="Arial" w:eastAsia="Arial" w:hAnsi="Arial"/>
                <w:sz w:val="13"/>
                <w:szCs w:val="13"/>
                <w:color w:val="auto"/>
              </w:rPr>
              <w:t>67.5</w:t>
            </w: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444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9"/>
              </w:rPr>
              <w:t>Common shares and dilutive potential common shares used in diluted EPS</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66"/>
        </w:trPr>
        <w:tc>
          <w:tcPr>
            <w:tcW w:w="680" w:type="dxa"/>
            <w:vAlign w:val="bottom"/>
          </w:tcPr>
          <w:p>
            <w:pPr>
              <w:spacing w:after="0"/>
              <w:rPr>
                <w:sz w:val="14"/>
                <w:szCs w:val="14"/>
                <w:color w:val="auto"/>
              </w:rPr>
            </w:pPr>
          </w:p>
        </w:tc>
        <w:tc>
          <w:tcPr>
            <w:tcW w:w="4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calculation</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67.6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66.1</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65.4</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67.0</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69.4</w:t>
            </w: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235"/>
              <w:spacing w:after="0"/>
              <w:rPr>
                <w:sz w:val="20"/>
                <w:szCs w:val="20"/>
                <w:color w:val="auto"/>
              </w:rPr>
            </w:pPr>
            <w:r>
              <w:rPr>
                <w:rFonts w:ascii="Arial" w:cs="Arial" w:eastAsia="Arial" w:hAnsi="Arial"/>
                <w:sz w:val="13"/>
                <w:szCs w:val="13"/>
                <w:color w:val="auto"/>
              </w:rPr>
              <w:t>21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40" w:hanging="259"/>
        <w:spacing w:after="0" w:line="276" w:lineRule="auto"/>
        <w:tabs>
          <w:tab w:leader="none" w:pos="10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All common share and per share information presented in the above five-year summary has been adjusted to reflect the 2-for-1 stock split of the Common Shares which was distributed on November 9, 2005 to shareholders of record on November 2, 2005.</w:t>
      </w:r>
    </w:p>
    <w:p>
      <w:pPr>
        <w:spacing w:after="0" w:line="10" w:lineRule="exact"/>
        <w:rPr>
          <w:rFonts w:ascii="Arial" w:cs="Arial" w:eastAsia="Arial" w:hAnsi="Arial"/>
          <w:sz w:val="13"/>
          <w:szCs w:val="13"/>
          <w:color w:val="auto"/>
        </w:rPr>
      </w:pPr>
    </w:p>
    <w:p>
      <w:pPr>
        <w:ind w:left="1000" w:right="160" w:hanging="259"/>
        <w:spacing w:after="0" w:line="289" w:lineRule="auto"/>
        <w:tabs>
          <w:tab w:leader="none" w:pos="10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On July 8, 2009, Scotts Miracle-Gro announced that its wholly-owned subsidiary, Smith &amp; Hawken, Ltd., had adopted a plan to close the Smith &amp; Hawken business. During our first quarter of fiscal 2010, all Smith &amp; Hawken stores were closed and substantially all operational activities of Smith &amp; Hawken were discontinued. As a result, effective in our first quarter of fiscal 2010, we classified Smith &amp; Hawken as discontinued operations in accordance with accounting principles generally accepted in the United States of America (“GAAP”). Accordingly, the Selected Financial Data has been retrospectively updated to recast Smith &amp; Hawken as discontinued operations for each period presented.</w:t>
      </w:r>
    </w:p>
    <w:p>
      <w:pPr>
        <w:spacing w:after="0" w:line="3" w:lineRule="exact"/>
        <w:rPr>
          <w:rFonts w:ascii="Arial" w:cs="Arial" w:eastAsia="Arial" w:hAnsi="Arial"/>
          <w:sz w:val="12"/>
          <w:szCs w:val="12"/>
          <w:color w:val="auto"/>
        </w:rPr>
      </w:pPr>
    </w:p>
    <w:p>
      <w:pPr>
        <w:jc w:val="both"/>
        <w:ind w:left="1000" w:right="60" w:hanging="259"/>
        <w:spacing w:after="0" w:line="264" w:lineRule="auto"/>
        <w:tabs>
          <w:tab w:leader="none" w:pos="10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Fiscal 2009 includes Humax Horticulture Limited from the October 1, 2008 date of acquisition. Fiscal 2006 includes Rod McLellan Company, Gutwein &amp; Co., Inc. and certain brands and assets acquired from Turf-Seed, Inc. and Landmark Seed Company from the dates of acquisition. For further information regarding the acquisition of Humax Horticulture Limited, see “NOTE 8. ACQUISITIONS” of the Notes to Consolidated Financial Statements included in this Annual Report on Form 10-K.</w:t>
      </w:r>
    </w:p>
    <w:p>
      <w:pPr>
        <w:spacing w:after="0" w:line="17" w:lineRule="exact"/>
        <w:rPr>
          <w:rFonts w:ascii="Arial" w:cs="Arial" w:eastAsia="Arial" w:hAnsi="Arial"/>
          <w:sz w:val="13"/>
          <w:szCs w:val="13"/>
          <w:color w:val="auto"/>
        </w:rPr>
      </w:pPr>
    </w:p>
    <w:p>
      <w:pPr>
        <w:ind w:left="1000" w:hanging="259"/>
        <w:spacing w:after="0"/>
        <w:tabs>
          <w:tab w:leader="none" w:pos="10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Operating results include the following items segregated by lines affected as set forth on the Consolidated Statements of Operations included in this Annual Report on Form 10-K.</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0"/>
                <w:szCs w:val="10"/>
                <w:b w:val="1"/>
                <w:bCs w:val="1"/>
                <w:color w:val="auto"/>
              </w:rPr>
              <w:t>For the Fiscal Year Ended September 30,</w:t>
            </w: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r>
      <w:tr>
        <w:trPr>
          <w:trHeight w:val="98"/>
        </w:trPr>
        <w:tc>
          <w:tcPr>
            <w:tcW w:w="5840" w:type="dxa"/>
            <w:vAlign w:val="bottom"/>
          </w:tcPr>
          <w:p>
            <w:pPr>
              <w:spacing w:after="0"/>
              <w:rPr>
                <w:sz w:val="8"/>
                <w:szCs w:val="8"/>
                <w:color w:val="auto"/>
              </w:rPr>
            </w:pPr>
          </w:p>
        </w:tc>
        <w:tc>
          <w:tcPr>
            <w:tcW w:w="600" w:type="dxa"/>
            <w:vAlign w:val="bottom"/>
          </w:tcPr>
          <w:p>
            <w:pPr>
              <w:jc w:val="right"/>
              <w:ind w:right="138"/>
              <w:spacing w:after="0" w:line="98" w:lineRule="exact"/>
              <w:rPr>
                <w:sz w:val="20"/>
                <w:szCs w:val="20"/>
                <w:color w:val="auto"/>
              </w:rPr>
            </w:pPr>
            <w:r>
              <w:rPr>
                <w:rFonts w:ascii="Arial" w:cs="Arial" w:eastAsia="Arial" w:hAnsi="Arial"/>
                <w:sz w:val="10"/>
                <w:szCs w:val="10"/>
                <w:b w:val="1"/>
                <w:bCs w:val="1"/>
                <w:color w:val="auto"/>
              </w:rPr>
              <w:t>2010</w:t>
            </w:r>
          </w:p>
        </w:tc>
        <w:tc>
          <w:tcPr>
            <w:tcW w:w="880" w:type="dxa"/>
            <w:vAlign w:val="bottom"/>
            <w:gridSpan w:val="2"/>
          </w:tcPr>
          <w:p>
            <w:pPr>
              <w:jc w:val="right"/>
              <w:ind w:right="128"/>
              <w:spacing w:after="0" w:line="98" w:lineRule="exact"/>
              <w:rPr>
                <w:sz w:val="20"/>
                <w:szCs w:val="20"/>
                <w:color w:val="auto"/>
              </w:rPr>
            </w:pPr>
            <w:r>
              <w:rPr>
                <w:rFonts w:ascii="Arial" w:cs="Arial" w:eastAsia="Arial" w:hAnsi="Arial"/>
                <w:sz w:val="10"/>
                <w:szCs w:val="10"/>
                <w:b w:val="1"/>
                <w:bCs w:val="1"/>
                <w:color w:val="auto"/>
              </w:rPr>
              <w:t>2009</w:t>
            </w:r>
          </w:p>
        </w:tc>
        <w:tc>
          <w:tcPr>
            <w:tcW w:w="900" w:type="dxa"/>
            <w:vAlign w:val="bottom"/>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rPr>
              <w:t>2008</w:t>
            </w:r>
          </w:p>
        </w:tc>
        <w:tc>
          <w:tcPr>
            <w:tcW w:w="880" w:type="dxa"/>
            <w:vAlign w:val="bottom"/>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rPr>
              <w:t>2007</w:t>
            </w:r>
          </w:p>
        </w:tc>
        <w:tc>
          <w:tcPr>
            <w:tcW w:w="880" w:type="dxa"/>
            <w:vAlign w:val="bottom"/>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rPr>
              <w:t>2006</w:t>
            </w:r>
          </w:p>
        </w:tc>
      </w:tr>
      <w:tr>
        <w:trPr>
          <w:trHeight w:val="178"/>
        </w:trPr>
        <w:tc>
          <w:tcPr>
            <w:tcW w:w="5840" w:type="dxa"/>
            <w:vAlign w:val="bottom"/>
          </w:tcPr>
          <w:p>
            <w:pPr>
              <w:spacing w:after="0"/>
              <w:rPr>
                <w:sz w:val="20"/>
                <w:szCs w:val="20"/>
                <w:color w:val="auto"/>
              </w:rPr>
            </w:pPr>
            <w:r>
              <w:rPr>
                <w:rFonts w:ascii="Arial" w:cs="Arial" w:eastAsia="Arial" w:hAnsi="Arial"/>
                <w:sz w:val="13"/>
                <w:szCs w:val="13"/>
                <w:color w:val="auto"/>
              </w:rPr>
              <w:t>Net sales includes the following relating to the Roundup</w:t>
            </w:r>
            <w:r>
              <w:rPr>
                <w:rFonts w:ascii="Arial" w:cs="Arial" w:eastAsia="Arial" w:hAnsi="Arial"/>
                <w:sz w:val="11"/>
                <w:szCs w:val="11"/>
                <w:color w:val="auto"/>
              </w:rPr>
              <w:t>®</w:t>
            </w:r>
            <w:r>
              <w:rPr>
                <w:rFonts w:ascii="Arial" w:cs="Arial" w:eastAsia="Arial" w:hAnsi="Arial"/>
                <w:sz w:val="13"/>
                <w:szCs w:val="13"/>
                <w:color w:val="auto"/>
              </w:rPr>
              <w:t xml:space="preserve"> Marketing Agreement:</w:t>
            </w:r>
          </w:p>
        </w:tc>
        <w:tc>
          <w:tcPr>
            <w:tcW w:w="6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155"/>
        </w:trPr>
        <w:tc>
          <w:tcPr>
            <w:tcW w:w="5840" w:type="dxa"/>
            <w:vAlign w:val="bottom"/>
          </w:tcPr>
          <w:p>
            <w:pPr>
              <w:ind w:left="140"/>
              <w:spacing w:after="0"/>
              <w:rPr>
                <w:sz w:val="20"/>
                <w:szCs w:val="20"/>
                <w:color w:val="auto"/>
              </w:rPr>
            </w:pPr>
            <w:r>
              <w:rPr>
                <w:rFonts w:ascii="Arial" w:cs="Arial" w:eastAsia="Arial" w:hAnsi="Arial"/>
                <w:sz w:val="13"/>
                <w:szCs w:val="13"/>
                <w:color w:val="auto"/>
              </w:rPr>
              <w:t>Net commission income, excluding the deferred contribution charge</w:t>
            </w:r>
          </w:p>
        </w:tc>
        <w:tc>
          <w:tcPr>
            <w:tcW w:w="600" w:type="dxa"/>
            <w:vAlign w:val="bottom"/>
          </w:tcPr>
          <w:p>
            <w:pPr>
              <w:jc w:val="right"/>
              <w:ind w:right="118"/>
              <w:spacing w:after="0"/>
              <w:rPr>
                <w:sz w:val="20"/>
                <w:szCs w:val="20"/>
                <w:color w:val="auto"/>
              </w:rPr>
            </w:pPr>
            <w:r>
              <w:rPr>
                <w:rFonts w:ascii="Arial" w:cs="Arial" w:eastAsia="Arial" w:hAnsi="Arial"/>
                <w:sz w:val="13"/>
                <w:szCs w:val="13"/>
                <w:color w:val="auto"/>
              </w:rPr>
              <w:t>$70.0</w:t>
            </w:r>
          </w:p>
        </w:tc>
        <w:tc>
          <w:tcPr>
            <w:tcW w:w="880" w:type="dxa"/>
            <w:vAlign w:val="bottom"/>
            <w:gridSpan w:val="2"/>
          </w:tcPr>
          <w:p>
            <w:pPr>
              <w:jc w:val="right"/>
              <w:ind w:right="128"/>
              <w:spacing w:after="0"/>
              <w:rPr>
                <w:sz w:val="20"/>
                <w:szCs w:val="20"/>
                <w:color w:val="auto"/>
              </w:rPr>
            </w:pPr>
            <w:r>
              <w:rPr>
                <w:rFonts w:ascii="Arial" w:cs="Arial" w:eastAsia="Arial" w:hAnsi="Arial"/>
                <w:sz w:val="13"/>
                <w:szCs w:val="13"/>
                <w:color w:val="auto"/>
              </w:rPr>
              <w:t>$51.4</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$44.3</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$41.9</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$39.9</w:t>
            </w:r>
          </w:p>
        </w:tc>
      </w:tr>
      <w:tr>
        <w:trPr>
          <w:trHeight w:val="159"/>
        </w:trPr>
        <w:tc>
          <w:tcPr>
            <w:tcW w:w="5840" w:type="dxa"/>
            <w:vAlign w:val="bottom"/>
          </w:tcPr>
          <w:p>
            <w:pPr>
              <w:ind w:left="140"/>
              <w:spacing w:after="0"/>
              <w:rPr>
                <w:sz w:val="20"/>
                <w:szCs w:val="20"/>
                <w:color w:val="auto"/>
              </w:rPr>
            </w:pPr>
            <w:r>
              <w:rPr>
                <w:rFonts w:ascii="Arial" w:cs="Arial" w:eastAsia="Arial" w:hAnsi="Arial"/>
                <w:sz w:val="13"/>
                <w:szCs w:val="13"/>
                <w:color w:val="auto"/>
              </w:rPr>
              <w:t>Reimbursements associated with the Roundup</w:t>
            </w:r>
            <w:r>
              <w:rPr>
                <w:rFonts w:ascii="Arial" w:cs="Arial" w:eastAsia="Arial" w:hAnsi="Arial"/>
                <w:sz w:val="11"/>
                <w:szCs w:val="11"/>
                <w:color w:val="auto"/>
              </w:rPr>
              <w:t>®</w:t>
            </w:r>
            <w:r>
              <w:rPr>
                <w:rFonts w:ascii="Arial" w:cs="Arial" w:eastAsia="Arial" w:hAnsi="Arial"/>
                <w:sz w:val="13"/>
                <w:szCs w:val="13"/>
                <w:color w:val="auto"/>
              </w:rPr>
              <w:t xml:space="preserve"> Marketing Agreement</w:t>
            </w:r>
          </w:p>
        </w:tc>
        <w:tc>
          <w:tcPr>
            <w:tcW w:w="600" w:type="dxa"/>
            <w:vAlign w:val="bottom"/>
          </w:tcPr>
          <w:p>
            <w:pPr>
              <w:jc w:val="right"/>
              <w:ind w:right="118"/>
              <w:spacing w:after="0"/>
              <w:rPr>
                <w:sz w:val="20"/>
                <w:szCs w:val="20"/>
                <w:color w:val="auto"/>
              </w:rPr>
            </w:pPr>
            <w:r>
              <w:rPr>
                <w:rFonts w:ascii="Arial" w:cs="Arial" w:eastAsia="Arial" w:hAnsi="Arial"/>
                <w:sz w:val="13"/>
                <w:szCs w:val="13"/>
                <w:color w:val="auto"/>
              </w:rPr>
              <w:t>65.0</w:t>
            </w:r>
          </w:p>
        </w:tc>
        <w:tc>
          <w:tcPr>
            <w:tcW w:w="880" w:type="dxa"/>
            <w:vAlign w:val="bottom"/>
            <w:gridSpan w:val="2"/>
          </w:tcPr>
          <w:p>
            <w:pPr>
              <w:jc w:val="right"/>
              <w:ind w:right="128"/>
              <w:spacing w:after="0"/>
              <w:rPr>
                <w:sz w:val="20"/>
                <w:szCs w:val="20"/>
                <w:color w:val="auto"/>
              </w:rPr>
            </w:pPr>
            <w:r>
              <w:rPr>
                <w:rFonts w:ascii="Arial" w:cs="Arial" w:eastAsia="Arial" w:hAnsi="Arial"/>
                <w:sz w:val="13"/>
                <w:szCs w:val="13"/>
                <w:color w:val="auto"/>
              </w:rPr>
              <w:t>67.8</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58.0</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47.7</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37.6</w:t>
            </w:r>
          </w:p>
        </w:tc>
      </w:tr>
      <w:tr>
        <w:trPr>
          <w:trHeight w:val="155"/>
        </w:trPr>
        <w:tc>
          <w:tcPr>
            <w:tcW w:w="5840" w:type="dxa"/>
            <w:vAlign w:val="bottom"/>
          </w:tcPr>
          <w:p>
            <w:pPr>
              <w:spacing w:after="0"/>
              <w:rPr>
                <w:sz w:val="20"/>
                <w:szCs w:val="20"/>
                <w:color w:val="auto"/>
              </w:rPr>
            </w:pPr>
            <w:r>
              <w:rPr>
                <w:rFonts w:ascii="Arial" w:cs="Arial" w:eastAsia="Arial" w:hAnsi="Arial"/>
                <w:sz w:val="13"/>
                <w:szCs w:val="13"/>
                <w:color w:val="auto"/>
              </w:rPr>
              <w:t>Cost of sales includes:</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7"/>
        </w:trPr>
        <w:tc>
          <w:tcPr>
            <w:tcW w:w="5840" w:type="dxa"/>
            <w:vAlign w:val="bottom"/>
          </w:tcPr>
          <w:p>
            <w:pPr>
              <w:ind w:left="140"/>
              <w:spacing w:after="0"/>
              <w:rPr>
                <w:sz w:val="20"/>
                <w:szCs w:val="20"/>
                <w:color w:val="auto"/>
              </w:rPr>
            </w:pPr>
            <w:r>
              <w:rPr>
                <w:rFonts w:ascii="Arial" w:cs="Arial" w:eastAsia="Arial" w:hAnsi="Arial"/>
                <w:sz w:val="13"/>
                <w:szCs w:val="13"/>
                <w:color w:val="auto"/>
              </w:rPr>
              <w:t>Costs associated with the Roundup</w:t>
            </w:r>
            <w:r>
              <w:rPr>
                <w:rFonts w:ascii="Arial" w:cs="Arial" w:eastAsia="Arial" w:hAnsi="Arial"/>
                <w:sz w:val="11"/>
                <w:szCs w:val="11"/>
                <w:color w:val="auto"/>
              </w:rPr>
              <w:t>®</w:t>
            </w:r>
            <w:r>
              <w:rPr>
                <w:rFonts w:ascii="Arial" w:cs="Arial" w:eastAsia="Arial" w:hAnsi="Arial"/>
                <w:sz w:val="13"/>
                <w:szCs w:val="13"/>
                <w:color w:val="auto"/>
              </w:rPr>
              <w:t xml:space="preserve"> Marketing Agreement</w:t>
            </w:r>
          </w:p>
        </w:tc>
        <w:tc>
          <w:tcPr>
            <w:tcW w:w="600" w:type="dxa"/>
            <w:vAlign w:val="bottom"/>
          </w:tcPr>
          <w:p>
            <w:pPr>
              <w:jc w:val="right"/>
              <w:ind w:right="118"/>
              <w:spacing w:after="0"/>
              <w:rPr>
                <w:sz w:val="20"/>
                <w:szCs w:val="20"/>
                <w:color w:val="auto"/>
              </w:rPr>
            </w:pPr>
            <w:r>
              <w:rPr>
                <w:rFonts w:ascii="Arial" w:cs="Arial" w:eastAsia="Arial" w:hAnsi="Arial"/>
                <w:sz w:val="13"/>
                <w:szCs w:val="13"/>
                <w:color w:val="auto"/>
              </w:rPr>
              <w:t>65.0</w:t>
            </w:r>
          </w:p>
        </w:tc>
        <w:tc>
          <w:tcPr>
            <w:tcW w:w="880" w:type="dxa"/>
            <w:vAlign w:val="bottom"/>
            <w:gridSpan w:val="2"/>
          </w:tcPr>
          <w:p>
            <w:pPr>
              <w:jc w:val="right"/>
              <w:ind w:right="128"/>
              <w:spacing w:after="0"/>
              <w:rPr>
                <w:sz w:val="20"/>
                <w:szCs w:val="20"/>
                <w:color w:val="auto"/>
              </w:rPr>
            </w:pPr>
            <w:r>
              <w:rPr>
                <w:rFonts w:ascii="Arial" w:cs="Arial" w:eastAsia="Arial" w:hAnsi="Arial"/>
                <w:sz w:val="13"/>
                <w:szCs w:val="13"/>
                <w:color w:val="auto"/>
              </w:rPr>
              <w:t>67.8</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58.0</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47.7</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37.6</w:t>
            </w:r>
          </w:p>
        </w:tc>
      </w:tr>
    </w:tbl>
    <w:p>
      <w:pPr>
        <w:spacing w:after="0" w:line="81" w:lineRule="exact"/>
        <w:rPr>
          <w:sz w:val="20"/>
          <w:szCs w:val="20"/>
          <w:color w:val="auto"/>
        </w:rPr>
      </w:pPr>
    </w:p>
    <w:p>
      <w:pPr>
        <w:ind w:left="1000" w:right="20" w:hanging="259"/>
        <w:spacing w:after="0" w:line="278" w:lineRule="auto"/>
        <w:tabs>
          <w:tab w:leader="none" w:pos="10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table above includes non-GAAP financial measures, as defined in Item 10(e) of SEC Regulation S-K, of adjusted operating income, adjusted income from continuing operations and adjusted diluted earnings per share from continuing operations, which exclude costs or gains related to discrete projects or transactions. Items excluded during the five-year period ended September 30, 2010 consisted of charges or credits relating to refinancings, impairments, restructurings, product registration and recall matters, discontinued operations, and other unusual items such as costs or gains related to discrete projects or transactions that are apart from and not indicative of the results of the operations of the business. The comparable GAAP measures are reported operating income, reported income from continuing operations and reported diluted earnings per share. The table also includes free cash flow, another non-GAAP financial measure. This annual measure is often used by analysts and creditors as a measure of our ability to service debt, reinvest in the business beyond normal capital expenditures and return cash to shareholders. As defined by the Company, free cash flow is equivalent to cash provided by operating activities as defined by GAAP less capital expenditures. We have provided a reconciliation of free cash flow to cash provided by operating activities solely for the purpose of complying with Item 10(e) of SEC Regulation S-K and not as an indication that free cash flow is a substitute measure for cash provided by operating activities. Our management believes that these non-GAAP measures are the most indicative of our earnings capabilities and that disclosure of these non-GAAP financial measures therefore provides useful information to investors or other users of the financial statements, such as lenders. A reconciliation of the non-GAAP to the most directly comparable GAAP measures is presented in the following tables:</w:t>
      </w:r>
    </w:p>
    <w:p>
      <w:pPr>
        <w:spacing w:after="0" w:line="3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b w:val="1"/>
                <w:bCs w:val="1"/>
                <w:color w:val="auto"/>
                <w:w w:val="98"/>
              </w:rPr>
              <w:t>2010</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8"/>
              </w:rPr>
              <w:t>2008</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8"/>
              </w:rPr>
              <w:t>2007</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8"/>
          </w:tcPr>
          <w:p>
            <w:pPr>
              <w:ind w:left="20"/>
              <w:spacing w:after="0"/>
              <w:rPr>
                <w:sz w:val="20"/>
                <w:szCs w:val="20"/>
                <w:color w:val="auto"/>
              </w:rPr>
            </w:pPr>
            <w:r>
              <w:rPr>
                <w:rFonts w:ascii="Arial" w:cs="Arial" w:eastAsia="Arial" w:hAnsi="Arial"/>
                <w:sz w:val="10"/>
                <w:szCs w:val="10"/>
                <w:b w:val="1"/>
                <w:bCs w:val="1"/>
                <w:color w:val="auto"/>
              </w:rPr>
              <w:t>(In millions, except per share data)</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384.6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139.8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265.2</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Impairment, restructuring and other charges</w:t>
            </w:r>
          </w:p>
        </w:tc>
        <w:tc>
          <w:tcPr>
            <w:tcW w:w="12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111.1</w:t>
            </w: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75.4</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Product registration and recall matters</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39.9</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Debt refinancing charges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Adjusted operating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326.1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290.8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340.6</w:t>
            </w:r>
          </w:p>
        </w:tc>
        <w:tc>
          <w:tcPr>
            <w:tcW w:w="0" w:type="dxa"/>
            <w:vAlign w:val="bottom"/>
          </w:tcPr>
          <w:p>
            <w:pPr>
              <w:spacing w:after="0"/>
              <w:rPr>
                <w:sz w:val="1"/>
                <w:szCs w:val="1"/>
                <w:color w:val="auto"/>
              </w:rPr>
            </w:pPr>
          </w:p>
        </w:tc>
      </w:tr>
      <w:tr>
        <w:trPr>
          <w:trHeight w:val="29"/>
        </w:trPr>
        <w:tc>
          <w:tcPr>
            <w:tcW w:w="6600" w:type="dxa"/>
            <w:vAlign w:val="bottom"/>
            <w:vMerge w:val="restart"/>
          </w:tcPr>
          <w:p>
            <w:pPr>
              <w:spacing w:after="0"/>
              <w:rPr>
                <w:sz w:val="20"/>
                <w:szCs w:val="20"/>
                <w:color w:val="auto"/>
              </w:rPr>
            </w:pPr>
            <w:r>
              <w:rPr>
                <w:rFonts w:ascii="Arial" w:cs="Arial" w:eastAsia="Arial" w:hAnsi="Arial"/>
                <w:sz w:val="13"/>
                <w:szCs w:val="13"/>
                <w:color w:val="auto"/>
              </w:rPr>
              <w:t>Income from continuing operations</w:t>
            </w: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6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212.4</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154.6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32.8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149.3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142.0</w:t>
            </w: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Impairment, restructuring and other charges, net of tax</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78.9</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Product registration and recall matters, net of tax</w:t>
            </w:r>
          </w:p>
        </w:tc>
        <w:tc>
          <w:tcPr>
            <w:tcW w:w="12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33.2</w:t>
            </w: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Debt refinancing charges, net of tax</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3"/>
                <w:szCs w:val="13"/>
                <w:color w:val="auto"/>
              </w:rPr>
              <w:t>Adjusted income from continuing operations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230.7</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172.9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144.9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166.9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189.8</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share from continuing operations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0.50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Impairment, restructuring and other charges, net of tax</w:t>
            </w:r>
          </w:p>
        </w:tc>
        <w:tc>
          <w:tcPr>
            <w:tcW w:w="12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0.19</w:t>
            </w: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0.08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0.69</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Product registration and recall matters, net of tax</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0.08</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0.28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0.51</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Debt refinancing charges, net of tax</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0.18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Adjusted diluted earnings per share from continuing operations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r>
              <w:rPr>
                <w:rFonts w:ascii="Arial" w:cs="Arial" w:eastAsia="Arial" w:hAnsi="Arial"/>
                <w:sz w:val="13"/>
                <w:szCs w:val="13"/>
                <w:u w:val="single" w:color="auto"/>
                <w:color w:val="auto"/>
              </w:rPr>
              <w:t>41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29"/>
        </w:trPr>
        <w:tc>
          <w:tcPr>
            <w:tcW w:w="6600" w:type="dxa"/>
            <w:vAlign w:val="bottom"/>
            <w:vMerge w:val="restart"/>
          </w:tcPr>
          <w:p>
            <w:pPr>
              <w:spacing w:after="0"/>
              <w:rPr>
                <w:sz w:val="20"/>
                <w:szCs w:val="20"/>
                <w:color w:val="auto"/>
              </w:rPr>
            </w:pPr>
            <w:r>
              <w:rPr>
                <w:rFonts w:ascii="Arial" w:cs="Arial" w:eastAsia="Arial" w:hAnsi="Arial"/>
                <w:sz w:val="13"/>
                <w:szCs w:val="13"/>
                <w:color w:val="auto"/>
              </w:rPr>
              <w:t>Cash provided by operating activities</w:t>
            </w: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6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295.9</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264.6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200.9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246.6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182.4</w:t>
            </w: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Less investments in property, plant and equipment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83.4</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72.0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56.1</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Less investments in intellectual property</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Free cash flow</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189.2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140.7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125.4</w:t>
            </w: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00" w:hanging="259"/>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total debt to total book capitalization percentage is calculated by dividing total debt by total debt plus shareholders’ equity.</w:t>
      </w:r>
    </w:p>
    <w:p>
      <w:pPr>
        <w:spacing w:after="0" w:line="47" w:lineRule="exact"/>
        <w:rPr>
          <w:rFonts w:ascii="Arial" w:cs="Arial" w:eastAsia="Arial" w:hAnsi="Arial"/>
          <w:sz w:val="13"/>
          <w:szCs w:val="13"/>
          <w:color w:val="auto"/>
        </w:rPr>
      </w:pPr>
    </w:p>
    <w:p>
      <w:pPr>
        <w:ind w:left="1000" w:right="60" w:hanging="259"/>
        <w:spacing w:after="0" w:line="307" w:lineRule="auto"/>
        <w:tabs>
          <w:tab w:leader="none" w:pos="10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Scotts Miracle-Gro began paying a quarterly dividend of 12.5 cents per Common Share in the fourth quarter of fiscal 2005. On August 10, 2010, Scotts Miracle-Gro announced that its Board of Directors had increased the quarterly cash dividend to 25.0 cents per Common Share, which was first paid in the fourth quarter of fiscal 2010.</w:t>
      </w:r>
    </w:p>
    <w:p>
      <w:pPr>
        <w:ind w:left="1000" w:hanging="259"/>
        <w:spacing w:after="0"/>
        <w:tabs>
          <w:tab w:leader="none" w:pos="10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Scotts Miracle-Gro paid a special one-time cash dividend of $8.00 per Common Share on March 5, 2007. Stock prices have not been adjusted for this special one-time cash dividend.</w:t>
      </w:r>
    </w:p>
    <w:p>
      <w:pPr>
        <w:spacing w:after="0" w:line="58" w:lineRule="exact"/>
        <w:rPr>
          <w:rFonts w:ascii="Arial" w:cs="Arial" w:eastAsia="Arial" w:hAnsi="Arial"/>
          <w:sz w:val="12"/>
          <w:szCs w:val="12"/>
          <w:color w:val="auto"/>
        </w:rPr>
      </w:pPr>
    </w:p>
    <w:p>
      <w:pPr>
        <w:ind w:left="1000" w:right="120" w:hanging="259"/>
        <w:spacing w:after="0" w:line="281" w:lineRule="auto"/>
        <w:tabs>
          <w:tab w:leader="none" w:pos="10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view our senior secured credit facilities as material to our ability to fund operations, particularly in light of our seasonality. Please refer to “ITEM 1A. RISK FACTORS — Our indebtedness could limit our flexibility and adversely affect our financial condition” of this Annual Report on Form 10-K for a more complete discussion of the risks associated with our debt and our senior secured credit facilities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3.50 at September 30, 2010) and an interest coverage ratio (minimum of 3.50 for the year ended September 30, 2010). Our leverage ratio was 2.0 at September 30, 2010 and our interest coverage ratio was 9.4 for the year ended September 30, 2010.</w:t>
      </w:r>
    </w:p>
    <w:p>
      <w:pPr>
        <w:spacing w:after="0" w:line="9" w:lineRule="exact"/>
        <w:rPr>
          <w:rFonts w:ascii="Arial" w:cs="Arial" w:eastAsia="Arial" w:hAnsi="Arial"/>
          <w:sz w:val="12"/>
          <w:szCs w:val="12"/>
          <w:color w:val="auto"/>
        </w:rPr>
      </w:pPr>
    </w:p>
    <w:p>
      <w:pPr>
        <w:ind w:left="1000" w:right="40"/>
        <w:spacing w:after="0" w:line="260" w:lineRule="auto"/>
        <w:rPr>
          <w:rFonts w:ascii="Arial" w:cs="Arial" w:eastAsia="Arial" w:hAnsi="Arial"/>
          <w:sz w:val="12"/>
          <w:szCs w:val="12"/>
          <w:color w:val="auto"/>
        </w:rPr>
      </w:pPr>
      <w:r>
        <w:rPr>
          <w:rFonts w:ascii="Arial" w:cs="Arial" w:eastAsia="Arial" w:hAnsi="Arial"/>
          <w:sz w:val="13"/>
          <w:szCs w:val="13"/>
          <w:color w:val="auto"/>
        </w:rPr>
        <w:t>In accordance with the terms of our senior secured credit facilities, Adjusted EBITDA is calculated as net income or loss before interest, taxes, depreciation and amortization as well as certain other items such as the cumulative effect of changes in accounting, costs associated with debt refinancing and other non-cash items affecting net income. Our calculation of Adjusted EBITDA does not represent and should not be considered as an alternative to net income or cash provided by operating activities as determined by GAAP. We make no representation or assertion that Adjusted EBITDA is indicative of our cash provided by operating activities or</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280"/>
        <w:spacing w:after="0" w:line="276" w:lineRule="auto"/>
        <w:rPr>
          <w:sz w:val="20"/>
          <w:szCs w:val="20"/>
          <w:color w:val="auto"/>
        </w:rPr>
      </w:pPr>
      <w:r>
        <w:rPr>
          <w:rFonts w:ascii="Arial" w:cs="Arial" w:eastAsia="Arial" w:hAnsi="Arial"/>
          <w:sz w:val="13"/>
          <w:szCs w:val="13"/>
          <w:color w:val="auto"/>
        </w:rPr>
        <w:t>results of operations. We have provided a reconciliation of Adjusted EBITDA to net income solely for the purpose of complying with SEC regulations and not as an indication that Adjusted EBITDA is a substitute measure for income from operations.</w:t>
      </w:r>
    </w:p>
    <w:p>
      <w:pPr>
        <w:spacing w:after="0" w:line="10"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Interest coverage ratio is calculated as Adjusted EBITDA divided by interest expense, as described in our senior secured credit facilities, and excludes costs related to refinancings.</w:t>
      </w:r>
    </w:p>
    <w:p>
      <w:pPr>
        <w:spacing w:after="0" w:line="59"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Leverage ratio is calculated as average total indebtedness, as described in our senior secured credit facilities, relative to Adjusted EBITDA.</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numeric reconciliation of Adjusted EBITDA to net income (loss)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r>
      <w:tr>
        <w:trPr>
          <w:trHeight w:val="29"/>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153.3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132.7</w:t>
            </w: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Interest</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46.8</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82.2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70.7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39.6</w:t>
            </w: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Income taxes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80.2</w:t>
            </w: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59.4</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60.4</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70.3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67.5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67.0</w:t>
            </w: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Loss on impairment and other charges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66.4</w:t>
            </w: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Smith &amp; Hawken</w:t>
            </w:r>
            <w:r>
              <w:rPr>
                <w:rFonts w:ascii="Arial" w:cs="Arial" w:eastAsia="Arial" w:hAnsi="Arial"/>
                <w:sz w:val="11"/>
                <w:szCs w:val="11"/>
                <w:color w:val="auto"/>
              </w:rPr>
              <w:t>®</w:t>
            </w:r>
            <w:r>
              <w:rPr>
                <w:rFonts w:ascii="Arial" w:cs="Arial" w:eastAsia="Arial" w:hAnsi="Arial"/>
                <w:sz w:val="13"/>
                <w:szCs w:val="13"/>
                <w:color w:val="auto"/>
              </w:rPr>
              <w:t xml:space="preserve"> closure process, non-cash portion</w:t>
            </w: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Product registration and recall matters, non-cash portion</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Costs related to refinancings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350.5</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385.9</w:t>
            </w:r>
          </w:p>
        </w:tc>
      </w:tr>
      <w:tr>
        <w:trPr>
          <w:trHeight w:val="29"/>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right="440"/>
        <w:spacing w:after="0" w:line="276" w:lineRule="auto"/>
        <w:rPr>
          <w:sz w:val="20"/>
          <w:szCs w:val="20"/>
          <w:color w:val="auto"/>
        </w:rPr>
      </w:pPr>
      <w:r>
        <w:rPr>
          <w:rFonts w:ascii="Arial" w:cs="Arial" w:eastAsia="Arial" w:hAnsi="Arial"/>
          <w:sz w:val="13"/>
          <w:szCs w:val="13"/>
          <w:color w:val="auto"/>
        </w:rPr>
        <w:t>Please refer to “ITEM 7. MANAGEMENT’S DISCUSSION AND ANALYSIS OF FINANCIAL CONDITION AND RESULTS OF OPERATIONS — Liquidity and Capital Resources” of this Annual Report on Form 10-K for a discussion of our senior secured credit facilities.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u w:val="single" w:color="auto"/>
          <w:color w:val="auto"/>
        </w:rPr>
        <w:t>ITEM 7.</w:t>
      </w:r>
      <w:r>
        <w:rPr>
          <w:sz w:val="20"/>
          <w:szCs w:val="20"/>
          <w:color w:val="auto"/>
        </w:rPr>
        <w:tab/>
      </w:r>
      <w:r>
        <w:rPr>
          <w:rFonts w:ascii="Arial" w:cs="Arial" w:eastAsia="Arial" w:hAnsi="Arial"/>
          <w:sz w:val="12"/>
          <w:szCs w:val="12"/>
          <w:b w:val="1"/>
          <w:bCs w:val="1"/>
          <w:i w:val="1"/>
          <w:iCs w:val="1"/>
          <w:u w:val="single" w:color="auto"/>
          <w:color w:val="auto"/>
        </w:rPr>
        <w:t>MANAGEMENT’S DISCUSSION AND ANALYSIS OF FINANCIAL CONDITION AND 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purpose of this discussion is to provide an understanding of our financial condition and results of operations by focusing on changes in certain key measures from year-to-year.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Management’s Discussion and Analysis (“MD&amp;A”) is divided into the following sections:</w:t>
      </w:r>
    </w:p>
    <w:p>
      <w:pPr>
        <w:spacing w:after="0" w:line="89"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Executive summary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Results of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Segment results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Management’s outlook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Liquidity and capital resources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Regulatory matters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Critical accounting policies and estimates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Summary</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are dedicated to delivering strong, consistent financial results and outstanding shareholder returns by providing products of superior quality and value in order to enhance consumers’ outdoor living environments. We are a leading manufacturer and marketer of consumer branded products for lawn and garden care and professional horticulture in North America and Europe. We are Monsanto’s exclusive agent for the marketing and distribution of consumer Roundup</w:t>
      </w:r>
      <w:r>
        <w:rPr>
          <w:rFonts w:ascii="Arial" w:cs="Arial" w:eastAsia="Arial" w:hAnsi="Arial"/>
          <w:sz w:val="11"/>
          <w:szCs w:val="11"/>
          <w:color w:val="auto"/>
        </w:rPr>
        <w:t>®</w:t>
      </w:r>
      <w:r>
        <w:rPr>
          <w:rFonts w:ascii="Arial" w:cs="Arial" w:eastAsia="Arial" w:hAnsi="Arial"/>
          <w:sz w:val="13"/>
          <w:szCs w:val="13"/>
          <w:color w:val="auto"/>
        </w:rPr>
        <w:t xml:space="preserve"> non-selective herbicide products within the United States and other contractually specified countries. We have a presence in similar consumer branded and professional horticulture products in Australia, the Far East, Latin America and South America. We also operate Scotts LawnService</w:t>
      </w:r>
      <w:r>
        <w:rPr>
          <w:rFonts w:ascii="Arial" w:cs="Arial" w:eastAsia="Arial" w:hAnsi="Arial"/>
          <w:sz w:val="11"/>
          <w:szCs w:val="11"/>
          <w:color w:val="auto"/>
        </w:rPr>
        <w:t>®</w:t>
      </w:r>
      <w:r>
        <w:rPr>
          <w:rFonts w:ascii="Arial" w:cs="Arial" w:eastAsia="Arial" w:hAnsi="Arial"/>
          <w:sz w:val="13"/>
          <w:szCs w:val="13"/>
          <w:color w:val="auto"/>
        </w:rPr>
        <w:t>, the second largest U.S. lawn care service business.</w:t>
      </w:r>
    </w:p>
    <w:p>
      <w:pPr>
        <w:spacing w:after="0" w:line="69" w:lineRule="exact"/>
        <w:rPr>
          <w:sz w:val="20"/>
          <w:szCs w:val="20"/>
          <w:color w:val="auto"/>
        </w:rPr>
      </w:pPr>
    </w:p>
    <w:p>
      <w:pPr>
        <w:ind w:left="680" w:right="180" w:firstLine="399"/>
        <w:spacing w:after="0" w:line="266" w:lineRule="auto"/>
        <w:rPr>
          <w:sz w:val="20"/>
          <w:szCs w:val="20"/>
          <w:color w:val="auto"/>
        </w:rPr>
      </w:pPr>
      <w:r>
        <w:rPr>
          <w:rFonts w:ascii="Arial" w:cs="Arial" w:eastAsia="Arial" w:hAnsi="Arial"/>
          <w:sz w:val="13"/>
          <w:szCs w:val="13"/>
          <w:color w:val="auto"/>
        </w:rPr>
        <w:t>Our operations are divided into the following reportable segments: Global Consumer, Global Professional and Scotts LawnService</w:t>
      </w:r>
      <w:r>
        <w:rPr>
          <w:rFonts w:ascii="Arial" w:cs="Arial" w:eastAsia="Arial" w:hAnsi="Arial"/>
          <w:sz w:val="11"/>
          <w:szCs w:val="11"/>
          <w:color w:val="auto"/>
        </w:rPr>
        <w:t>®</w:t>
      </w:r>
      <w:r>
        <w:rPr>
          <w:rFonts w:ascii="Arial" w:cs="Arial" w:eastAsia="Arial" w:hAnsi="Arial"/>
          <w:sz w:val="13"/>
          <w:szCs w:val="13"/>
          <w:color w:val="auto"/>
        </w:rPr>
        <w:t>. On August 10, 2010, we indicated that we are actively exploring strategic alternatives for our Global Professional business segment. These strategic alternatives include the potential divestiture of that segment, consistent with our previously stated intent to focus on our core Global Consumer business segment.</w:t>
      </w:r>
    </w:p>
    <w:p>
      <w:pPr>
        <w:spacing w:after="0" w:line="65"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During our first quarter of fiscal 2010, all Smith &amp; Hawken stores were closed and substantially all operational activities of Smith &amp; Hawken were discontinued. As a result, effective in our first quarter of fiscal 2010, we classified Smith &amp; Hawken as discontinued operations.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 leading consumer branded lawn and garden company, our product development and marketing efforts are largely focused on providing innovative and differentiated products and on continually increasing brand and product awareness to inspire consumers and create retail demand. We have successfully applied this model for a number of years by focusing on research and development and investing approximately 4-5%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increasing market share.</w:t>
      </w:r>
    </w:p>
    <w:p>
      <w:pPr>
        <w:spacing w:after="0" w:line="55"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Our sales are susceptible in any one year to weather conditions in the markets in which our products are sold. For instance, periods of wet weather can adversely impact sales of certain products, while increasing demand for other products. We believe that our diversified product line and our broad geographic diversification reduce this risk. We also believe that weather conditions in any one year, positive or negative, do not materially alter longer-term category growth trends.</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Due to the nature of our lawn and garden business, significant portions of our products ship to our retail customers during the second and third fiscal quarters as noted in the chart below. Our annual sales are further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concentrated in the second and third fiscal quarters by retailers who increasingly rely on our ability to deliver products “in season” when consumers buy our products, thereby reducing retailers’ inventories.</w:t>
      </w:r>
    </w:p>
    <w:p>
      <w:pPr>
        <w:spacing w:after="0" w:line="61" w:lineRule="exact"/>
        <w:rPr>
          <w:sz w:val="20"/>
          <w:szCs w:val="20"/>
          <w:color w:val="auto"/>
        </w:rPr>
      </w:pPr>
    </w:p>
    <w:p>
      <w:pPr>
        <w:jc w:val="center"/>
        <w:ind w:left="7600"/>
        <w:spacing w:after="0"/>
        <w:rPr>
          <w:sz w:val="20"/>
          <w:szCs w:val="20"/>
          <w:color w:val="auto"/>
        </w:rPr>
      </w:pPr>
      <w:r>
        <w:rPr>
          <w:rFonts w:ascii="Arial" w:cs="Arial" w:eastAsia="Arial" w:hAnsi="Arial"/>
          <w:sz w:val="10"/>
          <w:szCs w:val="10"/>
          <w:b w:val="1"/>
          <w:bCs w:val="1"/>
          <w:color w:val="auto"/>
        </w:rPr>
        <w:t>Percent of Net Sales from</w:t>
      </w:r>
    </w:p>
    <w:p>
      <w:pPr>
        <w:spacing w:after="0" w:line="3" w:lineRule="exact"/>
        <w:rPr>
          <w:sz w:val="20"/>
          <w:szCs w:val="20"/>
          <w:color w:val="auto"/>
        </w:rPr>
      </w:pPr>
    </w:p>
    <w:p>
      <w:pPr>
        <w:jc w:val="center"/>
        <w:ind w:left="7600"/>
        <w:spacing w:after="0"/>
        <w:rPr>
          <w:sz w:val="20"/>
          <w:szCs w:val="20"/>
          <w:color w:val="auto"/>
        </w:rPr>
      </w:pPr>
      <w:r>
        <w:rPr>
          <w:rFonts w:ascii="Arial" w:cs="Arial" w:eastAsia="Arial" w:hAnsi="Arial"/>
          <w:sz w:val="10"/>
          <w:szCs w:val="10"/>
          <w:b w:val="1"/>
          <w:bCs w:val="1"/>
          <w:color w:val="auto"/>
        </w:rPr>
        <w:t>Continuing Operations by Quarter</w:t>
      </w:r>
    </w:p>
    <w:tbl>
      <w:tblPr>
        <w:tblLayout w:type="fixed"/>
        <w:tblInd w:w="680" w:type="dxa"/>
        <w:tblCellMar>
          <w:top w:w="0" w:type="dxa"/>
          <w:left w:w="0" w:type="dxa"/>
          <w:bottom w:w="0" w:type="dxa"/>
          <w:right w:w="0" w:type="dxa"/>
        </w:tblCellMar>
      </w:tblPr>
      <w:tr>
        <w:trPr>
          <w:trHeight w:val="98"/>
        </w:trPr>
        <w:tc>
          <w:tcPr>
            <w:tcW w:w="784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50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520" w:type="dxa"/>
            <w:vAlign w:val="bottom"/>
            <w:tcBorders>
              <w:top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r>
      <w:tr>
        <w:trPr>
          <w:trHeight w:val="29"/>
        </w:trPr>
        <w:tc>
          <w:tcPr>
            <w:tcW w:w="7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84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57"/>
        </w:trPr>
        <w:tc>
          <w:tcPr>
            <w:tcW w:w="7840" w:type="dxa"/>
            <w:vAlign w:val="bottom"/>
          </w:tcPr>
          <w:p>
            <w:pPr>
              <w:spacing w:after="0"/>
              <w:rPr>
                <w:sz w:val="20"/>
                <w:szCs w:val="20"/>
                <w:color w:val="auto"/>
              </w:rPr>
            </w:pPr>
            <w:r>
              <w:rPr>
                <w:rFonts w:ascii="Arial" w:cs="Arial" w:eastAsia="Arial" w:hAnsi="Arial"/>
                <w:sz w:val="13"/>
                <w:szCs w:val="13"/>
                <w:color w:val="auto"/>
              </w:rPr>
              <w:t>Second Quarter</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35.8%</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31.6%</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33.1%</w:t>
            </w:r>
          </w:p>
        </w:tc>
      </w:tr>
      <w:tr>
        <w:trPr>
          <w:trHeight w:val="157"/>
        </w:trPr>
        <w:tc>
          <w:tcPr>
            <w:tcW w:w="784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39.5%</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39.5%</w:t>
            </w:r>
          </w:p>
        </w:tc>
      </w:tr>
      <w:tr>
        <w:trPr>
          <w:trHeight w:val="165"/>
        </w:trPr>
        <w:tc>
          <w:tcPr>
            <w:tcW w:w="7840" w:type="dxa"/>
            <w:vAlign w:val="bottom"/>
          </w:tcPr>
          <w:p>
            <w:pPr>
              <w:spacing w:after="0"/>
              <w:rPr>
                <w:sz w:val="20"/>
                <w:szCs w:val="20"/>
                <w:color w:val="auto"/>
              </w:rPr>
            </w:pPr>
            <w:r>
              <w:rPr>
                <w:rFonts w:ascii="Arial" w:cs="Arial" w:eastAsia="Arial" w:hAnsi="Arial"/>
                <w:sz w:val="13"/>
                <w:szCs w:val="13"/>
                <w:color w:val="auto"/>
              </w:rPr>
              <w:t>Fourth Quarter</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15.1%</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17.5%</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17.9%</w:t>
            </w:r>
          </w:p>
        </w:tc>
      </w:tr>
    </w:tbl>
    <w:p>
      <w:pPr>
        <w:spacing w:after="0" w:line="72"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We follow a 13-week quarterly accounting cycle, with our first three fiscal quarters ending on a Saturday, while our fiscal year end always occurs on September 30th. This fiscal calendar convention requires us to cycle forward our first three fiscal quarter ends every four to five years. Fiscal 2010 is the most recent year impacted by this fiscal quarter end cycle forward process. As a result of this cycle forward process, a high volume sales week during our peak spring selling season shifted from the third quarter of fiscal 2009 to the second quarter of fiscal 2010, and our fourth quarter of fiscal 2010 was shorter than our fourth quarter of fiscal 2009 by five business days. The cycle forward process had no impact on the full-year results for fiscal 2010.</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product mix and foreign exchange movements), organic sales growth (net sales growth excluding the impact of foreign exchange movements, product recalls and acquisitions), gross profit margins, income from operations, income from continuing operations, net income and earnings per share. To the extent applicable, these measures are evaluated with and without impairment, restructuring and other charges, which management believes are not indicative of the earnings capabilities of our businesses. We also focus on measures to optimize cash flow and return on invested capital, including the management of working capital and capital expenditures.</w:t>
      </w:r>
    </w:p>
    <w:p>
      <w:pPr>
        <w:spacing w:after="0" w:line="72"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On August 10, 2010, we announced that the Scotts Miracle-Gro Board of Directors had authorized the repurchase of up to $500 million of our Common Shares over the next four years and the doubling of our quarterly dividend to $0.25 per Common Share. The decisions to increase the amount of cash we return to our shareholders reflect our continued confidence in the performance of our business, which should allow us to continue to make strategic investments that drive long-term profitable growth while maintaining our targeted capital structure. During the fourth quarter of fiscal 2010, we repurchased nearly $25 million of our Common Shares. Additionally, our first quarterly cash dividend of $0.25 per Common Share was paid on September 10, 2010.</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Registration and Recall Matters</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April 2008, we became aware that a former associate apparently deliberately circumvented our policies and U.S. EPA regulations under FIFRA by failing to obtain valid registrations for certain products and/or causing certain invalid product registration forms to be submitted to regulators. Since that time, we have been cooperating with both the U.S. EPA and the U.S. DOJ in related civil and criminal investigations into the pesticide product registration issues as well as a state civil investigation into related allegations arising under state pesticide registration laws and regulations.</w:t>
      </w:r>
    </w:p>
    <w:p>
      <w:pPr>
        <w:spacing w:after="0" w:line="70" w:lineRule="exact"/>
        <w:rPr>
          <w:sz w:val="20"/>
          <w:szCs w:val="20"/>
          <w:color w:val="auto"/>
        </w:rPr>
      </w:pPr>
    </w:p>
    <w:p>
      <w:pPr>
        <w:ind w:left="680" w:right="280" w:firstLine="399"/>
        <w:spacing w:after="0" w:line="282" w:lineRule="auto"/>
        <w:rPr>
          <w:sz w:val="20"/>
          <w:szCs w:val="20"/>
          <w:color w:val="auto"/>
        </w:rPr>
      </w:pPr>
      <w:r>
        <w:rPr>
          <w:rFonts w:ascii="Arial" w:cs="Arial" w:eastAsia="Arial" w:hAnsi="Arial"/>
          <w:sz w:val="12"/>
          <w:szCs w:val="12"/>
          <w:color w:val="auto"/>
        </w:rPr>
        <w:t>In late April of 2008, in connection with the U.S. EPA’s investigation, we conducted a consumer-level recall of certain consumer lawn and garden products and a Scotts LawnService</w:t>
      </w:r>
      <w:r>
        <w:rPr>
          <w:rFonts w:ascii="Arial" w:cs="Arial" w:eastAsia="Arial" w:hAnsi="Arial"/>
          <w:sz w:val="10"/>
          <w:szCs w:val="10"/>
          <w:color w:val="auto"/>
        </w:rPr>
        <w:t>®</w:t>
      </w:r>
      <w:r>
        <w:rPr>
          <w:rFonts w:ascii="Arial" w:cs="Arial" w:eastAsia="Arial" w:hAnsi="Arial"/>
          <w:sz w:val="12"/>
          <w:szCs w:val="12"/>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QAI, reviewed substantially all of our U.S. pesticide product registrations and associated advertisements,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until the issues could be resolved. QAI’s review of our U.S. pesticide product registrations and associated advertisements is now substantially complete. The results of the QAI review process did not materially affect our fiscal 2009 and fiscal 2010 sales, and are not expected to materially affect our fiscal 2011 sales.</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our fiscal 2009 financial condition, results of operations or cash flows.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June of 2008, CDPR issued a request for information to the Company relating to products that had been the subject of our April 2008 recall. We cooperated with that inquiry and reached agreement with CDPR that CDPR would place its investigation on hold pending the completion of our internal audit. In furtherance of that agreement, in May of 2010, the Company and CDPR executed a tolling agreement that extends CDPR’s rights through April 2012. In July of 2010, CDPR notified us that it planned to proceed with its investigation independent of the U.S. EPA and U.S. DOJ. We are continuing to cooperate with CDPR’s investigation.</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As a result of these registration and recall matters, we have reversed sales associated with estimated returns of affected products, recorded charges for affected inventory and recorded other registration and recall-related costs. The effects of these adjustments were pre-tax charges of $8.7 million, $28.6 million and $51.1 million for the years ended September 30, 2010, 2009 and 2008, respectively. We expect to incur an additional $8-10 million in fiscal 2011 on recall and registration matters, excluding possible fines, penalties, judgments and/or litigation costs. We expect that these charges will include costs associated with the rework of certain finished goods inventories, the potential disposal of certain products and ongoing third-party professional services related to the U.S. EPA, U.S. DOJ and state investigations.</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U.S. EPA, U.S. DOJ and CDPR investigations continue and may result in future state, federal or private rights of action including fines and/or penalties with respect to known or potential additional product registration issues. Until the U.S. EPA, U.S. DOJ and related state investigations are complete, we cannot reasonably determine the scope or magnitude of possible liabilities that could result from known or potential product registration issues, and no reserves for these potential liabilities have been established as of September 30, 2010. However, it is possible that such liabilities, including fines, penalties, judgments and/or litigation costs could be material and have an adverse effect on our financial condition, results of operations or cash flows.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are committed to providing our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also are committed to conducting business with the highest degree of ethical standards and in adherence to the law. While we are disappointed in these events, we believe we have made significant progress in addressing the issues and restoring customer and consumer confidence in our products.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Beginning in our first quarter of fiscal 2010, we classified Smith &amp; Hawken as discontinued operations. Accordingly, we have reclassified our results of operations for each of the three years ended September 30, 2010 to reflect Smith &amp; Hawken as discontinued operations separate from our results of continuing operations. As a result, and unless specifically stated, all discussions regarding results for each of the three years ended September 30, 2010 reflect results from our continuing operations.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components of income and expense as a percentage of net sales for each of the three years ended September 30, 2010:</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20" w:type="dxa"/>
            <w:vAlign w:val="bottom"/>
          </w:tcPr>
          <w:p>
            <w:pPr>
              <w:spacing w:after="0"/>
              <w:rPr>
                <w:sz w:val="10"/>
                <w:szCs w:val="10"/>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rPr>
              <w:t>2008</w:t>
            </w:r>
          </w:p>
        </w:tc>
        <w:tc>
          <w:tcPr>
            <w:tcW w:w="160" w:type="dxa"/>
            <w:vAlign w:val="bottom"/>
          </w:tcPr>
          <w:p>
            <w:pPr>
              <w:spacing w:after="0"/>
              <w:rPr>
                <w:sz w:val="10"/>
                <w:szCs w:val="10"/>
                <w:color w:val="auto"/>
              </w:rPr>
            </w:pPr>
          </w:p>
        </w:tc>
      </w:tr>
      <w:tr>
        <w:trPr>
          <w:trHeight w:val="29"/>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782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r>
      <w:tr>
        <w:trPr>
          <w:trHeight w:val="157"/>
        </w:trPr>
        <w:tc>
          <w:tcPr>
            <w:tcW w:w="7820" w:type="dxa"/>
            <w:vAlign w:val="bottom"/>
          </w:tcPr>
          <w:p>
            <w:pPr>
              <w:spacing w:after="0"/>
              <w:rPr>
                <w:sz w:val="20"/>
                <w:szCs w:val="20"/>
                <w:color w:val="auto"/>
              </w:rPr>
            </w:pPr>
            <w:r>
              <w:rPr>
                <w:rFonts w:ascii="Arial" w:cs="Arial" w:eastAsia="Arial" w:hAnsi="Arial"/>
                <w:sz w:val="13"/>
                <w:szCs w:val="13"/>
                <w:color w:val="auto"/>
              </w:rPr>
              <w:t>Cost of sales</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63.4</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64.1</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66.7</w:t>
            </w:r>
          </w:p>
        </w:tc>
      </w:tr>
      <w:tr>
        <w:trPr>
          <w:trHeight w:val="157"/>
        </w:trPr>
        <w:tc>
          <w:tcPr>
            <w:tcW w:w="7820" w:type="dxa"/>
            <w:vAlign w:val="bottom"/>
            <w:shd w:val="clear" w:color="auto" w:fill="CCEEFF"/>
          </w:tcPr>
          <w:p>
            <w:pPr>
              <w:spacing w:after="0"/>
              <w:rPr>
                <w:sz w:val="20"/>
                <w:szCs w:val="20"/>
                <w:color w:val="auto"/>
              </w:rPr>
            </w:pPr>
            <w:r>
              <w:rPr>
                <w:rFonts w:ascii="Arial" w:cs="Arial" w:eastAsia="Arial" w:hAnsi="Arial"/>
                <w:sz w:val="13"/>
                <w:szCs w:val="13"/>
                <w:color w:val="auto"/>
              </w:rPr>
              <w:t>Cost of sales — impairment, restructuring and other charges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57"/>
        </w:trPr>
        <w:tc>
          <w:tcPr>
            <w:tcW w:w="7820" w:type="dxa"/>
            <w:vAlign w:val="bottom"/>
          </w:tcPr>
          <w:p>
            <w:pPr>
              <w:spacing w:after="0"/>
              <w:rPr>
                <w:sz w:val="20"/>
                <w:szCs w:val="20"/>
                <w:color w:val="auto"/>
              </w:rPr>
            </w:pPr>
            <w:r>
              <w:rPr>
                <w:rFonts w:ascii="Arial" w:cs="Arial" w:eastAsia="Arial" w:hAnsi="Arial"/>
                <w:sz w:val="13"/>
                <w:szCs w:val="13"/>
                <w:color w:val="auto"/>
              </w:rPr>
              <w:t>Cost of sales — product registration and recall matters</w:t>
            </w:r>
          </w:p>
        </w:tc>
        <w:tc>
          <w:tcPr>
            <w:tcW w:w="400" w:type="dxa"/>
            <w:vAlign w:val="bottom"/>
          </w:tcPr>
          <w:p>
            <w:pPr>
              <w:jc w:val="right"/>
              <w:spacing w:after="0"/>
              <w:rPr>
                <w:sz w:val="20"/>
                <w:szCs w:val="20"/>
                <w:color w:val="auto"/>
              </w:rPr>
            </w:pPr>
            <w:r>
              <w:rPr>
                <w:rFonts w:ascii="Arial" w:cs="Arial" w:eastAsia="Arial" w:hAnsi="Arial"/>
                <w:sz w:val="13"/>
                <w:szCs w:val="13"/>
                <w:color w:val="auto"/>
              </w:rPr>
              <w:t>0.1</w:t>
            </w:r>
          </w:p>
        </w:tc>
        <w:tc>
          <w:tcPr>
            <w:tcW w:w="4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0.4</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1.0</w:t>
            </w:r>
          </w:p>
        </w:tc>
      </w:tr>
      <w:tr>
        <w:trPr>
          <w:trHeight w:val="20"/>
        </w:trPr>
        <w:tc>
          <w:tcPr>
            <w:tcW w:w="7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782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35.5</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32.3</w:t>
            </w:r>
          </w:p>
        </w:tc>
      </w:tr>
      <w:tr>
        <w:trPr>
          <w:trHeight w:val="157"/>
        </w:trPr>
        <w:tc>
          <w:tcPr>
            <w:tcW w:w="7820" w:type="dxa"/>
            <w:vAlign w:val="bottom"/>
          </w:tcPr>
          <w:p>
            <w:pPr>
              <w:spacing w:after="0"/>
              <w:rPr>
                <w:sz w:val="20"/>
                <w:szCs w:val="20"/>
                <w:color w:val="auto"/>
              </w:rPr>
            </w:pPr>
            <w:r>
              <w:rPr>
                <w:rFonts w:ascii="Arial" w:cs="Arial" w:eastAsia="Arial" w:hAnsi="Arial"/>
                <w:sz w:val="13"/>
                <w:szCs w:val="13"/>
                <w:color w:val="auto"/>
              </w:rPr>
              <w:t>Operating expenses:</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7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23.3</w:t>
            </w:r>
          </w:p>
        </w:tc>
      </w:tr>
      <w:tr>
        <w:trPr>
          <w:trHeight w:val="157"/>
        </w:trPr>
        <w:tc>
          <w:tcPr>
            <w:tcW w:w="7820" w:type="dxa"/>
            <w:vAlign w:val="bottom"/>
          </w:tcPr>
          <w:p>
            <w:pPr>
              <w:ind w:left="140"/>
              <w:spacing w:after="0"/>
              <w:rPr>
                <w:sz w:val="20"/>
                <w:szCs w:val="20"/>
                <w:color w:val="auto"/>
              </w:rPr>
            </w:pPr>
            <w:r>
              <w:rPr>
                <w:rFonts w:ascii="Arial" w:cs="Arial" w:eastAsia="Arial" w:hAnsi="Arial"/>
                <w:sz w:val="13"/>
                <w:szCs w:val="13"/>
                <w:color w:val="auto"/>
              </w:rPr>
              <w:t>Impairment, restructuring and other charges</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0.6</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3.9</w:t>
            </w:r>
          </w:p>
        </w:tc>
      </w:tr>
      <w:tr>
        <w:trPr>
          <w:trHeight w:val="157"/>
        </w:trPr>
        <w:tc>
          <w:tcPr>
            <w:tcW w:w="7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registration and recall matters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0.6</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0.4</w:t>
            </w:r>
          </w:p>
        </w:tc>
      </w:tr>
      <w:tr>
        <w:trPr>
          <w:trHeight w:val="157"/>
        </w:trPr>
        <w:tc>
          <w:tcPr>
            <w:tcW w:w="7820" w:type="dxa"/>
            <w:vAlign w:val="bottom"/>
          </w:tcPr>
          <w:p>
            <w:pPr>
              <w:ind w:left="140"/>
              <w:spacing w:after="0"/>
              <w:rPr>
                <w:sz w:val="20"/>
                <w:szCs w:val="20"/>
                <w:color w:val="auto"/>
              </w:rPr>
            </w:pPr>
            <w:r>
              <w:rPr>
                <w:rFonts w:ascii="Arial" w:cs="Arial" w:eastAsia="Arial" w:hAnsi="Arial"/>
                <w:sz w:val="13"/>
                <w:szCs w:val="13"/>
                <w:color w:val="auto"/>
              </w:rPr>
              <w:t>Other (income) expense, net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(0.3)</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r>
      <w:tr>
        <w:trPr>
          <w:trHeight w:val="20"/>
        </w:trPr>
        <w:tc>
          <w:tcPr>
            <w:tcW w:w="7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78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w:t>
            </w:r>
          </w:p>
        </w:tc>
      </w:tr>
      <w:tr>
        <w:trPr>
          <w:trHeight w:val="157"/>
        </w:trPr>
        <w:tc>
          <w:tcPr>
            <w:tcW w:w="7820" w:type="dxa"/>
            <w:vAlign w:val="bottom"/>
          </w:tcPr>
          <w:p>
            <w:pPr>
              <w:spacing w:after="0"/>
              <w:rPr>
                <w:sz w:val="20"/>
                <w:szCs w:val="20"/>
                <w:color w:val="auto"/>
              </w:rPr>
            </w:pPr>
            <w:r>
              <w:rPr>
                <w:rFonts w:ascii="Arial" w:cs="Arial" w:eastAsia="Arial" w:hAnsi="Arial"/>
                <w:sz w:val="13"/>
                <w:szCs w:val="13"/>
                <w:color w:val="auto"/>
              </w:rPr>
              <w:t>Interest expense</w:t>
            </w:r>
          </w:p>
        </w:tc>
        <w:tc>
          <w:tcPr>
            <w:tcW w:w="400" w:type="dxa"/>
            <w:vAlign w:val="bottom"/>
          </w:tcPr>
          <w:p>
            <w:pPr>
              <w:jc w:val="right"/>
              <w:spacing w:after="0"/>
              <w:rPr>
                <w:sz w:val="20"/>
                <w:szCs w:val="20"/>
                <w:color w:val="auto"/>
              </w:rPr>
            </w:pPr>
            <w:r>
              <w:rPr>
                <w:rFonts w:ascii="Arial" w:cs="Arial" w:eastAsia="Arial" w:hAnsi="Arial"/>
                <w:sz w:val="13"/>
                <w:szCs w:val="13"/>
                <w:color w:val="auto"/>
              </w:rPr>
              <w:t>1.5</w:t>
            </w:r>
          </w:p>
        </w:tc>
        <w:tc>
          <w:tcPr>
            <w:tcW w:w="4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1.9</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2.9</w:t>
            </w:r>
          </w:p>
        </w:tc>
      </w:tr>
      <w:tr>
        <w:trPr>
          <w:trHeight w:val="20"/>
        </w:trPr>
        <w:tc>
          <w:tcPr>
            <w:tcW w:w="7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782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before income taxes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8.1</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w:t>
            </w:r>
          </w:p>
        </w:tc>
      </w:tr>
      <w:tr>
        <w:trPr>
          <w:trHeight w:val="157"/>
        </w:trPr>
        <w:tc>
          <w:tcPr>
            <w:tcW w:w="7820" w:type="dxa"/>
            <w:vAlign w:val="bottom"/>
          </w:tcPr>
          <w:p>
            <w:pPr>
              <w:spacing w:after="0"/>
              <w:rPr>
                <w:sz w:val="20"/>
                <w:szCs w:val="20"/>
                <w:color w:val="auto"/>
              </w:rPr>
            </w:pPr>
            <w:r>
              <w:rPr>
                <w:rFonts w:ascii="Arial" w:cs="Arial" w:eastAsia="Arial" w:hAnsi="Arial"/>
                <w:sz w:val="13"/>
                <w:szCs w:val="13"/>
                <w:color w:val="auto"/>
              </w:rPr>
              <w:t>Income tax expense from continuing operations</w:t>
            </w:r>
          </w:p>
        </w:tc>
        <w:tc>
          <w:tcPr>
            <w:tcW w:w="400" w:type="dxa"/>
            <w:vAlign w:val="bottom"/>
          </w:tcPr>
          <w:p>
            <w:pPr>
              <w:jc w:val="right"/>
              <w:spacing w:after="0"/>
              <w:rPr>
                <w:sz w:val="20"/>
                <w:szCs w:val="20"/>
                <w:color w:val="auto"/>
              </w:rPr>
            </w:pPr>
            <w:r>
              <w:rPr>
                <w:rFonts w:ascii="Arial" w:cs="Arial" w:eastAsia="Arial" w:hAnsi="Arial"/>
                <w:sz w:val="13"/>
                <w:szCs w:val="13"/>
                <w:color w:val="auto"/>
              </w:rPr>
              <w:t>4.0</w:t>
            </w:r>
          </w:p>
        </w:tc>
        <w:tc>
          <w:tcPr>
            <w:tcW w:w="4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2.9</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0.9</w:t>
            </w:r>
          </w:p>
        </w:tc>
      </w:tr>
      <w:tr>
        <w:trPr>
          <w:trHeight w:val="20"/>
        </w:trPr>
        <w:tc>
          <w:tcPr>
            <w:tcW w:w="7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782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r>
      <w:tr>
        <w:trPr>
          <w:trHeight w:val="157"/>
        </w:trPr>
        <w:tc>
          <w:tcPr>
            <w:tcW w:w="7820" w:type="dxa"/>
            <w:vAlign w:val="bottom"/>
          </w:tcPr>
          <w:p>
            <w:pPr>
              <w:spacing w:after="0"/>
              <w:rPr>
                <w:sz w:val="20"/>
                <w:szCs w:val="20"/>
                <w:color w:val="auto"/>
              </w:rPr>
            </w:pPr>
            <w:r>
              <w:rPr>
                <w:rFonts w:ascii="Arial" w:cs="Arial" w:eastAsia="Arial" w:hAnsi="Arial"/>
                <w:sz w:val="13"/>
                <w:szCs w:val="13"/>
                <w:color w:val="auto"/>
              </w:rPr>
              <w:t>Loss from discontinued operations, net of tax</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(0.3)</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(0.1)</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(1.6)</w:t>
            </w:r>
          </w:p>
        </w:tc>
      </w:tr>
      <w:tr>
        <w:trPr>
          <w:trHeight w:val="20"/>
        </w:trPr>
        <w:tc>
          <w:tcPr>
            <w:tcW w:w="7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782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29"/>
        </w:trPr>
        <w:tc>
          <w:tcPr>
            <w:tcW w:w="78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6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Sales</w:t>
      </w:r>
    </w:p>
    <w:p>
      <w:pPr>
        <w:spacing w:after="0" w:line="96"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Consolidated net sales for fiscal 2010 increased 5.3% to $3.14 billion from $2.98 billion in fiscal 2009. Net sales for fiscal 2009 increased 5.6% to $2.98 billion from $2.82 billion in fiscal 2008. Organic net sales growth, which excludes the impact of changes in foreign exchange rates, product recalls and acquisitions, was 4.6% and 8.4% for fiscal 2010 and fiscal 2009, respectively, as noted in the following table:</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820" w:type="dxa"/>
            <w:vAlign w:val="bottom"/>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2009</w:t>
            </w:r>
          </w:p>
        </w:tc>
        <w:tc>
          <w:tcPr>
            <w:tcW w:w="120" w:type="dxa"/>
            <w:vAlign w:val="bottom"/>
          </w:tcPr>
          <w:p>
            <w:pPr>
              <w:spacing w:after="0"/>
              <w:rPr>
                <w:sz w:val="10"/>
                <w:szCs w:val="10"/>
                <w:color w:val="auto"/>
              </w:rPr>
            </w:pPr>
          </w:p>
        </w:tc>
      </w:tr>
      <w:tr>
        <w:trPr>
          <w:trHeight w:val="29"/>
        </w:trPr>
        <w:tc>
          <w:tcPr>
            <w:tcW w:w="8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820" w:type="dxa"/>
            <w:vAlign w:val="bottom"/>
            <w:shd w:val="clear" w:color="auto" w:fill="CCEEFF"/>
          </w:tcPr>
          <w:p>
            <w:pPr>
              <w:spacing w:after="0"/>
              <w:rPr>
                <w:sz w:val="20"/>
                <w:szCs w:val="20"/>
                <w:color w:val="auto"/>
              </w:rPr>
            </w:pPr>
            <w:r>
              <w:rPr>
                <w:rFonts w:ascii="Arial" w:cs="Arial" w:eastAsia="Arial" w:hAnsi="Arial"/>
                <w:sz w:val="13"/>
                <w:szCs w:val="13"/>
                <w:color w:val="auto"/>
              </w:rPr>
              <w:t>Net sales growth</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8820" w:type="dxa"/>
            <w:vAlign w:val="bottom"/>
          </w:tcPr>
          <w:p>
            <w:pPr>
              <w:spacing w:after="0"/>
              <w:rPr>
                <w:sz w:val="20"/>
                <w:szCs w:val="20"/>
                <w:color w:val="auto"/>
              </w:rPr>
            </w:pPr>
            <w:r>
              <w:rPr>
                <w:rFonts w:ascii="Arial" w:cs="Arial" w:eastAsia="Arial" w:hAnsi="Arial"/>
                <w:sz w:val="13"/>
                <w:szCs w:val="13"/>
                <w:color w:val="auto"/>
              </w:rPr>
              <w:t>Acquisitions</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(0.3)</w:t>
            </w:r>
          </w:p>
        </w:tc>
      </w:tr>
      <w:tr>
        <w:trPr>
          <w:trHeight w:val="157"/>
        </w:trPr>
        <w:tc>
          <w:tcPr>
            <w:tcW w:w="882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rates</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w:t>
            </w:r>
          </w:p>
        </w:tc>
      </w:tr>
      <w:tr>
        <w:trPr>
          <w:trHeight w:val="157"/>
        </w:trPr>
        <w:tc>
          <w:tcPr>
            <w:tcW w:w="8820" w:type="dxa"/>
            <w:vAlign w:val="bottom"/>
          </w:tcPr>
          <w:p>
            <w:pPr>
              <w:spacing w:after="0"/>
              <w:rPr>
                <w:sz w:val="20"/>
                <w:szCs w:val="20"/>
                <w:color w:val="auto"/>
              </w:rPr>
            </w:pPr>
            <w:r>
              <w:rPr>
                <w:rFonts w:ascii="Arial" w:cs="Arial" w:eastAsia="Arial" w:hAnsi="Arial"/>
                <w:sz w:val="13"/>
                <w:szCs w:val="13"/>
                <w:color w:val="auto"/>
              </w:rPr>
              <w:t>Product recall matters — returns</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(0.8)</w:t>
            </w:r>
          </w:p>
        </w:tc>
      </w:tr>
      <w:tr>
        <w:trPr>
          <w:trHeight w:val="20"/>
        </w:trPr>
        <w:tc>
          <w:tcPr>
            <w:tcW w:w="8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8820" w:type="dxa"/>
            <w:vAlign w:val="bottom"/>
            <w:shd w:val="clear" w:color="auto" w:fill="CCEEFF"/>
          </w:tcPr>
          <w:p>
            <w:pPr>
              <w:spacing w:after="0"/>
              <w:rPr>
                <w:sz w:val="20"/>
                <w:szCs w:val="20"/>
                <w:color w:val="auto"/>
              </w:rPr>
            </w:pPr>
            <w:r>
              <w:rPr>
                <w:rFonts w:ascii="Arial" w:cs="Arial" w:eastAsia="Arial" w:hAnsi="Arial"/>
                <w:sz w:val="13"/>
                <w:szCs w:val="13"/>
                <w:color w:val="auto"/>
              </w:rPr>
              <w:t>Organic net sales growth</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29"/>
        </w:trPr>
        <w:tc>
          <w:tcPr>
            <w:tcW w:w="88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Organic net sales in the Global Consumer segment increased 5.8% in fiscal 2010, driven by a 6.0% increase in organic net sales in the U.S. Consumer business solely as a result of unit growth. We believe the U.S. Consumer growth was partially attributable to increased marketing efforts, continued support of the category by our retail partners and product innovation. International Consumer organic net sales increased 4.8% in fiscal 2010, also driven entirely by unit growth. Global Professional organic net sales were nearly flat, as unit growth of nearly 8.3% was entirely offset by declining prices. Organic net sales for Scotts LawnService</w:t>
      </w:r>
      <w:r>
        <w:rPr>
          <w:rFonts w:ascii="Arial" w:cs="Arial" w:eastAsia="Arial" w:hAnsi="Arial"/>
          <w:sz w:val="9"/>
          <w:szCs w:val="9"/>
          <w:color w:val="auto"/>
        </w:rPr>
        <w:t>®</w:t>
      </w:r>
      <w:r>
        <w:rPr>
          <w:rFonts w:ascii="Arial" w:cs="Arial" w:eastAsia="Arial" w:hAnsi="Arial"/>
          <w:sz w:val="11"/>
          <w:szCs w:val="11"/>
          <w:color w:val="auto"/>
        </w:rPr>
        <w:t xml:space="preserve"> declined by 3.0% primarily due to a year-over-year decline in average customer count.</w:t>
      </w:r>
    </w:p>
    <w:p>
      <w:pPr>
        <w:spacing w:after="0" w:line="3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Organic net sales in the Global Consumer segment increased 12.3% in fiscal 2009, driven by 15.4% growth in North America. We believe the North America growth was attributable to a variety of factors, including increased marketing efforts, support received from our retail partners, product innovation, new private label business, improvements to our sales force and price increases. Global Professional organic net sales declined 8.0% in fiscal 2009, primarily driven by the decrease in net sales for the North America Professional business, which was negatively impacted by the significant drop in demand due to the downturn in commercial and residential</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280"/>
        <w:spacing w:after="0" w:line="280" w:lineRule="auto"/>
        <w:rPr>
          <w:sz w:val="20"/>
          <w:szCs w:val="20"/>
          <w:color w:val="auto"/>
        </w:rPr>
      </w:pPr>
      <w:r>
        <w:rPr>
          <w:rFonts w:ascii="Arial" w:cs="Arial" w:eastAsia="Arial" w:hAnsi="Arial"/>
          <w:sz w:val="13"/>
          <w:szCs w:val="13"/>
          <w:color w:val="auto"/>
        </w:rPr>
        <w:t>construction and customer inventory build-ups in fiscal 2008 in anticipation of price increases. Organic net sales for Scotts LawnService</w:t>
      </w:r>
      <w:r>
        <w:rPr>
          <w:rFonts w:ascii="Arial" w:cs="Arial" w:eastAsia="Arial" w:hAnsi="Arial"/>
          <w:sz w:val="11"/>
          <w:szCs w:val="11"/>
          <w:color w:val="auto"/>
        </w:rPr>
        <w:t>®</w:t>
      </w:r>
      <w:r>
        <w:rPr>
          <w:rFonts w:ascii="Arial" w:cs="Arial" w:eastAsia="Arial" w:hAnsi="Arial"/>
          <w:sz w:val="13"/>
          <w:szCs w:val="13"/>
          <w:color w:val="auto"/>
        </w:rPr>
        <w:t xml:space="preserve"> declined by 6.6% due to a decrease in average customer count driven by macroeconomic factors.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Gross Profit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a percentage of net sales, gross profit increased from 35.5% for fiscal 2009 to 36.5% for fiscal 2010. The increase in gross profit rates was driven by supply chain cost productivity initiatives, lower average commodity costs, favorable product mix and increased commissions on sales of Roundup</w:t>
      </w:r>
      <w:r>
        <w:rPr>
          <w:rFonts w:ascii="Arial" w:cs="Arial" w:eastAsia="Arial" w:hAnsi="Arial"/>
          <w:sz w:val="11"/>
          <w:szCs w:val="11"/>
          <w:color w:val="auto"/>
        </w:rPr>
        <w:t>®</w:t>
      </w:r>
      <w:r>
        <w:rPr>
          <w:rFonts w:ascii="Arial" w:cs="Arial" w:eastAsia="Arial" w:hAnsi="Arial"/>
          <w:sz w:val="13"/>
          <w:szCs w:val="13"/>
          <w:color w:val="auto"/>
        </w:rPr>
        <w:t xml:space="preserve"> branded products. These gross profit rate benefits were partially offset by year-over-year declines in pricing, primarily in our Global Professional business driven by declines in commodity costs. Product registration and recall matters unfavorably impacted gross profit rates by 10 and 40 basis points for fiscal 2010 and fiscal 2009, respectively.</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a percentage of net sales, gross profit was 35.5% of net sales for fiscal 2009 compared to 32.3% for fiscal 2008. The increase in gross profit rates was primarily driven by increased selling prices net of higher commodity costs, as well as supply chain cost productivity improvements. Product registration and recall matters unfavorably impacted gross profit rates by 40 and 140 basis points for fiscal 2009 and fiscal 2008, respectively.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shows the major components of Selling, General and Administrative expenses (“SG&amp;A”) for each of the three years ended September 30, 2010:</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w w:val="78"/>
              </w:rPr>
              <w:t>millions,</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2009</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ind w:right="18"/>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520" w:type="dxa"/>
            <w:vAlign w:val="bottom"/>
            <w:gridSpan w:val="6"/>
          </w:tcPr>
          <w:p>
            <w:pPr>
              <w:spacing w:after="0"/>
              <w:rPr>
                <w:sz w:val="20"/>
                <w:szCs w:val="20"/>
                <w:color w:val="auto"/>
              </w:rPr>
            </w:pPr>
            <w:r>
              <w:rPr>
                <w:rFonts w:ascii="Arial" w:cs="Arial" w:eastAsia="Arial" w:hAnsi="Arial"/>
                <w:sz w:val="10"/>
                <w:szCs w:val="10"/>
                <w:b w:val="1"/>
                <w:bCs w:val="1"/>
                <w:color w:val="auto"/>
              </w:rPr>
              <w:t>except percentage figures)</w:t>
            </w:r>
          </w:p>
        </w:tc>
        <w:tc>
          <w:tcPr>
            <w:tcW w:w="0" w:type="dxa"/>
            <w:vAlign w:val="bottom"/>
          </w:tcPr>
          <w:p>
            <w:pPr>
              <w:spacing w:after="0"/>
              <w:rPr>
                <w:sz w:val="1"/>
                <w:szCs w:val="1"/>
                <w:color w:val="auto"/>
              </w:rPr>
            </w:pPr>
          </w:p>
        </w:tc>
      </w:tr>
      <w:tr>
        <w:trPr>
          <w:trHeight w:val="163"/>
        </w:trPr>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Advertising</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w:t>
            </w:r>
          </w:p>
        </w:tc>
        <w:tc>
          <w:tcPr>
            <w:tcW w:w="4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127.7</w:t>
            </w:r>
          </w:p>
        </w:tc>
        <w:tc>
          <w:tcPr>
            <w:tcW w:w="0" w:type="dxa"/>
            <w:vAlign w:val="bottom"/>
          </w:tcPr>
          <w:p>
            <w:pPr>
              <w:spacing w:after="0"/>
              <w:rPr>
                <w:sz w:val="1"/>
                <w:szCs w:val="1"/>
                <w:color w:val="auto"/>
              </w:rPr>
            </w:pPr>
          </w:p>
        </w:tc>
      </w:tr>
      <w:tr>
        <w:trPr>
          <w:trHeight w:val="157"/>
        </w:trPr>
        <w:tc>
          <w:tcPr>
            <w:tcW w:w="7560" w:type="dxa"/>
            <w:vAlign w:val="bottom"/>
          </w:tcPr>
          <w:p>
            <w:pPr>
              <w:spacing w:after="0"/>
              <w:rPr>
                <w:sz w:val="20"/>
                <w:szCs w:val="20"/>
                <w:color w:val="auto"/>
              </w:rPr>
            </w:pPr>
            <w:r>
              <w:rPr>
                <w:rFonts w:ascii="Arial" w:cs="Arial" w:eastAsia="Arial" w:hAnsi="Arial"/>
                <w:sz w:val="13"/>
                <w:szCs w:val="13"/>
                <w:color w:val="auto"/>
              </w:rPr>
              <w:t>Advertising as a percentage of net sales</w:t>
            </w:r>
          </w:p>
        </w:tc>
        <w:tc>
          <w:tcPr>
            <w:tcW w:w="120" w:type="dxa"/>
            <w:vAlign w:val="bottom"/>
          </w:tcPr>
          <w:p>
            <w:pPr>
              <w:spacing w:after="0"/>
              <w:rPr>
                <w:sz w:val="13"/>
                <w:szCs w:val="13"/>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Other SG&amp;A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578.1</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589.5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501.8</w:t>
            </w:r>
          </w:p>
        </w:tc>
        <w:tc>
          <w:tcPr>
            <w:tcW w:w="0" w:type="dxa"/>
            <w:vAlign w:val="bottom"/>
          </w:tcPr>
          <w:p>
            <w:pPr>
              <w:spacing w:after="0"/>
              <w:rPr>
                <w:sz w:val="1"/>
                <w:szCs w:val="1"/>
                <w:color w:val="auto"/>
              </w:rPr>
            </w:pPr>
          </w:p>
        </w:tc>
      </w:tr>
      <w:tr>
        <w:trPr>
          <w:trHeight w:val="157"/>
        </w:trPr>
        <w:tc>
          <w:tcPr>
            <w:tcW w:w="756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16.4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57"/>
        </w:trPr>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746.7</w:t>
            </w:r>
          </w:p>
        </w:tc>
        <w:tc>
          <w:tcPr>
            <w:tcW w:w="40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742.9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657.1</w:t>
            </w:r>
          </w:p>
        </w:tc>
        <w:tc>
          <w:tcPr>
            <w:tcW w:w="0" w:type="dxa"/>
            <w:vAlign w:val="bottom"/>
          </w:tcPr>
          <w:p>
            <w:pPr>
              <w:spacing w:after="0"/>
              <w:rPr>
                <w:sz w:val="1"/>
                <w:szCs w:val="1"/>
                <w:color w:val="auto"/>
              </w:rPr>
            </w:pPr>
          </w:p>
        </w:tc>
      </w:tr>
      <w:tr>
        <w:trPr>
          <w:trHeight w:val="30"/>
        </w:trPr>
        <w:tc>
          <w:tcPr>
            <w:tcW w:w="7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Advertising expense for our Global Consumer business was $129.8 million in fiscal 2010 compared to $111.1 million in fiscal 2009, an increase of $18.7 million, or 16.8%, reflecting our continued investment in brand awareness and consumer traffic building activities in our core business. Advertising expense for our Scotts LawnService</w:t>
      </w:r>
      <w:r>
        <w:rPr>
          <w:rFonts w:ascii="Arial" w:cs="Arial" w:eastAsia="Arial" w:hAnsi="Arial"/>
          <w:sz w:val="10"/>
          <w:szCs w:val="10"/>
          <w:color w:val="auto"/>
        </w:rPr>
        <w:t>®</w:t>
      </w:r>
      <w:r>
        <w:rPr>
          <w:rFonts w:ascii="Arial" w:cs="Arial" w:eastAsia="Arial" w:hAnsi="Arial"/>
          <w:sz w:val="12"/>
          <w:szCs w:val="12"/>
          <w:color w:val="auto"/>
        </w:rPr>
        <w:t xml:space="preserve"> business was $11.0 million in fiscal 2010 compared to $14.4 million in fiscal 2009, a decrease of $3.4 million, reflecting a continued shift in spending from advertising to direct selling, which is categorized as Other SG&amp;A. Advertising expense for our Global Consumer business was $111.1 million in fiscal 2009 compared to $107.6 million in fiscal 2008, an increase of $3.5 million, or 3.3%, driven by increased spending in U.S. Consumer partially offset by lower spending in International Consumer. Advertising expense for our Scotts LawnService</w:t>
      </w:r>
      <w:r>
        <w:rPr>
          <w:rFonts w:ascii="Arial" w:cs="Arial" w:eastAsia="Arial" w:hAnsi="Arial"/>
          <w:sz w:val="10"/>
          <w:szCs w:val="10"/>
          <w:color w:val="auto"/>
        </w:rPr>
        <w:t>®</w:t>
      </w:r>
      <w:r>
        <w:rPr>
          <w:rFonts w:ascii="Arial" w:cs="Arial" w:eastAsia="Arial" w:hAnsi="Arial"/>
          <w:sz w:val="12"/>
          <w:szCs w:val="12"/>
          <w:color w:val="auto"/>
        </w:rPr>
        <w:t xml:space="preserve"> business was $14.4 million in fiscal 2009 compared to $17.7 million in fiscal 2008, a decrease of $3.3 million, in part reflecting a shift in spending from advertising to direct selling.</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fiscal 2010, other SG&amp;A spending decreased $11.4 million, or 1.9%, from fiscal 2009. Excluding the impact of foreign exchange movements, other SG&amp;A spending declined 2.0% in fiscal 2010, primarily driven by decreased variable compensation expense and lower research and development spending, which were partially offset by increased investments in selling and marketing. In fiscal 2009, other SG&amp;A spending increased $87.7 million, or 17.5%, from fiscal 2008. Excluding the impact of foreign exchange movements, other SG&amp;A spending increased 21.4% in fiscal 2009 primarily as a result of increased variable compensation. Other increases in SG&amp;A spending, designed to drive long-term growth, included investments in research and development, sales force, regulatory personnel and compliance and technology. In addition, spending in non-revenue enhancing areas, including pension and health care costs, increased in fiscal 2009.</w:t>
      </w:r>
    </w:p>
    <w:p>
      <w:pPr>
        <w:spacing w:after="0" w:line="72"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majority of our share-based awards vest over three years, with the associated expense recognized ratably over the vesting period. In certain cases, such as individuals who are eligible for early retirement based on their age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
        <w:spacing w:after="0" w:line="260" w:lineRule="auto"/>
        <w:rPr>
          <w:sz w:val="20"/>
          <w:szCs w:val="20"/>
          <w:color w:val="auto"/>
        </w:rPr>
      </w:pPr>
      <w:r>
        <w:rPr>
          <w:rFonts w:ascii="Arial" w:cs="Arial" w:eastAsia="Arial" w:hAnsi="Arial"/>
          <w:sz w:val="13"/>
          <w:szCs w:val="13"/>
          <w:color w:val="auto"/>
        </w:rPr>
        <w:t>and years of service, the vesting period is shorter than three years. The increase in share-based compensation expense in fiscal 2010 was primarily due to the acceleration of expense for key employees whose equity awards vested in fiscal 2010 upon meeting age and service requirements. The increase in share-based compensation expense in fiscal 2009 was primarily due to the acceleration of expense for 2009 awards granted to key employees who were approaching eligibility for early retirement, as well as an increase in the total value of equity awards granted in fiscal 2009.</w:t>
      </w:r>
    </w:p>
    <w:p>
      <w:pPr>
        <w:spacing w:after="0" w:line="7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Amortization expense was $9.8 million in fiscal 2010, compared to $11.7 million and $15.1 million in fiscal 2009 and fiscal 2008, respectively. The decline in fiscal 2010 was driven by assets that became fully amortized in fiscal 2010 or fiscal 2009. The decline in fiscal 2009 was due to the reduction of amortizing intangible assets due to the impairment charges recorded in fiscal 2008, assets that became fully amortized in fiscal 2009, and foreign exchange movements.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Restructuring and Other Charges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breakdown of Impairment, Restructuring and Other Charges for each of the three years ended September 30, 2010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w w:val="98"/>
              </w:rPr>
              <w:t>2010</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131"/>
        </w:trPr>
        <w:tc>
          <w:tcPr>
            <w:tcW w:w="7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SG&amp;A — product registration and recall matters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Goodwill and intangible asset impairment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18.5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109.8</w:t>
            </w:r>
          </w:p>
        </w:tc>
      </w:tr>
      <w:tr>
        <w:trPr>
          <w:trHeight w:val="20"/>
        </w:trPr>
        <w:tc>
          <w:tcPr>
            <w:tcW w:w="7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122.5</w:t>
            </w:r>
          </w:p>
        </w:tc>
      </w:tr>
      <w:tr>
        <w:trPr>
          <w:trHeight w:val="29"/>
        </w:trPr>
        <w:tc>
          <w:tcPr>
            <w:tcW w:w="7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SG&amp;A-related product registration and recall costs were $5.7 million in fiscal 2010, compared to $16.8 million and $12.7 million in fiscal 2009 and fiscal 2008, respectively. These costs primarily related to third-party compliance review, legal and consulting fees.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annual goodwill and indefinite-lived intangible asset impairment testing is performed as of the first day of our fiscal fourth quarter. We engaged an independent valuation firm to assist in our impairment assessment reviews. Our fourth quarter fiscal 2010 impairment analysis resulted in a non-cash charge of $18.5 million related to discontinuing or de-emphasizing certain brands and sub-brands, which is consistent with our business strategy to increasingly concentrate our advertising and promotional spending on fewer, more significant brands to more efficiently drive growth.</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impairment analysis for the fourth quarter of fiscal 2009 indicated that no charge for impairment was required.</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As a result of a significant decline in the market value of our Common Shares during the latter half of the fiscal quarter ended June 28, 2008, the Company’s market value of invested capital was approximately 60% of the comparable impairment metric used in our fourth quarter fiscal 2007 annual impairment testing. Management determined this was an indicator of possible goodwill impairment and, therefore, interim impairment testing was performed as of June 28, 2008. Fiscal 2008 impairment charges were comprised of $80.8 million for goodwill, $11.3 million related to indefinite-lived tradenames and $19.0 million for long-lived assets. Of the $19.0 million impairment charge recorded for long-lived assets, $1.3 million was recorded in cost of sales. On a reportable segment basis, $64.5 million of the impairment charges were in Global Consumer and $38.4 million were in Global Professional, with the remaining $8.2 million in Corporate.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(income) expense, net was $8.2 million of income in fiscal 2010, compared to expense of $0.3 million and income of $7.7 million for fiscal 2009 and fiscal 2008, respectively.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increase in fiscal 2010 was primarily driven by a gain recorded for the sale of property in the first quarter of fiscal 2010 compared to a loss recorded on the sale of assets in fiscal 2009.</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decline in fiscal 2009 was also driven by decreased royalty income.</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Income from Operations</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Income from operations in fiscal 2010 was $384.6 million compared to $297.6 million in fiscal 2009, an increase of $87.0 million, or 29.2%. Excluding impairment charges and product registration and recall costs, income from operations increased by $85.6 milllion, or 25.1%, in fiscal 2010, primarily driven by increased net sales and gross margins, partially offset by a minimal increase in SG&amp;A spending comprised of higher advertising, selling and marketing spend and lower variable compensation expense.</w:t>
      </w:r>
    </w:p>
    <w:p>
      <w:pPr>
        <w:spacing w:after="0" w:line="50"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Income from operations in fiscal 2009 was $297.6 million compared to $139.8 million in fiscal 2008, an increase of $157.8 million. Fiscal 2009 was negatively impacted by costs totaling $28.6 million related to product registration and recall matters that, when excluded, result in income from operations of $326.2 million. Fiscal 2008 was negatively impacted by impairment charges ($111.1 million) and product registration and recall costs ($51.1 million) that, when excluded, result in income from operations of $302.0 million. Excluding the impairment, restructuring and other charges and product registration and recall costs, income from operations increased by $24.2 million, or 8.0%, in fiscal 2009, primarily driven by increased net sales and gross margins that were partially offset by an increase in SG&amp;A spending.</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Interest Expense and Refinancing Activities</w:t>
      </w:r>
    </w:p>
    <w:p>
      <w:pPr>
        <w:spacing w:after="0" w:line="96"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Interest expense in fiscal 2010 was $46.8 million compared to $56.4 million and $82.2 million in fiscal 2009 and fiscal 2008, respectively. The decrease in fiscal 2010 was primarily due to a reduction in average debt outstanding of approximately $215 million, excluding the impact of foreign exchange rates. Weighted-average interest rates in fiscal 2010 were essentially flat compared to fiscal 2009.</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On January 14, 2010, we issued $200 million aggregate principal amount of Senior Notes, with an effective interest rate of 7.375%. We issued the Senior Notes as part of a broader strategy to diversify sources of liquidity and debt maturities in anticipation of the expiration of our current senior secured credit facility in February 2012. Refer to “NOTE 11. DEBT” of the Notes to Consolidated Financial Statements included in this Annual Report on Form 10-K for a further description of the Senior Notes.</w:t>
      </w:r>
    </w:p>
    <w:p>
      <w:pPr>
        <w:spacing w:after="0" w:line="67"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The decrease in fiscal 2009 was primarily due to a decline in our borrowing rates and a reduction in average debt outstanding, as well as the favorable impact of foreign exchange rates. Weighted-average interest rates decreased by 131 basis points during fiscal 2009. Average borrowings also decreased by approximately $170 million during fiscal 2009.</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Income Tax Expense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reconciliation of the federal corporate income tax rate and the effective tax rate on income from continuing operations before income taxes for each of the three years ended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30, 2010 is summarized below:</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Year Ended September 30,</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84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50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520" w:type="dxa"/>
            <w:vAlign w:val="bottom"/>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40" w:type="dxa"/>
            <w:vAlign w:val="bottom"/>
            <w:shd w:val="clear" w:color="auto" w:fill="CCEEFF"/>
          </w:tcPr>
          <w:p>
            <w:pPr>
              <w:spacing w:after="0"/>
              <w:rPr>
                <w:sz w:val="20"/>
                <w:szCs w:val="20"/>
                <w:color w:val="auto"/>
              </w:rPr>
            </w:pPr>
            <w:r>
              <w:rPr>
                <w:rFonts w:ascii="Arial" w:cs="Arial" w:eastAsia="Arial" w:hAnsi="Arial"/>
                <w:sz w:val="13"/>
                <w:szCs w:val="13"/>
                <w:color w:val="auto"/>
              </w:rPr>
              <w:t>Statutory income tax rate</w:t>
            </w:r>
          </w:p>
        </w:tc>
        <w:tc>
          <w:tcPr>
            <w:tcW w:w="8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35.0%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7840" w:type="dxa"/>
            <w:vAlign w:val="bottom"/>
          </w:tcPr>
          <w:p>
            <w:pPr>
              <w:spacing w:after="0"/>
              <w:rPr>
                <w:sz w:val="20"/>
                <w:szCs w:val="20"/>
                <w:color w:val="auto"/>
              </w:rPr>
            </w:pPr>
            <w:r>
              <w:rPr>
                <w:rFonts w:ascii="Arial" w:cs="Arial" w:eastAsia="Arial" w:hAnsi="Arial"/>
                <w:sz w:val="13"/>
                <w:szCs w:val="13"/>
                <w:color w:val="auto"/>
              </w:rPr>
              <w:t>Effect of foreign operations</w:t>
            </w:r>
          </w:p>
        </w:tc>
        <w:tc>
          <w:tcPr>
            <w:tcW w:w="840" w:type="dxa"/>
            <w:vAlign w:val="bottom"/>
            <w:gridSpan w:val="2"/>
          </w:tcPr>
          <w:p>
            <w:pPr>
              <w:jc w:val="right"/>
              <w:ind w:right="408"/>
              <w:spacing w:after="0"/>
              <w:rPr>
                <w:sz w:val="20"/>
                <w:szCs w:val="20"/>
                <w:color w:val="auto"/>
              </w:rPr>
            </w:pPr>
            <w:r>
              <w:rPr>
                <w:rFonts w:ascii="Arial" w:cs="Arial" w:eastAsia="Arial" w:hAnsi="Arial"/>
                <w:sz w:val="13"/>
                <w:szCs w:val="13"/>
                <w:color w:val="auto"/>
              </w:rPr>
              <w:t>(0.3)</w:t>
            </w: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(0.6)</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7840" w:type="dxa"/>
            <w:vAlign w:val="bottom"/>
            <w:shd w:val="clear" w:color="auto" w:fill="CCEEFF"/>
          </w:tcPr>
          <w:p>
            <w:pPr>
              <w:spacing w:after="0"/>
              <w:rPr>
                <w:sz w:val="20"/>
                <w:szCs w:val="20"/>
                <w:color w:val="auto"/>
              </w:rPr>
            </w:pPr>
            <w:r>
              <w:rPr>
                <w:rFonts w:ascii="Arial" w:cs="Arial" w:eastAsia="Arial" w:hAnsi="Arial"/>
                <w:sz w:val="13"/>
                <w:szCs w:val="13"/>
                <w:color w:val="auto"/>
              </w:rPr>
              <w:t>State taxes, net of federal benefit</w:t>
            </w:r>
          </w:p>
        </w:tc>
        <w:tc>
          <w:tcPr>
            <w:tcW w:w="8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2.4</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7840" w:type="dxa"/>
            <w:vAlign w:val="bottom"/>
          </w:tcPr>
          <w:p>
            <w:pPr>
              <w:spacing w:after="0"/>
              <w:rPr>
                <w:sz w:val="20"/>
                <w:szCs w:val="20"/>
                <w:color w:val="auto"/>
              </w:rPr>
            </w:pPr>
            <w:r>
              <w:rPr>
                <w:rFonts w:ascii="Arial" w:cs="Arial" w:eastAsia="Arial" w:hAnsi="Arial"/>
                <w:sz w:val="13"/>
                <w:szCs w:val="13"/>
                <w:color w:val="auto"/>
              </w:rPr>
              <w:t>Change in state NOL and credit carryforwards</w:t>
            </w:r>
          </w:p>
        </w:tc>
        <w:tc>
          <w:tcPr>
            <w:tcW w:w="840" w:type="dxa"/>
            <w:vAlign w:val="bottom"/>
            <w:gridSpan w:val="2"/>
          </w:tcPr>
          <w:p>
            <w:pPr>
              <w:jc w:val="right"/>
              <w:ind w:right="448"/>
              <w:spacing w:after="0"/>
              <w:rPr>
                <w:sz w:val="20"/>
                <w:szCs w:val="20"/>
                <w:color w:val="auto"/>
              </w:rPr>
            </w:pPr>
            <w:r>
              <w:rPr>
                <w:rFonts w:ascii="Arial" w:cs="Arial" w:eastAsia="Arial" w:hAnsi="Arial"/>
                <w:sz w:val="13"/>
                <w:szCs w:val="13"/>
                <w:color w:val="auto"/>
              </w:rPr>
              <w:t>0.1</w:t>
            </w: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(0.3)</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7840" w:type="dxa"/>
            <w:vAlign w:val="bottom"/>
            <w:shd w:val="clear" w:color="auto" w:fill="CCEEFF"/>
          </w:tcPr>
          <w:p>
            <w:pPr>
              <w:spacing w:after="0"/>
              <w:rPr>
                <w:sz w:val="20"/>
                <w:szCs w:val="20"/>
                <w:color w:val="auto"/>
              </w:rPr>
            </w:pPr>
            <w:r>
              <w:rPr>
                <w:rFonts w:ascii="Arial" w:cs="Arial" w:eastAsia="Arial" w:hAnsi="Arial"/>
                <w:sz w:val="13"/>
                <w:szCs w:val="13"/>
                <w:color w:val="auto"/>
              </w:rPr>
              <w:t>Research &amp; Development tax credit</w:t>
            </w:r>
          </w:p>
        </w:tc>
        <w:tc>
          <w:tcPr>
            <w:tcW w:w="8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(0.4)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7840" w:type="dxa"/>
            <w:vAlign w:val="bottom"/>
          </w:tcPr>
          <w:p>
            <w:pPr>
              <w:spacing w:after="0"/>
              <w:rPr>
                <w:sz w:val="20"/>
                <w:szCs w:val="20"/>
                <w:color w:val="auto"/>
              </w:rPr>
            </w:pPr>
            <w:r>
              <w:rPr>
                <w:rFonts w:ascii="Arial" w:cs="Arial" w:eastAsia="Arial" w:hAnsi="Arial"/>
                <w:sz w:val="13"/>
                <w:szCs w:val="13"/>
                <w:color w:val="auto"/>
              </w:rPr>
              <w:t>Effect of goodwill impairment and other permanent differences</w:t>
            </w:r>
          </w:p>
        </w:tc>
        <w:tc>
          <w:tcPr>
            <w:tcW w:w="840" w:type="dxa"/>
            <w:vAlign w:val="bottom"/>
            <w:gridSpan w:val="2"/>
          </w:tcPr>
          <w:p>
            <w:pPr>
              <w:jc w:val="right"/>
              <w:ind w:right="408"/>
              <w:spacing w:after="0"/>
              <w:rPr>
                <w:sz w:val="20"/>
                <w:szCs w:val="20"/>
                <w:color w:val="auto"/>
              </w:rPr>
            </w:pPr>
            <w:r>
              <w:rPr>
                <w:rFonts w:ascii="Arial" w:cs="Arial" w:eastAsia="Arial" w:hAnsi="Arial"/>
                <w:sz w:val="13"/>
                <w:szCs w:val="13"/>
                <w:color w:val="auto"/>
              </w:rPr>
              <w:t>(0.6)</w:t>
            </w: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(0.8)</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57"/>
        </w:trPr>
        <w:tc>
          <w:tcPr>
            <w:tcW w:w="784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5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0.7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3"/>
                <w:szCs w:val="13"/>
                <w:color w:val="auto"/>
              </w:rPr>
              <w:t>Effective income tax rate</w:t>
            </w: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40" w:type="dxa"/>
            <w:vAlign w:val="bottom"/>
            <w:vMerge w:val="continue"/>
          </w:tcPr>
          <w:p>
            <w:pPr>
              <w:spacing w:after="0"/>
              <w:rPr>
                <w:sz w:val="13"/>
                <w:szCs w:val="13"/>
                <w:color w:val="auto"/>
              </w:rPr>
            </w:pPr>
          </w:p>
        </w:tc>
        <w:tc>
          <w:tcPr>
            <w:tcW w:w="840" w:type="dxa"/>
            <w:vAlign w:val="bottom"/>
            <w:gridSpan w:val="2"/>
          </w:tcPr>
          <w:p>
            <w:pPr>
              <w:jc w:val="right"/>
              <w:ind w:right="348"/>
              <w:spacing w:after="0"/>
              <w:rPr>
                <w:sz w:val="20"/>
                <w:szCs w:val="20"/>
                <w:color w:val="auto"/>
              </w:rPr>
            </w:pPr>
            <w:r>
              <w:rPr>
                <w:rFonts w:ascii="Arial" w:cs="Arial" w:eastAsia="Arial" w:hAnsi="Arial"/>
                <w:sz w:val="13"/>
                <w:szCs w:val="13"/>
                <w:color w:val="auto"/>
              </w:rPr>
              <w:t>37.1%</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35.9%</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30"/>
        </w:trPr>
        <w:tc>
          <w:tcPr>
            <w:tcW w:w="78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The effective tax rate for continuing operations was 37.1% for fiscal 2010, compared to 35.9% in fiscal 2009 and 43.1% in fiscal 2008. Fiscal 2010 income tax expense included a $1.9 million charge recorded during the second quarter related to health care legislation enacted in March 2010 that repealed the existing rule which had permitted a tax deduction for the portion of retiree prescription drug expense that was offset by the Medicare Part 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subsidy we receive. Additional factors increasing the fiscal 2010 effective tax rate were an increase in state tax rates as well as the expiration of the research and development tax credit.</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effective tax rate for fiscal 2008 was higher due to goodwill impairment charges which are not fully deductible for tax purposes.</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Income and Earnings per Share from Continuing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reported income from continuing operations of $212.4 million, or $3.14 per diluted share, in fiscal 2010 compared to income from continuing operations of $154.6 million, or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$2.34 per diluted share, in fiscal 2009. Fiscal 2010 was unfavorably impacted by $18.5 million of impairment charges, as well as $8.7 million in costs associated with product registration and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recall matters. Fiscal 2009 was unfavorably impacted by $28.6 million of costs related to product registration and recall matters. Excluding these items, the increase in fiscal 2010 income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from continuing operations was primarily driven by increases in net sales and gross profit, partially offset by an increased investment in media, selling and marketing. Diluted weighted-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average common shares outstanding increased from 66.1 million in fiscal 2009 to 67.6 million in fiscal 2010. Diluted average common shares included 1.3 million and 1.1 million equivalent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shares for fiscal 2010 and fiscal 2009, respectively. The increase in diluted average common shares was driven by an increase in our Common Share price and stock option exercises.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reported income from continuing operations of $154.6 million, or $2.34 per diluted share, in fiscal 2009 compared to income from continuing operations of $32.8 million, or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$0.50 per diluted share, in fiscal 2008. In fiscal 2009, we incurred $28.6 million of costs related to product registration and recall matters. Fiscal 2008 was unfavorably impacted by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$111.1 million of impairment charges, as well as $51.1 million in costs associated with product registration and recall matters. Excluding these items, the increase in fiscal 2009 income from</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continuing operations was primarily driven by increased net sales, led by double-digit growth in the North America Consumer business. In addition, gross margin rates improved due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pricing increases in excess of increased commodity costs and cost productivity improvements. The growth in net sales and gross margins was partially offset by an increase in SG&amp;A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spending. Challenging weather conditions in March 2008 negatively impacted net sales for the largest part of our business, the Global Consumer segment. Additionally, commodity costs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increased significantly in fiscal 2008. Diluted weighted-average common shares outstanding increased from 65.4 million in fiscal 2008 to 66.1 million in fiscal 2009. Diluted average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common shares included 1.1 million and 0.9 million equivalent shares for fiscal 2009 and fiscal 2008, respectively. The changes in diluted average common shares were primarily driven by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 increase in our Common Share price.</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Loss from Discontinued Operations</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our first quarter of fiscal 2010, we began presenting Smith &amp; Hawken as discontinued operations and prior periods have been reclassified to conform to this presentation. Smith &amp; Hawken generated losses, net of tax, of $8.3 million, $1.3 million and $43.7 million in fiscal 2010, fiscal 2009 and fiscal 2008, respectively. The losses recorded in fiscal 2010 related primarily to first quarter charges associated with the termination of retail site lease obligations, third-party agency fees and severance and benefit commitments. These charges were partially offset by a gain of approximately $18 million from the sale of the Smith &amp; Hawken intellectual property on December 30, 2009.</w:t>
      </w:r>
    </w:p>
    <w:p>
      <w:pPr>
        <w:spacing w:after="0" w:line="53"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We recorded Smith &amp; Hawken-related impairment, restructuring and other charges of $14.7 million and $25.7 million in fiscal 2009 and fiscal 2008, respectively. Other charges in fiscal 2009 related to the Smith &amp; Hawken closure process. Impairment, restructuring and other charges in fiscal 2008 for Smith &amp; Hawken included $15.4 million for property, plant and equipment and $10.3 million for intangible assets.</w:t>
      </w:r>
    </w:p>
    <w:p>
      <w:pPr>
        <w:spacing w:after="0" w:line="6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fiscal 2009 income tax expense for discontinued operations included the reduction of $18.4 million of valuation allowances recorded in prior years to fully reserve deferred tax assets that originated from impairment charges recorded for the Smith &amp; Hawken business in fiscal 2007 and fiscal 2008. In fiscal 2008, when we were attempting to sell Smith &amp; Hawken, we concluded that we would not receive any future tax benefit from these deferred tax assets as a stock sale would have resulted in a non-deductible capital loss. Given our fourth quarter fiscal 2009 decision to close the Smith &amp; Hawken business, we concluded that the character of the losses generated would change from capital to ordinary and as an outcome, would be deductible for tax purposes.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Segment Results</w:t>
      </w:r>
    </w:p>
    <w:p>
      <w:pPr>
        <w:spacing w:after="0" w:line="98" w:lineRule="exact"/>
        <w:rPr>
          <w:sz w:val="20"/>
          <w:szCs w:val="20"/>
          <w:color w:val="auto"/>
        </w:rPr>
      </w:pPr>
    </w:p>
    <w:p>
      <w:pPr>
        <w:ind w:left="680" w:right="860" w:firstLine="399"/>
        <w:spacing w:after="0" w:line="290" w:lineRule="auto"/>
        <w:rPr>
          <w:sz w:val="20"/>
          <w:szCs w:val="20"/>
          <w:color w:val="auto"/>
        </w:rPr>
      </w:pPr>
      <w:r>
        <w:rPr>
          <w:rFonts w:ascii="Arial" w:cs="Arial" w:eastAsia="Arial" w:hAnsi="Arial"/>
          <w:sz w:val="12"/>
          <w:szCs w:val="12"/>
          <w:color w:val="auto"/>
        </w:rPr>
        <w:t>Our continuing operations are divided into the following segments: Global Consumer, Global Professional and Scotts LawnService</w:t>
      </w:r>
      <w:r>
        <w:rPr>
          <w:rFonts w:ascii="Arial" w:cs="Arial" w:eastAsia="Arial" w:hAnsi="Arial"/>
          <w:sz w:val="10"/>
          <w:szCs w:val="10"/>
          <w:color w:val="auto"/>
        </w:rPr>
        <w:t>®</w:t>
      </w:r>
      <w:r>
        <w:rPr>
          <w:rFonts w:ascii="Arial" w:cs="Arial" w:eastAsia="Arial" w:hAnsi="Arial"/>
          <w:sz w:val="12"/>
          <w:szCs w:val="12"/>
          <w:color w:val="auto"/>
        </w:rPr>
        <w:t>. For the first three quarters of fiscal 2010, we included Corporate &amp; Other as a separate reportable segment. That segment included our Smith &amp; Hawken business until the first quarter of fiscal 2010, at which time substantially all operational activities of Smith &amp; Hawken were discontinued and we classified Smith &amp; Hawken as discontinued operations. As a result, Corporate activity is no longer presented as part of a segment. This division of reportable segments is consistent with how the segments report to and are managed by senior management of the Company.</w:t>
      </w:r>
    </w:p>
    <w:p>
      <w:pPr>
        <w:spacing w:after="0" w:line="53"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Certain reclassifications were made to the Global Consumer and Global Professional prior period amounts to reflect changes in the structure of the Company’s organization effective in fiscal 2010. For fiscal 2010, our consumer businesses in Australia, Latin America and Italy were reported as part of our Global Consumer segment. Previously, these businesses were reported as part of our Global Professional segment.</w:t>
      </w:r>
    </w:p>
    <w:p>
      <w:pPr>
        <w:spacing w:after="0" w:line="67"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We evaluate segment performance based on several factors, including income from operations before amortization, product registration and recall costs, and impairment, restructuring and other charges. Management uses this measure of operating profit to gauge segment performance because we believe this metric is the most indicative of performance trends and the overall earnings potential of each segment.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Corporate consists primarily of unallocated corporate general and administrative expenses and certain other income/expense items not allocated to the business segments.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tables present segment information for each of the three years ended September 30, 2010:</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Sales by Segment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0"/>
                <w:szCs w:val="10"/>
                <w:b w:val="1"/>
                <w:bCs w:val="1"/>
                <w:color w:val="auto"/>
              </w:rPr>
              <w:t>2010</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6"/>
              </w:rPr>
              <w:t>(In millions)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Global Consumer</w:t>
            </w:r>
          </w:p>
        </w:tc>
        <w:tc>
          <w:tcPr>
            <w:tcW w:w="332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2,649.7</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7"/>
              </w:rPr>
              <w:t>2,485.3</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Global Professional</w:t>
            </w:r>
          </w:p>
        </w:tc>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266.9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265.4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316.4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3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224.1</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231.1</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40" w:type="dxa"/>
            <w:vAlign w:val="bottom"/>
            <w:vMerge w:val="restart"/>
          </w:tcPr>
          <w:p>
            <w:pPr>
              <w:spacing w:after="0"/>
              <w:rPr>
                <w:sz w:val="20"/>
                <w:szCs w:val="20"/>
                <w:color w:val="auto"/>
              </w:rPr>
            </w:pPr>
            <w:r>
              <w:rPr>
                <w:rFonts w:ascii="Arial" w:cs="Arial" w:eastAsia="Arial" w:hAnsi="Arial"/>
                <w:sz w:val="13"/>
                <w:szCs w:val="13"/>
                <w:color w:val="auto"/>
              </w:rPr>
              <w:t>Segment total</w:t>
            </w:r>
          </w:p>
        </w:tc>
        <w:tc>
          <w:tcPr>
            <w:tcW w:w="3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4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3,140.7</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87"/>
              </w:rPr>
              <w:t>2,981.8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2,846.3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Roundup</w:t>
            </w:r>
            <w:r>
              <w:rPr>
                <w:rFonts w:ascii="Arial" w:cs="Arial" w:eastAsia="Arial" w:hAnsi="Arial"/>
                <w:sz w:val="11"/>
                <w:szCs w:val="11"/>
                <w:color w:val="auto"/>
              </w:rPr>
              <w:t>®</w:t>
            </w:r>
            <w:r>
              <w:rPr>
                <w:rFonts w:ascii="Arial" w:cs="Arial" w:eastAsia="Arial" w:hAnsi="Arial"/>
                <w:sz w:val="13"/>
                <w:szCs w:val="13"/>
                <w:color w:val="auto"/>
              </w:rPr>
              <w:t xml:space="preserve"> amortization</w:t>
            </w:r>
          </w:p>
        </w:tc>
        <w:tc>
          <w:tcPr>
            <w:tcW w:w="3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(0.8)</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Product registrations and recall matters-returns</w:t>
            </w:r>
          </w:p>
        </w:tc>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(0.3)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Consolidated</w:t>
            </w:r>
          </w:p>
        </w:tc>
        <w:tc>
          <w:tcPr>
            <w:tcW w:w="3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3,139.9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7"/>
              </w:rPr>
              <w:t>2,980.7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2,823.</w:t>
            </w:r>
            <w:r>
              <w:rPr>
                <w:rFonts w:ascii="Arial" w:cs="Arial" w:eastAsia="Arial" w:hAnsi="Arial"/>
                <w:sz w:val="13"/>
                <w:szCs w:val="13"/>
                <w:u w:val="single" w:color="auto"/>
                <w:color w:val="auto"/>
              </w:rPr>
              <w:t>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3840" w:type="dxa"/>
            <w:vAlign w:val="bottom"/>
          </w:tcPr>
          <w:p>
            <w:pPr>
              <w:ind w:left="400"/>
              <w:spacing w:after="0"/>
              <w:rPr>
                <w:sz w:val="20"/>
                <w:szCs w:val="20"/>
                <w:color w:val="auto"/>
              </w:rPr>
            </w:pPr>
            <w:r>
              <w:rPr>
                <w:rFonts w:ascii="Arial" w:cs="Arial" w:eastAsia="Arial" w:hAnsi="Arial"/>
                <w:sz w:val="13"/>
                <w:szCs w:val="13"/>
                <w:b w:val="1"/>
                <w:bCs w:val="1"/>
                <w:i w:val="1"/>
                <w:iCs w:val="1"/>
                <w:color w:val="auto"/>
              </w:rPr>
              <w:t>Income (Loss) from Operations by Segment</w:t>
            </w:r>
          </w:p>
        </w:tc>
        <w:tc>
          <w:tcPr>
            <w:tcW w:w="3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2010</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0"/>
                <w:szCs w:val="10"/>
                <w:b w:val="1"/>
                <w:bCs w:val="1"/>
                <w:color w:val="auto"/>
                <w:w w:val="99"/>
              </w:rPr>
              <w:t>(In millions)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Global Consumer</w:t>
            </w:r>
          </w:p>
        </w:tc>
        <w:tc>
          <w:tcPr>
            <w:tcW w:w="3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504.1</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430.1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Global Professional</w:t>
            </w:r>
          </w:p>
        </w:tc>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3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24.3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40" w:type="dxa"/>
            <w:vAlign w:val="bottom"/>
            <w:vMerge w:val="restart"/>
          </w:tcPr>
          <w:p>
            <w:pPr>
              <w:ind w:left="140"/>
              <w:spacing w:after="0"/>
              <w:rPr>
                <w:sz w:val="20"/>
                <w:szCs w:val="20"/>
                <w:color w:val="auto"/>
              </w:rPr>
            </w:pPr>
            <w:r>
              <w:rPr>
                <w:rFonts w:ascii="Arial" w:cs="Arial" w:eastAsia="Arial" w:hAnsi="Arial"/>
                <w:sz w:val="13"/>
                <w:szCs w:val="13"/>
                <w:color w:val="auto"/>
              </w:rPr>
              <w:t>Segment total</w:t>
            </w: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4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540.5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3"/>
                <w:szCs w:val="13"/>
                <w:color w:val="auto"/>
              </w:rPr>
              <w:t>467.7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389.5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Corporate</w:t>
            </w:r>
          </w:p>
        </w:tc>
        <w:tc>
          <w:tcPr>
            <w:tcW w:w="3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(117.8)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(129.0)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Roundup</w:t>
            </w:r>
            <w:r>
              <w:rPr>
                <w:rFonts w:ascii="Arial" w:cs="Arial" w:eastAsia="Arial" w:hAnsi="Arial"/>
                <w:sz w:val="11"/>
                <w:szCs w:val="11"/>
                <w:color w:val="auto"/>
              </w:rPr>
              <w:t>®</w:t>
            </w:r>
            <w:r>
              <w:rPr>
                <w:rFonts w:ascii="Arial" w:cs="Arial" w:eastAsia="Arial" w:hAnsi="Arial"/>
                <w:sz w:val="13"/>
                <w:szCs w:val="13"/>
                <w:color w:val="auto"/>
              </w:rPr>
              <w:t xml:space="preserve"> amortization</w:t>
            </w:r>
          </w:p>
        </w:tc>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(0.8)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Other amortization</w:t>
            </w:r>
          </w:p>
        </w:tc>
        <w:tc>
          <w:tcPr>
            <w:tcW w:w="3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Product registrations and recall matters</w:t>
            </w:r>
          </w:p>
        </w:tc>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(8.7)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Impairment of assets</w:t>
            </w:r>
          </w:p>
        </w:tc>
        <w:tc>
          <w:tcPr>
            <w:tcW w:w="3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(18.5)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40" w:type="dxa"/>
            <w:vAlign w:val="bottom"/>
            <w:vMerge w:val="restart"/>
          </w:tcPr>
          <w:p>
            <w:pPr>
              <w:ind w:left="140"/>
              <w:spacing w:after="0"/>
              <w:rPr>
                <w:sz w:val="20"/>
                <w:szCs w:val="20"/>
                <w:color w:val="auto"/>
              </w:rPr>
            </w:pPr>
            <w:r>
              <w:rPr>
                <w:rFonts w:ascii="Arial" w:cs="Arial" w:eastAsia="Arial" w:hAnsi="Arial"/>
                <w:sz w:val="13"/>
                <w:szCs w:val="13"/>
                <w:color w:val="auto"/>
              </w:rPr>
              <w:t>Consolidated</w:t>
            </w: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384.6</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800" w:type="dxa"/>
            <w:vAlign w:val="bottom"/>
            <w:gridSpan w:val="3"/>
          </w:tcPr>
          <w:p>
            <w:pPr>
              <w:jc w:val="right"/>
              <w:ind w:right="300"/>
              <w:spacing w:after="0"/>
              <w:rPr>
                <w:sz w:val="20"/>
                <w:szCs w:val="20"/>
                <w:color w:val="auto"/>
              </w:rPr>
            </w:pPr>
            <w:r>
              <w:rPr>
                <w:rFonts w:ascii="Arial" w:cs="Arial" w:eastAsia="Arial" w:hAnsi="Arial"/>
                <w:sz w:val="13"/>
                <w:szCs w:val="13"/>
                <w:color w:val="auto"/>
              </w:rPr>
              <w:t>297.6</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139.8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60" w:type="dxa"/>
            <w:vAlign w:val="bottom"/>
          </w:tcPr>
          <w:p>
            <w:pPr>
              <w:jc w:val="right"/>
              <w:ind w:right="1874"/>
              <w:spacing w:after="0"/>
              <w:rPr>
                <w:sz w:val="20"/>
                <w:szCs w:val="20"/>
                <w:color w:val="auto"/>
              </w:rPr>
            </w:pPr>
            <w:r>
              <w:rPr>
                <w:rFonts w:ascii="Arial" w:cs="Arial" w:eastAsia="Arial" w:hAnsi="Arial"/>
                <w:sz w:val="13"/>
                <w:szCs w:val="13"/>
                <w:color w:val="auto"/>
              </w:rPr>
              <w:t>33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3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Global Consumer</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Global Consumer segment net sales grew 6.6% from $2.49 billion in fiscal 2009 to $2.65 billion in fiscal 2010. Organic net sales growth for fiscal 2010 was 5.8%, driven by 6.7% unit growth partially offset by price decreases on certain commodity and private label products, along with aggressive customer-focused promotional spending. Foreign exchange movements favorably impacted net sales by 0.8% for fiscal 2010. Within Global Consumer, organic net sales in the United States increased 6.0% for fiscal 2010, which included 7.1% unit growth. Consumer purchases of our products at our largest U.S. retailers (retail point-of-sale, or “POS”) increased by 4.7% for fiscal 2010, driven by higher sales in growing media, Roundup</w:t>
      </w:r>
      <w:r>
        <w:rPr>
          <w:rFonts w:ascii="Arial" w:cs="Arial" w:eastAsia="Arial" w:hAnsi="Arial"/>
          <w:sz w:val="11"/>
          <w:szCs w:val="11"/>
          <w:color w:val="auto"/>
        </w:rPr>
        <w:t>®</w:t>
      </w:r>
      <w:r>
        <w:rPr>
          <w:rFonts w:ascii="Arial" w:cs="Arial" w:eastAsia="Arial" w:hAnsi="Arial"/>
          <w:sz w:val="13"/>
          <w:szCs w:val="13"/>
          <w:color w:val="auto"/>
        </w:rPr>
        <w:t xml:space="preserve"> branded products, plant foods and grass seed. Our grass seed business benefited from the national launch of our Scotts EZ Seed</w:t>
      </w:r>
      <w:r>
        <w:rPr>
          <w:rFonts w:ascii="Arial" w:cs="Arial" w:eastAsia="Arial" w:hAnsi="Arial"/>
          <w:sz w:val="11"/>
          <w:szCs w:val="11"/>
          <w:color w:val="auto"/>
        </w:rPr>
        <w:t>®</w:t>
      </w:r>
      <w:r>
        <w:rPr>
          <w:rFonts w:ascii="Arial" w:cs="Arial" w:eastAsia="Arial" w:hAnsi="Arial"/>
          <w:sz w:val="13"/>
          <w:szCs w:val="13"/>
          <w:color w:val="auto"/>
        </w:rPr>
        <w:t xml:space="preserve"> product. Organic net sales in International Consumer increased by 4.8% for fiscal 2010, nearly all due to unit growth. The increase in International Consumer net sales was primarily driven by double-digit sales growth in Canada and the United Kingdom, which both benefited from new product launches.</w:t>
      </w:r>
    </w:p>
    <w:p>
      <w:pPr>
        <w:spacing w:after="0" w:line="73"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Global Consumer segment operating income for fiscal 2010 was $504.1 million, an increase of $74 million, or 17.2%, compared to fiscal 2009. Excluding the impact of foreign exchange movements, segment operating income increased by $70 million, or 16.3%, for fiscal 2010. The increase in operating income was primarily driven by the increase in net sales accompanied by a gross margin rate improvement of 110 basis points for fiscal 2010. The increased gross margin rate was primarily the result of declines in material costs, favorable product mix and increased commissions on sales of Roundup</w:t>
      </w:r>
      <w:r>
        <w:rPr>
          <w:rFonts w:ascii="Arial" w:cs="Arial" w:eastAsia="Arial" w:hAnsi="Arial"/>
          <w:sz w:val="11"/>
          <w:szCs w:val="11"/>
          <w:color w:val="auto"/>
        </w:rPr>
        <w:t>®</w:t>
      </w:r>
      <w:r>
        <w:rPr>
          <w:rFonts w:ascii="Arial" w:cs="Arial" w:eastAsia="Arial" w:hAnsi="Arial"/>
          <w:sz w:val="13"/>
          <w:szCs w:val="13"/>
          <w:color w:val="auto"/>
        </w:rPr>
        <w:t xml:space="preserve"> branded products. The improvements in net sales and gross margin rates were partially offset by increases in SG&amp;A spending, primarily related to strategic investments in advertising, selling and marketing.</w:t>
      </w:r>
    </w:p>
    <w:p>
      <w:pPr>
        <w:spacing w:after="0" w:line="7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Global Consumer segment net sales were $2.49 billion in fiscal 2009 compared to $2.28 billion in fiscal 2008, an increase of 8.9%. Organic net sales growth for fiscal 2009 was 12.3%, including the favorable impact of price increases of 6.6%. Foreign exchange movements unfavorably impacted net sales by 3.4% for fiscal 2009. Within Global Consumer, organic net sales in North America increased 15.4% for fiscal 2009, which included the favorable impact of higher selling prices of 7.8%. POS at our three largest U.S. customers increased by 15.0% for fiscal 2009, driven by higher sales in all major categories, led by growing media, lawn fertilizers and plant foods. Organic net sales in International Consumer increased by 1.4% for fiscal 2009, which included the favorable impact of price increases of 2.5%. Strong growth in the United Kingdom, led by growing media and lawn fertilizer categories, and Eastern Europe were offset by declines in sales in France and Central Europe as a result of inventory de-load by retailers and a slow pesticide season.</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Global Consumer segment operating income for fiscal 2009 was $430.1 million, an increase of $83.6 million, or 24.1%, compared to fiscal 2008. Excluding the impact of foreign exchange movements, segment operating income increased by $90.5 million, or 26.1%, for fiscal 2009. The increase in operating income was primarily driven by the increase in net sales accompanied by a gross margin rate improvement of 280 basis points for fiscal 2009. The increase in gross margin rate was primarily the result of pricing and cost productivity improvements, partially offset by commodity cost increases. The improvements in net sales and gross margin rates were partially offset by increases in SG&amp;A spending, primarily related to higher advertising and promotional spending, higher selling and research and development costs and increased variable compensation.</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Global Professional</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Global Professional segment net sales were $266.9 million in fiscal 2010, an increase of 0.6% compared to fiscal 2009, or essentially flat excluding the impact of foreign exchange rates. Excluding the U.S. professional seed business, Global Professional organic net sales increased 2.3%, comprised of 9.0% unit growth partially offset by price deflation of 6.7%. Organic net sales for the North America and Asia Professional businesses increased by 2.1% and 20.3%, respectively, while organic net sales for the Europe and Latin America Professional businesses declined by 1.3% and 1.7%, respectively, in fiscal 2010.</w:t>
      </w:r>
    </w:p>
    <w:p>
      <w:pPr>
        <w:spacing w:after="0" w:line="7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Global Professional segment operating income decreased $6.5 million in fiscal 2010, or $6.3 million excluding the impact of foreign exchange rates, driven primarily by the sell-through of older, higher cost inventory during the first half of fiscal 2010 at lower average selling prices.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Global Professional segment net sales were $265.4 million in fiscal 2009, a decrease of 16.1% compared to fiscal 2008, or 5.7% excluding the impact of foreign exchange rates. Excluding the U.S. professional seed business, Global Professional organic net sales declined 1.4%. Foreign exchange movements unfavorably impacted net sales by 12.1%. Net sales from Humax Horticulture Limited, a privately-owned growing media company in the United Kingdom acquired by the Company on October 1, 2008, were $7.3 million in fiscal 2009, resulting in 2.3% growth. Organic net sales for the European and Emerging Markets Professional businesses increased by 1.8% and 5.7%, respectively, while organic net sales for the North America Professional business declined 26.4% in fiscal 2009, driven by the downturn in commercial and residential construction and customer inventory build-ups in fiscal 2008 in anticipation of price increases.</w:t>
      </w:r>
    </w:p>
    <w:p>
      <w:pPr>
        <w:spacing w:after="0" w:line="72"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Global Professional segment operating income decreased $13.1 million in fiscal 2009, or $8.2 million excluding the impact of foreign exchange rates, primarily as a result of a $9.9 million inventory write-down for the U.S. professional seed business necessitated by the significant decline in the market price of and demand for professional grass seed in North America.</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Scotts LawnService</w:t>
      </w:r>
      <w:r>
        <w:rPr>
          <w:rFonts w:ascii="Arial" w:cs="Arial" w:eastAsia="Arial" w:hAnsi="Arial"/>
          <w:sz w:val="11"/>
          <w:szCs w:val="11"/>
          <w:b w:val="1"/>
          <w:bCs w:val="1"/>
          <w:i w:val="1"/>
          <w:iCs w:val="1"/>
          <w:color w:val="auto"/>
        </w:rPr>
        <w:t>®</w:t>
      </w:r>
    </w:p>
    <w:p>
      <w:pPr>
        <w:spacing w:after="0" w:line="96" w:lineRule="exact"/>
        <w:rPr>
          <w:sz w:val="20"/>
          <w:szCs w:val="20"/>
          <w:color w:val="auto"/>
        </w:rPr>
      </w:pPr>
    </w:p>
    <w:p>
      <w:pPr>
        <w:ind w:left="680" w:right="60" w:firstLine="399"/>
        <w:spacing w:after="0" w:line="261" w:lineRule="auto"/>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r>
        <w:rPr>
          <w:rFonts w:ascii="Arial" w:cs="Arial" w:eastAsia="Arial" w:hAnsi="Arial"/>
          <w:sz w:val="13"/>
          <w:szCs w:val="13"/>
          <w:color w:val="auto"/>
        </w:rPr>
        <w:t xml:space="preserve"> net sales decreased by $7.0 million, or 3.0%, to $224.1 million in fiscal 2010 primarily as a result of the year-over-year decline in average customer count. Despite the decline in net sales, Scotts LawnService</w:t>
      </w:r>
      <w:r>
        <w:rPr>
          <w:rFonts w:ascii="Arial" w:cs="Arial" w:eastAsia="Arial" w:hAnsi="Arial"/>
          <w:sz w:val="11"/>
          <w:szCs w:val="11"/>
          <w:color w:val="auto"/>
        </w:rPr>
        <w:t>®</w:t>
      </w:r>
      <w:r>
        <w:rPr>
          <w:rFonts w:ascii="Arial" w:cs="Arial" w:eastAsia="Arial" w:hAnsi="Arial"/>
          <w:sz w:val="13"/>
          <w:szCs w:val="13"/>
          <w:color w:val="auto"/>
        </w:rPr>
        <w:t xml:space="preserve"> segment operating income increased $5.3 million to $24.3 million in fiscal 2010. The improved operating results were driven by efficiencies resulting from higher customer counts during its peak third and fourth quarter selling season, gross margin improvement due to lower product and fuel costs and increased labor productivity, as well as lower SG&amp;A spending.</w:t>
      </w:r>
    </w:p>
    <w:p>
      <w:pPr>
        <w:spacing w:after="0" w:line="67"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color w:val="auto"/>
        </w:rPr>
        <w:t>Compared to fiscal 2008, Scotts LawnService</w:t>
      </w:r>
      <w:r>
        <w:rPr>
          <w:rFonts w:ascii="Arial" w:cs="Arial" w:eastAsia="Arial" w:hAnsi="Arial"/>
          <w:sz w:val="11"/>
          <w:szCs w:val="11"/>
          <w:color w:val="auto"/>
        </w:rPr>
        <w:t>®</w:t>
      </w:r>
      <w:r>
        <w:rPr>
          <w:rFonts w:ascii="Arial" w:cs="Arial" w:eastAsia="Arial" w:hAnsi="Arial"/>
          <w:sz w:val="13"/>
          <w:szCs w:val="13"/>
          <w:color w:val="auto"/>
        </w:rPr>
        <w:t xml:space="preserve"> net sales decreased 6.6% to $231.1 million in fiscal 2009, primarily due to macroeconomic pressures that reduced customer count. Despite the decline in net sales, Scotts LawnService</w:t>
      </w:r>
      <w:r>
        <w:rPr>
          <w:rFonts w:ascii="Arial" w:cs="Arial" w:eastAsia="Arial" w:hAnsi="Arial"/>
          <w:sz w:val="11"/>
          <w:szCs w:val="11"/>
          <w:color w:val="auto"/>
        </w:rPr>
        <w:t>®</w:t>
      </w:r>
      <w:r>
        <w:rPr>
          <w:rFonts w:ascii="Arial" w:cs="Arial" w:eastAsia="Arial" w:hAnsi="Arial"/>
          <w:sz w:val="13"/>
          <w:szCs w:val="13"/>
          <w:color w:val="auto"/>
        </w:rPr>
        <w:t xml:space="preserve"> segment operating income increased $7.7 million to $19.0 million in fiscal 2009. The improved operating results were driven by more efficient marketing and sales programs, improved labor productivity and declines in fuel and fertilizer costs.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Corporate</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net operating expense for Corporate decreased by $11.2 million in fiscal 2010, driven by a decline in variable compensation and third-party legal fees, as well as a gain recorded for the sale of property. The net operating expense for Corporate increased by $57.4 million in fiscal 2009, primarily driven by increased variable compensation and retention costs, higher information technology spending, increased regulatory and compliance costs and higher pension and health care costs.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Outlook</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are pleased with our results in fiscal 2010. We grew our net sales from continuing operations by 5% to $3.14 billion, and grew net income from continuing operations by 37% to $212.4 million, or $3.14 per diluted share, driven by continued strength in our core U.S. Consumer business. In addition, net cash provided by operating activities less capital investments, or free cash flow, amounted to $212.5 million, an increase of 12% compared to fiscal 2009.</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believe we are well positioned to build on our success in fiscal 2011. We anticipate net sales growth of 4% to 6% in fiscal 2011, primarily driven by the impacts of unit volume growth and pricing in our Global Consumer business. We anticipate that gross margin rates will increase by 70 to 100 basis points in fiscal 2011 driven by supply chain cost productivity initiatives and pricing, net of commodity cost increases. Expenditures in SG&amp;A are expected to increase slightly less than sales increases as we intend to invest a portion of our fiscal 2011 margin growth in revenue-enhancing activities such as media, selling, marketing and research and development. We expect interest expense to increase to approximately $60 million, driven by the full year impact of the Senior Notes issued in January 2010, a partial year impact of bonds we anticipate issuing in fiscal 2011 and the increased spread over LIBOR we anticipate will result when we refinance our senior secured credit facility in the second or third quarter of fiscal 2011. Due to the anticipated timing of shipments, spending associated with fiscal 2011 initiatives, and the</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371" w:lineRule="auto"/>
        <w:rPr>
          <w:sz w:val="20"/>
          <w:szCs w:val="20"/>
          <w:color w:val="auto"/>
        </w:rPr>
      </w:pPr>
      <w:r>
        <w:rPr>
          <w:rFonts w:ascii="Arial" w:cs="Arial" w:eastAsia="Arial" w:hAnsi="Arial"/>
          <w:sz w:val="11"/>
          <w:szCs w:val="11"/>
          <w:color w:val="auto"/>
        </w:rPr>
        <w:t>impact of severance paid to certain former associates, we expect the first quarter pre-tax loss in fiscal 2011 to increase approximately $20 to $25 million from fiscal 2010 levels. Year-over-year improvements in pre-tax results are expected in the remaining three fiscal quarters of the year. For all of fiscal 2011, we anticipate diluted earnings per share growth of 10% to 13%.</w:t>
      </w:r>
    </w:p>
    <w:p>
      <w:pPr>
        <w:spacing w:after="0" w:line="12"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In the long-term, the Company remains focused on continuing to grow cash provided by operating activities and return on invested capital, both of which the Company believes are important drivers of shareholder value. Our regular quarterly dividend, which we doubled in the fourth quarter of fiscal 2010, will allow us to continue to return funds to shareholders while maintaining our targeted capital structure. In addition, we have begun to execute our four-year, $500 million share repurchase program, acquiring nearly $25 million of our Common Shares in the fourth quarter of fiscal 2010.</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certain information concerning our risk factors, see “ITEM 1A. RISK FACTORS” of this Annual Report on Form 10-K.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Cash provided by operating activities increased by $31.3 million from $264.6 million in fiscal 2009 to $295.9 million in fiscal 2010. Net income plus non-cash impairment and other charges, share-based compensation expense, depreciation and amortization increased by $65.1 million, from $233.3 million in fiscal 2009 to $298.4 million in fiscal 2010, driven primarily by higher operating income in our Global Consumer segment. Fiscal 2010 operating cash flows were favorably impacted by a decrease in inventory reflecting lower input costs and the elimination of Smith &amp; Hawken inventories. The decrease in inventory was partially offset by declines in accounts payable and a decline in other current liabilities primarily due to lower variable compensation accruals.</w:t>
      </w:r>
    </w:p>
    <w:p>
      <w:pPr>
        <w:spacing w:after="0" w:line="71"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Cash provided by operating activities increased by $63.7 million from $200.9 million in fiscal 2008 to $264.6 million in fiscal 2009. Net income (loss) plus non-cash impairment and other charges, share-based compensation expense, depreciation and amortization increased by $24.6 million, from $208.7 million in fiscal 2008 to $233.3 million in fiscal 2009, primarily due to higher operating income in our Global Consumer segment. Fiscal 2009 operating cash flows were unfavorably impacted by an increase in inventory caused primarily by higher input costs and additional professional grass seed inventory resulting from a significant drop in demand. The increase in inventory was offset by increases in other current liabilities, driven by accruals for variable compensation, and in accrued taxes, driven by our higher taxable income, for which the cash outflow did not occur until fiscal 2010.</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seasonal nature of our operations generally requires cash to fund significant increases in inventories during the first half of the fiscal year. Receivables and payables also build substantially in the second quarter of the fiscal year in line with the timing of sales to support our retailers’ spring selling season. These balances liquidate during the June through September period as the lawn and garden season unwinds. Unlike our core retail business, Scotts LawnService</w:t>
      </w:r>
      <w:r>
        <w:rPr>
          <w:rFonts w:ascii="Arial" w:cs="Arial" w:eastAsia="Arial" w:hAnsi="Arial"/>
          <w:sz w:val="11"/>
          <w:szCs w:val="11"/>
          <w:color w:val="auto"/>
        </w:rPr>
        <w:t>®</w:t>
      </w:r>
      <w:r>
        <w:rPr>
          <w:rFonts w:ascii="Arial" w:cs="Arial" w:eastAsia="Arial" w:hAnsi="Arial"/>
          <w:sz w:val="13"/>
          <w:szCs w:val="13"/>
          <w:color w:val="auto"/>
        </w:rPr>
        <w:t xml:space="preserve"> typically has its highest receivables balance in the fourth quarter because of the seasonal timing of customer applications and à la carte service revenues.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Cash used in investing activities totaled $58.9 million and $83.3 million for fiscal 2010 and fiscal 2009, respectively. Capital spending, including investments in intellectual property, increased by $8.0 million from $75.4 million in fiscal 2009 to $83.4 million in fiscal 2010. The fiscal 2010 increase in capital spending was largely driven by investments in increased manufacturing capacity for our growing media business, the acquisition of a second manufacturing facility for liquid production in the Southeast United States and the completion of new production technology to support the national launch of Scotts EZ Seed</w:t>
      </w:r>
      <w:r>
        <w:rPr>
          <w:rFonts w:ascii="Arial" w:cs="Arial" w:eastAsia="Arial" w:hAnsi="Arial"/>
          <w:sz w:val="11"/>
          <w:szCs w:val="11"/>
          <w:color w:val="auto"/>
        </w:rPr>
        <w:t>®</w:t>
      </w:r>
      <w:r>
        <w:rPr>
          <w:rFonts w:ascii="Arial" w:cs="Arial" w:eastAsia="Arial" w:hAnsi="Arial"/>
          <w:sz w:val="13"/>
          <w:szCs w:val="13"/>
          <w:color w:val="auto"/>
        </w:rPr>
        <w:t>. For the three years ended September 30, 2010, our capital spending was allocated as follows: 40.6% for expansion and maintenance of Global Consumer productive assets; 32.2% for new productive assets supporting our Global Consumer business; 13.2% to expand our information technology and transformation and integration capabilities; 2.4% for expansion and upgrades of Scotts LawnService</w:t>
      </w:r>
      <w:r>
        <w:rPr>
          <w:rFonts w:ascii="Arial" w:cs="Arial" w:eastAsia="Arial" w:hAnsi="Arial"/>
          <w:sz w:val="11"/>
          <w:szCs w:val="11"/>
          <w:color w:val="auto"/>
        </w:rPr>
        <w:t>®</w:t>
      </w:r>
      <w:r>
        <w:rPr>
          <w:rFonts w:ascii="Arial" w:cs="Arial" w:eastAsia="Arial" w:hAnsi="Arial"/>
          <w:sz w:val="13"/>
          <w:szCs w:val="13"/>
          <w:color w:val="auto"/>
        </w:rPr>
        <w:t xml:space="preserve"> facilities; and 11.6% for other corporate assets. During the first quarter of fiscal 2010, we received</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$24.5 million related to the sale of long-lived assets, including the sale of the intellectual property of Smith &amp; Hawken, in addition to the sale of certain property, plant and equipment.</w:t>
      </w:r>
    </w:p>
    <w:p>
      <w:pPr>
        <w:spacing w:after="0" w:line="108"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Cash used in investing activities was $83.3 million and $59.1 million for fiscal 2009 and fiscal 2008, respectively. Capital spending, including investments in intellectual property, increased by $15.2 million from $60.2 million in fiscal 2008 to $75.4 million in fiscal 2009. The increase in capital spending in fiscal 2009 was driven primarily by expansion of North America production facilities. For the three years ended September 30, 2009, our capital spending was allocated as follows: 48% for expansion and maintenance of Global Consumer productive assets; 20% for new productive assets supporting our Global Consumer business; 5% primarily for leasehold improvements associated with new Smith &amp; Hawken retail stores; 4% for expansion and upgrades of Scotts LawnService</w:t>
      </w:r>
      <w:r>
        <w:rPr>
          <w:rFonts w:ascii="Arial" w:cs="Arial" w:eastAsia="Arial" w:hAnsi="Arial"/>
          <w:sz w:val="10"/>
          <w:szCs w:val="10"/>
          <w:color w:val="auto"/>
        </w:rPr>
        <w:t>®</w:t>
      </w:r>
      <w:r>
        <w:rPr>
          <w:rFonts w:ascii="Arial" w:cs="Arial" w:eastAsia="Arial" w:hAnsi="Arial"/>
          <w:sz w:val="12"/>
          <w:szCs w:val="12"/>
          <w:color w:val="auto"/>
        </w:rPr>
        <w:t xml:space="preserve"> facilities; 14% to expand our information technology capabilities; and 9% for other corporate assets. In fiscal 2009, we acquired a growing media company in the United Kingdom for $9.3 million. There was no acquisition activity in fiscal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Financing activities used cash of $216.3 million and $194.0 million in fiscal 2010 and fiscal 2009, respectively. Net repayments primarily under our senior secured credit facilities were $370.0 million in fiscal 2010, compared to $178.0 million in fiscal 2009. Financing activities in fiscal 2010 included the issuance of the Senior Notes on January 14, 2010, yielding net proceeds of $198.5 million, which were used to reduce outstanding borrowings under our senior secured revolving credit facility. The issuance of the Senior Notes resulted in financing and issuance fees of $5.5 million in fiscal 2010. In addition, we began the execution of our four-year, $500 million share repurchase program, acquiring nearly $25 million of our Common Shares in the fourth quarter of fiscal 2010. Furthermore, dividends paid in fiscal 2010 increased by $9.2 million due to the doubling of our dividend effective in September 2010. These increased cash outflows were partially offset by a $7.7 million increase in cash received from the exercise of stock options compared to fiscal 2009.</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Financing activities used cash of $194.0 million and $123.0 million in fiscal 2009 and fiscal 2008, respectively. In fiscal 2009, the cash used was primarily the result of net repayments of $178.0 million on outstanding debt and dividends paid of $33.4 million, offset by cash of $14.8 million received from the exercise of stock options. In fiscal 2008, the cash used was primarily the result of net repayments of $99.9 million on outstanding debt and dividends paid of $32.5 million, offset by cash of $9.2 million received from the exercise of stock options.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Credit Agreements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primary sources of liquidity are cash generated by operations and borrowings under our credit agreements, which are guaranteed by substantially all of Scotts Miracle-Gro’s domestic subsidiaries. In February 2007, Scotts Miracle-Gro and certain of its subsidiaries entered into the following senior secured credit facilities totaling up to $2.15 billion in the aggregate: (a) a senior secured five-year term loan facility in the principal amount of $560 million and (b) a senior secured five-year revolving loan facility in the aggregate principal amount of up to $1.59 billion. Under our current structure, we may request an additional $200 million in revolving credit and/or term credit commitments, subject to approval from our lenders. Borrowings may be made in various currencies including U.S. dollars, Euros, British pounds, Australian dollars and Canadian dollars. Amortization payments on the term loan portion of the senior secured credit facilities began on September 30, 2007 and are due quarterly through 2012. As of September 30, 2010, the cumulative total amortization payments on the term loan were $257.6 million, effectively reducing the amount outstanding under the senior secured credit facilities.</w:t>
      </w:r>
    </w:p>
    <w:p>
      <w:pPr>
        <w:spacing w:after="0" w:line="58"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As of September 30, 2010, there was $1.5 billion of availability under the senior secured credit facilities, including letters of credit. Under the revolving loan facility, we have the ability to issue letter of credit commitments up to $65 million. At September 30, 2010, we had letters of credit in the aggregate face amount of $26.7 million outstanding. “NOTE 11. DEBT” of the Notes to Consolidated Financial Statements included in this Annual Report on Form 10-K provides additional information regarding our borrowing arrangements.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On January 14, 2010, we issued $200 million aggregate principal amount of 7.25% Senior Notes, the proceeds of which were used to reduce outstanding borrowings under our senior secured revolving credit facility. The Senior Notes represent general unsecured senior obligations of Scotts Miracle-Gro, and were sold to the public at 99.254% of the principal amount thereof, to yield 7.375% to maturity. The Senior Notes have interest payment dates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January 15 and July 15, which began on July 15, 2010, and may be redeemed prior to maturity at applicable redemption premiums. The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for or redemptions of Scotts Miracle-Gro stock and prepayments of subordinated debt, limitations on asset sales and restrictions on transactions with affiliates. The Senior Notes mature on January 15, 2018. Certain of Scotts Miracle-Gro’s domestic subsidiaries serve as guarantors of the Senior Notes. Refer to “NOTE 24. FINANCIAL INFORMATION FOR SUBSIDIARY GUARANTORS AND NON-GUARANTORS” of the Notes to Consolidated Financial Statements included in this Annual Report on Form 10-K for more information regarding the guarantor entities.</w:t>
      </w:r>
    </w:p>
    <w:p>
      <w:pPr>
        <w:spacing w:after="0" w:line="73"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At September 30, 2010, we had outstanding interest rate swap agreements with major financial institutions that effectively converted a portion of our variable-rate debt denominated in U.S. dollars to a fixed rate. Interest payments made between the effective date and expiration date are hedged by the swap agreements, except as noted below. The key terms of these swap agreements are shown in the table below.</w:t>
      </w:r>
    </w:p>
    <w:p>
      <w:pPr>
        <w:spacing w:after="0" w:line="69" w:lineRule="exact"/>
        <w:rPr>
          <w:sz w:val="20"/>
          <w:szCs w:val="20"/>
          <w:color w:val="auto"/>
        </w:rPr>
      </w:pPr>
    </w:p>
    <w:tbl>
      <w:tblPr>
        <w:tblLayout w:type="fixed"/>
        <w:tblInd w:w="3600" w:type="dxa"/>
        <w:tblCellMar>
          <w:top w:w="0" w:type="dxa"/>
          <w:left w:w="0" w:type="dxa"/>
          <w:bottom w:w="0" w:type="dxa"/>
          <w:right w:w="0" w:type="dxa"/>
        </w:tblCellMar>
      </w:tblPr>
      <w:tr>
        <w:trPr>
          <w:trHeight w:val="125"/>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1"/>
              </w:rPr>
              <w:t>Notional Amount</w:t>
            </w:r>
          </w:p>
        </w:tc>
        <w:tc>
          <w:tcPr>
            <w:tcW w:w="40" w:type="dxa"/>
            <w:vAlign w:val="bottom"/>
          </w:tcPr>
          <w:p>
            <w:pPr>
              <w:spacing w:after="0"/>
              <w:rPr>
                <w:sz w:val="10"/>
                <w:szCs w:val="10"/>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Effective Date(a)</w:t>
            </w:r>
          </w:p>
        </w:tc>
        <w:tc>
          <w:tcPr>
            <w:tcW w:w="40" w:type="dxa"/>
            <w:vAlign w:val="bottom"/>
          </w:tcPr>
          <w:p>
            <w:pPr>
              <w:spacing w:after="0"/>
              <w:rPr>
                <w:sz w:val="10"/>
                <w:szCs w:val="1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Expiration Date</w:t>
            </w:r>
          </w:p>
        </w:tc>
        <w:tc>
          <w:tcPr>
            <w:tcW w:w="40" w:type="dxa"/>
            <w:vAlign w:val="bottom"/>
          </w:tcPr>
          <w:p>
            <w:pPr>
              <w:spacing w:after="0"/>
              <w:rPr>
                <w:sz w:val="10"/>
                <w:szCs w:val="10"/>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Fixed Rate</w:t>
            </w:r>
          </w:p>
        </w:tc>
      </w:tr>
      <w:tr>
        <w:trPr>
          <w:trHeight w:val="125"/>
        </w:trPr>
        <w:tc>
          <w:tcPr>
            <w:tcW w:w="820" w:type="dxa"/>
            <w:vAlign w:val="bottom"/>
          </w:tcPr>
          <w:p>
            <w:pPr>
              <w:jc w:val="right"/>
              <w:ind w:right="79"/>
              <w:spacing w:after="0"/>
              <w:rPr>
                <w:sz w:val="20"/>
                <w:szCs w:val="20"/>
                <w:color w:val="auto"/>
              </w:rPr>
            </w:pPr>
            <w:r>
              <w:rPr>
                <w:rFonts w:ascii="Arial" w:cs="Arial" w:eastAsia="Arial" w:hAnsi="Arial"/>
                <w:sz w:val="10"/>
                <w:szCs w:val="10"/>
                <w:b w:val="1"/>
                <w:bCs w:val="1"/>
                <w:color w:val="auto"/>
              </w:rPr>
              <w:t>(In millions)</w:t>
            </w:r>
          </w:p>
        </w:tc>
        <w:tc>
          <w:tcPr>
            <w:tcW w:w="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69"/>
        </w:trPr>
        <w:tc>
          <w:tcPr>
            <w:tcW w:w="82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  200</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2/14/2007</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2/14/2012</w:t>
            </w: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5.20%</w:t>
            </w:r>
          </w:p>
        </w:tc>
      </w:tr>
      <w:tr>
        <w:trPr>
          <w:trHeight w:val="157"/>
        </w:trPr>
        <w:tc>
          <w:tcPr>
            <w:tcW w:w="820" w:type="dxa"/>
            <w:vAlign w:val="bottom"/>
          </w:tcPr>
          <w:p>
            <w:pPr>
              <w:jc w:val="right"/>
              <w:ind w:right="199"/>
              <w:spacing w:after="0"/>
              <w:rPr>
                <w:sz w:val="20"/>
                <w:szCs w:val="20"/>
                <w:color w:val="auto"/>
              </w:rPr>
            </w:pPr>
            <w:r>
              <w:rPr>
                <w:rFonts w:ascii="Arial" w:cs="Arial" w:eastAsia="Arial" w:hAnsi="Arial"/>
                <w:sz w:val="13"/>
                <w:szCs w:val="13"/>
                <w:color w:val="auto"/>
              </w:rPr>
              <w:t>50</w:t>
            </w:r>
          </w:p>
        </w:tc>
        <w:tc>
          <w:tcPr>
            <w:tcW w:w="1340" w:type="dxa"/>
            <w:vAlign w:val="bottom"/>
            <w:gridSpan w:val="2"/>
          </w:tcPr>
          <w:p>
            <w:pPr>
              <w:jc w:val="right"/>
              <w:ind w:right="288"/>
              <w:spacing w:after="0"/>
              <w:rPr>
                <w:sz w:val="20"/>
                <w:szCs w:val="20"/>
                <w:color w:val="auto"/>
              </w:rPr>
            </w:pPr>
            <w:r>
              <w:rPr>
                <w:rFonts w:ascii="Arial" w:cs="Arial" w:eastAsia="Arial" w:hAnsi="Arial"/>
                <w:sz w:val="13"/>
                <w:szCs w:val="13"/>
                <w:color w:val="auto"/>
              </w:rPr>
              <w:t>2/14/2012</w:t>
            </w:r>
          </w:p>
        </w:tc>
        <w:tc>
          <w:tcPr>
            <w:tcW w:w="1280" w:type="dxa"/>
            <w:vAlign w:val="bottom"/>
            <w:gridSpan w:val="2"/>
          </w:tcPr>
          <w:p>
            <w:pPr>
              <w:jc w:val="center"/>
              <w:spacing w:after="0"/>
              <w:rPr>
                <w:sz w:val="20"/>
                <w:szCs w:val="20"/>
                <w:color w:val="auto"/>
              </w:rPr>
            </w:pPr>
            <w:r>
              <w:rPr>
                <w:rFonts w:ascii="Arial" w:cs="Arial" w:eastAsia="Arial" w:hAnsi="Arial"/>
                <w:sz w:val="13"/>
                <w:szCs w:val="13"/>
                <w:color w:val="auto"/>
                <w:w w:val="89"/>
              </w:rPr>
              <w:t>2/14/2016</w:t>
            </w:r>
          </w:p>
        </w:tc>
        <w:tc>
          <w:tcPr>
            <w:tcW w:w="720" w:type="dxa"/>
            <w:vAlign w:val="bottom"/>
            <w:gridSpan w:val="2"/>
          </w:tcPr>
          <w:p>
            <w:pPr>
              <w:jc w:val="right"/>
              <w:ind w:right="68"/>
              <w:spacing w:after="0"/>
              <w:rPr>
                <w:sz w:val="20"/>
                <w:szCs w:val="20"/>
                <w:color w:val="auto"/>
              </w:rPr>
            </w:pPr>
            <w:r>
              <w:rPr>
                <w:rFonts w:ascii="Arial" w:cs="Arial" w:eastAsia="Arial" w:hAnsi="Arial"/>
                <w:sz w:val="13"/>
                <w:szCs w:val="13"/>
                <w:color w:val="auto"/>
              </w:rPr>
              <w:t>3.78%</w:t>
            </w:r>
          </w:p>
        </w:tc>
      </w:tr>
      <w:tr>
        <w:trPr>
          <w:trHeight w:val="157"/>
        </w:trPr>
        <w:tc>
          <w:tcPr>
            <w:tcW w:w="820" w:type="dxa"/>
            <w:vAlign w:val="bottom"/>
            <w:shd w:val="clear" w:color="auto" w:fill="CCEEFF"/>
          </w:tcPr>
          <w:p>
            <w:pPr>
              <w:jc w:val="right"/>
              <w:ind w:right="159"/>
              <w:spacing w:after="0"/>
              <w:rPr>
                <w:sz w:val="20"/>
                <w:szCs w:val="20"/>
                <w:color w:val="auto"/>
              </w:rPr>
            </w:pPr>
            <w:r>
              <w:rPr>
                <w:rFonts w:ascii="Arial" w:cs="Arial" w:eastAsia="Arial" w:hAnsi="Arial"/>
                <w:sz w:val="13"/>
                <w:szCs w:val="13"/>
                <w:color w:val="auto"/>
              </w:rPr>
              <w:t>150(b)</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11/16/2009</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5/16/2016</w:t>
            </w: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3.26%</w:t>
            </w:r>
          </w:p>
        </w:tc>
      </w:tr>
      <w:tr>
        <w:trPr>
          <w:trHeight w:val="165"/>
        </w:trPr>
        <w:tc>
          <w:tcPr>
            <w:tcW w:w="820" w:type="dxa"/>
            <w:vAlign w:val="bottom"/>
          </w:tcPr>
          <w:p>
            <w:pPr>
              <w:jc w:val="right"/>
              <w:ind w:right="159"/>
              <w:spacing w:after="0"/>
              <w:rPr>
                <w:sz w:val="20"/>
                <w:szCs w:val="20"/>
                <w:color w:val="auto"/>
              </w:rPr>
            </w:pPr>
            <w:r>
              <w:rPr>
                <w:rFonts w:ascii="Arial" w:cs="Arial" w:eastAsia="Arial" w:hAnsi="Arial"/>
                <w:sz w:val="13"/>
                <w:szCs w:val="13"/>
                <w:color w:val="auto"/>
              </w:rPr>
              <w:t>50(c)</w:t>
            </w:r>
          </w:p>
        </w:tc>
        <w:tc>
          <w:tcPr>
            <w:tcW w:w="1340" w:type="dxa"/>
            <w:vAlign w:val="bottom"/>
            <w:gridSpan w:val="2"/>
          </w:tcPr>
          <w:p>
            <w:pPr>
              <w:jc w:val="right"/>
              <w:ind w:right="288"/>
              <w:spacing w:after="0"/>
              <w:rPr>
                <w:sz w:val="20"/>
                <w:szCs w:val="20"/>
                <w:color w:val="auto"/>
              </w:rPr>
            </w:pPr>
            <w:r>
              <w:rPr>
                <w:rFonts w:ascii="Arial" w:cs="Arial" w:eastAsia="Arial" w:hAnsi="Arial"/>
                <w:sz w:val="13"/>
                <w:szCs w:val="13"/>
                <w:color w:val="auto"/>
              </w:rPr>
              <w:t>2/16/2010</w:t>
            </w:r>
          </w:p>
        </w:tc>
        <w:tc>
          <w:tcPr>
            <w:tcW w:w="1280" w:type="dxa"/>
            <w:vAlign w:val="bottom"/>
            <w:gridSpan w:val="2"/>
          </w:tcPr>
          <w:p>
            <w:pPr>
              <w:jc w:val="center"/>
              <w:spacing w:after="0"/>
              <w:rPr>
                <w:sz w:val="20"/>
                <w:szCs w:val="20"/>
                <w:color w:val="auto"/>
              </w:rPr>
            </w:pPr>
            <w:r>
              <w:rPr>
                <w:rFonts w:ascii="Arial" w:cs="Arial" w:eastAsia="Arial" w:hAnsi="Arial"/>
                <w:sz w:val="13"/>
                <w:szCs w:val="13"/>
                <w:color w:val="auto"/>
                <w:w w:val="89"/>
              </w:rPr>
              <w:t>5/16/2016</w:t>
            </w:r>
          </w:p>
        </w:tc>
        <w:tc>
          <w:tcPr>
            <w:tcW w:w="720" w:type="dxa"/>
            <w:vAlign w:val="bottom"/>
            <w:gridSpan w:val="2"/>
          </w:tcPr>
          <w:p>
            <w:pPr>
              <w:jc w:val="right"/>
              <w:ind w:right="68"/>
              <w:spacing w:after="0"/>
              <w:rPr>
                <w:sz w:val="20"/>
                <w:szCs w:val="20"/>
                <w:color w:val="auto"/>
              </w:rPr>
            </w:pPr>
            <w:r>
              <w:rPr>
                <w:rFonts w:ascii="Arial" w:cs="Arial" w:eastAsia="Arial" w:hAnsi="Arial"/>
                <w:sz w:val="13"/>
                <w:szCs w:val="13"/>
                <w:color w:val="auto"/>
              </w:rPr>
              <w:t>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313"/>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effective date refers to the date on which interest payments are first hedged by the applicable swap agreement.</w:t>
      </w:r>
    </w:p>
    <w:p>
      <w:pPr>
        <w:spacing w:after="0" w:line="47" w:lineRule="exact"/>
        <w:rPr>
          <w:rFonts w:ascii="Arial" w:cs="Arial" w:eastAsia="Arial" w:hAnsi="Arial"/>
          <w:sz w:val="13"/>
          <w:szCs w:val="13"/>
          <w:color w:val="auto"/>
        </w:rPr>
      </w:pPr>
    </w:p>
    <w:p>
      <w:pPr>
        <w:ind w:left="1000" w:hanging="313"/>
        <w:spacing w:after="0"/>
        <w:tabs>
          <w:tab w:leader="none" w:pos="10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Interest payments made during the six-month period beginning November 14 of each year between the effective date and expiration date are hedged by the swap agreement.</w:t>
      </w:r>
    </w:p>
    <w:p>
      <w:pPr>
        <w:spacing w:after="0" w:line="58" w:lineRule="exact"/>
        <w:rPr>
          <w:rFonts w:ascii="Arial" w:cs="Arial" w:eastAsia="Arial" w:hAnsi="Arial"/>
          <w:sz w:val="12"/>
          <w:szCs w:val="12"/>
          <w:color w:val="auto"/>
        </w:rPr>
      </w:pPr>
    </w:p>
    <w:p>
      <w:pPr>
        <w:ind w:left="1000" w:hanging="313"/>
        <w:spacing w:after="0"/>
        <w:tabs>
          <w:tab w:leader="none" w:pos="10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Interest payments made during the three-month period beginning February 14 of each year between the effective date and expiration date are hedged by the swap agreement.</w:t>
      </w:r>
    </w:p>
    <w:p>
      <w:pPr>
        <w:spacing w:after="0" w:line="108"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November 2010, we entered into additional interest rate swap agreements to convert a portion of our variable-rate debt denominated in U.S. dollars to a fixed rate for an aggregate notional amount of $300 million. The effective dates of the agreements are in 2011 or 2012 and expiration dates are in 2016 or 2017. The swap agreements hedge interest payments for three-month or six-month periods each year between the effective date and expiration date. The fixed rates range from 2.34% to 2.96%.</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April 9, 2008, we entered into a Master Accounts Receivable Purchase Agreement (the “2008 MARP Agreement”). The 2008 MARP Agreement provided for the discounted sale, on a revolving basis, of accounts receivable generated by specified account debtors, with seasonally adjusted monthly aggregate limits ranging from $10 million to $300 million. The 2008 MARP Agreement also provided for specified account debtor sublimit amounts, which provided limits on the amount of receivables owed by individual account debtors that could be sold to the banks. The 2008 MARP Agreement provided an interest rate that approximated the 7-day LIBOR rate plus 85 basis points. The 2008 MARP Agreement expired by its terms on April 8, 2009.</w:t>
      </w:r>
    </w:p>
    <w:p>
      <w:pPr>
        <w:spacing w:after="0" w:line="71"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On May 1, 2009, we entered into a Master Accounts Receivable Purchase Agreement (the “2009 MARP Agreement”), with an initial stated termination date of May 1, 2010, or such later date as may be mutually agreed by us and our lender. The 2009 MARP Agreement provided for the discounted sale, on an uncommitted, revolving basis, of accounts receivable generated by a specified account debtor, with aggregate limits not to exceed $80 million. The 2009 MARP Agreement provided an interest rate that approximated the 7-day LIBOR rate plus 225 basis points.</w:t>
      </w:r>
    </w:p>
    <w:p>
      <w:pPr>
        <w:spacing w:after="0" w:line="70"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On May 13, 2010, we entered into a First Amendment (the “First Amendment”) to the 2009 MARP Agreement with our lender. The First Amendment, which was effective May 1, 2010, extended the stated termination date of the 2009 MARP Agreement through May 12, 2011, or such later date as may be mutually agreed by us and our lender.</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0"/>
        <w:spacing w:after="0" w:line="320" w:lineRule="auto"/>
        <w:rPr>
          <w:sz w:val="20"/>
          <w:szCs w:val="20"/>
          <w:color w:val="auto"/>
        </w:rPr>
      </w:pPr>
      <w:r>
        <w:rPr>
          <w:rFonts w:ascii="Arial" w:cs="Arial" w:eastAsia="Arial" w:hAnsi="Arial"/>
          <w:sz w:val="12"/>
          <w:szCs w:val="12"/>
          <w:color w:val="auto"/>
        </w:rPr>
        <w:t>The amended 2009 MARP Agreement provides an interest rate that approximates the 7-day LIBOR rate plus 125 basis points. The First Amendment did not otherwise modify any substantive provisions of the 2009 MARP Agreement. There were no short-term borrowings under the amended 2009 MARP Agreement as of September 30, 2010.</w:t>
      </w:r>
    </w:p>
    <w:p>
      <w:pPr>
        <w:spacing w:after="0" w:line="35" w:lineRule="exact"/>
        <w:rPr>
          <w:sz w:val="20"/>
          <w:szCs w:val="20"/>
          <w:color w:val="auto"/>
        </w:rPr>
      </w:pPr>
    </w:p>
    <w:p>
      <w:pPr>
        <w:ind w:left="680" w:firstLine="399"/>
        <w:spacing w:after="0" w:line="303" w:lineRule="auto"/>
        <w:rPr>
          <w:sz w:val="20"/>
          <w:szCs w:val="20"/>
          <w:color w:val="auto"/>
        </w:rPr>
      </w:pPr>
      <w:r>
        <w:rPr>
          <w:rFonts w:ascii="Arial" w:cs="Arial" w:eastAsia="Arial" w:hAnsi="Arial"/>
          <w:sz w:val="11"/>
          <w:szCs w:val="11"/>
          <w:color w:val="auto"/>
        </w:rPr>
        <w:t>As of September 30, 2010, we were in compliance with all debt covenants. Our senior secured credit facilities contain, among other obligations, an affirmative covenant regarding our leverage ratio, calculated as average total indebtedness, as described in our senior secured credit facilities, relative to EBITDA, as adjusted pursuant to the terms of the senior secured credit facilities (“Adjusted EBITDA”). Under the terms of the senior secured credit facilities, the maximum leverage ratio was 3.50 as of September 30, 2010, which is scheduled to decrease to</w:t>
      </w:r>
    </w:p>
    <w:p>
      <w:pPr>
        <w:ind w:left="680" w:right="20"/>
        <w:spacing w:after="0" w:line="276" w:lineRule="auto"/>
        <w:rPr>
          <w:sz w:val="20"/>
          <w:szCs w:val="20"/>
          <w:color w:val="auto"/>
        </w:rPr>
      </w:pPr>
      <w:r>
        <w:rPr>
          <w:rFonts w:ascii="Arial" w:cs="Arial" w:eastAsia="Arial" w:hAnsi="Arial"/>
          <w:sz w:val="12"/>
          <w:szCs w:val="12"/>
          <w:color w:val="auto"/>
        </w:rPr>
        <w:t>3.25 on September 30, 2011. Our leverage ratio was 2.0 at September 30, 2010. Our senior secured credit facilities also include an affirmative covenant regarding our interest coverage ratio. Interest coverage ratio is calculated as Adjusted EBITDA divided by interest expense, as described in our senior secured credit facilities, and excludes costs related to refinancings. Under the terms of the senior secured credit facilities, the minimum interest coverage ratio was 3.50 for the year ended September 30, 2010. Our interest coverage ratio was 9.4 for the year ended September 30, 2010. We continue to monitor our compliance with the leverage ratio, interest coverage ratio and other covenants contained in the senior secured credit facilities and, based upon our current operating assumptions, we expect to remain in compliance with the permissible leverage ratio and interest coverage ratio throughout fiscal 2011. However, an unanticipated charge to earnings, an increase in debt or other factors could materially adversely affect our ability to remain in compliance with certain covenants of our senior secured credit facilities, potentially causing us to have to seek a waiver from our lending group which could result in the repricing of our senior secured credit facilities. While we believe we have good relationships with our banking group, we can provide no assurance that such a request would be likely to result in a modified or replacement credit facility on reasonable terms, if at all. Although we were in compliance with all of our debt covenants throughout fiscal 2010, please see “ITEM 1A. RISK FACTORS — The ongoing governmental investigations regarding our compliance with FIFRA could adversely affect our financial condition, results of operations or cash flows” of this Annual Report on Form 10-K for a discussion of the potential negative impact of such issues on our compliance with certain covenants contained in our senior secured credit facilities. Please see “ITEM 6. SELECTED FINANCIAL DATA” of this Annual Report on Form 10-K for further details pertaining to the calculations of the foregoing ratios.</w:t>
      </w:r>
    </w:p>
    <w:p>
      <w:pPr>
        <w:spacing w:after="0" w:line="64"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In our opinion, cash flows from operations and capital resources will be sufficient to meet debt service, capital expenditures and working capital needs during fiscal 2011, and thereafter for the foreseeable future. However, we cannot ensure that our business will generate sufficient cash flow from operations or that future borrowings will be available under our senior secured credit facilities in amounts sufficient to pay indebtedness or fund other liquidity needs. Actual results of operations will depend on numerous factors, many of which are beyond our control, as further discussed in “ITEM 1A. RISK FACTORS — Our indebtedness could limit our flexibility and adversely affect our financial condition” of this Annual Report on Form 10-K.</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Judicial and Administrative Proceedings</w:t>
      </w:r>
    </w:p>
    <w:p>
      <w:pPr>
        <w:spacing w:after="0" w:line="96"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Apart from the proceedings surrounding the FIFRA compliance matters, which are discussed separately, 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adverse effect on our financial condition, results of operations, or cash flows; however, there can be no assurance that future quarterly or annual operating results will not be materially affected by final resolution of these matters.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future cash outflows for contractual obligations as of September 30, 2010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0"/>
                <w:szCs w:val="10"/>
                <w:b w:val="1"/>
                <w:bCs w:val="1"/>
                <w:color w:val="auto"/>
              </w:rPr>
              <w:t>Payments Due by Period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400" w:type="dxa"/>
            <w:vAlign w:val="bottom"/>
            <w:vMerge w:val="restart"/>
          </w:tcPr>
          <w:p>
            <w:pPr>
              <w:spacing w:after="0"/>
              <w:rPr>
                <w:sz w:val="20"/>
                <w:szCs w:val="20"/>
                <w:color w:val="auto"/>
              </w:rPr>
            </w:pPr>
            <w:r>
              <w:rPr>
                <w:rFonts w:ascii="Arial" w:cs="Arial" w:eastAsia="Arial" w:hAnsi="Arial"/>
                <w:sz w:val="10"/>
                <w:szCs w:val="10"/>
                <w:b w:val="1"/>
                <w:bCs w:val="1"/>
                <w:color w:val="auto"/>
              </w:rPr>
              <w:t>Contractual Cash Obligations</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Less Than 1 Year</w:t>
            </w:r>
          </w:p>
        </w:tc>
        <w:tc>
          <w:tcPr>
            <w:tcW w:w="280" w:type="dxa"/>
            <w:vAlign w:val="bottom"/>
          </w:tcPr>
          <w:p>
            <w:pPr>
              <w:spacing w:after="0"/>
              <w:rPr>
                <w:sz w:val="7"/>
                <w:szCs w:val="7"/>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4"/>
              </w:rPr>
              <w:t>1-3 Years</w:t>
            </w:r>
          </w:p>
        </w:tc>
        <w:tc>
          <w:tcPr>
            <w:tcW w:w="80" w:type="dxa"/>
            <w:vAlign w:val="bottom"/>
          </w:tcPr>
          <w:p>
            <w:pPr>
              <w:spacing w:after="0"/>
              <w:rPr>
                <w:sz w:val="7"/>
                <w:szCs w:val="7"/>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89"/>
              </w:rPr>
              <w:t>4-5 Years</w:t>
            </w:r>
          </w:p>
        </w:tc>
        <w:tc>
          <w:tcPr>
            <w:tcW w:w="80" w:type="dxa"/>
            <w:vAlign w:val="bottom"/>
          </w:tcPr>
          <w:p>
            <w:pPr>
              <w:spacing w:after="0"/>
              <w:rPr>
                <w:sz w:val="7"/>
                <w:szCs w:val="7"/>
                <w:color w:val="auto"/>
              </w:rPr>
            </w:pPr>
          </w:p>
        </w:tc>
        <w:tc>
          <w:tcPr>
            <w:tcW w:w="600" w:type="dxa"/>
            <w:vAlign w:val="bottom"/>
          </w:tcPr>
          <w:p>
            <w:pPr>
              <w:jc w:val="right"/>
              <w:ind w:right="19"/>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4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5 Years</w:t>
            </w:r>
          </w:p>
        </w:tc>
        <w:tc>
          <w:tcPr>
            <w:tcW w:w="0" w:type="dxa"/>
            <w:vAlign w:val="bottom"/>
          </w:tcPr>
          <w:p>
            <w:pPr>
              <w:spacing w:after="0"/>
              <w:rPr>
                <w:sz w:val="1"/>
                <w:szCs w:val="1"/>
                <w:color w:val="auto"/>
              </w:rPr>
            </w:pPr>
          </w:p>
        </w:tc>
      </w:tr>
      <w:tr>
        <w:trPr>
          <w:trHeight w:val="29"/>
        </w:trPr>
        <w:tc>
          <w:tcPr>
            <w:tcW w:w="4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Debt obligations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631.7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195.0</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202.4</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20"/>
                <w:szCs w:val="20"/>
                <w:color w:val="auto"/>
              </w:rPr>
            </w:pPr>
            <w:r>
              <w:rPr>
                <w:rFonts w:ascii="Arial" w:cs="Arial" w:eastAsia="Arial" w:hAnsi="Arial"/>
                <w:sz w:val="13"/>
                <w:szCs w:val="13"/>
                <w:color w:val="auto"/>
              </w:rPr>
              <w:t>Operating lease obligations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163.5</w:t>
            </w:r>
          </w:p>
        </w:tc>
        <w:tc>
          <w:tcPr>
            <w:tcW w:w="16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42.7</w:t>
            </w:r>
          </w:p>
        </w:tc>
        <w:tc>
          <w:tcPr>
            <w:tcW w:w="2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68.7</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36.2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57"/>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Purchase obligations</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340.4</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178.2</w:t>
            </w:r>
          </w:p>
        </w:tc>
        <w:tc>
          <w:tcPr>
            <w:tcW w:w="2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20"/>
                <w:szCs w:val="20"/>
                <w:color w:val="auto"/>
              </w:rPr>
            </w:pPr>
            <w:r>
              <w:rPr>
                <w:rFonts w:ascii="Arial" w:cs="Arial" w:eastAsia="Arial" w:hAnsi="Arial"/>
                <w:sz w:val="13"/>
                <w:szCs w:val="13"/>
                <w:color w:val="auto"/>
              </w:rPr>
              <w:t>Other, primarily retirement plan obligations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98.5</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19.8</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26.9</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26.3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Total contractual cash obligations</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435.7</w:t>
            </w:r>
          </w:p>
        </w:tc>
        <w:tc>
          <w:tcPr>
            <w:tcW w:w="1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471.</w:t>
            </w:r>
            <w:r>
              <w:rPr>
                <w:rFonts w:ascii="Arial" w:cs="Arial" w:eastAsia="Arial" w:hAnsi="Arial"/>
                <w:sz w:val="13"/>
                <w:szCs w:val="13"/>
                <w:u w:val="single" w:color="auto"/>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246.3</w:t>
            </w:r>
          </w:p>
        </w:tc>
        <w:tc>
          <w:tcPr>
            <w:tcW w:w="0" w:type="dxa"/>
            <w:vAlign w:val="bottom"/>
          </w:tcPr>
          <w:p>
            <w:pPr>
              <w:spacing w:after="0"/>
              <w:rPr>
                <w:sz w:val="1"/>
                <w:szCs w:val="1"/>
                <w:color w:val="auto"/>
              </w:rPr>
            </w:pPr>
          </w:p>
        </w:tc>
      </w:tr>
      <w:tr>
        <w:trPr>
          <w:trHeight w:val="29"/>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Debt obligations include contingent consideration related to our May 2006 acquisition of certain brands and assets of Turf-Seed, Inc., a leading producer of quality commercial turfgrasses, is due to the seller in the second half of fiscal 2012. Payment is largely based on the performance of our consumer and professional seed business for the twelve-month period ending in May 2012.</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Purchase obligations primarily represent commitments for materials used in the Company’s manufacturing processes, as well as commitments for warehouse services, seed and out-sourced information services which comprise the unconditional purchase obligations disclosed in “NOTE 18. COMMITMENTS” of the Notes to Consolidated Financial Statements included in this Annual Report on Form 10-K.</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Other includes actuarially determined retiree benefit payments and pension funding to comply with local funding requirements. Pension funding requirements beyond fiscal 2011 are based on preliminary estimates using actuarial assumptions determined as of September 30, 2010. The above table excludes interest payments and insurance accruals as the Company is unable to estimate the timing of the payment for these items.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has no off-balance sheet financing arrangements.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Matters</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 actions with various governmental agencies related to environmental matters, including those described in “NOTE 19. CONTINGENCIES” of the Notes to Consolidated Financial Statements included in this Annual Report on Form 10-K.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and “ITEM 3. LEGAL PROCEEDINGS” of this Annual Report on Form 10-K.</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Our discussion and analysis of financial condition and results of operations is based upon our consolidated financial statements, which have been prepared in accordance with GAAP. Certain accounting policies are particularly significant, including those related to revenue recognition, goodwill and intangibles, certain associate benefits and income taxes. We believe these accounting policies, and others set forth in “NOTE 1. SUMMARY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64" w:lineRule="auto"/>
        <w:rPr>
          <w:sz w:val="20"/>
          <w:szCs w:val="20"/>
          <w:color w:val="auto"/>
        </w:rPr>
      </w:pPr>
      <w:r>
        <w:rPr>
          <w:rFonts w:ascii="Arial" w:cs="Arial" w:eastAsia="Arial" w:hAnsi="Arial"/>
          <w:sz w:val="13"/>
          <w:szCs w:val="13"/>
          <w:color w:val="auto"/>
        </w:rPr>
        <w:t>SIGNIFICANT ACCOUNTING POLICIES” of the Notes to Consolidated Financial Statements included in this Annual Report on Form 10-K, should be reviewed as they are integral to understanding our results of operations and financial position. Our critical accounting policies are reviewed periodically with the Audit Committee of the Board of Directors of Scotts Miracle-Gro.</w:t>
      </w:r>
    </w:p>
    <w:p>
      <w:pPr>
        <w:spacing w:after="0" w:line="67"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condition could differ, perhaps materially, from these estimates under different assumptions or conditions.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 and Promotional Allowances</w:t>
      </w:r>
    </w:p>
    <w:p>
      <w:pPr>
        <w:spacing w:after="0" w:line="100"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collectability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allowances. When we determine that deferred tax assets could be realized in greater or lesser amounts than recorded, the asset balance and consolidated statement of operations reflect the change in the period such determination is made. Due to changes in facts and circumstances and the estimates and judgments that are involved in determining the proper valuation allowances, differences between actual future events and prior estimates and judgments could 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Inventories are stated at the lower of cost or market, principally determined by the first-in, first-out method of accounting, using an average costing approach. Inventories include the cost of raw materials, labor, manufacturing overhead and freight and in-bound handling costs incurred to pre-position goods in our warehouse network. 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regulatory actions.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Long-lived Assets, including Property, Plant and Equipment</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and certain tradenames. These intangible assets are being amortized on the straight-line method over periods typically ranging from 3 to 25 years. The Company reviews long-lived assets whenever circumstances change such that the indicated recorded value of an asset may not be recoverable and therefore impaired.</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Goodwill and Indefinite-lived Intangible Assets</w:t>
      </w:r>
    </w:p>
    <w:p>
      <w:pPr>
        <w:spacing w:after="0" w:line="100"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 The review for impairment of intangibles and goodwill is primarily based on our estimates of discounted future cash flows, which are based upon annual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 An asset’s value is deemed impaired if the discounted cash flows or earnings projections generated do not substantiate the carrying value of the asset. The estimation of such amounts requires management to exercise judgment with respect to revenue and expense growth rates, changes in working capital, future capital expenditure requirements and selection of an appropriate discount rate, as applicable. The use of different assumptions would increase or decrease discounted future operating cash flows or earnings projections and could, therefore, change impairment determinations.</w:t>
      </w:r>
    </w:p>
    <w:p>
      <w:pPr>
        <w:spacing w:after="0" w:line="6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Fair value estimates employed in our annual impairment review of indefinite-lived tradenames and goodwill were determined using discounted cash flow models involving several assumptions. Changes in our assumptions could materially impact our fair value estimates. Assumptions critical to our fair value estimates were: (i) discount rates used in determining the fair value of the reporting units and tradenames; (ii) royalty rates used in our tradename valuations; (iii) projected revenue and operating profit growth rates used in the reporting unit and tradename models; and (iv) projected long-term growth rates used in the derivation of terminal year values. These and other assumptions are impacted by economic conditions and expectations of management and may change in the future based on period specific facts and circumstances.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Associate Benefits</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sponsor various post-employment benefit plans, including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and annual expense determined by actuarial valuations. These assumptions include the following: discount rate; expected salary increases; certain employee-related factors, such as turnover, retirement age and mortality; expected return on plan assets; and health care cost trend rates.</w:t>
      </w:r>
    </w:p>
    <w:p>
      <w:pPr>
        <w:spacing w:after="0" w:line="53"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Assumptions are reviewed annually for appropriateness and updated as necessary. We base the discount rate assumption on investment yields available at fiscal year-end on high-quality corporate bonds that could be purchased to effectively settle the pension liabilities.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that differ from our assumptions are accumulated and amortized over future periods.</w:t>
      </w:r>
    </w:p>
    <w:p>
      <w:pPr>
        <w:spacing w:after="0" w:line="3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Changes in the discount rate and investment returns can have a significant effect on the funded status of our pension plans and shareholders’ equity. We cannot predict these discount rates or investment returns with certainty and, therefore, cannot determine whether adjustments to our shareholders’ equity for pension-related activity in subsequent years will be significant. We also cannot predict future investment returns, and therefore cannot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determine whether future pension plan funding requirements could materially and adversely affect our financial condition, results of operations or cash flows.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Accruals for Self-Insurance</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maintain insurance for certain risks, including workers’ compensation, general liability and vehicle liability, and are self-insured for employee-related health care benefits up to a specified level for individual claims. We establish reserves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Derivative Instruments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the normal course of business, we are exposed to fluctuations in interest rates, the value of foreign currencies and the cost of commodities. A variety of financial instruments, including forward and swap contracts, are used to manage these exposures. Our objective in managing these exposures is to better control these elements of cost and mitigate the earnings and cash flow volatility associated with changes in the applicable rates and prices. We have established policies and procedures that encompass risk-management philosophy and objectives, guidelines for derivative-instrument usage, counterparty credit approval, and the monitoring and reporting of derivative activity. We do not enter into derivative instruments for the purpose of speculation.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Contingencies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described more fully in “NOTE 19. CONTINGENCIES” of the Notes to Consolidated Financial Statements included in this Annual Report on Form 10-K, we are involved in significant environmental and legal matters which have a high degree of uncertainty associated with them. We continually assess the likely outcomes of these matters and the adequacy of reserves, if any, provided for their resolution. There can be no assurance that the ultimate outcomes of these matters will not differ materially from our current assessment of them, nor that all matters that may currently be brought against us are known by us at this time.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Significant Accounting Policies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Other significant accounting policies, primarily those with lower levels of uncertainty than those discussed above, are also critical to understanding the consolidated financial statements. The Notes to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142"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u w:val="single" w:color="auto"/>
          <w:color w:val="auto"/>
        </w:rPr>
        <w:t>ITEM 7A.</w:t>
      </w:r>
      <w:r>
        <w:rPr>
          <w:sz w:val="20"/>
          <w:szCs w:val="20"/>
          <w:color w:val="auto"/>
        </w:rPr>
        <w:tab/>
      </w:r>
      <w:r>
        <w:rPr>
          <w:rFonts w:ascii="Arial" w:cs="Arial" w:eastAsia="Arial" w:hAnsi="Arial"/>
          <w:sz w:val="12"/>
          <w:szCs w:val="12"/>
          <w:b w:val="1"/>
          <w:bCs w:val="1"/>
          <w:i w:val="1"/>
          <w:iCs w:val="1"/>
          <w:u w:val="single" w:color="auto"/>
          <w:color w:val="auto"/>
        </w:rPr>
        <w:t>QUANTITATIVE AND QUALITATIVE DISCLOSURES ABOUT MARKET RISK</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0"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We had variable rate debt instruments outstanding at September 30, 2010 and 2009 that are impacted by changes in interest rates. As a means of managing our interest rate risk on these debt instruments, we entered into interest rate swap agreements with major financial institutions to effectively convert certain variable-rate debt obligations to fixed rates.</w:t>
      </w:r>
    </w:p>
    <w:p>
      <w:pPr>
        <w:spacing w:after="0" w:line="35"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At September 30, 2010 and 2009, we had outstanding interest rate swap agreements with a total U.S. dollar equivalent notional value of $450.0 million and $650.0 million, respectively. The weighted average fixed rate of swap agreements outstanding at September 30, 2010 was 4.2%.</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November 2010, we entered into interest rate swap agreements with a total U.S. dollar equivalent national value of $300.0 million. The weighted average fixed rate of these swap agreements is 2.5%.</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The following table summarizes information about our derivative financial instruments and debt instruments that are sensitive to changes in interest rates as of September 30, 2010 and 2009.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Weighted-average variable rates are based on implied forward rates in the yield curve at September 30, 2010 and 2009. A change in our variable interest rate of 1% for a full twelve-month period would have a $4.4 million impact on interest expense assuming approximately $440 million of our average fiscal 2010 variable-rate debt had not been hedged via an interest rate swap agreement. The information is presented in U.S. dollars (in millions):</w:t>
      </w:r>
    </w:p>
    <w:p>
      <w:pPr>
        <w:spacing w:after="0" w:line="77"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9"/>
                <w:szCs w:val="9"/>
                <w:b w:val="1"/>
                <w:bCs w:val="1"/>
                <w:color w:val="auto"/>
              </w:rPr>
              <w:t>Expected Maturity Date</w:t>
            </w: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6"/>
              </w:rPr>
              <w:t>Fair</w:t>
            </w:r>
          </w:p>
        </w:tc>
      </w:tr>
      <w:tr>
        <w:trPr>
          <w:trHeight w:val="88"/>
        </w:trPr>
        <w:tc>
          <w:tcPr>
            <w:tcW w:w="3660" w:type="dxa"/>
            <w:vAlign w:val="bottom"/>
          </w:tcPr>
          <w:p>
            <w:pPr>
              <w:spacing w:after="0" w:line="88" w:lineRule="exact"/>
              <w:rPr>
                <w:sz w:val="20"/>
                <w:szCs w:val="20"/>
                <w:color w:val="auto"/>
              </w:rPr>
            </w:pPr>
            <w:r>
              <w:rPr>
                <w:rFonts w:ascii="Arial" w:cs="Arial" w:eastAsia="Arial" w:hAnsi="Arial"/>
                <w:sz w:val="9"/>
                <w:szCs w:val="9"/>
                <w:b w:val="1"/>
                <w:bCs w:val="1"/>
                <w:color w:val="auto"/>
              </w:rPr>
              <w:t>2010</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jc w:val="right"/>
              <w:ind w:right="118"/>
              <w:spacing w:after="0" w:line="88" w:lineRule="exact"/>
              <w:rPr>
                <w:sz w:val="20"/>
                <w:szCs w:val="20"/>
                <w:color w:val="auto"/>
              </w:rPr>
            </w:pPr>
            <w:r>
              <w:rPr>
                <w:rFonts w:ascii="Arial" w:cs="Arial" w:eastAsia="Arial" w:hAnsi="Arial"/>
                <w:sz w:val="9"/>
                <w:szCs w:val="9"/>
                <w:b w:val="1"/>
                <w:bCs w:val="1"/>
                <w:color w:val="auto"/>
              </w:rPr>
              <w:t>2011</w:t>
            </w: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jc w:val="right"/>
              <w:ind w:right="119"/>
              <w:spacing w:after="0" w:line="88" w:lineRule="exact"/>
              <w:rPr>
                <w:sz w:val="20"/>
                <w:szCs w:val="20"/>
                <w:color w:val="auto"/>
              </w:rPr>
            </w:pPr>
            <w:r>
              <w:rPr>
                <w:rFonts w:ascii="Arial" w:cs="Arial" w:eastAsia="Arial" w:hAnsi="Arial"/>
                <w:sz w:val="9"/>
                <w:szCs w:val="9"/>
                <w:b w:val="1"/>
                <w:bCs w:val="1"/>
                <w:color w:val="auto"/>
              </w:rPr>
              <w:t>2012</w:t>
            </w:r>
          </w:p>
        </w:tc>
        <w:tc>
          <w:tcPr>
            <w:tcW w:w="60" w:type="dxa"/>
            <w:vAlign w:val="bottom"/>
          </w:tcPr>
          <w:p>
            <w:pPr>
              <w:spacing w:after="0"/>
              <w:rPr>
                <w:sz w:val="7"/>
                <w:szCs w:val="7"/>
                <w:color w:val="auto"/>
              </w:rPr>
            </w:pPr>
          </w:p>
        </w:tc>
        <w:tc>
          <w:tcPr>
            <w:tcW w:w="600" w:type="dxa"/>
            <w:vAlign w:val="bottom"/>
            <w:gridSpan w:val="3"/>
          </w:tcPr>
          <w:p>
            <w:pPr>
              <w:jc w:val="right"/>
              <w:ind w:right="14"/>
              <w:spacing w:after="0" w:line="88" w:lineRule="exact"/>
              <w:rPr>
                <w:sz w:val="20"/>
                <w:szCs w:val="20"/>
                <w:color w:val="auto"/>
              </w:rPr>
            </w:pPr>
            <w:r>
              <w:rPr>
                <w:rFonts w:ascii="Arial" w:cs="Arial" w:eastAsia="Arial" w:hAnsi="Arial"/>
                <w:sz w:val="9"/>
                <w:szCs w:val="9"/>
                <w:b w:val="1"/>
                <w:bCs w:val="1"/>
                <w:color w:val="auto"/>
              </w:rPr>
              <w:t>2013</w:t>
            </w:r>
          </w:p>
        </w:tc>
        <w:tc>
          <w:tcPr>
            <w:tcW w:w="240" w:type="dxa"/>
            <w:vAlign w:val="bottom"/>
          </w:tcPr>
          <w:p>
            <w:pPr>
              <w:spacing w:after="0"/>
              <w:rPr>
                <w:sz w:val="7"/>
                <w:szCs w:val="7"/>
                <w:color w:val="auto"/>
              </w:rPr>
            </w:pPr>
          </w:p>
        </w:tc>
        <w:tc>
          <w:tcPr>
            <w:tcW w:w="280" w:type="dxa"/>
            <w:vAlign w:val="bottom"/>
            <w:gridSpan w:val="2"/>
          </w:tcPr>
          <w:p>
            <w:pPr>
              <w:jc w:val="right"/>
              <w:spacing w:after="0" w:line="88" w:lineRule="exact"/>
              <w:rPr>
                <w:sz w:val="20"/>
                <w:szCs w:val="20"/>
                <w:color w:val="auto"/>
              </w:rPr>
            </w:pPr>
            <w:r>
              <w:rPr>
                <w:rFonts w:ascii="Arial" w:cs="Arial" w:eastAsia="Arial" w:hAnsi="Arial"/>
                <w:sz w:val="9"/>
                <w:szCs w:val="9"/>
                <w:b w:val="1"/>
                <w:bCs w:val="1"/>
                <w:color w:val="auto"/>
              </w:rPr>
              <w:t>2014</w:t>
            </w: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gridSpan w:val="2"/>
          </w:tcPr>
          <w:p>
            <w:pPr>
              <w:jc w:val="right"/>
              <w:ind w:right="14"/>
              <w:spacing w:after="0" w:line="88" w:lineRule="exact"/>
              <w:rPr>
                <w:sz w:val="20"/>
                <w:szCs w:val="20"/>
                <w:color w:val="auto"/>
              </w:rPr>
            </w:pPr>
            <w:r>
              <w:rPr>
                <w:rFonts w:ascii="Arial" w:cs="Arial" w:eastAsia="Arial" w:hAnsi="Arial"/>
                <w:sz w:val="9"/>
                <w:szCs w:val="9"/>
                <w:b w:val="1"/>
                <w:bCs w:val="1"/>
                <w:color w:val="auto"/>
              </w:rPr>
              <w:t>2015</w:t>
            </w:r>
          </w:p>
        </w:tc>
        <w:tc>
          <w:tcPr>
            <w:tcW w:w="240" w:type="dxa"/>
            <w:vAlign w:val="bottom"/>
          </w:tcPr>
          <w:p>
            <w:pPr>
              <w:spacing w:after="0"/>
              <w:rPr>
                <w:sz w:val="7"/>
                <w:szCs w:val="7"/>
                <w:color w:val="auto"/>
              </w:rPr>
            </w:pPr>
          </w:p>
        </w:tc>
        <w:tc>
          <w:tcPr>
            <w:tcW w:w="660" w:type="dxa"/>
            <w:vAlign w:val="bottom"/>
            <w:gridSpan w:val="2"/>
          </w:tcPr>
          <w:p>
            <w:pPr>
              <w:jc w:val="right"/>
              <w:ind w:right="159"/>
              <w:spacing w:after="0" w:line="88" w:lineRule="exact"/>
              <w:rPr>
                <w:sz w:val="20"/>
                <w:szCs w:val="20"/>
                <w:color w:val="auto"/>
              </w:rPr>
            </w:pPr>
            <w:r>
              <w:rPr>
                <w:rFonts w:ascii="Arial" w:cs="Arial" w:eastAsia="Arial" w:hAnsi="Arial"/>
                <w:sz w:val="9"/>
                <w:szCs w:val="9"/>
                <w:b w:val="1"/>
                <w:bCs w:val="1"/>
                <w:color w:val="auto"/>
              </w:rPr>
              <w:t>After</w:t>
            </w: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jc w:val="right"/>
              <w:ind w:right="174"/>
              <w:spacing w:after="0" w:line="88" w:lineRule="exact"/>
              <w:rPr>
                <w:sz w:val="20"/>
                <w:szCs w:val="20"/>
                <w:color w:val="auto"/>
              </w:rPr>
            </w:pPr>
            <w:r>
              <w:rPr>
                <w:rFonts w:ascii="Arial" w:cs="Arial" w:eastAsia="Arial" w:hAnsi="Arial"/>
                <w:sz w:val="9"/>
                <w:szCs w:val="9"/>
                <w:b w:val="1"/>
                <w:bCs w:val="1"/>
                <w:color w:val="auto"/>
              </w:rPr>
              <w:t>Total</w:t>
            </w: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1"/>
              </w:rPr>
              <w:t>Value</w:t>
            </w:r>
          </w:p>
        </w:tc>
      </w:tr>
      <w:tr>
        <w:trPr>
          <w:trHeight w:val="29"/>
        </w:trPr>
        <w:tc>
          <w:tcPr>
            <w:tcW w:w="3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r>
      <w:tr>
        <w:trPr>
          <w:trHeight w:val="157"/>
        </w:trPr>
        <w:tc>
          <w:tcPr>
            <w:tcW w:w="38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Long-term debt: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7"/>
        </w:trPr>
        <w:tc>
          <w:tcPr>
            <w:tcW w:w="3880" w:type="dxa"/>
            <w:vAlign w:val="bottom"/>
            <w:gridSpan w:val="4"/>
          </w:tcPr>
          <w:p>
            <w:pPr>
              <w:ind w:left="140"/>
              <w:spacing w:after="0"/>
              <w:rPr>
                <w:sz w:val="20"/>
                <w:szCs w:val="20"/>
                <w:color w:val="auto"/>
              </w:rPr>
            </w:pPr>
            <w:r>
              <w:rPr>
                <w:rFonts w:ascii="Arial" w:cs="Arial" w:eastAsia="Arial" w:hAnsi="Arial"/>
                <w:sz w:val="13"/>
                <w:szCs w:val="13"/>
                <w:color w:val="auto"/>
              </w:rPr>
              <w:t>Fixed rate debt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8"/>
              </w:rPr>
              <w:t>$—</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gridSpan w:val="3"/>
          </w:tcPr>
          <w:p>
            <w:pPr>
              <w:jc w:val="right"/>
              <w:ind w:right="27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19"/>
              <w:spacing w:after="0"/>
              <w:rPr>
                <w:sz w:val="20"/>
                <w:szCs w:val="20"/>
                <w:color w:val="auto"/>
              </w:rPr>
            </w:pPr>
            <w:r>
              <w:rPr>
                <w:rFonts w:ascii="Arial" w:cs="Arial" w:eastAsia="Arial" w:hAnsi="Arial"/>
                <w:sz w:val="13"/>
                <w:szCs w:val="13"/>
                <w:color w:val="auto"/>
              </w:rPr>
              <w:t>$200.0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134"/>
              <w:spacing w:after="0"/>
              <w:rPr>
                <w:sz w:val="20"/>
                <w:szCs w:val="20"/>
                <w:color w:val="auto"/>
              </w:rPr>
            </w:pPr>
            <w:r>
              <w:rPr>
                <w:rFonts w:ascii="Arial" w:cs="Arial" w:eastAsia="Arial" w:hAnsi="Arial"/>
                <w:sz w:val="13"/>
                <w:szCs w:val="13"/>
                <w:color w:val="auto"/>
              </w:rPr>
              <w:t>$200.0</w:t>
            </w:r>
          </w:p>
        </w:tc>
        <w:tc>
          <w:tcPr>
            <w:tcW w:w="920" w:type="dxa"/>
            <w:vAlign w:val="bottom"/>
            <w:gridSpan w:val="4"/>
          </w:tcPr>
          <w:p>
            <w:pPr>
              <w:jc w:val="right"/>
              <w:ind w:right="123"/>
              <w:spacing w:after="0"/>
              <w:rPr>
                <w:sz w:val="20"/>
                <w:szCs w:val="20"/>
                <w:color w:val="auto"/>
              </w:rPr>
            </w:pPr>
            <w:r>
              <w:rPr>
                <w:rFonts w:ascii="Arial" w:cs="Arial" w:eastAsia="Arial" w:hAnsi="Arial"/>
                <w:sz w:val="13"/>
                <w:szCs w:val="13"/>
                <w:color w:val="auto"/>
              </w:rPr>
              <w:t>$211.0</w:t>
            </w:r>
          </w:p>
        </w:tc>
      </w:tr>
      <w:tr>
        <w:trPr>
          <w:trHeight w:val="157"/>
        </w:trPr>
        <w:tc>
          <w:tcPr>
            <w:tcW w:w="388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Average rate</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color w:val="auto"/>
              </w:rPr>
              <w:t>7.25%</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7.25%</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23"/>
              <w:spacing w:after="0"/>
              <w:rPr>
                <w:sz w:val="20"/>
                <w:szCs w:val="20"/>
                <w:color w:val="auto"/>
              </w:rPr>
            </w:pPr>
            <w:r>
              <w:rPr>
                <w:rFonts w:ascii="Arial" w:cs="Arial" w:eastAsia="Arial" w:hAnsi="Arial"/>
                <w:sz w:val="13"/>
                <w:szCs w:val="13"/>
                <w:color w:val="auto"/>
              </w:rPr>
              <w:t>—</w:t>
            </w:r>
          </w:p>
        </w:tc>
      </w:tr>
      <w:tr>
        <w:trPr>
          <w:trHeight w:val="157"/>
        </w:trPr>
        <w:tc>
          <w:tcPr>
            <w:tcW w:w="3880" w:type="dxa"/>
            <w:vAlign w:val="bottom"/>
            <w:gridSpan w:val="4"/>
          </w:tcPr>
          <w:p>
            <w:pPr>
              <w:ind w:left="140"/>
              <w:spacing w:after="0"/>
              <w:rPr>
                <w:sz w:val="20"/>
                <w:szCs w:val="20"/>
                <w:color w:val="auto"/>
              </w:rPr>
            </w:pPr>
            <w:r>
              <w:rPr>
                <w:rFonts w:ascii="Arial" w:cs="Arial" w:eastAsia="Arial" w:hAnsi="Arial"/>
                <w:sz w:val="13"/>
                <w:szCs w:val="13"/>
                <w:color w:val="auto"/>
              </w:rPr>
              <w:t>Variable rate debt</w:t>
            </w:r>
          </w:p>
        </w:tc>
        <w:tc>
          <w:tcPr>
            <w:tcW w:w="600" w:type="dxa"/>
            <w:vAlign w:val="bottom"/>
            <w:gridSpan w:val="2"/>
          </w:tcPr>
          <w:p>
            <w:pPr>
              <w:jc w:val="right"/>
              <w:ind w:right="58"/>
              <w:spacing w:after="0"/>
              <w:rPr>
                <w:sz w:val="20"/>
                <w:szCs w:val="20"/>
                <w:color w:val="auto"/>
              </w:rPr>
            </w:pPr>
            <w:r>
              <w:rPr>
                <w:rFonts w:ascii="Arial" w:cs="Arial" w:eastAsia="Arial" w:hAnsi="Arial"/>
                <w:sz w:val="13"/>
                <w:szCs w:val="13"/>
                <w:color w:val="auto"/>
              </w:rPr>
              <w:t>$193.2</w:t>
            </w:r>
          </w:p>
        </w:tc>
        <w:tc>
          <w:tcPr>
            <w:tcW w:w="60" w:type="dxa"/>
            <w:vAlign w:val="bottom"/>
          </w:tcPr>
          <w:p>
            <w:pPr>
              <w:spacing w:after="0"/>
              <w:rPr>
                <w:sz w:val="13"/>
                <w:szCs w:val="13"/>
                <w:color w:val="auto"/>
              </w:rPr>
            </w:pPr>
          </w:p>
        </w:tc>
        <w:tc>
          <w:tcPr>
            <w:tcW w:w="860" w:type="dxa"/>
            <w:vAlign w:val="bottom"/>
            <w:gridSpan w:val="4"/>
          </w:tcPr>
          <w:p>
            <w:pPr>
              <w:jc w:val="right"/>
              <w:ind w:right="59"/>
              <w:spacing w:after="0"/>
              <w:rPr>
                <w:sz w:val="20"/>
                <w:szCs w:val="20"/>
                <w:color w:val="auto"/>
              </w:rPr>
            </w:pPr>
            <w:r>
              <w:rPr>
                <w:rFonts w:ascii="Arial" w:cs="Arial" w:eastAsia="Arial" w:hAnsi="Arial"/>
                <w:sz w:val="13"/>
                <w:szCs w:val="13"/>
                <w:color w:val="auto"/>
              </w:rPr>
              <w:t>$220.9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8"/>
              </w:rPr>
              <w:t>$—</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gridSpan w:val="3"/>
          </w:tcPr>
          <w:p>
            <w:pPr>
              <w:jc w:val="right"/>
              <w:ind w:right="274"/>
              <w:spacing w:after="0"/>
              <w:rPr>
                <w:sz w:val="20"/>
                <w:szCs w:val="20"/>
                <w:color w:val="auto"/>
              </w:rPr>
            </w:pPr>
            <w:r>
              <w:rPr>
                <w:rFonts w:ascii="Arial" w:cs="Arial" w:eastAsia="Arial" w:hAnsi="Arial"/>
                <w:sz w:val="13"/>
                <w:szCs w:val="13"/>
                <w:color w:val="auto"/>
              </w:rPr>
              <w:t>$—</w:t>
            </w:r>
          </w:p>
        </w:tc>
        <w:tc>
          <w:tcPr>
            <w:tcW w:w="920" w:type="dxa"/>
            <w:vAlign w:val="bottom"/>
            <w:gridSpan w:val="4"/>
          </w:tcPr>
          <w:p>
            <w:pPr>
              <w:jc w:val="right"/>
              <w:ind w:right="440"/>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ind w:right="134"/>
              <w:spacing w:after="0"/>
              <w:rPr>
                <w:sz w:val="20"/>
                <w:szCs w:val="20"/>
                <w:color w:val="auto"/>
              </w:rPr>
            </w:pPr>
            <w:r>
              <w:rPr>
                <w:rFonts w:ascii="Arial" w:cs="Arial" w:eastAsia="Arial" w:hAnsi="Arial"/>
                <w:sz w:val="13"/>
                <w:szCs w:val="13"/>
                <w:color w:val="auto"/>
              </w:rPr>
              <w:t>$414.1</w:t>
            </w:r>
          </w:p>
        </w:tc>
        <w:tc>
          <w:tcPr>
            <w:tcW w:w="920" w:type="dxa"/>
            <w:vAlign w:val="bottom"/>
            <w:gridSpan w:val="4"/>
          </w:tcPr>
          <w:p>
            <w:pPr>
              <w:jc w:val="right"/>
              <w:ind w:right="123"/>
              <w:spacing w:after="0"/>
              <w:rPr>
                <w:sz w:val="20"/>
                <w:szCs w:val="20"/>
                <w:color w:val="auto"/>
              </w:rPr>
            </w:pPr>
            <w:r>
              <w:rPr>
                <w:rFonts w:ascii="Arial" w:cs="Arial" w:eastAsia="Arial" w:hAnsi="Arial"/>
                <w:sz w:val="13"/>
                <w:szCs w:val="13"/>
                <w:color w:val="auto"/>
              </w:rPr>
              <w:t>$414.1</w:t>
            </w:r>
          </w:p>
        </w:tc>
      </w:tr>
      <w:tr>
        <w:trPr>
          <w:trHeight w:val="157"/>
        </w:trPr>
        <w:tc>
          <w:tcPr>
            <w:tcW w:w="388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Average rate</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4.3%</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23"/>
              <w:spacing w:after="0"/>
              <w:rPr>
                <w:sz w:val="20"/>
                <w:szCs w:val="20"/>
                <w:color w:val="auto"/>
              </w:rPr>
            </w:pPr>
            <w:r>
              <w:rPr>
                <w:rFonts w:ascii="Arial" w:cs="Arial" w:eastAsia="Arial" w:hAnsi="Arial"/>
                <w:sz w:val="13"/>
                <w:szCs w:val="13"/>
                <w:color w:val="auto"/>
              </w:rPr>
              <w:t>—</w:t>
            </w:r>
          </w:p>
        </w:tc>
      </w:tr>
      <w:tr>
        <w:trPr>
          <w:trHeight w:val="157"/>
        </w:trPr>
        <w:tc>
          <w:tcPr>
            <w:tcW w:w="3880" w:type="dxa"/>
            <w:vAlign w:val="bottom"/>
            <w:gridSpan w:val="4"/>
          </w:tcPr>
          <w:p>
            <w:pPr>
              <w:spacing w:after="0"/>
              <w:rPr>
                <w:sz w:val="20"/>
                <w:szCs w:val="20"/>
                <w:color w:val="auto"/>
              </w:rPr>
            </w:pPr>
            <w:r>
              <w:rPr>
                <w:rFonts w:ascii="Arial" w:cs="Arial" w:eastAsia="Arial" w:hAnsi="Arial"/>
                <w:sz w:val="13"/>
                <w:szCs w:val="13"/>
                <w:color w:val="auto"/>
              </w:rPr>
              <w:t>Interest rate derivatives: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7"/>
        </w:trPr>
        <w:tc>
          <w:tcPr>
            <w:tcW w:w="388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Interest rate swaps based on U.S. Dollar, Euro and GBP LIBOR</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4"/>
            <w:shd w:val="clear" w:color="auto" w:fill="CCEEFF"/>
          </w:tcPr>
          <w:p>
            <w:pPr>
              <w:jc w:val="right"/>
              <w:ind w:right="19"/>
              <w:spacing w:after="0"/>
              <w:rPr>
                <w:sz w:val="20"/>
                <w:szCs w:val="20"/>
                <w:color w:val="auto"/>
              </w:rPr>
            </w:pPr>
            <w:r>
              <w:rPr>
                <w:rFonts w:ascii="Arial" w:cs="Arial" w:eastAsia="Arial" w:hAnsi="Arial"/>
                <w:sz w:val="13"/>
                <w:szCs w:val="13"/>
                <w:color w:val="auto"/>
              </w:rPr>
              <w:t>$ (14.1)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79"/>
              <w:spacing w:after="0"/>
              <w:rPr>
                <w:sz w:val="20"/>
                <w:szCs w:val="20"/>
                <w:color w:val="auto"/>
              </w:rPr>
            </w:pPr>
            <w:r>
              <w:rPr>
                <w:rFonts w:ascii="Arial" w:cs="Arial" w:eastAsia="Arial" w:hAnsi="Arial"/>
                <w:sz w:val="13"/>
                <w:szCs w:val="13"/>
                <w:color w:val="auto"/>
              </w:rPr>
              <w:t>$ (10.5)</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 (24.6)</w:t>
            </w:r>
          </w:p>
        </w:tc>
        <w:tc>
          <w:tcPr>
            <w:tcW w:w="920" w:type="dxa"/>
            <w:vAlign w:val="bottom"/>
            <w:gridSpan w:val="4"/>
            <w:shd w:val="clear" w:color="auto" w:fill="CCEEFF"/>
          </w:tcPr>
          <w:p>
            <w:pPr>
              <w:jc w:val="right"/>
              <w:ind w:right="63"/>
              <w:spacing w:after="0"/>
              <w:rPr>
                <w:sz w:val="20"/>
                <w:szCs w:val="20"/>
                <w:color w:val="auto"/>
              </w:rPr>
            </w:pPr>
            <w:r>
              <w:rPr>
                <w:rFonts w:ascii="Arial" w:cs="Arial" w:eastAsia="Arial" w:hAnsi="Arial"/>
                <w:sz w:val="13"/>
                <w:szCs w:val="13"/>
                <w:color w:val="auto"/>
              </w:rPr>
              <w:t>$ (24.6)</w:t>
            </w:r>
          </w:p>
        </w:tc>
      </w:tr>
      <w:tr>
        <w:trPr>
          <w:trHeight w:val="165"/>
        </w:trPr>
        <w:tc>
          <w:tcPr>
            <w:tcW w:w="3880" w:type="dxa"/>
            <w:vAlign w:val="bottom"/>
            <w:gridSpan w:val="4"/>
          </w:tcPr>
          <w:p>
            <w:pPr>
              <w:ind w:left="140"/>
              <w:spacing w:after="0"/>
              <w:rPr>
                <w:sz w:val="20"/>
                <w:szCs w:val="20"/>
                <w:color w:val="auto"/>
              </w:rPr>
            </w:pPr>
            <w:r>
              <w:rPr>
                <w:rFonts w:ascii="Arial" w:cs="Arial" w:eastAsia="Arial" w:hAnsi="Arial"/>
                <w:sz w:val="13"/>
                <w:szCs w:val="13"/>
                <w:color w:val="auto"/>
              </w:rPr>
              <w:t>Average rate</w:t>
            </w:r>
          </w:p>
        </w:tc>
        <w:tc>
          <w:tcPr>
            <w:tcW w:w="18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3"/>
          </w:tcPr>
          <w:p>
            <w:pPr>
              <w:jc w:val="right"/>
              <w:ind w:right="27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9"/>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34"/>
              <w:spacing w:after="0"/>
              <w:rPr>
                <w:sz w:val="20"/>
                <w:szCs w:val="20"/>
                <w:color w:val="auto"/>
              </w:rPr>
            </w:pPr>
            <w:r>
              <w:rPr>
                <w:rFonts w:ascii="Arial" w:cs="Arial" w:eastAsia="Arial" w:hAnsi="Arial"/>
                <w:sz w:val="13"/>
                <w:szCs w:val="13"/>
                <w:color w:val="auto"/>
              </w:rPr>
              <w:t>4.2%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right"/>
              <w:ind w:right="123"/>
              <w:spacing w:after="0"/>
              <w:rPr>
                <w:sz w:val="20"/>
                <w:szCs w:val="20"/>
                <w:color w:val="auto"/>
              </w:rPr>
            </w:pPr>
            <w:r>
              <w:rPr>
                <w:rFonts w:ascii="Arial" w:cs="Arial" w:eastAsia="Arial" w:hAnsi="Arial"/>
                <w:sz w:val="13"/>
                <w:szCs w:val="13"/>
                <w:color w:val="auto"/>
              </w:rPr>
              <w:t>—</w:t>
            </w:r>
          </w:p>
        </w:tc>
      </w:tr>
      <w:tr>
        <w:trPr>
          <w:trHeight w:val="268"/>
        </w:trPr>
        <w:tc>
          <w:tcPr>
            <w:tcW w:w="3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6"/>
          </w:tcPr>
          <w:p>
            <w:pPr>
              <w:jc w:val="right"/>
              <w:ind w:right="34"/>
              <w:spacing w:after="0"/>
              <w:rPr>
                <w:sz w:val="20"/>
                <w:szCs w:val="20"/>
                <w:color w:val="auto"/>
              </w:rPr>
            </w:pPr>
            <w:r>
              <w:rPr>
                <w:rFonts w:ascii="Arial" w:cs="Arial" w:eastAsia="Arial" w:hAnsi="Arial"/>
                <w:sz w:val="9"/>
                <w:szCs w:val="9"/>
                <w:b w:val="1"/>
                <w:bCs w:val="1"/>
                <w:color w:val="auto"/>
              </w:rPr>
              <w:t>Expected Maturity Date</w:t>
            </w: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6"/>
              </w:rPr>
              <w:t>Fair</w:t>
            </w:r>
          </w:p>
        </w:tc>
      </w:tr>
      <w:tr>
        <w:trPr>
          <w:trHeight w:val="88"/>
        </w:trPr>
        <w:tc>
          <w:tcPr>
            <w:tcW w:w="3660" w:type="dxa"/>
            <w:vAlign w:val="bottom"/>
          </w:tcPr>
          <w:p>
            <w:pPr>
              <w:spacing w:after="0" w:line="88" w:lineRule="exact"/>
              <w:rPr>
                <w:sz w:val="20"/>
                <w:szCs w:val="20"/>
                <w:color w:val="auto"/>
              </w:rPr>
            </w:pPr>
            <w:r>
              <w:rPr>
                <w:rFonts w:ascii="Arial" w:cs="Arial" w:eastAsia="Arial" w:hAnsi="Arial"/>
                <w:sz w:val="9"/>
                <w:szCs w:val="9"/>
                <w:b w:val="1"/>
                <w:bCs w:val="1"/>
                <w:color w:val="auto"/>
              </w:rPr>
              <w:t>2009</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jc w:val="right"/>
              <w:ind w:right="158"/>
              <w:spacing w:after="0" w:line="88" w:lineRule="exact"/>
              <w:rPr>
                <w:sz w:val="20"/>
                <w:szCs w:val="20"/>
                <w:color w:val="auto"/>
              </w:rPr>
            </w:pPr>
            <w:r>
              <w:rPr>
                <w:rFonts w:ascii="Arial" w:cs="Arial" w:eastAsia="Arial" w:hAnsi="Arial"/>
                <w:sz w:val="9"/>
                <w:szCs w:val="9"/>
                <w:b w:val="1"/>
                <w:bCs w:val="1"/>
                <w:color w:val="auto"/>
                <w:w w:val="89"/>
              </w:rPr>
              <w:t>2010</w:t>
            </w: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jc w:val="right"/>
              <w:ind w:right="179"/>
              <w:spacing w:after="0" w:line="88" w:lineRule="exact"/>
              <w:rPr>
                <w:sz w:val="20"/>
                <w:szCs w:val="20"/>
                <w:color w:val="auto"/>
              </w:rPr>
            </w:pPr>
            <w:r>
              <w:rPr>
                <w:rFonts w:ascii="Arial" w:cs="Arial" w:eastAsia="Arial" w:hAnsi="Arial"/>
                <w:sz w:val="9"/>
                <w:szCs w:val="9"/>
                <w:b w:val="1"/>
                <w:bCs w:val="1"/>
                <w:color w:val="auto"/>
                <w:w w:val="79"/>
              </w:rPr>
              <w:t>2011</w:t>
            </w:r>
          </w:p>
        </w:tc>
        <w:tc>
          <w:tcPr>
            <w:tcW w:w="60" w:type="dxa"/>
            <w:vAlign w:val="bottom"/>
          </w:tcPr>
          <w:p>
            <w:pPr>
              <w:spacing w:after="0"/>
              <w:rPr>
                <w:sz w:val="7"/>
                <w:szCs w:val="7"/>
                <w:color w:val="auto"/>
              </w:rPr>
            </w:pPr>
          </w:p>
        </w:tc>
        <w:tc>
          <w:tcPr>
            <w:tcW w:w="840" w:type="dxa"/>
            <w:vAlign w:val="bottom"/>
            <w:gridSpan w:val="4"/>
          </w:tcPr>
          <w:p>
            <w:pPr>
              <w:jc w:val="right"/>
              <w:ind w:right="220"/>
              <w:spacing w:after="0" w:line="88" w:lineRule="exact"/>
              <w:rPr>
                <w:sz w:val="20"/>
                <w:szCs w:val="20"/>
                <w:color w:val="auto"/>
              </w:rPr>
            </w:pPr>
            <w:r>
              <w:rPr>
                <w:rFonts w:ascii="Arial" w:cs="Arial" w:eastAsia="Arial" w:hAnsi="Arial"/>
                <w:sz w:val="9"/>
                <w:szCs w:val="9"/>
                <w:b w:val="1"/>
                <w:bCs w:val="1"/>
                <w:color w:val="auto"/>
              </w:rPr>
              <w:t>2012</w:t>
            </w: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gridSpan w:val="2"/>
          </w:tcPr>
          <w:p>
            <w:pPr>
              <w:jc w:val="right"/>
              <w:ind w:right="14"/>
              <w:spacing w:after="0" w:line="88" w:lineRule="exact"/>
              <w:rPr>
                <w:sz w:val="20"/>
                <w:szCs w:val="20"/>
                <w:color w:val="auto"/>
              </w:rPr>
            </w:pPr>
            <w:r>
              <w:rPr>
                <w:rFonts w:ascii="Arial" w:cs="Arial" w:eastAsia="Arial" w:hAnsi="Arial"/>
                <w:sz w:val="9"/>
                <w:szCs w:val="9"/>
                <w:b w:val="1"/>
                <w:bCs w:val="1"/>
                <w:color w:val="auto"/>
              </w:rPr>
              <w:t>2013</w:t>
            </w:r>
          </w:p>
        </w:tc>
        <w:tc>
          <w:tcPr>
            <w:tcW w:w="580" w:type="dxa"/>
            <w:vAlign w:val="bottom"/>
            <w:gridSpan w:val="3"/>
          </w:tcPr>
          <w:p>
            <w:pPr>
              <w:jc w:val="right"/>
              <w:ind w:right="14"/>
              <w:spacing w:after="0" w:line="88" w:lineRule="exact"/>
              <w:rPr>
                <w:sz w:val="20"/>
                <w:szCs w:val="20"/>
                <w:color w:val="auto"/>
              </w:rPr>
            </w:pPr>
            <w:r>
              <w:rPr>
                <w:rFonts w:ascii="Arial" w:cs="Arial" w:eastAsia="Arial" w:hAnsi="Arial"/>
                <w:sz w:val="9"/>
                <w:szCs w:val="9"/>
                <w:b w:val="1"/>
                <w:bCs w:val="1"/>
                <w:color w:val="auto"/>
              </w:rPr>
              <w:t>2014</w:t>
            </w:r>
          </w:p>
        </w:tc>
        <w:tc>
          <w:tcPr>
            <w:tcW w:w="260" w:type="dxa"/>
            <w:vAlign w:val="bottom"/>
          </w:tcPr>
          <w:p>
            <w:pPr>
              <w:spacing w:after="0"/>
              <w:rPr>
                <w:sz w:val="7"/>
                <w:szCs w:val="7"/>
                <w:color w:val="auto"/>
              </w:rPr>
            </w:pPr>
          </w:p>
        </w:tc>
        <w:tc>
          <w:tcPr>
            <w:tcW w:w="420" w:type="dxa"/>
            <w:vAlign w:val="bottom"/>
            <w:gridSpan w:val="2"/>
          </w:tcPr>
          <w:p>
            <w:pPr>
              <w:jc w:val="right"/>
              <w:ind w:right="100"/>
              <w:spacing w:after="0" w:line="88" w:lineRule="exact"/>
              <w:rPr>
                <w:sz w:val="20"/>
                <w:szCs w:val="20"/>
                <w:color w:val="auto"/>
              </w:rPr>
            </w:pPr>
            <w:r>
              <w:rPr>
                <w:rFonts w:ascii="Arial" w:cs="Arial" w:eastAsia="Arial" w:hAnsi="Arial"/>
                <w:sz w:val="9"/>
                <w:szCs w:val="9"/>
                <w:b w:val="1"/>
                <w:bCs w:val="1"/>
                <w:color w:val="auto"/>
              </w:rPr>
              <w:t>After</w:t>
            </w: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jc w:val="right"/>
              <w:ind w:right="154"/>
              <w:spacing w:after="0" w:line="88" w:lineRule="exact"/>
              <w:rPr>
                <w:sz w:val="20"/>
                <w:szCs w:val="20"/>
                <w:color w:val="auto"/>
              </w:rPr>
            </w:pPr>
            <w:r>
              <w:rPr>
                <w:rFonts w:ascii="Arial" w:cs="Arial" w:eastAsia="Arial" w:hAnsi="Arial"/>
                <w:sz w:val="9"/>
                <w:szCs w:val="9"/>
                <w:b w:val="1"/>
                <w:bCs w:val="1"/>
                <w:color w:val="auto"/>
              </w:rPr>
              <w:t>Total</w:t>
            </w: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1"/>
              </w:rPr>
              <w:t>Value</w:t>
            </w:r>
          </w:p>
        </w:tc>
      </w:tr>
      <w:tr>
        <w:trPr>
          <w:trHeight w:val="29"/>
        </w:trPr>
        <w:tc>
          <w:tcPr>
            <w:tcW w:w="36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r>
      <w:tr>
        <w:trPr>
          <w:trHeight w:val="157"/>
        </w:trPr>
        <w:tc>
          <w:tcPr>
            <w:tcW w:w="38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Long-term debt: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7"/>
        </w:trPr>
        <w:tc>
          <w:tcPr>
            <w:tcW w:w="3880" w:type="dxa"/>
            <w:vAlign w:val="bottom"/>
            <w:gridSpan w:val="4"/>
          </w:tcPr>
          <w:p>
            <w:pPr>
              <w:ind w:left="140"/>
              <w:spacing w:after="0"/>
              <w:rPr>
                <w:sz w:val="20"/>
                <w:szCs w:val="20"/>
                <w:color w:val="auto"/>
              </w:rPr>
            </w:pPr>
            <w:r>
              <w:rPr>
                <w:rFonts w:ascii="Arial" w:cs="Arial" w:eastAsia="Arial" w:hAnsi="Arial"/>
                <w:sz w:val="13"/>
                <w:szCs w:val="13"/>
                <w:color w:val="auto"/>
              </w:rPr>
              <w:t>Variable rate debt</w:t>
            </w:r>
          </w:p>
        </w:tc>
        <w:tc>
          <w:tcPr>
            <w:tcW w:w="600" w:type="dxa"/>
            <w:vAlign w:val="bottom"/>
            <w:gridSpan w:val="2"/>
          </w:tcPr>
          <w:p>
            <w:pPr>
              <w:jc w:val="right"/>
              <w:ind w:right="118"/>
              <w:spacing w:after="0"/>
              <w:rPr>
                <w:sz w:val="20"/>
                <w:szCs w:val="20"/>
                <w:color w:val="auto"/>
              </w:rPr>
            </w:pPr>
            <w:r>
              <w:rPr>
                <w:rFonts w:ascii="Arial" w:cs="Arial" w:eastAsia="Arial" w:hAnsi="Arial"/>
                <w:sz w:val="13"/>
                <w:szCs w:val="13"/>
                <w:color w:val="auto"/>
              </w:rPr>
              <w:t>$158.7</w:t>
            </w:r>
          </w:p>
        </w:tc>
        <w:tc>
          <w:tcPr>
            <w:tcW w:w="60" w:type="dxa"/>
            <w:vAlign w:val="bottom"/>
          </w:tcPr>
          <w:p>
            <w:pPr>
              <w:spacing w:after="0"/>
              <w:rPr>
                <w:sz w:val="13"/>
                <w:szCs w:val="13"/>
                <w:color w:val="auto"/>
              </w:rPr>
            </w:pPr>
          </w:p>
        </w:tc>
        <w:tc>
          <w:tcPr>
            <w:tcW w:w="860" w:type="dxa"/>
            <w:vAlign w:val="bottom"/>
            <w:gridSpan w:val="4"/>
          </w:tcPr>
          <w:p>
            <w:pPr>
              <w:jc w:val="right"/>
              <w:ind w:right="119"/>
              <w:spacing w:after="0"/>
              <w:rPr>
                <w:sz w:val="20"/>
                <w:szCs w:val="20"/>
                <w:color w:val="auto"/>
              </w:rPr>
            </w:pPr>
            <w:r>
              <w:rPr>
                <w:rFonts w:ascii="Arial" w:cs="Arial" w:eastAsia="Arial" w:hAnsi="Arial"/>
                <w:sz w:val="13"/>
                <w:szCs w:val="13"/>
                <w:color w:val="auto"/>
              </w:rPr>
              <w:t>$193.2</w:t>
            </w:r>
          </w:p>
        </w:tc>
        <w:tc>
          <w:tcPr>
            <w:tcW w:w="60" w:type="dxa"/>
            <w:vAlign w:val="bottom"/>
          </w:tcPr>
          <w:p>
            <w:pPr>
              <w:spacing w:after="0"/>
              <w:rPr>
                <w:sz w:val="13"/>
                <w:szCs w:val="13"/>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3"/>
                <w:szCs w:val="13"/>
                <w:color w:val="auto"/>
              </w:rPr>
              <w:t>$439.6</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ind w:right="114"/>
              <w:spacing w:after="0"/>
              <w:rPr>
                <w:sz w:val="20"/>
                <w:szCs w:val="20"/>
                <w:color w:val="auto"/>
              </w:rPr>
            </w:pPr>
            <w:r>
              <w:rPr>
                <w:rFonts w:ascii="Arial" w:cs="Arial" w:eastAsia="Arial" w:hAnsi="Arial"/>
                <w:sz w:val="13"/>
                <w:szCs w:val="13"/>
                <w:color w:val="auto"/>
              </w:rPr>
              <w:t>$791.5</w:t>
            </w:r>
          </w:p>
        </w:tc>
        <w:tc>
          <w:tcPr>
            <w:tcW w:w="920" w:type="dxa"/>
            <w:vAlign w:val="bottom"/>
            <w:gridSpan w:val="4"/>
          </w:tcPr>
          <w:p>
            <w:pPr>
              <w:jc w:val="right"/>
              <w:ind w:right="123"/>
              <w:spacing w:after="0"/>
              <w:rPr>
                <w:sz w:val="20"/>
                <w:szCs w:val="20"/>
                <w:color w:val="auto"/>
              </w:rPr>
            </w:pPr>
            <w:r>
              <w:rPr>
                <w:rFonts w:ascii="Arial" w:cs="Arial" w:eastAsia="Arial" w:hAnsi="Arial"/>
                <w:sz w:val="13"/>
                <w:szCs w:val="13"/>
                <w:color w:val="auto"/>
              </w:rPr>
              <w:t>$791.5</w:t>
            </w:r>
          </w:p>
        </w:tc>
      </w:tr>
      <w:tr>
        <w:trPr>
          <w:trHeight w:val="157"/>
        </w:trPr>
        <w:tc>
          <w:tcPr>
            <w:tcW w:w="388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Average rate</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4.8%</w:t>
            </w:r>
          </w:p>
        </w:tc>
        <w:tc>
          <w:tcPr>
            <w:tcW w:w="6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4.8%</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4.8%</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23"/>
              <w:spacing w:after="0"/>
              <w:rPr>
                <w:sz w:val="20"/>
                <w:szCs w:val="20"/>
                <w:color w:val="auto"/>
              </w:rPr>
            </w:pPr>
            <w:r>
              <w:rPr>
                <w:rFonts w:ascii="Arial" w:cs="Arial" w:eastAsia="Arial" w:hAnsi="Arial"/>
                <w:sz w:val="13"/>
                <w:szCs w:val="13"/>
                <w:color w:val="auto"/>
              </w:rPr>
              <w:t>—</w:t>
            </w:r>
          </w:p>
        </w:tc>
      </w:tr>
      <w:tr>
        <w:trPr>
          <w:trHeight w:val="157"/>
        </w:trPr>
        <w:tc>
          <w:tcPr>
            <w:tcW w:w="3880" w:type="dxa"/>
            <w:vAlign w:val="bottom"/>
            <w:gridSpan w:val="4"/>
          </w:tcPr>
          <w:p>
            <w:pPr>
              <w:spacing w:after="0"/>
              <w:rPr>
                <w:sz w:val="20"/>
                <w:szCs w:val="20"/>
                <w:color w:val="auto"/>
              </w:rPr>
            </w:pPr>
            <w:r>
              <w:rPr>
                <w:rFonts w:ascii="Arial" w:cs="Arial" w:eastAsia="Arial" w:hAnsi="Arial"/>
                <w:sz w:val="13"/>
                <w:szCs w:val="13"/>
                <w:color w:val="auto"/>
              </w:rPr>
              <w:t>Interest rate derivatives: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7"/>
        </w:trPr>
        <w:tc>
          <w:tcPr>
            <w:tcW w:w="388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Interest rate swaps based on U.S. Dollar, Euro and GBP LIBOR</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w w:val="97"/>
              </w:rPr>
              <w:t>(4.5)</w:t>
            </w: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 (18.2)</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 (23.7)</w:t>
            </w:r>
          </w:p>
        </w:tc>
        <w:tc>
          <w:tcPr>
            <w:tcW w:w="920" w:type="dxa"/>
            <w:vAlign w:val="bottom"/>
            <w:gridSpan w:val="4"/>
            <w:shd w:val="clear" w:color="auto" w:fill="CCEEFF"/>
          </w:tcPr>
          <w:p>
            <w:pPr>
              <w:jc w:val="right"/>
              <w:ind w:right="63"/>
              <w:spacing w:after="0"/>
              <w:rPr>
                <w:sz w:val="20"/>
                <w:szCs w:val="20"/>
                <w:color w:val="auto"/>
              </w:rPr>
            </w:pPr>
            <w:r>
              <w:rPr>
                <w:rFonts w:ascii="Arial" w:cs="Arial" w:eastAsia="Arial" w:hAnsi="Arial"/>
                <w:sz w:val="13"/>
                <w:szCs w:val="13"/>
                <w:color w:val="auto"/>
              </w:rPr>
              <w:t>$ (23.7)</w:t>
            </w:r>
          </w:p>
        </w:tc>
      </w:tr>
      <w:tr>
        <w:trPr>
          <w:trHeight w:val="165"/>
        </w:trPr>
        <w:tc>
          <w:tcPr>
            <w:tcW w:w="3880" w:type="dxa"/>
            <w:vAlign w:val="bottom"/>
            <w:gridSpan w:val="4"/>
          </w:tcPr>
          <w:p>
            <w:pPr>
              <w:ind w:left="140"/>
              <w:spacing w:after="0"/>
              <w:rPr>
                <w:sz w:val="20"/>
                <w:szCs w:val="20"/>
                <w:color w:val="auto"/>
              </w:rPr>
            </w:pPr>
            <w:r>
              <w:rPr>
                <w:rFonts w:ascii="Arial" w:cs="Arial" w:eastAsia="Arial" w:hAnsi="Arial"/>
                <w:sz w:val="13"/>
                <w:szCs w:val="13"/>
                <w:color w:val="auto"/>
              </w:rPr>
              <w:t>Average rate</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3"/>
                <w:szCs w:val="13"/>
                <w:color w:val="auto"/>
              </w:rPr>
              <w:t>5.2%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3.3%</w:t>
            </w:r>
          </w:p>
        </w:tc>
        <w:tc>
          <w:tcPr>
            <w:tcW w:w="240" w:type="dxa"/>
            <w:vAlign w:val="bottom"/>
          </w:tcPr>
          <w:p>
            <w:pPr>
              <w:spacing w:after="0"/>
              <w:rPr>
                <w:sz w:val="14"/>
                <w:szCs w:val="14"/>
                <w:color w:val="auto"/>
              </w:rPr>
            </w:pPr>
          </w:p>
        </w:tc>
        <w:tc>
          <w:tcPr>
            <w:tcW w:w="660" w:type="dxa"/>
            <w:vAlign w:val="bottom"/>
            <w:gridSpan w:val="2"/>
          </w:tcPr>
          <w:p>
            <w:pPr>
              <w:jc w:val="right"/>
              <w:ind w:right="14"/>
              <w:spacing w:after="0"/>
              <w:rPr>
                <w:sz w:val="20"/>
                <w:szCs w:val="20"/>
                <w:color w:val="auto"/>
              </w:rPr>
            </w:pPr>
            <w:r>
              <w:rPr>
                <w:rFonts w:ascii="Arial" w:cs="Arial" w:eastAsia="Arial" w:hAnsi="Arial"/>
                <w:sz w:val="13"/>
                <w:szCs w:val="13"/>
                <w:color w:val="auto"/>
              </w:rPr>
              <w:t>4.4%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right"/>
              <w:ind w:right="123"/>
              <w:spacing w:after="0"/>
              <w:rPr>
                <w:sz w:val="20"/>
                <w:szCs w:val="20"/>
                <w:color w:val="auto"/>
              </w:rPr>
            </w:pPr>
            <w:r>
              <w:rPr>
                <w:rFonts w:ascii="Arial" w:cs="Arial" w:eastAsia="Arial" w:hAnsi="Arial"/>
                <w:sz w:val="13"/>
                <w:szCs w:val="13"/>
                <w:color w:val="auto"/>
              </w:rPr>
              <w:t>—</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Excluded from the information provided above are $17.6 million and $18.6 million at September 30, 2010 and 2009, respectively, of miscellaneous debt instruments.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Market Risks</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Through fiscal 2010, we had transactions that were denominated in currencies other than the currency of the country of origin. We use foreign currency swap contracts to manage the exchange rate risk associated with intercompany loans with foreign subsidiaries that are denominated in local currencies. At September 30, 2010, the notional amount of outstanding foreign currency contracts was $209.9 million with a fair value of $(6.6) million. At September 30, 2009, the notional amount of outstanding foreign currency contracts was $105.9 million with a fair value of $(3.9) million.</w:t>
      </w:r>
    </w:p>
    <w:p>
      <w:pPr>
        <w:spacing w:after="0" w:line="70" w:lineRule="exact"/>
        <w:rPr>
          <w:sz w:val="20"/>
          <w:szCs w:val="20"/>
          <w:color w:val="auto"/>
        </w:rPr>
      </w:pPr>
    </w:p>
    <w:p>
      <w:pPr>
        <w:jc w:val="both"/>
        <w:ind w:left="680" w:right="120" w:firstLine="399"/>
        <w:spacing w:after="0" w:line="277" w:lineRule="auto"/>
        <w:rPr>
          <w:sz w:val="20"/>
          <w:szCs w:val="20"/>
          <w:color w:val="auto"/>
        </w:rPr>
      </w:pPr>
      <w:r>
        <w:rPr>
          <w:rFonts w:ascii="Arial" w:cs="Arial" w:eastAsia="Arial" w:hAnsi="Arial"/>
          <w:sz w:val="12"/>
          <w:szCs w:val="12"/>
          <w:color w:val="auto"/>
        </w:rPr>
        <w:t>We are subject to market risk from fluctuating prices of certain raw materials, including urea, resins, fuel, sphagnum peat, grass seed and wild bird food components. Our objectives surrounding the procurement of these materials are to ensure continuous supply and to minimize costs. We seek to achieve these objectives through negotiation of contracts with favorable terms directly with vendors. In addition, we entered into arrangements to partially mitigate the effect of fluctuating direct and indirect fuel costs on our Global Consumer and</w:t>
      </w:r>
    </w:p>
    <w:p>
      <w:pPr>
        <w:spacing w:after="0" w:line="1"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r>
        <w:rPr>
          <w:rFonts w:ascii="Arial" w:cs="Arial" w:eastAsia="Arial" w:hAnsi="Arial"/>
          <w:sz w:val="13"/>
          <w:szCs w:val="13"/>
          <w:color w:val="auto"/>
        </w:rPr>
        <w:t xml:space="preserve"> businesses and hedged a portion of our fuel and urea needs for fiscal 2009 and fiscal 2010. We had outstanding contracts for approximately 420,000 gallons of fuel with a fair value of $0.1 million at September 30, 2010. We had outstanding contracts for approximately 1.3 million gallons of fuel with a fair value of $0.1 million at September 30, 2009. We also had hedging arrangements for 62,000 and 74,000 aggregate tons of</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urea at September 30, 2010 and 2009, respectively. The fair value of the 62,000 aggregate tons at September 30, 2010 was $1.8 million, while the fair value of the 74,000 aggregate tons at September 30, 2009 was $0.1 million.</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u w:val="single" w:color="auto"/>
          <w:color w:val="auto"/>
        </w:rPr>
        <w:t>ITEM 8.</w:t>
      </w:r>
      <w:r>
        <w:rPr>
          <w:sz w:val="20"/>
          <w:szCs w:val="20"/>
          <w:color w:val="auto"/>
        </w:rPr>
        <w:tab/>
      </w:r>
      <w:r>
        <w:rPr>
          <w:rFonts w:ascii="Arial" w:cs="Arial" w:eastAsia="Arial" w:hAnsi="Arial"/>
          <w:sz w:val="12"/>
          <w:szCs w:val="12"/>
          <w:b w:val="1"/>
          <w:bCs w:val="1"/>
          <w:i w:val="1"/>
          <w:iCs w:val="1"/>
          <w:u w:val="single" w:color="auto"/>
          <w:color w:val="auto"/>
        </w:rPr>
        <w:t>FINANCIAL STATEMENTS AND SUPPLEMENTARY DATA</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59 of this Annual Report on Form 10-K.</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u w:val="single" w:color="auto"/>
          <w:color w:val="auto"/>
        </w:rPr>
        <w:t>ITEM 9.</w:t>
      </w:r>
      <w:r>
        <w:rPr>
          <w:sz w:val="20"/>
          <w:szCs w:val="20"/>
          <w:color w:val="auto"/>
        </w:rPr>
        <w:tab/>
      </w:r>
      <w:r>
        <w:rPr>
          <w:rFonts w:ascii="Arial" w:cs="Arial" w:eastAsia="Arial" w:hAnsi="Arial"/>
          <w:sz w:val="12"/>
          <w:szCs w:val="12"/>
          <w:b w:val="1"/>
          <w:bCs w:val="1"/>
          <w:i w:val="1"/>
          <w:iCs w:val="1"/>
          <w:u w:val="single" w:color="auto"/>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u w:val="single" w:color="auto"/>
          <w:color w:val="auto"/>
        </w:rPr>
        <w:t>ITEM 9A.</w:t>
      </w:r>
      <w:r>
        <w:rPr>
          <w:sz w:val="20"/>
          <w:szCs w:val="20"/>
          <w:color w:val="auto"/>
        </w:rPr>
        <w:tab/>
      </w:r>
      <w:r>
        <w:rPr>
          <w:rFonts w:ascii="Arial" w:cs="Arial" w:eastAsia="Arial" w:hAnsi="Arial"/>
          <w:sz w:val="12"/>
          <w:szCs w:val="12"/>
          <w:b w:val="1"/>
          <w:bCs w:val="1"/>
          <w:i w:val="1"/>
          <w:iCs w:val="1"/>
          <w:u w:val="single" w:color="auto"/>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(the “Exchange Act”)), as of the end of the fiscal year covered by this Annual Report on Form 10-K. Based upon that evaluation, the Registrant’s principal executive officer and principal financial officer have concluded that the Registrant’s disclosure controls and procedures were effective as of the end of the fiscal year covered by this Annual Report on Form 10-K.</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Annual Report on Internal Control Over Financial Reporting</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“Annual Report of Management on Internal Control Over Financial Reporting” required by Item 308(a) of SEC Regulation S-K is included on page 60 of this Annual Report on Form 10-K.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Attestation Report of Independent Registered Public Accounting Firm</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“Report of Independent Registered Public Accounting Firm” required by Item 308(b) of SEC Regulation S-K is included on page 62 of this Annual Report on Form 10-K.</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No changes in the Registrant’s internal control over financial reporting (as defined in Rule 13a-15(f) under the Exchange Act) occurred during the Registrant’s fiscal quarter ended September 30, 2010, that have materially affected, or are reasonably likely to materially affect, the Registrant’s internal control over financial reporting.</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u w:val="single" w:color="auto"/>
          <w:color w:val="auto"/>
        </w:rPr>
        <w:t>ITEM 9B.</w:t>
      </w:r>
      <w:r>
        <w:rPr>
          <w:sz w:val="20"/>
          <w:szCs w:val="20"/>
          <w:color w:val="auto"/>
        </w:rPr>
        <w:tab/>
      </w:r>
      <w:r>
        <w:rPr>
          <w:rFonts w:ascii="Arial" w:cs="Arial" w:eastAsia="Arial" w:hAnsi="Arial"/>
          <w:sz w:val="13"/>
          <w:szCs w:val="13"/>
          <w:b w:val="1"/>
          <w:bCs w:val="1"/>
          <w:i w:val="1"/>
          <w:iCs w:val="1"/>
          <w:u w:val="single" w:color="auto"/>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u w:val="single" w:color="auto"/>
          <w:color w:val="auto"/>
        </w:rPr>
        <w:t>ITEM 10.</w:t>
      </w:r>
      <w:r>
        <w:rPr>
          <w:sz w:val="20"/>
          <w:szCs w:val="20"/>
          <w:color w:val="auto"/>
        </w:rPr>
        <w:tab/>
      </w:r>
      <w:r>
        <w:rPr>
          <w:rFonts w:ascii="Arial" w:cs="Arial" w:eastAsia="Arial" w:hAnsi="Arial"/>
          <w:sz w:val="12"/>
          <w:szCs w:val="12"/>
          <w:b w:val="1"/>
          <w:bCs w:val="1"/>
          <w:i w:val="1"/>
          <w:iCs w:val="1"/>
          <w:u w:val="single" w:color="auto"/>
          <w:color w:val="auto"/>
        </w:rPr>
        <w:t>DIRECTORS, EXECUTIVE OFFICERS AND CORPORATE GOVERNANCE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 Executive Officers and Persons Nominated or Chosen to Become Directors or Executive Officers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information required by Item 401 of SEC Regulation S-K concerning the directors of Scotts Miracle-Gro and the nominees for re-election as directors of Scotts Miracle-Gro at the Annual Meeting of Shareholders to be held on January 20, 2011 (the “2011 Annual Meeting”) is incorporated herein by reference from the disclosure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64" w:lineRule="auto"/>
        <w:rPr>
          <w:sz w:val="20"/>
          <w:szCs w:val="20"/>
          <w:color w:val="auto"/>
        </w:rPr>
      </w:pPr>
      <w:r>
        <w:rPr>
          <w:rFonts w:ascii="Arial" w:cs="Arial" w:eastAsia="Arial" w:hAnsi="Arial"/>
          <w:sz w:val="13"/>
          <w:szCs w:val="13"/>
          <w:color w:val="auto"/>
        </w:rPr>
        <w:t>which will be included under the caption “PROPOSAL NUMBER 1 — ELECTION OF DIRECTORS” in Scotts Miracle-Gro’s definitive Proxy Statement relating to the 2011 Annual Meeting (“Scotts Miracle-Gro’s Definitive Proxy Statement”), which will be filed pursuant to SEC Regulation 14A not later than 120 days after the end of Scotts Miracle-Gro’s fiscal year ended September 30, 2010.</w:t>
      </w:r>
    </w:p>
    <w:p>
      <w:pPr>
        <w:spacing w:after="0" w:line="67"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Compliance with Section 16(a) of the Securities Exchange Act of 1934</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Procedures for Recommending Director Nominees</w:t>
      </w:r>
    </w:p>
    <w:p>
      <w:pPr>
        <w:spacing w:after="0" w:line="100" w:lineRule="exact"/>
        <w:rPr>
          <w:sz w:val="20"/>
          <w:szCs w:val="20"/>
          <w:color w:val="auto"/>
        </w:rPr>
      </w:pPr>
    </w:p>
    <w:p>
      <w:pPr>
        <w:jc w:val="both"/>
        <w:ind w:left="680" w:right="80" w:firstLine="399"/>
        <w:spacing w:after="0" w:line="289" w:lineRule="auto"/>
        <w:rPr>
          <w:sz w:val="20"/>
          <w:szCs w:val="20"/>
          <w:color w:val="auto"/>
        </w:rPr>
      </w:pPr>
      <w:r>
        <w:rPr>
          <w:rFonts w:ascii="Arial" w:cs="Arial" w:eastAsia="Arial" w:hAnsi="Arial"/>
          <w:sz w:val="12"/>
          <w:szCs w:val="12"/>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Governance and Nominating Committee” in Scotts Miracle-Gro’s Definitive Proxy Statement. These procedures have not materially changed from those described in Scotts Miracle-Gro’s definitive Proxy Statement for the 2010 Annual Meeting of Shareholders held on January 21, 2010.</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Committee</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information required by Items 407(d)(4) and 407(d)(5) of SEC Regulation S-K is incorporated herein by reference from the disclosure which will be included under the caption “MEETINGS AND COMMITTEES OF THE BOARD — Committees of the Board — Audit Committee” in Scotts Miracle-Gro’s Definitive Proxy Statement.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Committee Charters; Code of Business Conduct and Ethics; Corporate Governance Guidelines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Board of Directors of Scotts Miracle-Gro has adopted charters for each of the Audit Committee, the Governance and Nominating Committee, the Compensation and Organization Committee, the Finance Committee and the Innovation &amp; Technology Committee, as well as Corporate Governance Guidelines, as contemplated by the applicable sections of the New York Stock Exchange Listed Company Manual.</w:t>
      </w:r>
    </w:p>
    <w:p>
      <w:pPr>
        <w:spacing w:after="0" w:line="67" w:lineRule="exact"/>
        <w:rPr>
          <w:sz w:val="20"/>
          <w:szCs w:val="20"/>
          <w:color w:val="auto"/>
        </w:rPr>
      </w:pPr>
    </w:p>
    <w:p>
      <w:pPr>
        <w:ind w:left="680" w:right="80" w:firstLine="399"/>
        <w:spacing w:after="0" w:line="278" w:lineRule="auto"/>
        <w:rPr>
          <w:sz w:val="20"/>
          <w:szCs w:val="20"/>
          <w:color w:val="auto"/>
        </w:rPr>
      </w:pPr>
      <w:r>
        <w:rPr>
          <w:rFonts w:ascii="Arial" w:cs="Arial" w:eastAsia="Arial" w:hAnsi="Arial"/>
          <w:sz w:val="12"/>
          <w:szCs w:val="12"/>
          <w:color w:val="auto"/>
        </w:rPr>
        <w:t>In accordance with the requirements of Section 303A.10 of the New York Stock Exchange Listed Company Manual and Item 406 of SEC Regulation S-K, the Board of Directors of Scotts Miracle-Gro has adopted a Code of Business Conduct and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and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and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text of Scotts Miracle-Gro’s Code of Business Conduct and Ethics, Scotts Miracle-Gro’s Corporate Governance Guidelines, the Audit Committee charter, the Governance and Nominating Committee charter, the Compensation and Organization Committee charter, the Finance Committee charter and the Innovation &amp; Technology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 In addition, a copy of the Code of Business Conduct and Ethics, as amended on November 2, 2006, is incorporated by reference in Exhibit 14 to this Annual Report on Form 10-K.</w:t>
      </w:r>
    </w:p>
    <w:p>
      <w:pPr>
        <w:spacing w:after="0" w:line="13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u w:val="single" w:color="auto"/>
          <w:color w:val="auto"/>
        </w:rPr>
        <w:t>ITEM 11.</w:t>
      </w:r>
      <w:r>
        <w:rPr>
          <w:sz w:val="20"/>
          <w:szCs w:val="20"/>
          <w:color w:val="auto"/>
        </w:rPr>
        <w:tab/>
      </w:r>
      <w:r>
        <w:rPr>
          <w:rFonts w:ascii="Arial" w:cs="Arial" w:eastAsia="Arial" w:hAnsi="Arial"/>
          <w:sz w:val="12"/>
          <w:szCs w:val="12"/>
          <w:b w:val="1"/>
          <w:bCs w:val="1"/>
          <w:i w:val="1"/>
          <w:iCs w:val="1"/>
          <w:u w:val="single" w:color="auto"/>
          <w:color w:val="auto"/>
        </w:rPr>
        <w:t>EXECUTIVE COMPENSATION</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information required by Item 402 of SEC Regulation S-K is incorporated herein by reference from the disclosures which will be included under the captions “EXECUTIVE COMPENSATION” and “NON-EMPLOYEE DIRECTOR COMPENSATION” in Scotts Miracle-Gro’s Definitive Proxy Statement.</w:t>
      </w:r>
    </w:p>
    <w:p>
      <w:pPr>
        <w:spacing w:after="0" w:line="59"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35"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u w:val="single" w:color="auto"/>
          <w:color w:val="auto"/>
        </w:rPr>
        <w:t>ITEM 12.</w:t>
      </w:r>
      <w:r>
        <w:rPr>
          <w:sz w:val="20"/>
          <w:szCs w:val="20"/>
          <w:color w:val="auto"/>
        </w:rPr>
        <w:tab/>
      </w:r>
      <w:r>
        <w:rPr>
          <w:rFonts w:ascii="Arial" w:cs="Arial" w:eastAsia="Arial" w:hAnsi="Arial"/>
          <w:sz w:val="12"/>
          <w:szCs w:val="12"/>
          <w:b w:val="1"/>
          <w:bCs w:val="1"/>
          <w:i w:val="1"/>
          <w:iCs w:val="1"/>
          <w:u w:val="single" w:color="auto"/>
          <w:color w:val="auto"/>
        </w:rPr>
        <w:t>SECURITY OWNERSHIP OF CERTAIN BENEFICIAL OWNERS AND MANAGEMENT AND RELATED STOCKHOLDER MATTERS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Ownership of Common Shares of Scotts Miracle-Gro</w:t>
      </w:r>
    </w:p>
    <w:p>
      <w:pPr>
        <w:spacing w:after="0" w:line="10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information required by Item 403 of SEC Regulation S-K is incorporated herein by reference from the disclosure which will be included under the caption “BENEFICIAL OWNERSHIP OF SECURITIES OF THE COMPANY” in Scotts Miracle-Gro’s Definitive Proxy Statement.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0"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u w:val="single" w:color="auto"/>
          <w:color w:val="auto"/>
        </w:rPr>
        <w:t>ITEM 13.</w:t>
      </w:r>
      <w:r>
        <w:rPr>
          <w:sz w:val="20"/>
          <w:szCs w:val="20"/>
          <w:color w:val="auto"/>
        </w:rPr>
        <w:tab/>
      </w:r>
      <w:r>
        <w:rPr>
          <w:rFonts w:ascii="Arial" w:cs="Arial" w:eastAsia="Arial" w:hAnsi="Arial"/>
          <w:sz w:val="12"/>
          <w:szCs w:val="12"/>
          <w:b w:val="1"/>
          <w:bCs w:val="1"/>
          <w:i w:val="1"/>
          <w:iCs w:val="1"/>
          <w:u w:val="single" w:color="auto"/>
          <w:color w:val="auto"/>
        </w:rPr>
        <w:t>CERTAIN RELATIONSHIPS AND RELATED TRANSACTIONS, AND DIRECTOR INDEPENDENCE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Certain Relationships and Related Person Transactions</w:t>
      </w:r>
    </w:p>
    <w:p>
      <w:pPr>
        <w:spacing w:after="0" w:line="100"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The information required by Item 404 of SEC Regulation S-K is incorporated herein by reference from the disclosures which will be included under the caption “CERTAIN RELATIONSHIPS AND RELATED TRANSACTIONS” in Scotts Miracle-Gro’s Definitive Proxy Statement.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Independence</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information required by Item 407(a) of SEC Regulation S-K is incorporated herein by reference from the disclosures which will be included under the captions “CORPORATE GOVERNANCE — Director Independence” and “MEETINGS AND COMMITTEES OF THE BOARD” in Scotts Miracle-Gro’s Definitive Proxy Statement.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u w:val="single" w:color="auto"/>
          <w:color w:val="auto"/>
        </w:rPr>
        <w:t>ITEM 14.</w:t>
      </w:r>
      <w:r>
        <w:rPr>
          <w:sz w:val="20"/>
          <w:szCs w:val="20"/>
          <w:color w:val="auto"/>
        </w:rPr>
        <w:tab/>
      </w:r>
      <w:r>
        <w:rPr>
          <w:rFonts w:ascii="Arial" w:cs="Arial" w:eastAsia="Arial" w:hAnsi="Arial"/>
          <w:sz w:val="12"/>
          <w:szCs w:val="12"/>
          <w:b w:val="1"/>
          <w:bCs w:val="1"/>
          <w:i w:val="1"/>
          <w:iCs w:val="1"/>
          <w:u w:val="single" w:color="auto"/>
          <w:color w:val="auto"/>
        </w:rPr>
        <w:t>PRINCIPAL ACCOUNTING FEES AND SERVICES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Scotts Miracle-Gro’s Definitive Proxy Statement.</w:t>
      </w:r>
    </w:p>
    <w:p>
      <w:pPr>
        <w:spacing w:after="0" w:line="22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u w:val="single" w:color="auto"/>
          <w:color w:val="auto"/>
        </w:rPr>
        <w:t>ITEM 15.</w:t>
      </w:r>
      <w:r>
        <w:rPr>
          <w:sz w:val="20"/>
          <w:szCs w:val="20"/>
          <w:color w:val="auto"/>
        </w:rPr>
        <w:tab/>
      </w:r>
      <w:r>
        <w:rPr>
          <w:rFonts w:ascii="Arial" w:cs="Arial" w:eastAsia="Arial" w:hAnsi="Arial"/>
          <w:sz w:val="12"/>
          <w:szCs w:val="12"/>
          <w:b w:val="1"/>
          <w:bCs w:val="1"/>
          <w:i w:val="1"/>
          <w:iCs w:val="1"/>
          <w:u w:val="single" w:color="auto"/>
          <w:color w:val="auto"/>
        </w:rPr>
        <w:t>EXHIBITS, FINANCIAL STATEMENT SCHEDULES</w:t>
      </w:r>
    </w:p>
    <w:p>
      <w:pPr>
        <w:spacing w:after="0" w:line="100" w:lineRule="exact"/>
        <w:rPr>
          <w:sz w:val="20"/>
          <w:szCs w:val="20"/>
          <w:color w:val="auto"/>
        </w:rPr>
      </w:pPr>
    </w:p>
    <w:p>
      <w:pPr>
        <w:ind w:left="1260" w:hanging="174"/>
        <w:spacing w:after="0"/>
        <w:tabs>
          <w:tab w:leader="none" w:pos="126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LIST OF DOCUMENTS FILED AS PART OF THIS REPORT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 and 2. Financial Statements and Financial Statement Schedules:</w:t>
      </w:r>
    </w:p>
    <w:p>
      <w:pPr>
        <w:spacing w:after="0" w:line="96" w:lineRule="exact"/>
        <w:rPr>
          <w:sz w:val="20"/>
          <w:szCs w:val="20"/>
          <w:color w:val="auto"/>
        </w:rPr>
      </w:pPr>
    </w:p>
    <w:p>
      <w:pPr>
        <w:ind w:left="1080" w:right="160" w:firstLine="383"/>
        <w:spacing w:after="0" w:line="276" w:lineRule="auto"/>
        <w:rPr>
          <w:sz w:val="20"/>
          <w:szCs w:val="20"/>
          <w:color w:val="auto"/>
        </w:rPr>
      </w:pPr>
      <w:r>
        <w:rPr>
          <w:rFonts w:ascii="Arial" w:cs="Arial" w:eastAsia="Arial" w:hAnsi="Arial"/>
          <w:sz w:val="13"/>
          <w:szCs w:val="13"/>
          <w:color w:val="auto"/>
        </w:rPr>
        <w:t>The response to this portion of Item 15 is submitted as a separate section of this Annual Report on Form 10-K. Reference is made to the “Index to Consolidated Financial Statements and Financial Statement Schedules” on page 59 of this Annual Report on Form 10-K.</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3. Exhibits:</w:t>
      </w:r>
    </w:p>
    <w:p>
      <w:pPr>
        <w:spacing w:after="0" w:line="96"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The exhibits listed on the “Index to Exhibits” beginning on page 123 of this Annual Report on Form 10-K are filed or furnished with this Annual Report on Form 10-K or incorporated herein by reference as noted in the “Index to Exhibits.” The following table provides certain information concerning each management contract or compensatory plan or arrangement required to be filed as an exhibit to this Annual Report on Form 10-K or incorporated herein by reference.</w:t>
      </w:r>
    </w:p>
    <w:p>
      <w:pPr>
        <w:spacing w:after="0" w:line="220" w:lineRule="exact"/>
        <w:rPr>
          <w:sz w:val="20"/>
          <w:szCs w:val="20"/>
          <w:color w:val="auto"/>
        </w:rPr>
      </w:pPr>
    </w:p>
    <w:p>
      <w:pPr>
        <w:ind w:left="3100"/>
        <w:spacing w:after="0"/>
        <w:rPr>
          <w:sz w:val="20"/>
          <w:szCs w:val="20"/>
          <w:color w:val="auto"/>
        </w:rPr>
      </w:pPr>
      <w:r>
        <w:rPr>
          <w:rFonts w:ascii="Arial" w:cs="Arial" w:eastAsia="Arial" w:hAnsi="Arial"/>
          <w:sz w:val="13"/>
          <w:szCs w:val="13"/>
          <w:b w:val="1"/>
          <w:bCs w:val="1"/>
          <w:u w:val="single" w:color="auto"/>
          <w:color w:val="auto"/>
        </w:rPr>
        <w:t>MANAGEMENT CONRACTS AND COMPENSATORY PLANS AND ARRANGEMENTS</w:t>
      </w:r>
    </w:p>
    <w:p>
      <w:pPr>
        <w:sectPr>
          <w:pgSz w:w="11900" w:h="16838" w:orient="portrait"/>
          <w:cols w:equalWidth="0" w:num="1">
            <w:col w:w="10520"/>
          </w:cols>
          <w:pgMar w:left="220" w:top="343" w:right="1159" w:bottom="1440" w:gutter="0" w:footer="0" w:header="0"/>
        </w:sectPr>
      </w:pP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120" w:type="dxa"/>
            <w:vAlign w:val="bottom"/>
          </w:tcPr>
          <w:p>
            <w:pPr>
              <w:ind w:left="4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380" w:type="dxa"/>
            <w:vAlign w:val="bottom"/>
            <w:vMerge w:val="restart"/>
          </w:tcPr>
          <w:p>
            <w:pPr>
              <w:ind w:left="244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120" w:type="dxa"/>
            <w:vAlign w:val="bottom"/>
          </w:tcPr>
          <w:p>
            <w:pPr>
              <w:ind w:left="500"/>
              <w:spacing w:after="0"/>
              <w:rPr>
                <w:sz w:val="20"/>
                <w:szCs w:val="20"/>
                <w:color w:val="auto"/>
              </w:rPr>
            </w:pPr>
            <w:r>
              <w:rPr>
                <w:rFonts w:ascii="Arial" w:cs="Arial" w:eastAsia="Arial" w:hAnsi="Arial"/>
                <w:sz w:val="12"/>
                <w:szCs w:val="12"/>
                <w:color w:val="auto"/>
              </w:rPr>
              <w:t>10.2(a)</w:t>
            </w:r>
          </w:p>
        </w:tc>
        <w:tc>
          <w:tcPr>
            <w:tcW w:w="10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The Scotts Company LLC Excess Benefit Plan for Grandfathered Associates as of January 1, 2005 (executed as</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of September 30, 2008)</w:t>
            </w:r>
          </w:p>
        </w:tc>
        <w:tc>
          <w:tcPr>
            <w:tcW w:w="0" w:type="dxa"/>
            <w:vAlign w:val="bottom"/>
          </w:tcPr>
          <w:p>
            <w:pPr>
              <w:spacing w:after="0"/>
              <w:rPr>
                <w:sz w:val="1"/>
                <w:szCs w:val="1"/>
                <w:color w:val="auto"/>
              </w:rPr>
            </w:pPr>
          </w:p>
        </w:tc>
      </w:tr>
      <w:tr>
        <w:trPr>
          <w:trHeight w:val="293"/>
        </w:trPr>
        <w:tc>
          <w:tcPr>
            <w:tcW w:w="1120" w:type="dxa"/>
            <w:vAlign w:val="bottom"/>
          </w:tcPr>
          <w:p>
            <w:pPr>
              <w:ind w:left="500"/>
              <w:spacing w:after="0"/>
              <w:rPr>
                <w:sz w:val="20"/>
                <w:szCs w:val="20"/>
                <w:color w:val="auto"/>
              </w:rPr>
            </w:pPr>
            <w:r>
              <w:rPr>
                <w:rFonts w:ascii="Arial" w:cs="Arial" w:eastAsia="Arial" w:hAnsi="Arial"/>
                <w:sz w:val="12"/>
                <w:szCs w:val="12"/>
                <w:color w:val="auto"/>
              </w:rPr>
              <w:t>10.2(b)</w:t>
            </w:r>
          </w:p>
        </w:tc>
        <w:tc>
          <w:tcPr>
            <w:tcW w:w="1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8"/>
              </w:rPr>
              <w:t>The Scotts Company LLC Excess Benefit Plan for Non Grandfathered Associates as of January 1, 2005 (executed</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as of November 20, 2008)</w:t>
            </w:r>
          </w:p>
        </w:tc>
        <w:tc>
          <w:tcPr>
            <w:tcW w:w="0" w:type="dxa"/>
            <w:vAlign w:val="bottom"/>
          </w:tcPr>
          <w:p>
            <w:pPr>
              <w:spacing w:after="0"/>
              <w:rPr>
                <w:sz w:val="1"/>
                <w:szCs w:val="1"/>
                <w:color w:val="auto"/>
              </w:rPr>
            </w:pPr>
          </w:p>
        </w:tc>
      </w:tr>
      <w:tr>
        <w:trPr>
          <w:trHeight w:val="293"/>
        </w:trPr>
        <w:tc>
          <w:tcPr>
            <w:tcW w:w="1120" w:type="dxa"/>
            <w:vAlign w:val="bottom"/>
          </w:tcPr>
          <w:p>
            <w:pPr>
              <w:ind w:left="500"/>
              <w:spacing w:after="0"/>
              <w:rPr>
                <w:sz w:val="20"/>
                <w:szCs w:val="20"/>
                <w:color w:val="auto"/>
              </w:rPr>
            </w:pPr>
            <w:r>
              <w:rPr>
                <w:rFonts w:ascii="Arial" w:cs="Arial" w:eastAsia="Arial" w:hAnsi="Arial"/>
                <w:sz w:val="12"/>
                <w:szCs w:val="12"/>
                <w:color w:val="auto"/>
              </w:rPr>
              <w:t>10.6(a)(i)</w:t>
            </w:r>
          </w:p>
        </w:tc>
        <w:tc>
          <w:tcPr>
            <w:tcW w:w="1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7"/>
              </w:rPr>
              <w:t>The Scotts Company LLC Amended and Restated Executive/Management Incentive Plan (approved on</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November 7, 2007 and effective as of October 30, 2007)</w:t>
            </w:r>
          </w:p>
        </w:tc>
        <w:tc>
          <w:tcPr>
            <w:tcW w:w="0" w:type="dxa"/>
            <w:vAlign w:val="bottom"/>
          </w:tcPr>
          <w:p>
            <w:pPr>
              <w:spacing w:after="0"/>
              <w:rPr>
                <w:sz w:val="1"/>
                <w:szCs w:val="1"/>
                <w:color w:val="auto"/>
              </w:rPr>
            </w:pPr>
          </w:p>
        </w:tc>
      </w:tr>
      <w:tr>
        <w:trPr>
          <w:trHeight w:val="293"/>
        </w:trPr>
        <w:tc>
          <w:tcPr>
            <w:tcW w:w="1120" w:type="dxa"/>
            <w:vAlign w:val="bottom"/>
          </w:tcPr>
          <w:p>
            <w:pPr>
              <w:ind w:left="500"/>
              <w:spacing w:after="0"/>
              <w:rPr>
                <w:sz w:val="20"/>
                <w:szCs w:val="20"/>
                <w:color w:val="auto"/>
              </w:rPr>
            </w:pPr>
            <w:r>
              <w:rPr>
                <w:rFonts w:ascii="Arial" w:cs="Arial" w:eastAsia="Arial" w:hAnsi="Arial"/>
                <w:sz w:val="12"/>
                <w:szCs w:val="12"/>
                <w:color w:val="auto"/>
              </w:rPr>
              <w:t>10.6(a)(ii)</w:t>
            </w:r>
          </w:p>
        </w:tc>
        <w:tc>
          <w:tcPr>
            <w:tcW w:w="1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6"/>
              </w:rPr>
              <w:t>Amendment to The Scotts Company LLC Amended and Restated Executive/Management Incentive Plan</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8"/>
              </w:rPr>
              <w:t>(effective as of November 5, 2008) [amended the name of the plan to be The Scotts Company LLC Amended and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Restated Executive Incentive Plan]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10.6(b)(i)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8"/>
              </w:rPr>
              <w:t>Specimen form of Employee Confidentiality, Noncompetition, Nonsolicitation Agreement for employees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participating in The Scotts Company Executive/Management Incentive Plan (now known as The Scotts Company</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LLC Amended and Restated Executive Incentive Plan) [2005 version]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34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95961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59610" cy="6350"/>
                    </a:xfrm>
                    <a:prstGeom prst="rect">
                      <a:avLst/>
                    </a:prstGeom>
                    <a:noFill/>
                  </pic:spPr>
                </pic:pic>
              </a:graphicData>
            </a:graphic>
          </wp:anchor>
        </w:drawing>
      </w:r>
    </w:p>
    <w:p>
      <w:pPr>
        <w:spacing w:after="0" w:line="32" w:lineRule="exact"/>
        <w:rPr>
          <w:sz w:val="20"/>
          <w:szCs w:val="20"/>
          <w:color w:val="auto"/>
        </w:rPr>
      </w:pPr>
    </w:p>
    <w:p>
      <w:pPr>
        <w:ind w:right="40"/>
        <w:spacing w:after="0" w:line="280"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1-11593) [Exhibit 10.1(a)]</w:t>
      </w:r>
    </w:p>
    <w:p>
      <w:pPr>
        <w:spacing w:after="0" w:line="1"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1-11593) [Exhibit 10.1(b)]</w:t>
      </w:r>
    </w:p>
    <w:p>
      <w:pPr>
        <w:spacing w:after="0" w:line="1"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10(b)(2)]</w:t>
      </w:r>
    </w:p>
    <w:p>
      <w:pPr>
        <w:spacing w:after="0" w:line="1" w:lineRule="exact"/>
        <w:rPr>
          <w:sz w:val="20"/>
          <w:szCs w:val="20"/>
          <w:color w:val="auto"/>
        </w:rPr>
      </w:pPr>
    </w:p>
    <w:p>
      <w:pPr>
        <w:jc w:val="both"/>
        <w:ind w:right="12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November 12, 2008 (File No. 1-11593) [Exhibit 10.2]</w:t>
      </w:r>
    </w:p>
    <w:p>
      <w:pPr>
        <w:spacing w:after="0" w:line="1" w:lineRule="exact"/>
        <w:rPr>
          <w:sz w:val="20"/>
          <w:szCs w:val="20"/>
          <w:color w:val="auto"/>
        </w:rPr>
      </w:pPr>
    </w:p>
    <w:p>
      <w:pPr>
        <w:ind w:right="40"/>
        <w:spacing w:after="0" w:line="29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1-11593) [Exhibit 10.2(b)(i)]</w:t>
      </w:r>
    </w:p>
    <w:p>
      <w:pPr>
        <w:spacing w:after="0" w:line="200" w:lineRule="exact"/>
        <w:rPr>
          <w:sz w:val="20"/>
          <w:szCs w:val="20"/>
          <w:color w:val="auto"/>
        </w:rPr>
      </w:pPr>
    </w:p>
    <w:p>
      <w:pPr>
        <w:sectPr>
          <w:pgSz w:w="11900" w:h="16838" w:orient="portrait"/>
          <w:cols w:equalWidth="0" w:num="2">
            <w:col w:w="7280" w:space="300"/>
            <w:col w:w="2940"/>
          </w:cols>
          <w:pgMar w:left="220" w:top="343" w:right="1159" w:bottom="1440" w:gutter="0" w:footer="0" w:header="0"/>
          <w:type w:val="continuous"/>
        </w:sectPr>
      </w:pPr>
    </w:p>
    <w:p>
      <w:pPr>
        <w:spacing w:after="0" w:line="61" w:lineRule="exact"/>
        <w:rPr>
          <w:sz w:val="20"/>
          <w:szCs w:val="20"/>
          <w:color w:val="auto"/>
        </w:rPr>
      </w:pPr>
    </w:p>
    <w:p>
      <w:pPr>
        <w:ind w:left="5620"/>
        <w:spacing w:after="0"/>
        <w:rPr>
          <w:sz w:val="20"/>
          <w:szCs w:val="20"/>
          <w:color w:val="auto"/>
        </w:rPr>
      </w:pPr>
      <w:r>
        <w:rPr>
          <w:rFonts w:ascii="Arial" w:cs="Arial" w:eastAsia="Arial" w:hAnsi="Arial"/>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type w:val="continuous"/>
        </w:sectPr>
      </w:pPr>
    </w:p>
    <w:bookmarkStart w:id="50" w:name="page51"/>
    <w:bookmarkEnd w:id="5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120" w:type="dxa"/>
            <w:vAlign w:val="bottom"/>
          </w:tcPr>
          <w:p>
            <w:pPr>
              <w:ind w:left="4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380" w:type="dxa"/>
            <w:vAlign w:val="bottom"/>
            <w:vMerge w:val="restart"/>
          </w:tcPr>
          <w:p>
            <w:pPr>
              <w:ind w:left="244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120" w:type="dxa"/>
            <w:vAlign w:val="bottom"/>
          </w:tcPr>
          <w:p>
            <w:pPr>
              <w:ind w:left="500"/>
              <w:spacing w:after="0"/>
              <w:rPr>
                <w:sz w:val="20"/>
                <w:szCs w:val="20"/>
                <w:color w:val="auto"/>
              </w:rPr>
            </w:pPr>
            <w:r>
              <w:rPr>
                <w:rFonts w:ascii="Arial" w:cs="Arial" w:eastAsia="Arial" w:hAnsi="Arial"/>
                <w:sz w:val="12"/>
                <w:szCs w:val="12"/>
                <w:color w:val="auto"/>
              </w:rPr>
              <w:t>10.6(b)(ii)</w:t>
            </w:r>
          </w:p>
        </w:tc>
        <w:tc>
          <w:tcPr>
            <w:tcW w:w="10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8"/>
              </w:rPr>
              <w:t>Specimen form of Employee Confidentiality, Noncompetition, Nonsolicitation Agreement for employees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4"/>
              </w:rPr>
              <w:t>participating in The Scotts Company LLC Executive/Management Incentive Plan (now known as The Scotts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Company LLC Amended and Restated Executive Incentive Plan) [post-2005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10.6(c)</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4"/>
              </w:rPr>
              <w:t>Executive Officers of The Scotts Miracle-Gro Company who are parties to form of Employee Confidentiality,</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Noncompetition, Nonsolicitation Agreement for employees participating in The Scotts Company LLC Amended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and Restated Executive Incentive Plan (as of September 30, 2010)</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10.7(a)</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The Scotts Miracle-Gro Company Amended and Restated 1996 Stock Option Plan (effective as of October 30,</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5480" w:type="dxa"/>
            <w:vAlign w:val="bottom"/>
            <w:gridSpan w:val="2"/>
          </w:tcPr>
          <w:p>
            <w:pPr>
              <w:ind w:left="100"/>
              <w:spacing w:after="0"/>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r>
        <w:trPr>
          <w:trHeight w:val="293"/>
        </w:trPr>
        <w:tc>
          <w:tcPr>
            <w:tcW w:w="1120" w:type="dxa"/>
            <w:vAlign w:val="bottom"/>
          </w:tcPr>
          <w:p>
            <w:pPr>
              <w:ind w:left="500"/>
              <w:spacing w:after="0"/>
              <w:rPr>
                <w:sz w:val="20"/>
                <w:szCs w:val="20"/>
                <w:color w:val="auto"/>
              </w:rPr>
            </w:pPr>
            <w:r>
              <w:rPr>
                <w:rFonts w:ascii="Arial" w:cs="Arial" w:eastAsia="Arial" w:hAnsi="Arial"/>
                <w:sz w:val="12"/>
                <w:szCs w:val="12"/>
                <w:color w:val="auto"/>
              </w:rPr>
              <w:t>10.7(b)</w:t>
            </w:r>
          </w:p>
        </w:tc>
        <w:tc>
          <w:tcPr>
            <w:tcW w:w="1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2"/>
              </w:rPr>
              <w:t>Specimen form of Stock Option Agreement for Non-Qualified Stock Options granted to employees under The</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Scotts Company 1996 Stock Option Plan (now known as The Scotts Miracle-Gro Company Amended and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Restated 1996 Stock Option Plan)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10.8(a)</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8"/>
              </w:rPr>
              <w:t>The Scotts Company LLC Executive Retirement Plan, As Amended and Restated as of January 1, 2005 (executed</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December 30, 2008)</w:t>
            </w:r>
          </w:p>
        </w:tc>
        <w:tc>
          <w:tcPr>
            <w:tcW w:w="0" w:type="dxa"/>
            <w:vAlign w:val="bottom"/>
          </w:tcPr>
          <w:p>
            <w:pPr>
              <w:spacing w:after="0"/>
              <w:rPr>
                <w:sz w:val="1"/>
                <w:szCs w:val="1"/>
                <w:color w:val="auto"/>
              </w:rPr>
            </w:pPr>
          </w:p>
        </w:tc>
      </w:tr>
      <w:tr>
        <w:trPr>
          <w:trHeight w:val="293"/>
        </w:trPr>
        <w:tc>
          <w:tcPr>
            <w:tcW w:w="1120" w:type="dxa"/>
            <w:vAlign w:val="bottom"/>
          </w:tcPr>
          <w:p>
            <w:pPr>
              <w:ind w:left="500"/>
              <w:spacing w:after="0"/>
              <w:rPr>
                <w:sz w:val="20"/>
                <w:szCs w:val="20"/>
                <w:color w:val="auto"/>
              </w:rPr>
            </w:pPr>
            <w:r>
              <w:rPr>
                <w:rFonts w:ascii="Arial" w:cs="Arial" w:eastAsia="Arial" w:hAnsi="Arial"/>
                <w:sz w:val="12"/>
                <w:szCs w:val="12"/>
                <w:color w:val="auto"/>
              </w:rPr>
              <w:t>10.8(b)(i)</w:t>
            </w:r>
          </w:p>
        </w:tc>
        <w:tc>
          <w:tcPr>
            <w:tcW w:w="1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6"/>
              </w:rPr>
              <w:t>Trust Agreement between The Scotts Company and Fidelity Management Trust Company for The Scotts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0"/>
              </w:rPr>
              <w:t>Company Nonqualified Deferred Compensation Trust established to assist in discharging obligations under The</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Scotts Company Nonqualified Deferred Compensation Plan (now known as The Scotts Company LLC Executive</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Retirement Plan), dated as of January 1, 1998</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10.8(b)(ii)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First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with regard to The Scotts Company Nonqualified Deferred Compensation Plan (now known as The Scotts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Company LLC Executive Retirement Plan), dated as of March 24, 1998</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10.8(b)(iii)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8"/>
              </w:rPr>
              <w:t>Second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with regard to The Scotts Company Nonqualified Deferred Compensation Plan (now known as The Scotts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Company LLC Executive Retirement Plan) [dated as of January 15, 1999]</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10.8(b)(iv)</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Third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with regard to The Scotts Company Nonqualified Deferred Compensation Plan (now known as The Scotts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Company LLC Executive Retirement Plan) [dated as of July 1, 1999]</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10.8(b)(v)</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Fourth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6"/>
              </w:rPr>
              <w:t>with regard to The Scotts Company Executive Retirement Plan (now known as The Scotts Company LLC</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Executive Retirement Plan) [dated as of August 1, 1999]</w:t>
            </w:r>
          </w:p>
        </w:tc>
        <w:tc>
          <w:tcPr>
            <w:tcW w:w="0" w:type="dxa"/>
            <w:vAlign w:val="bottom"/>
          </w:tcPr>
          <w:p>
            <w:pPr>
              <w:spacing w:after="0"/>
              <w:rPr>
                <w:sz w:val="1"/>
                <w:szCs w:val="1"/>
                <w:color w:val="auto"/>
              </w:rPr>
            </w:pPr>
          </w:p>
        </w:tc>
      </w:tr>
      <w:tr>
        <w:trPr>
          <w:trHeight w:val="299"/>
        </w:trPr>
        <w:tc>
          <w:tcPr>
            <w:tcW w:w="1120" w:type="dxa"/>
            <w:vAlign w:val="bottom"/>
          </w:tcPr>
          <w:p>
            <w:pPr>
              <w:spacing w:after="0"/>
              <w:rPr>
                <w:sz w:val="24"/>
                <w:szCs w:val="24"/>
                <w:color w:val="auto"/>
              </w:rPr>
            </w:pPr>
          </w:p>
        </w:tc>
        <w:tc>
          <w:tcPr>
            <w:tcW w:w="5480" w:type="dxa"/>
            <w:vAlign w:val="bottom"/>
            <w:gridSpan w:val="2"/>
          </w:tcPr>
          <w:p>
            <w:pPr>
              <w:jc w:val="right"/>
              <w:ind w:right="1481"/>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34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95961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9610" cy="6350"/>
                    </a:xfrm>
                    <a:prstGeom prst="rect">
                      <a:avLst/>
                    </a:prstGeom>
                    <a:noFill/>
                  </pic:spPr>
                </pic:pic>
              </a:graphicData>
            </a:graphic>
          </wp:anchor>
        </w:drawing>
      </w:r>
    </w:p>
    <w:p>
      <w:pPr>
        <w:spacing w:after="0" w:line="32"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July 1, 2006 (File No. 1-11593) [Exhibit 10.1] *</w:t>
      </w:r>
    </w:p>
    <w:p>
      <w:pPr>
        <w:spacing w:after="0" w:line="200" w:lineRule="exact"/>
        <w:rPr>
          <w:sz w:val="20"/>
          <w:szCs w:val="20"/>
          <w:color w:val="auto"/>
        </w:rPr>
      </w:pPr>
    </w:p>
    <w:p>
      <w:pPr>
        <w:spacing w:after="0" w:line="228" w:lineRule="exact"/>
        <w:rPr>
          <w:sz w:val="20"/>
          <w:szCs w:val="20"/>
          <w:color w:val="auto"/>
        </w:rPr>
      </w:pPr>
    </w:p>
    <w:p>
      <w:pPr>
        <w:ind w:right="180"/>
        <w:spacing w:after="0" w:line="280"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10(d)(4)]</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Incorporated herein by reference to the Current Report on Form 8-K of The Scotts Company, an Ohio corporation, filed November 19, 2004 (File No. 1-11593) [Exhibit 10.7] Incorporated herein by reference to the Registrant’s Current Report on Form 8-K filed January 6, 2009 (File No. 1-11593) [Exhibit 10.1]</w:t>
      </w:r>
    </w:p>
    <w:p>
      <w:pPr>
        <w:spacing w:after="0" w:line="1" w:lineRule="exact"/>
        <w:rPr>
          <w:sz w:val="20"/>
          <w:szCs w:val="20"/>
          <w:color w:val="auto"/>
        </w:rPr>
      </w:pPr>
    </w:p>
    <w:p>
      <w:pPr>
        <w:ind w:right="180"/>
        <w:spacing w:after="0" w:line="29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1-11593) [Exhibit 10.5(b)(i)]</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10.5(b)(iii)]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10.5(b)(iv)]</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10.5(b)(v)]</w:t>
      </w:r>
    </w:p>
    <w:p>
      <w:pPr>
        <w:sectPr>
          <w:pgSz w:w="11900" w:h="16838" w:orient="portrait"/>
          <w:cols w:equalWidth="0" w:num="2">
            <w:col w:w="7280" w:space="300"/>
            <w:col w:w="308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1080" w:type="dxa"/>
        <w:tblCellMar>
          <w:top w:w="0" w:type="dxa"/>
          <w:left w:w="0" w:type="dxa"/>
          <w:bottom w:w="0" w:type="dxa"/>
          <w:right w:w="0" w:type="dxa"/>
        </w:tblCellMar>
      </w:tblPr>
      <w:tr>
        <w:trPr>
          <w:trHeight w:val="115"/>
        </w:trPr>
        <w:tc>
          <w:tcPr>
            <w:tcW w:w="7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440" w:type="dxa"/>
            <w:vAlign w:val="bottom"/>
            <w:vMerge w:val="restart"/>
          </w:tcPr>
          <w:p>
            <w:pPr>
              <w:ind w:left="27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6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100"/>
              <w:spacing w:after="0"/>
              <w:rPr>
                <w:sz w:val="20"/>
                <w:szCs w:val="20"/>
                <w:color w:val="auto"/>
              </w:rPr>
            </w:pPr>
            <w:r>
              <w:rPr>
                <w:rFonts w:ascii="Arial" w:cs="Arial" w:eastAsia="Arial" w:hAnsi="Arial"/>
                <w:sz w:val="12"/>
                <w:szCs w:val="12"/>
                <w:color w:val="auto"/>
              </w:rPr>
              <w:t>10.8(b)(vi)</w:t>
            </w:r>
          </w:p>
        </w:tc>
        <w:tc>
          <w:tcPr>
            <w:tcW w:w="5440" w:type="dxa"/>
            <w:vAlign w:val="bottom"/>
          </w:tcPr>
          <w:p>
            <w:pPr>
              <w:ind w:left="60"/>
              <w:spacing w:after="0"/>
              <w:rPr>
                <w:sz w:val="20"/>
                <w:szCs w:val="20"/>
                <w:color w:val="auto"/>
              </w:rPr>
            </w:pPr>
            <w:r>
              <w:rPr>
                <w:rFonts w:ascii="Arial" w:cs="Arial" w:eastAsia="Arial" w:hAnsi="Arial"/>
                <w:sz w:val="12"/>
                <w:szCs w:val="12"/>
                <w:color w:val="auto"/>
                <w:w w:val="91"/>
              </w:rPr>
              <w:t>Fifth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96"/>
              </w:rPr>
              <w:t>with regard to The Scotts Company Executive Retirement Plan (now known as The Scotts Company LLC</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Executive Retirement Plan) [dated as of December 20, 2000]</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10.8(b)(vii)</w:t>
            </w:r>
          </w:p>
        </w:tc>
        <w:tc>
          <w:tcPr>
            <w:tcW w:w="5440" w:type="dxa"/>
            <w:vAlign w:val="bottom"/>
          </w:tcPr>
          <w:p>
            <w:pPr>
              <w:ind w:left="60"/>
              <w:spacing w:after="0"/>
              <w:rPr>
                <w:sz w:val="20"/>
                <w:szCs w:val="20"/>
                <w:color w:val="auto"/>
              </w:rPr>
            </w:pPr>
            <w:r>
              <w:rPr>
                <w:rFonts w:ascii="Arial" w:cs="Arial" w:eastAsia="Arial" w:hAnsi="Arial"/>
                <w:sz w:val="12"/>
                <w:szCs w:val="12"/>
                <w:color w:val="auto"/>
                <w:w w:val="91"/>
              </w:rPr>
              <w:t>Sixth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96"/>
              </w:rPr>
              <w:t>with regard to The Scotts Company Executive Retirement Plan (now known as The Scotts Company LLC</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Executive Retirement Plan) [effective as of November 29, 2001]</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10.8(b)(viii)</w:t>
            </w:r>
          </w:p>
        </w:tc>
        <w:tc>
          <w:tcPr>
            <w:tcW w:w="5440" w:type="dxa"/>
            <w:vAlign w:val="bottom"/>
          </w:tcPr>
          <w:p>
            <w:pPr>
              <w:ind w:left="60"/>
              <w:spacing w:after="0"/>
              <w:rPr>
                <w:sz w:val="20"/>
                <w:szCs w:val="20"/>
                <w:color w:val="auto"/>
              </w:rPr>
            </w:pPr>
            <w:r>
              <w:rPr>
                <w:rFonts w:ascii="Arial" w:cs="Arial" w:eastAsia="Arial" w:hAnsi="Arial"/>
                <w:sz w:val="12"/>
                <w:szCs w:val="12"/>
                <w:color w:val="auto"/>
                <w:w w:val="88"/>
              </w:rPr>
              <w:t>Seventh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96"/>
              </w:rPr>
              <w:t>with regard to The Scotts Company Executive Retirement Plan (now known as The Scotts Company LLC</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Executive Retirement Plan) [dated as of September 1, 2002]</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10.8(b)(ix)</w:t>
            </w:r>
          </w:p>
        </w:tc>
        <w:tc>
          <w:tcPr>
            <w:tcW w:w="5440" w:type="dxa"/>
            <w:vAlign w:val="bottom"/>
          </w:tcPr>
          <w:p>
            <w:pPr>
              <w:ind w:left="60"/>
              <w:spacing w:after="0"/>
              <w:rPr>
                <w:sz w:val="20"/>
                <w:szCs w:val="20"/>
                <w:color w:val="auto"/>
              </w:rPr>
            </w:pPr>
            <w:r>
              <w:rPr>
                <w:rFonts w:ascii="Arial" w:cs="Arial" w:eastAsia="Arial" w:hAnsi="Arial"/>
                <w:sz w:val="12"/>
                <w:szCs w:val="12"/>
                <w:color w:val="auto"/>
                <w:w w:val="89"/>
              </w:rPr>
              <w:t>Eighth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96"/>
              </w:rPr>
              <w:t>with regard to The Scotts Company Executive Retirement Plan (now known as The Scotts Company LLC</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Executive Retirement Plan) [dated as of December 31, 2002]</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10.8(b)(x)</w:t>
            </w:r>
          </w:p>
        </w:tc>
        <w:tc>
          <w:tcPr>
            <w:tcW w:w="5440" w:type="dxa"/>
            <w:vAlign w:val="bottom"/>
          </w:tcPr>
          <w:p>
            <w:pPr>
              <w:ind w:left="60"/>
              <w:spacing w:after="0"/>
              <w:rPr>
                <w:sz w:val="20"/>
                <w:szCs w:val="20"/>
                <w:color w:val="auto"/>
              </w:rPr>
            </w:pPr>
            <w:r>
              <w:rPr>
                <w:rFonts w:ascii="Arial" w:cs="Arial" w:eastAsia="Arial" w:hAnsi="Arial"/>
                <w:sz w:val="12"/>
                <w:szCs w:val="12"/>
                <w:color w:val="auto"/>
                <w:w w:val="90"/>
              </w:rPr>
              <w:t>Ninth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96"/>
              </w:rPr>
              <w:t>with regard to The Scotts Company Executive Retirement Plan (now known as The Scotts Company LLC</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Executive Retirement Plan) [dated as of October 15, 2004]</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10.8(b)(xi)</w:t>
            </w:r>
          </w:p>
        </w:tc>
        <w:tc>
          <w:tcPr>
            <w:tcW w:w="5440" w:type="dxa"/>
            <w:vAlign w:val="bottom"/>
          </w:tcPr>
          <w:p>
            <w:pPr>
              <w:ind w:left="60"/>
              <w:spacing w:after="0"/>
              <w:rPr>
                <w:sz w:val="20"/>
                <w:szCs w:val="20"/>
                <w:color w:val="auto"/>
              </w:rPr>
            </w:pPr>
            <w:r>
              <w:rPr>
                <w:rFonts w:ascii="Arial" w:cs="Arial" w:eastAsia="Arial" w:hAnsi="Arial"/>
                <w:sz w:val="12"/>
                <w:szCs w:val="12"/>
                <w:color w:val="auto"/>
                <w:w w:val="90"/>
              </w:rPr>
              <w:t>Tenth Amendment to Trust Agreement between Fidelity Management Trust Company and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92"/>
              </w:rPr>
              <w:t>LLC with regard to The Scotts Company Executive Retirement Plan (now known as The Scotts Company LLC</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Executive Retirement Plan) [dated as of October 2, 2006]</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10.8(b)(xii)</w:t>
            </w:r>
          </w:p>
        </w:tc>
        <w:tc>
          <w:tcPr>
            <w:tcW w:w="5440" w:type="dxa"/>
            <w:vAlign w:val="bottom"/>
          </w:tcPr>
          <w:p>
            <w:pPr>
              <w:ind w:left="60"/>
              <w:spacing w:after="0"/>
              <w:rPr>
                <w:sz w:val="20"/>
                <w:szCs w:val="20"/>
                <w:color w:val="auto"/>
              </w:rPr>
            </w:pPr>
            <w:r>
              <w:rPr>
                <w:rFonts w:ascii="Arial" w:cs="Arial" w:eastAsia="Arial" w:hAnsi="Arial"/>
                <w:sz w:val="12"/>
                <w:szCs w:val="12"/>
                <w:color w:val="auto"/>
                <w:w w:val="96"/>
              </w:rPr>
              <w:t>Eleventh Amendment to Trust Agreement between Fidelity Management Trust Company and The Scotts</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94"/>
              </w:rPr>
              <w:t>Company LLC with regard to The Scotts Company LLC Executive Retirement Plan (dated as of February 9,</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10.8(c)</w:t>
            </w:r>
          </w:p>
        </w:tc>
        <w:tc>
          <w:tcPr>
            <w:tcW w:w="5440" w:type="dxa"/>
            <w:vAlign w:val="bottom"/>
          </w:tcPr>
          <w:p>
            <w:pPr>
              <w:ind w:left="60"/>
              <w:spacing w:after="0"/>
              <w:rPr>
                <w:sz w:val="20"/>
                <w:szCs w:val="20"/>
                <w:color w:val="auto"/>
              </w:rPr>
            </w:pPr>
            <w:r>
              <w:rPr>
                <w:rFonts w:ascii="Arial" w:cs="Arial" w:eastAsia="Arial" w:hAnsi="Arial"/>
                <w:sz w:val="12"/>
                <w:szCs w:val="12"/>
                <w:color w:val="auto"/>
                <w:w w:val="89"/>
              </w:rPr>
              <w:t>Form of Executive Retirement Plan Retention Award Agreement between The Scotts Company LLC and each of</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92"/>
              </w:rPr>
              <w:t>David C. Evans, Barry W. Sanders, Denise S. Stump and Vincent C. Brockman (entered into on November 4,</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2008)</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10.9(a)</w:t>
            </w:r>
          </w:p>
        </w:tc>
        <w:tc>
          <w:tcPr>
            <w:tcW w:w="5440" w:type="dxa"/>
            <w:vAlign w:val="bottom"/>
          </w:tcPr>
          <w:p>
            <w:pPr>
              <w:ind w:left="60"/>
              <w:spacing w:after="0"/>
              <w:rPr>
                <w:sz w:val="20"/>
                <w:szCs w:val="20"/>
                <w:color w:val="auto"/>
              </w:rPr>
            </w:pPr>
            <w:r>
              <w:rPr>
                <w:rFonts w:ascii="Arial" w:cs="Arial" w:eastAsia="Arial" w:hAnsi="Arial"/>
                <w:sz w:val="12"/>
                <w:szCs w:val="12"/>
                <w:color w:val="auto"/>
                <w:w w:val="89"/>
              </w:rPr>
              <w:t>The Scotts Miracle-Gro Company Amended and Restated 2003 Stock Option and Incentive Equity Plan (effective</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as of October 30, 2007)</w:t>
            </w:r>
          </w:p>
        </w:tc>
        <w:tc>
          <w:tcPr>
            <w:tcW w:w="0" w:type="dxa"/>
            <w:vAlign w:val="bottom"/>
          </w:tcPr>
          <w:p>
            <w:pPr>
              <w:spacing w:after="0"/>
              <w:rPr>
                <w:sz w:val="1"/>
                <w:szCs w:val="1"/>
                <w:color w:val="auto"/>
              </w:rPr>
            </w:pPr>
          </w:p>
        </w:tc>
      </w:tr>
      <w:tr>
        <w:trPr>
          <w:trHeight w:val="293"/>
        </w:trPr>
        <w:tc>
          <w:tcPr>
            <w:tcW w:w="760" w:type="dxa"/>
            <w:vAlign w:val="bottom"/>
          </w:tcPr>
          <w:p>
            <w:pPr>
              <w:ind w:left="100"/>
              <w:spacing w:after="0"/>
              <w:rPr>
                <w:sz w:val="20"/>
                <w:szCs w:val="20"/>
                <w:color w:val="auto"/>
              </w:rPr>
            </w:pPr>
            <w:r>
              <w:rPr>
                <w:rFonts w:ascii="Arial" w:cs="Arial" w:eastAsia="Arial" w:hAnsi="Arial"/>
                <w:sz w:val="12"/>
                <w:szCs w:val="12"/>
                <w:color w:val="auto"/>
              </w:rPr>
              <w:t>10.9(b)(i)</w:t>
            </w:r>
          </w:p>
        </w:tc>
        <w:tc>
          <w:tcPr>
            <w:tcW w:w="5440" w:type="dxa"/>
            <w:vAlign w:val="bottom"/>
          </w:tcPr>
          <w:p>
            <w:pPr>
              <w:ind w:left="60"/>
              <w:spacing w:after="0"/>
              <w:rPr>
                <w:sz w:val="20"/>
                <w:szCs w:val="20"/>
                <w:color w:val="auto"/>
              </w:rPr>
            </w:pPr>
            <w:r>
              <w:rPr>
                <w:rFonts w:ascii="Arial" w:cs="Arial" w:eastAsia="Arial" w:hAnsi="Arial"/>
                <w:sz w:val="12"/>
                <w:szCs w:val="12"/>
                <w:color w:val="auto"/>
                <w:w w:val="91"/>
              </w:rPr>
              <w:t>Specimen form of Award Agreement for Directors used to evidence grants of Nonqualified Stock Options made</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89"/>
              </w:rPr>
              <w:t>under The Scotts Company 2003 Stock Option and Incentive Equity Plan (now known as The Scotts Miracle-Gro</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Company Amended and Restated 2003 Stock Option and Incentive Equity Plan) [2003 version]</w:t>
            </w:r>
          </w:p>
        </w:tc>
        <w:tc>
          <w:tcPr>
            <w:tcW w:w="0" w:type="dxa"/>
            <w:vAlign w:val="bottom"/>
          </w:tcPr>
          <w:p>
            <w:pPr>
              <w:spacing w:after="0"/>
              <w:rPr>
                <w:sz w:val="1"/>
                <w:szCs w:val="1"/>
                <w:color w:val="auto"/>
              </w:rPr>
            </w:pPr>
          </w:p>
        </w:tc>
      </w:tr>
      <w:tr>
        <w:trPr>
          <w:trHeight w:val="299"/>
        </w:trPr>
        <w:tc>
          <w:tcPr>
            <w:tcW w:w="760" w:type="dxa"/>
            <w:vAlign w:val="bottom"/>
          </w:tcPr>
          <w:p>
            <w:pPr>
              <w:spacing w:after="0"/>
              <w:rPr>
                <w:sz w:val="24"/>
                <w:szCs w:val="24"/>
                <w:color w:val="auto"/>
              </w:rPr>
            </w:pPr>
          </w:p>
        </w:tc>
        <w:tc>
          <w:tcPr>
            <w:tcW w:w="5440" w:type="dxa"/>
            <w:vAlign w:val="bottom"/>
          </w:tcPr>
          <w:p>
            <w:pPr>
              <w:ind w:left="378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-3025775</wp:posOffset>
            </wp:positionV>
            <wp:extent cx="635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10.5(b)(vi)]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10.5(b)(vii)]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10.5(b)(viii)]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10.5(b)(ix)]</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10.5(b)(x)]</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10.5(b)(xi)]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10.5(b)(xii)]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Current</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8-K filed October 15, 2008 (File No. 1-11593)</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[Exhibit 10.2]</w:t>
      </w:r>
    </w:p>
    <w:p>
      <w:pPr>
        <w:spacing w:after="0" w:line="9" w:lineRule="exact"/>
        <w:rPr>
          <w:sz w:val="20"/>
          <w:szCs w:val="20"/>
          <w:color w:val="auto"/>
        </w:rPr>
      </w:pPr>
    </w:p>
    <w:p>
      <w:pPr>
        <w:ind w:right="100"/>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10(j)(3)]</w:t>
      </w:r>
    </w:p>
    <w:p>
      <w:pPr>
        <w:spacing w:after="0" w:line="1" w:lineRule="exact"/>
        <w:rPr>
          <w:sz w:val="20"/>
          <w:szCs w:val="20"/>
          <w:color w:val="auto"/>
        </w:rPr>
      </w:pPr>
    </w:p>
    <w:p>
      <w:pPr>
        <w:spacing w:after="0" w:line="299" w:lineRule="auto"/>
        <w:rPr>
          <w:sz w:val="20"/>
          <w:szCs w:val="20"/>
          <w:color w:val="auto"/>
        </w:rPr>
      </w:pPr>
      <w:r>
        <w:rPr>
          <w:rFonts w:ascii="Arial" w:cs="Arial" w:eastAsia="Arial" w:hAnsi="Arial"/>
          <w:sz w:val="11"/>
          <w:szCs w:val="11"/>
          <w:color w:val="auto"/>
        </w:rPr>
        <w:t>Incorporated herein by reference to the Current Report on Form 8-K of The Scotts Company, an Ohio corporation, filed November 19, 2004 (File No. 1-11593) [Exhibit 10.9]</w:t>
      </w:r>
    </w:p>
    <w:p>
      <w:pPr>
        <w:sectPr>
          <w:pgSz w:w="11900" w:h="16838" w:orient="portrait"/>
          <w:cols w:equalWidth="0" w:num="2">
            <w:col w:w="7280" w:space="300"/>
            <w:col w:w="3000"/>
          </w:cols>
          <w:pgMar w:left="220" w:top="343" w:right="109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120" w:type="dxa"/>
            <w:vAlign w:val="bottom"/>
          </w:tcPr>
          <w:p>
            <w:pPr>
              <w:ind w:left="4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380" w:type="dxa"/>
            <w:vAlign w:val="bottom"/>
            <w:vMerge w:val="restart"/>
          </w:tcPr>
          <w:p>
            <w:pPr>
              <w:ind w:left="244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120" w:type="dxa"/>
            <w:vAlign w:val="bottom"/>
          </w:tcPr>
          <w:p>
            <w:pPr>
              <w:ind w:left="500"/>
              <w:spacing w:after="0"/>
              <w:rPr>
                <w:sz w:val="20"/>
                <w:szCs w:val="20"/>
                <w:color w:val="auto"/>
              </w:rPr>
            </w:pPr>
            <w:r>
              <w:rPr>
                <w:rFonts w:ascii="Arial" w:cs="Arial" w:eastAsia="Arial" w:hAnsi="Arial"/>
                <w:sz w:val="12"/>
                <w:szCs w:val="12"/>
                <w:color w:val="auto"/>
              </w:rPr>
              <w:t>10.9(b)(ii)</w:t>
            </w:r>
          </w:p>
        </w:tc>
        <w:tc>
          <w:tcPr>
            <w:tcW w:w="10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Specimen form of Award Agreement for Directors used to evidence grants of Nonqualified Stock Options made</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under The Scotts Miracle-Gro Company 2003 Stock Option and Incentive Equity Plan (now known as The Scotts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Miracle-Gro Company Amended and Restated 2003 Stock Option and Incentive Equity Plan) [post-2003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10.9(c)(i)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Specimen form of Award Agreement for Nondirectors used to evidence grants of Incentive Stock Options,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2"/>
              </w:rPr>
              <w:t>Nonqualified Stock Options, Stock Appreciation Rights, Restricted Stock and Performance Stock made under</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The Scotts Company 2003 Stock Option and Incentive Equity Plan (now known as The Scotts Miracle-Gro</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Company Amended and Restated 2003 Stock Option and Incentive Equity Plan) [pre-December 1, 2004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10.9(c)(ii)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Specimen form of Award Agreement for Nondirectors used to evidence grants of Incentive Stock Options,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Nonqualified Stock Options, Stock Appreciation Rights, Restricted Stock and Performance Shares made under</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The Scotts Miracle-Gro Company 2003 Stock Option and Incentive Equity Plan (now known as The Scotts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0"/>
              </w:rPr>
              <w:t>Miracle-Gro Company Amended and Restated 2003 Stock Option and Incentive Equity Plan) [post-December 1,</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2004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10.10(a)(i)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The Scotts Miracle-Gro Company Amended and Restated 2006 Long-Term Incentive Plan (effective as of</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October 30, 2007)</w:t>
            </w:r>
          </w:p>
        </w:tc>
        <w:tc>
          <w:tcPr>
            <w:tcW w:w="0" w:type="dxa"/>
            <w:vAlign w:val="bottom"/>
          </w:tcPr>
          <w:p>
            <w:pPr>
              <w:spacing w:after="0"/>
              <w:rPr>
                <w:sz w:val="1"/>
                <w:szCs w:val="1"/>
                <w:color w:val="auto"/>
              </w:rPr>
            </w:pPr>
          </w:p>
        </w:tc>
      </w:tr>
      <w:tr>
        <w:trPr>
          <w:trHeight w:val="293"/>
        </w:trPr>
        <w:tc>
          <w:tcPr>
            <w:tcW w:w="1120" w:type="dxa"/>
            <w:vAlign w:val="bottom"/>
          </w:tcPr>
          <w:p>
            <w:pPr>
              <w:ind w:left="500"/>
              <w:spacing w:after="0"/>
              <w:rPr>
                <w:sz w:val="20"/>
                <w:szCs w:val="20"/>
                <w:color w:val="auto"/>
              </w:rPr>
            </w:pPr>
            <w:r>
              <w:rPr>
                <w:rFonts w:ascii="Arial" w:cs="Arial" w:eastAsia="Arial" w:hAnsi="Arial"/>
                <w:sz w:val="12"/>
                <w:szCs w:val="12"/>
                <w:color w:val="auto"/>
              </w:rPr>
              <w:t>10.10(a)(ii)</w:t>
            </w:r>
          </w:p>
        </w:tc>
        <w:tc>
          <w:tcPr>
            <w:tcW w:w="1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First Amendment to The Scotts Miracle-Gro Company Amended and Restated 2006 Long-Term Incentive Plan</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(effective as of January 20, 2010)</w:t>
            </w:r>
          </w:p>
        </w:tc>
        <w:tc>
          <w:tcPr>
            <w:tcW w:w="0" w:type="dxa"/>
            <w:vAlign w:val="bottom"/>
          </w:tcPr>
          <w:p>
            <w:pPr>
              <w:spacing w:after="0"/>
              <w:rPr>
                <w:sz w:val="1"/>
                <w:szCs w:val="1"/>
                <w:color w:val="auto"/>
              </w:rPr>
            </w:pPr>
          </w:p>
        </w:tc>
      </w:tr>
      <w:tr>
        <w:trPr>
          <w:trHeight w:val="293"/>
        </w:trPr>
        <w:tc>
          <w:tcPr>
            <w:tcW w:w="1120" w:type="dxa"/>
            <w:vAlign w:val="bottom"/>
          </w:tcPr>
          <w:p>
            <w:pPr>
              <w:ind w:left="500"/>
              <w:spacing w:after="0"/>
              <w:rPr>
                <w:sz w:val="20"/>
                <w:szCs w:val="20"/>
                <w:color w:val="auto"/>
              </w:rPr>
            </w:pPr>
            <w:r>
              <w:rPr>
                <w:rFonts w:ascii="Arial" w:cs="Arial" w:eastAsia="Arial" w:hAnsi="Arial"/>
                <w:sz w:val="12"/>
                <w:szCs w:val="12"/>
                <w:color w:val="auto"/>
              </w:rPr>
              <w:t>10.10(b)(i)</w:t>
            </w:r>
          </w:p>
        </w:tc>
        <w:tc>
          <w:tcPr>
            <w:tcW w:w="1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7"/>
              </w:rPr>
              <w:t>Specimen form of Award Agreement for Nonemployee Directors used to evidence grants of Time-Based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Nonqualified Stock Options which may be made under The Scotts Miracle-Gro Company 2006 Long-Term</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Incentive Plan (now known as The Scotts Miracle-Gro Company Amended and Restated 2006 Long-Term</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Incentive Plan)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10.10(b)(ii)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3"/>
              </w:rPr>
              <w:t>Specimen form of Deferred Stock Unit Award Agreement for Nonemployee Directors (with Related Dividend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3"/>
              </w:rPr>
              <w:t>Equivalents) used to evidence grants of Deferred Stock Units made under The Scotts Miracle-Gro Company</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2"/>
              </w:rPr>
              <w:t>Amended and Restated 2006 Long-Term Incentive Plan (February 4, 2008 through January 22, 2009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w w:val="98"/>
              </w:rPr>
              <w:t>10.10(b)(iii)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3"/>
              </w:rPr>
              <w:t>Specimen form of Deferred Stock Unit Award Agreement for Nonemployee Directors (with Related Dividend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0"/>
              </w:rPr>
              <w:t>Equivalents) used to evidence grants of Deferred Stock Units which may be made under The Scotts Miracle-Gro</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Company Amended and Restated 2006 Long-Term Incentive Plan (post-January 22, 2009 version)</w:t>
            </w:r>
          </w:p>
        </w:tc>
        <w:tc>
          <w:tcPr>
            <w:tcW w:w="0" w:type="dxa"/>
            <w:vAlign w:val="bottom"/>
          </w:tcPr>
          <w:p>
            <w:pPr>
              <w:spacing w:after="0"/>
              <w:rPr>
                <w:sz w:val="1"/>
                <w:szCs w:val="1"/>
                <w:color w:val="auto"/>
              </w:rPr>
            </w:pPr>
          </w:p>
        </w:tc>
      </w:tr>
      <w:tr>
        <w:trPr>
          <w:trHeight w:val="299"/>
        </w:trPr>
        <w:tc>
          <w:tcPr>
            <w:tcW w:w="1120" w:type="dxa"/>
            <w:vAlign w:val="bottom"/>
          </w:tcPr>
          <w:p>
            <w:pPr>
              <w:spacing w:after="0"/>
              <w:rPr>
                <w:sz w:val="24"/>
                <w:szCs w:val="24"/>
                <w:color w:val="auto"/>
              </w:rPr>
            </w:pPr>
          </w:p>
        </w:tc>
        <w:tc>
          <w:tcPr>
            <w:tcW w:w="5480" w:type="dxa"/>
            <w:vAlign w:val="bottom"/>
            <w:gridSpan w:val="2"/>
          </w:tcPr>
          <w:p>
            <w:pPr>
              <w:jc w:val="right"/>
              <w:ind w:right="1481"/>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34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95961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59610" cy="6350"/>
                    </a:xfrm>
                    <a:prstGeom prst="rect">
                      <a:avLst/>
                    </a:prstGeom>
                    <a:noFill/>
                  </pic:spPr>
                </pic:pic>
              </a:graphicData>
            </a:graphic>
          </wp:anchor>
        </w:drawing>
      </w:r>
    </w:p>
    <w:p>
      <w:pPr>
        <w:spacing w:after="0" w:line="32"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2005 (File No. 1-11593) [Exhibit 10(v)]</w:t>
      </w:r>
    </w:p>
    <w:p>
      <w:pPr>
        <w:spacing w:after="0" w:line="1" w:lineRule="exact"/>
        <w:rPr>
          <w:sz w:val="20"/>
          <w:szCs w:val="20"/>
          <w:color w:val="auto"/>
        </w:rPr>
      </w:pPr>
    </w:p>
    <w:p>
      <w:pPr>
        <w:spacing w:after="0" w:line="299" w:lineRule="auto"/>
        <w:rPr>
          <w:sz w:val="20"/>
          <w:szCs w:val="20"/>
          <w:color w:val="auto"/>
        </w:rPr>
      </w:pPr>
      <w:r>
        <w:rPr>
          <w:rFonts w:ascii="Arial" w:cs="Arial" w:eastAsia="Arial" w:hAnsi="Arial"/>
          <w:sz w:val="11"/>
          <w:szCs w:val="11"/>
          <w:color w:val="auto"/>
        </w:rPr>
        <w:t>Incorporated herein by reference to the Current Report on Form 8-K of The Scotts Company, an Ohio corporation, filed November 19, 2004 (File No. 1-11593) [Exhibit 10.8]</w:t>
      </w:r>
    </w:p>
    <w:p>
      <w:pPr>
        <w:spacing w:after="0" w:line="115" w:lineRule="exact"/>
        <w:rPr>
          <w:sz w:val="20"/>
          <w:szCs w:val="20"/>
          <w:color w:val="auto"/>
        </w:rPr>
      </w:pPr>
    </w:p>
    <w:p>
      <w:pPr>
        <w:ind w:right="100"/>
        <w:spacing w:after="0" w:line="26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2005 (File No. 1-11593) [Exhibit 10(u)]</w:t>
      </w:r>
    </w:p>
    <w:p>
      <w:pPr>
        <w:spacing w:after="0" w:line="278" w:lineRule="exact"/>
        <w:rPr>
          <w:sz w:val="20"/>
          <w:szCs w:val="20"/>
          <w:color w:val="auto"/>
        </w:rPr>
      </w:pPr>
    </w:p>
    <w:p>
      <w:pPr>
        <w:ind w:right="100"/>
        <w:spacing w:after="0" w:line="280"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10(r)(2)]</w:t>
      </w:r>
    </w:p>
    <w:p>
      <w:pPr>
        <w:spacing w:after="0" w:line="1" w:lineRule="exact"/>
        <w:rPr>
          <w:sz w:val="20"/>
          <w:szCs w:val="20"/>
          <w:color w:val="auto"/>
        </w:rPr>
      </w:pPr>
    </w:p>
    <w:p>
      <w:pPr>
        <w:jc w:val="both"/>
        <w:ind w:right="8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April 3, 2010 (File No. 1-11593) [Exhibit 10.1]</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2"/>
          <w:szCs w:val="12"/>
          <w:color w:val="auto"/>
        </w:rPr>
        <w:t>Incorporated herein by reference to the Registrant’s Current Report on Form 8-K filed February 2, 2006 (File No. 1-11593) [Exhibit 10.3]</w:t>
      </w:r>
    </w:p>
    <w:p>
      <w:pPr>
        <w:spacing w:after="0" w:line="133" w:lineRule="exact"/>
        <w:rPr>
          <w:sz w:val="20"/>
          <w:szCs w:val="20"/>
          <w:color w:val="auto"/>
        </w:rPr>
      </w:pPr>
    </w:p>
    <w:p>
      <w:pPr>
        <w:ind w:right="20"/>
        <w:spacing w:after="0" w:line="280"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December 29, 2007 (File No. 1-11593) [Exhibit 10(m)]</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March 28, 2009 (File No. 1-11593) [Exhibit 10.1]</w:t>
      </w:r>
    </w:p>
    <w:p>
      <w:pPr>
        <w:sectPr>
          <w:pgSz w:w="11900" w:h="16838" w:orient="portrait"/>
          <w:cols w:equalWidth="0" w:num="2">
            <w:col w:w="7280" w:space="300"/>
            <w:col w:w="3000"/>
          </w:cols>
          <w:pgMar w:left="220" w:top="343" w:right="109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120" w:type="dxa"/>
            <w:vAlign w:val="bottom"/>
          </w:tcPr>
          <w:p>
            <w:pPr>
              <w:ind w:left="4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380" w:type="dxa"/>
            <w:vAlign w:val="bottom"/>
            <w:vMerge w:val="restart"/>
          </w:tcPr>
          <w:p>
            <w:pPr>
              <w:ind w:left="244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120" w:type="dxa"/>
            <w:vAlign w:val="bottom"/>
          </w:tcPr>
          <w:p>
            <w:pPr>
              <w:ind w:left="500"/>
              <w:spacing w:after="0"/>
              <w:rPr>
                <w:sz w:val="20"/>
                <w:szCs w:val="20"/>
                <w:color w:val="auto"/>
              </w:rPr>
            </w:pPr>
            <w:r>
              <w:rPr>
                <w:rFonts w:ascii="Arial" w:cs="Arial" w:eastAsia="Arial" w:hAnsi="Arial"/>
                <w:sz w:val="12"/>
                <w:szCs w:val="12"/>
                <w:color w:val="auto"/>
              </w:rPr>
              <w:t>10.10(c)</w:t>
            </w:r>
          </w:p>
        </w:tc>
        <w:tc>
          <w:tcPr>
            <w:tcW w:w="10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3"/>
              </w:rPr>
              <w:t>Specimen form of Deferred Stock Unit Award Agreement for Nonemployee Directors (with Related Dividend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0"/>
              </w:rPr>
              <w:t>Equivalents) used to evidence grants of Deferred Stock Units which may be made under The Scotts Miracle-Gro</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8"/>
              </w:rPr>
              <w:t>Company Amended and Restated 2006 Long-Term Incentive Plan (Deferral of Cash Retainer — post-January 21,</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2010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10.10(d)(i)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2"/>
              </w:rPr>
              <w:t>Specimen form of Award Agreement used to evidence grants of Restricted Stock Units, Performance Shares,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4"/>
              </w:rPr>
              <w:t>Nonqualified Stock Options, Incentive Stock Options, Restricted Stock and Stock Appreciation Rights made</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0"/>
              </w:rPr>
              <w:t>under The Scotts Miracle-Gro Company 2006 Long-Term Incentive Plan (now known as The Scotts Miracle-Gro</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Company Amended and Restated 2006 Long-Term Incentive Plan) [pre-October 30, 2007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10.10(d)(ii)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4"/>
              </w:rPr>
              <w:t>Specimen form of Award Agreement for Employees used to evidence grants of Nonqualified Stock Options,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Restricted Stock, Performance Shares and Restricted Stock Units made under The Scotts Miracle-Gro Company</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0"/>
              </w:rPr>
              <w:t>2006 Long-Term Incentive Plan (now known as The Scotts Miracle-Gro Company Amended and Restated 2006</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Long-Term Incentive Plan) [French Specimen] (pre-November 6, 2007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10.10(e)(i)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2"/>
              </w:rPr>
              <w:t>Specimen form of Restricted Stock Unit Award Agreement for Employees (with Related Dividend Equivalents)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used to evidence grants of Restricted Stock Units made under The Scotts Miracle-Gro Company Amended and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Restated 2006 Long-Term Incentive Plan (October 9, 2008 through January 19, 2010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10.10(e)(ii)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2"/>
              </w:rPr>
              <w:t>Specimen form of Restricted Stock Unit Award Agreement for Employees (with Related Dividend Equivalents)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used to evidence grants of Restricted Stock Units which may be made under The Scotts Miracle-Gro Company</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Amended and Restated 2006 Long-Term Incentive Plan (post-January 19, 2010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w w:val="98"/>
              </w:rPr>
              <w:t>10.10(e)(iii)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Special Restricted Stock Unit Award Agreement for Employees (with Related Dividend Equivalents) evidencing</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6"/>
              </w:rPr>
              <w:t>grant of Restricted Stock Units made on October 8, 2008 to Mark R. Baker under The Scotts Miracle-Gro</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Company Amended and Restated 2006 Long-Term Incentive Plan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w w:val="97"/>
              </w:rPr>
              <w:t>10.10(e)(iv)</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2"/>
              </w:rPr>
              <w:t>Specimen form of Restricted Stock Unit Award Agreement for Employees (with Related Dividend Equivalents)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used to evidence grants of Restricted Stock Units made under The Scotts Miracle-Gro Company Amended and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8"/>
              </w:rPr>
              <w:t>Restated 2006 Long-Term Incentive Plan (French Specimen) [October 8, 2008 through January 19, 2010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10.6(e)(v)</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2"/>
              </w:rPr>
              <w:t>Specimen form of Restricted Stock Unit Award Agreement for Employees (with Related Dividend Equivalents)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used to evidence grants of Restricted Stock Units which may be made under The Scotts Miracle-Gro Company</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3"/>
              </w:rPr>
              <w:t>Amended and Restated 2006 Long-Term Incentive Plan (French Specimen) [post-January 19, 2010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w w:val="97"/>
              </w:rPr>
              <w:t>10.10(e)(vi)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7"/>
              </w:rPr>
              <w:t>Special Restricted Stock Unit Award Agreement (with Related Dividend Equivalents) evidencing grant of</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3"/>
              </w:rPr>
              <w:t>Restricted Stock Units made on November 4, 2008 to Claude Lopez under The Scotts Miracle-Gro Company</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Amended and Restated 2006 Long-Term Incentive Plan</w:t>
            </w:r>
          </w:p>
        </w:tc>
        <w:tc>
          <w:tcPr>
            <w:tcW w:w="0" w:type="dxa"/>
            <w:vAlign w:val="bottom"/>
          </w:tcPr>
          <w:p>
            <w:pPr>
              <w:spacing w:after="0"/>
              <w:rPr>
                <w:sz w:val="1"/>
                <w:szCs w:val="1"/>
                <w:color w:val="auto"/>
              </w:rPr>
            </w:pPr>
          </w:p>
        </w:tc>
      </w:tr>
      <w:tr>
        <w:trPr>
          <w:trHeight w:val="299"/>
        </w:trPr>
        <w:tc>
          <w:tcPr>
            <w:tcW w:w="1120" w:type="dxa"/>
            <w:vAlign w:val="bottom"/>
          </w:tcPr>
          <w:p>
            <w:pPr>
              <w:spacing w:after="0"/>
              <w:rPr>
                <w:sz w:val="24"/>
                <w:szCs w:val="24"/>
                <w:color w:val="auto"/>
              </w:rPr>
            </w:pPr>
          </w:p>
        </w:tc>
        <w:tc>
          <w:tcPr>
            <w:tcW w:w="5480" w:type="dxa"/>
            <w:vAlign w:val="bottom"/>
            <w:gridSpan w:val="2"/>
          </w:tcPr>
          <w:p>
            <w:pPr>
              <w:jc w:val="right"/>
              <w:ind w:right="1481"/>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34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95961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59610" cy="6350"/>
                    </a:xfrm>
                    <a:prstGeom prst="rect">
                      <a:avLst/>
                    </a:prstGeom>
                    <a:noFill/>
                  </pic:spPr>
                </pic:pic>
              </a:graphicData>
            </a:graphic>
          </wp:anchor>
        </w:drawing>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January 2, 2010 (File No. 1-11593) [Exhibit 10.1]</w:t>
      </w:r>
    </w:p>
    <w:p>
      <w:pPr>
        <w:spacing w:after="0" w:line="131" w:lineRule="exact"/>
        <w:rPr>
          <w:sz w:val="20"/>
          <w:szCs w:val="20"/>
          <w:color w:val="auto"/>
        </w:rPr>
      </w:pPr>
    </w:p>
    <w:p>
      <w:pPr>
        <w:spacing w:after="0" w:line="301"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December 31, 2005 (File No. 1-11593) [Exhibit 10(b)]</w:t>
      </w:r>
    </w:p>
    <w:p>
      <w:pPr>
        <w:spacing w:after="0" w:line="114" w:lineRule="exact"/>
        <w:rPr>
          <w:sz w:val="20"/>
          <w:szCs w:val="20"/>
          <w:color w:val="auto"/>
        </w:rPr>
      </w:pPr>
    </w:p>
    <w:p>
      <w:pPr>
        <w:spacing w:after="0" w:line="301"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December 30, 2006 (File No. 1-11593) [Exhibit 10.4]</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10.7(d)(i)]</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Incorporated herein by reference to the Registrant’s Quarterly</w:t>
      </w:r>
    </w:p>
    <w:p>
      <w:pPr>
        <w:spacing w:after="0" w:line="44"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10-Q for the quarterly period ended January 2,</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2010 (File No. 1-11593) [Exhibit 10.2]</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10.7(d)(ii)]</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Incorporated herein by reference to the Registrant’s Quarterly</w:t>
      </w:r>
    </w:p>
    <w:p>
      <w:pPr>
        <w:spacing w:after="0" w:line="44"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10-Q for the quarterly period ended December</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27, 2008 (File No. 1-11593) [Exhibit 10.7]</w:t>
      </w:r>
    </w:p>
    <w:p>
      <w:pPr>
        <w:spacing w:after="0" w:line="9"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January 2, 2010 (File No. 1-11593) [Exhibit 10.3]</w:t>
      </w:r>
    </w:p>
    <w:p>
      <w:pPr>
        <w:spacing w:after="0" w:line="1" w:lineRule="exact"/>
        <w:rPr>
          <w:sz w:val="20"/>
          <w:szCs w:val="20"/>
          <w:color w:val="auto"/>
        </w:rPr>
      </w:pPr>
    </w:p>
    <w:p>
      <w:pPr>
        <w:ind w:right="80"/>
        <w:spacing w:after="0" w:line="29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1-11593) [Exhibit 10.7(d)(iii)]</w:t>
      </w:r>
    </w:p>
    <w:p>
      <w:pPr>
        <w:sectPr>
          <w:pgSz w:w="11900" w:h="16838" w:orient="portrait"/>
          <w:cols w:equalWidth="0" w:num="2">
            <w:col w:w="7280" w:space="300"/>
            <w:col w:w="2980"/>
          </w:cols>
          <w:pgMar w:left="220" w:top="343" w:right="11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120" w:type="dxa"/>
            <w:vAlign w:val="bottom"/>
          </w:tcPr>
          <w:p>
            <w:pPr>
              <w:ind w:left="4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380" w:type="dxa"/>
            <w:vAlign w:val="bottom"/>
            <w:vMerge w:val="restart"/>
          </w:tcPr>
          <w:p>
            <w:pPr>
              <w:ind w:left="244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120" w:type="dxa"/>
            <w:vAlign w:val="bottom"/>
          </w:tcPr>
          <w:p>
            <w:pPr>
              <w:ind w:left="500"/>
              <w:spacing w:after="0"/>
              <w:rPr>
                <w:sz w:val="20"/>
                <w:szCs w:val="20"/>
                <w:color w:val="auto"/>
              </w:rPr>
            </w:pPr>
            <w:r>
              <w:rPr>
                <w:rFonts w:ascii="Arial" w:cs="Arial" w:eastAsia="Arial" w:hAnsi="Arial"/>
                <w:sz w:val="12"/>
                <w:szCs w:val="12"/>
                <w:color w:val="auto"/>
              </w:rPr>
              <w:t>10.10(f)(i)</w:t>
            </w:r>
          </w:p>
        </w:tc>
        <w:tc>
          <w:tcPr>
            <w:tcW w:w="10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8"/>
              </w:rPr>
              <w:t>Special Performance Share Award Agreement (with Related Dividend Equivalents) evidencing grant of</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Performance Shares made on October 30, 2007 to Barry W. Sanders under The Scotts Miracle-Gro Company</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4"/>
              </w:rPr>
              <w:t>Amended and Restated 2006 Long-Term Incentive Plan (executed by The Scotts Miracle-Gro Company on</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December 20, 2007 and by Barry W. Sanders on January 7, 2008)</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10.10(f)(ii)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Special Performance Unit Award Agreement (with Related Dividend Equivalents) evidencing grant of</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Performance Units made on October 1, 2010 to Claude Lopez under The Scotts Miracle-Gro Company Amended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and Restated 2006 Long-term Incentive Plan, as amended</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10.10(g)(i)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0"/>
              </w:rPr>
              <w:t>Nonqualified Stock Options made under The Scotts Miracle-Gro Company 2006 Long-Term Incentive Plan (now</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9"/>
              </w:rPr>
              <w:t>known as The Scotts Miracle-Gro Company Amended and Restated 2006 Long-Term Incentive Plan)</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[October 30, 2007 through October 8, 2008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10.10(g)(ii)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Nonqualified Stock Options made under The Scotts Miracle-Gro Company Amended and Restated 2006 Long-</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Term Incentive Plan (October 9, 2008 through January 19, 2010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w w:val="98"/>
              </w:rPr>
              <w:t>10.10(g)(iii)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Nonqualified Stock Options which may be made under The Scotts Miracle-Gro Company Amended and Restated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2006 Long-Term Incentive Plan (post-January 19, 2010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w w:val="97"/>
              </w:rPr>
              <w:t>10.10(g)(iv)</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4"/>
              </w:rPr>
              <w:t>Special Nonqualified Stock Option Award Agreement for Employees evidencing grant of Nonqualified Stock</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4"/>
              </w:rPr>
              <w:t>Options made on October 8, 2008 to Mark R. Baker under The Scotts Miracle-Gro Company Amended and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Restated 2006 Long-Term Incentive Plan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10.10(g)(v)</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Nonqualified Stock Options made under The Scotts Miracle-Gro Company Amended and Restated 2006 Long-</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Term Incentive Plan (French Specimen) [November 6, 2007 through October 7, 2008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w w:val="97"/>
              </w:rPr>
              <w:t>10.10(g)(vi)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Nonqualified Stock Options which may be made under The Scotts Miracle-Gro Company Amended and Restated</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2006 Long-Term Incentive Plan (French Specimen) [post-October 7, 2008 version]</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10.10(h)(i)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2"/>
              </w:rPr>
              <w:t>Form of letter agreement amending grants of Restricted Stock made under The Scotts Miracle-Gro Company</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0"/>
              </w:rPr>
              <w:t>2006 Long-Term Incentive Plan (now known as The Scotts Miracle-Gro Company Amended and Restated 2006</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Long-Term Incentive Plan) [effective as of October 30, 2007]</w:t>
            </w:r>
          </w:p>
        </w:tc>
        <w:tc>
          <w:tcPr>
            <w:tcW w:w="0" w:type="dxa"/>
            <w:vAlign w:val="bottom"/>
          </w:tcPr>
          <w:p>
            <w:pPr>
              <w:spacing w:after="0"/>
              <w:rPr>
                <w:sz w:val="1"/>
                <w:szCs w:val="1"/>
                <w:color w:val="auto"/>
              </w:rPr>
            </w:pPr>
          </w:p>
        </w:tc>
      </w:tr>
      <w:tr>
        <w:trPr>
          <w:trHeight w:val="147"/>
        </w:trPr>
        <w:tc>
          <w:tcPr>
            <w:tcW w:w="1120" w:type="dxa"/>
            <w:vAlign w:val="bottom"/>
          </w:tcPr>
          <w:p>
            <w:pPr>
              <w:ind w:left="500"/>
              <w:spacing w:after="0"/>
              <w:rPr>
                <w:sz w:val="20"/>
                <w:szCs w:val="20"/>
                <w:color w:val="auto"/>
              </w:rPr>
            </w:pPr>
            <w:r>
              <w:rPr>
                <w:rFonts w:ascii="Arial" w:cs="Arial" w:eastAsia="Arial" w:hAnsi="Arial"/>
                <w:sz w:val="12"/>
                <w:szCs w:val="12"/>
                <w:color w:val="auto"/>
              </w:rPr>
              <w:t>10.10(h)(ii)</w:t>
            </w: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Specimen form of Restricted Stock Award Agreement for Employees used to evidence grants of Restricted Stock</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5"/>
              </w:rPr>
              <w:t>made under The Scotts Miracle-Gro Company 2006 Long-Term Incentive Plan (now known as The Scotts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4"/>
              </w:rPr>
              <w:t>Miracle-Gro Company Amended and Restated 2006 Long-Term Incentive Plan) [October 30, 2007 through</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October 8, 2008 version]</w:t>
            </w:r>
          </w:p>
        </w:tc>
        <w:tc>
          <w:tcPr>
            <w:tcW w:w="0" w:type="dxa"/>
            <w:vAlign w:val="bottom"/>
          </w:tcPr>
          <w:p>
            <w:pPr>
              <w:spacing w:after="0"/>
              <w:rPr>
                <w:sz w:val="1"/>
                <w:szCs w:val="1"/>
                <w:color w:val="auto"/>
              </w:rPr>
            </w:pPr>
          </w:p>
        </w:tc>
      </w:tr>
      <w:tr>
        <w:trPr>
          <w:trHeight w:val="299"/>
        </w:trPr>
        <w:tc>
          <w:tcPr>
            <w:tcW w:w="1120" w:type="dxa"/>
            <w:vAlign w:val="bottom"/>
          </w:tcPr>
          <w:p>
            <w:pPr>
              <w:spacing w:after="0"/>
              <w:rPr>
                <w:sz w:val="24"/>
                <w:szCs w:val="24"/>
                <w:color w:val="auto"/>
              </w:rPr>
            </w:pPr>
          </w:p>
        </w:tc>
        <w:tc>
          <w:tcPr>
            <w:tcW w:w="5480" w:type="dxa"/>
            <w:vAlign w:val="bottom"/>
            <w:gridSpan w:val="2"/>
          </w:tcPr>
          <w:p>
            <w:pPr>
              <w:jc w:val="right"/>
              <w:ind w:right="1481"/>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34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95961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59610" cy="6350"/>
                    </a:xfrm>
                    <a:prstGeom prst="rect">
                      <a:avLst/>
                    </a:prstGeom>
                    <a:noFill/>
                  </pic:spPr>
                </pic:pic>
              </a:graphicData>
            </a:graphic>
          </wp:anchor>
        </w:drawing>
      </w:r>
    </w:p>
    <w:p>
      <w:pPr>
        <w:spacing w:after="0" w:line="32" w:lineRule="exact"/>
        <w:rPr>
          <w:sz w:val="20"/>
          <w:szCs w:val="20"/>
          <w:color w:val="auto"/>
        </w:rPr>
      </w:pPr>
    </w:p>
    <w:p>
      <w:pPr>
        <w:spacing w:after="0" w:line="301"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December 29, 2007 (File No. 1-11593) [Exhibit 10(n)]</w:t>
      </w:r>
    </w:p>
    <w:p>
      <w:pPr>
        <w:spacing w:after="0" w:line="114" w:lineRule="exact"/>
        <w:rPr>
          <w:sz w:val="20"/>
          <w:szCs w:val="20"/>
          <w:color w:val="auto"/>
        </w:rPr>
      </w:pPr>
    </w:p>
    <w:p>
      <w:pPr>
        <w:ind w:right="160"/>
        <w:spacing w:after="0" w:line="257" w:lineRule="auto"/>
        <w:rPr>
          <w:sz w:val="20"/>
          <w:szCs w:val="20"/>
          <w:color w:val="auto"/>
        </w:rPr>
      </w:pPr>
      <w:r>
        <w:rPr>
          <w:rFonts w:ascii="Arial" w:cs="Arial" w:eastAsia="Arial" w:hAnsi="Arial"/>
          <w:sz w:val="12"/>
          <w:szCs w:val="12"/>
          <w:color w:val="auto"/>
        </w:rPr>
        <w:t>Incorporated herein by reference to the Registrant’s Current Report on Form 8-K filed June 4, 2010 (File No. 1-11593) [Included in Exhibit 10.1]</w:t>
      </w:r>
    </w:p>
    <w:p>
      <w:pPr>
        <w:spacing w:after="0" w:line="1" w:lineRule="exact"/>
        <w:rPr>
          <w:sz w:val="20"/>
          <w:szCs w:val="20"/>
          <w:color w:val="auto"/>
        </w:rPr>
      </w:pPr>
    </w:p>
    <w:p>
      <w:pPr>
        <w:ind w:right="80"/>
        <w:spacing w:after="0" w:line="29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10(t)(3)]</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10.7(f)(ii)]</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Incorporated herein by reference to the Registrant’s Quarterly</w:t>
      </w:r>
    </w:p>
    <w:p>
      <w:pPr>
        <w:spacing w:after="0" w:line="44"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10-Q for the quarterly period ended January 2,</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2010 (File No. 1-11593) [Exhibit 10.4]</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10-K for the fiscal year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10.7(f)(iii)]</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Incorporated herein by reference to the Registrant’s Quarterly</w:t>
      </w:r>
    </w:p>
    <w:p>
      <w:pPr>
        <w:spacing w:after="0" w:line="44" w:lineRule="exact"/>
        <w:rPr>
          <w:sz w:val="20"/>
          <w:szCs w:val="20"/>
          <w:color w:val="auto"/>
        </w:rPr>
      </w:pPr>
    </w:p>
    <w:p>
      <w:pPr>
        <w:spacing w:after="0"/>
        <w:rPr>
          <w:sz w:val="20"/>
          <w:szCs w:val="20"/>
          <w:color w:val="auto"/>
        </w:rPr>
      </w:pPr>
      <w:r>
        <w:rPr>
          <w:rFonts w:ascii="Arial" w:cs="Arial" w:eastAsia="Arial" w:hAnsi="Arial"/>
          <w:sz w:val="9"/>
          <w:szCs w:val="9"/>
          <w:color w:val="auto"/>
        </w:rPr>
        <w:t>Report on Form 10-Q for the quarterly period ended March 29,</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10(c)(2)]</w:t>
      </w:r>
    </w:p>
    <w:p>
      <w:pPr>
        <w:spacing w:after="0" w:line="9"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December 27, 2008 (File No. 1-11593) [Exhibit 10.11]</w:t>
      </w:r>
    </w:p>
    <w:p>
      <w:pPr>
        <w:spacing w:after="0" w:line="1" w:lineRule="exact"/>
        <w:rPr>
          <w:sz w:val="20"/>
          <w:szCs w:val="20"/>
          <w:color w:val="auto"/>
        </w:rPr>
      </w:pPr>
    </w:p>
    <w:p>
      <w:pPr>
        <w:ind w:right="80"/>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10(t)(2)]</w:t>
      </w:r>
    </w:p>
    <w:p>
      <w:pPr>
        <w:spacing w:after="0" w:line="1" w:lineRule="exact"/>
        <w:rPr>
          <w:sz w:val="20"/>
          <w:szCs w:val="20"/>
          <w:color w:val="auto"/>
        </w:rPr>
      </w:pPr>
    </w:p>
    <w:p>
      <w:pPr>
        <w:ind w:right="80"/>
        <w:spacing w:after="0" w:line="29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10(t)(4)]</w:t>
      </w:r>
    </w:p>
    <w:p>
      <w:pPr>
        <w:sectPr>
          <w:pgSz w:w="11900" w:h="16838" w:orient="portrait"/>
          <w:cols w:equalWidth="0" w:num="2">
            <w:col w:w="7280" w:space="300"/>
            <w:col w:w="2980"/>
          </w:cols>
          <w:pgMar w:left="220" w:top="343" w:right="11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1080" w:type="dxa"/>
        <w:tblCellMar>
          <w:top w:w="0" w:type="dxa"/>
          <w:left w:w="0" w:type="dxa"/>
          <w:bottom w:w="0" w:type="dxa"/>
          <w:right w:w="0" w:type="dxa"/>
        </w:tblCellMar>
      </w:tblPr>
      <w:tr>
        <w:trPr>
          <w:trHeight w:val="115"/>
        </w:trPr>
        <w:tc>
          <w:tcPr>
            <w:tcW w:w="7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440" w:type="dxa"/>
            <w:vAlign w:val="bottom"/>
            <w:vMerge w:val="restart"/>
          </w:tcPr>
          <w:p>
            <w:pPr>
              <w:ind w:left="27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76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100"/>
              <w:spacing w:after="0"/>
              <w:rPr>
                <w:sz w:val="20"/>
                <w:szCs w:val="20"/>
                <w:color w:val="auto"/>
              </w:rPr>
            </w:pPr>
            <w:r>
              <w:rPr>
                <w:rFonts w:ascii="Arial" w:cs="Arial" w:eastAsia="Arial" w:hAnsi="Arial"/>
                <w:sz w:val="12"/>
                <w:szCs w:val="12"/>
                <w:color w:val="auto"/>
              </w:rPr>
              <w:t>10.10(h)(iii)</w:t>
            </w:r>
          </w:p>
        </w:tc>
        <w:tc>
          <w:tcPr>
            <w:tcW w:w="5440" w:type="dxa"/>
            <w:vAlign w:val="bottom"/>
          </w:tcPr>
          <w:p>
            <w:pPr>
              <w:ind w:left="60"/>
              <w:spacing w:after="0"/>
              <w:rPr>
                <w:sz w:val="20"/>
                <w:szCs w:val="20"/>
                <w:color w:val="auto"/>
              </w:rPr>
            </w:pPr>
            <w:r>
              <w:rPr>
                <w:rFonts w:ascii="Arial" w:cs="Arial" w:eastAsia="Arial" w:hAnsi="Arial"/>
                <w:sz w:val="12"/>
                <w:szCs w:val="12"/>
                <w:color w:val="auto"/>
                <w:w w:val="89"/>
              </w:rPr>
              <w:t>Specimen form of Restricted Stock Award Agreement for Employees used to evidence grants of Restricted Stock</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90"/>
              </w:rPr>
              <w:t>which may be made under The Scotts Miracle-Gro Company Amended and Restated 2006 Long-Term Incentive</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Plan (effective October 8, 2008)</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10.10(h)(iv)</w:t>
            </w:r>
          </w:p>
        </w:tc>
        <w:tc>
          <w:tcPr>
            <w:tcW w:w="5440" w:type="dxa"/>
            <w:vAlign w:val="bottom"/>
          </w:tcPr>
          <w:p>
            <w:pPr>
              <w:ind w:left="60"/>
              <w:spacing w:after="0"/>
              <w:rPr>
                <w:sz w:val="20"/>
                <w:szCs w:val="20"/>
                <w:color w:val="auto"/>
              </w:rPr>
            </w:pPr>
            <w:r>
              <w:rPr>
                <w:rFonts w:ascii="Arial" w:cs="Arial" w:eastAsia="Arial" w:hAnsi="Arial"/>
                <w:sz w:val="12"/>
                <w:szCs w:val="12"/>
                <w:color w:val="auto"/>
                <w:w w:val="96"/>
              </w:rPr>
              <w:t>Special Restricted Stock Award Agreement for Employees evidencing grant of Restricted Stock made on</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91"/>
              </w:rPr>
              <w:t>October 1, 2008 to Mark R. Baker under The Scotts Miracle-Gro Company Amended and Restated 2006 Long-</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Term Incentive Plan</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10.10(h)(v)</w:t>
            </w:r>
          </w:p>
        </w:tc>
        <w:tc>
          <w:tcPr>
            <w:tcW w:w="5440" w:type="dxa"/>
            <w:vAlign w:val="bottom"/>
          </w:tcPr>
          <w:p>
            <w:pPr>
              <w:ind w:left="60"/>
              <w:spacing w:after="0"/>
              <w:rPr>
                <w:sz w:val="20"/>
                <w:szCs w:val="20"/>
                <w:color w:val="auto"/>
              </w:rPr>
            </w:pPr>
            <w:r>
              <w:rPr>
                <w:rFonts w:ascii="Arial" w:cs="Arial" w:eastAsia="Arial" w:hAnsi="Arial"/>
                <w:sz w:val="12"/>
                <w:szCs w:val="12"/>
                <w:color w:val="auto"/>
                <w:w w:val="89"/>
              </w:rPr>
              <w:t>Specimen form of Restricted Stock Award Agreement for Employees used to evidence grants of Restricted Stock</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90"/>
              </w:rPr>
              <w:t>which may be made under The Scotts Miracle-Gro Company Amended and Restated 2006 Long-Term Incentive</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Plan (French Specimen) [post-November 6, 2007 version]</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10.11(a)</w:t>
            </w:r>
          </w:p>
        </w:tc>
        <w:tc>
          <w:tcPr>
            <w:tcW w:w="5440" w:type="dxa"/>
            <w:vAlign w:val="bottom"/>
          </w:tcPr>
          <w:p>
            <w:pPr>
              <w:ind w:left="60"/>
              <w:spacing w:after="0"/>
              <w:rPr>
                <w:sz w:val="20"/>
                <w:szCs w:val="20"/>
                <w:color w:val="auto"/>
              </w:rPr>
            </w:pPr>
            <w:r>
              <w:rPr>
                <w:rFonts w:ascii="Arial" w:cs="Arial" w:eastAsia="Arial" w:hAnsi="Arial"/>
                <w:sz w:val="12"/>
                <w:szCs w:val="12"/>
                <w:color w:val="auto"/>
                <w:w w:val="88"/>
              </w:rPr>
              <w:t>The Scotts Miracle-Gro Company Discounted Stock Purchase Plan (As Amended and Restated as of January 26,</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2006; Reflects 2-for-1 Stock Split Distributed on November 9, 2005)</w:t>
            </w:r>
          </w:p>
        </w:tc>
        <w:tc>
          <w:tcPr>
            <w:tcW w:w="0" w:type="dxa"/>
            <w:vAlign w:val="bottom"/>
          </w:tcPr>
          <w:p>
            <w:pPr>
              <w:spacing w:after="0"/>
              <w:rPr>
                <w:sz w:val="1"/>
                <w:szCs w:val="1"/>
                <w:color w:val="auto"/>
              </w:rPr>
            </w:pPr>
          </w:p>
        </w:tc>
      </w:tr>
      <w:tr>
        <w:trPr>
          <w:trHeight w:val="293"/>
        </w:trPr>
        <w:tc>
          <w:tcPr>
            <w:tcW w:w="760" w:type="dxa"/>
            <w:vAlign w:val="bottom"/>
          </w:tcPr>
          <w:p>
            <w:pPr>
              <w:ind w:left="100"/>
              <w:spacing w:after="0"/>
              <w:rPr>
                <w:sz w:val="20"/>
                <w:szCs w:val="20"/>
                <w:color w:val="auto"/>
              </w:rPr>
            </w:pPr>
            <w:r>
              <w:rPr>
                <w:rFonts w:ascii="Arial" w:cs="Arial" w:eastAsia="Arial" w:hAnsi="Arial"/>
                <w:sz w:val="12"/>
                <w:szCs w:val="12"/>
                <w:color w:val="auto"/>
              </w:rPr>
              <w:t>10.11(b)</w:t>
            </w:r>
          </w:p>
        </w:tc>
        <w:tc>
          <w:tcPr>
            <w:tcW w:w="5440" w:type="dxa"/>
            <w:vAlign w:val="bottom"/>
          </w:tcPr>
          <w:p>
            <w:pPr>
              <w:ind w:left="60"/>
              <w:spacing w:after="0"/>
              <w:rPr>
                <w:sz w:val="20"/>
                <w:szCs w:val="20"/>
                <w:color w:val="auto"/>
              </w:rPr>
            </w:pPr>
            <w:r>
              <w:rPr>
                <w:rFonts w:ascii="Arial" w:cs="Arial" w:eastAsia="Arial" w:hAnsi="Arial"/>
                <w:sz w:val="12"/>
                <w:szCs w:val="12"/>
                <w:color w:val="auto"/>
                <w:w w:val="90"/>
              </w:rPr>
              <w:t>Amendment to The Scotts Miracle-Gro Company Discounted Stock Purchase Plan (effective as of November 6,</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2008)</w:t>
            </w:r>
          </w:p>
        </w:tc>
        <w:tc>
          <w:tcPr>
            <w:tcW w:w="0" w:type="dxa"/>
            <w:vAlign w:val="bottom"/>
          </w:tcPr>
          <w:p>
            <w:pPr>
              <w:spacing w:after="0"/>
              <w:rPr>
                <w:sz w:val="1"/>
                <w:szCs w:val="1"/>
                <w:color w:val="auto"/>
              </w:rPr>
            </w:pPr>
          </w:p>
        </w:tc>
      </w:tr>
      <w:tr>
        <w:trPr>
          <w:trHeight w:val="293"/>
        </w:trPr>
        <w:tc>
          <w:tcPr>
            <w:tcW w:w="760" w:type="dxa"/>
            <w:vAlign w:val="bottom"/>
          </w:tcPr>
          <w:p>
            <w:pPr>
              <w:ind w:left="100"/>
              <w:spacing w:after="0"/>
              <w:rPr>
                <w:sz w:val="20"/>
                <w:szCs w:val="20"/>
                <w:color w:val="auto"/>
              </w:rPr>
            </w:pPr>
            <w:r>
              <w:rPr>
                <w:rFonts w:ascii="Arial" w:cs="Arial" w:eastAsia="Arial" w:hAnsi="Arial"/>
                <w:sz w:val="12"/>
                <w:szCs w:val="12"/>
                <w:color w:val="auto"/>
              </w:rPr>
              <w:t>10.12</w:t>
            </w:r>
          </w:p>
        </w:tc>
        <w:tc>
          <w:tcPr>
            <w:tcW w:w="5440" w:type="dxa"/>
            <w:vAlign w:val="bottom"/>
          </w:tcPr>
          <w:p>
            <w:pPr>
              <w:ind w:left="60"/>
              <w:spacing w:after="0"/>
              <w:rPr>
                <w:sz w:val="20"/>
                <w:szCs w:val="20"/>
                <w:color w:val="auto"/>
              </w:rPr>
            </w:pPr>
            <w:r>
              <w:rPr>
                <w:rFonts w:ascii="Arial" w:cs="Arial" w:eastAsia="Arial" w:hAnsi="Arial"/>
                <w:sz w:val="12"/>
                <w:szCs w:val="12"/>
                <w:color w:val="auto"/>
                <w:w w:val="94"/>
              </w:rPr>
              <w:t>Summary of Compensation for Nonemployee Directors of The Scotts Miracle-Gro Company (effective as of</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January 22, 2010)</w:t>
            </w:r>
          </w:p>
        </w:tc>
        <w:tc>
          <w:tcPr>
            <w:tcW w:w="0" w:type="dxa"/>
            <w:vAlign w:val="bottom"/>
          </w:tcPr>
          <w:p>
            <w:pPr>
              <w:spacing w:after="0"/>
              <w:rPr>
                <w:sz w:val="1"/>
                <w:szCs w:val="1"/>
                <w:color w:val="auto"/>
              </w:rPr>
            </w:pPr>
          </w:p>
        </w:tc>
      </w:tr>
      <w:tr>
        <w:trPr>
          <w:trHeight w:val="295"/>
        </w:trPr>
        <w:tc>
          <w:tcPr>
            <w:tcW w:w="760" w:type="dxa"/>
            <w:vAlign w:val="bottom"/>
          </w:tcPr>
          <w:p>
            <w:pPr>
              <w:ind w:left="100"/>
              <w:spacing w:after="0"/>
              <w:rPr>
                <w:sz w:val="20"/>
                <w:szCs w:val="20"/>
                <w:color w:val="auto"/>
              </w:rPr>
            </w:pPr>
            <w:r>
              <w:rPr>
                <w:rFonts w:ascii="Arial" w:cs="Arial" w:eastAsia="Arial" w:hAnsi="Arial"/>
                <w:sz w:val="12"/>
                <w:szCs w:val="12"/>
                <w:color w:val="auto"/>
              </w:rPr>
              <w:t>10.13(a)</w:t>
            </w:r>
          </w:p>
        </w:tc>
        <w:tc>
          <w:tcPr>
            <w:tcW w:w="5440" w:type="dxa"/>
            <w:vAlign w:val="bottom"/>
          </w:tcPr>
          <w:p>
            <w:pPr>
              <w:ind w:left="60"/>
              <w:spacing w:after="0"/>
              <w:rPr>
                <w:sz w:val="20"/>
                <w:szCs w:val="20"/>
                <w:color w:val="auto"/>
              </w:rPr>
            </w:pPr>
            <w:r>
              <w:rPr>
                <w:rFonts w:ascii="Arial" w:cs="Arial" w:eastAsia="Arial" w:hAnsi="Arial"/>
                <w:sz w:val="12"/>
                <w:szCs w:val="12"/>
                <w:color w:val="auto"/>
                <w:w w:val="96"/>
              </w:rPr>
              <w:t>Employment Agreement, dated as of May 19, 1995, between The Scotts Company and James Hagedorn</w:t>
            </w:r>
          </w:p>
        </w:tc>
        <w:tc>
          <w:tcPr>
            <w:tcW w:w="0" w:type="dxa"/>
            <w:vAlign w:val="bottom"/>
          </w:tcPr>
          <w:p>
            <w:pPr>
              <w:spacing w:after="0"/>
              <w:rPr>
                <w:sz w:val="1"/>
                <w:szCs w:val="1"/>
                <w:color w:val="auto"/>
              </w:rPr>
            </w:pPr>
          </w:p>
        </w:tc>
      </w:tr>
      <w:tr>
        <w:trPr>
          <w:trHeight w:val="588"/>
        </w:trPr>
        <w:tc>
          <w:tcPr>
            <w:tcW w:w="760" w:type="dxa"/>
            <w:vAlign w:val="bottom"/>
          </w:tcPr>
          <w:p>
            <w:pPr>
              <w:ind w:left="100"/>
              <w:spacing w:after="0"/>
              <w:rPr>
                <w:sz w:val="20"/>
                <w:szCs w:val="20"/>
                <w:color w:val="auto"/>
              </w:rPr>
            </w:pPr>
            <w:r>
              <w:rPr>
                <w:rFonts w:ascii="Arial" w:cs="Arial" w:eastAsia="Arial" w:hAnsi="Arial"/>
                <w:sz w:val="12"/>
                <w:szCs w:val="12"/>
                <w:color w:val="auto"/>
              </w:rPr>
              <w:t>10.13(b)</w:t>
            </w:r>
          </w:p>
        </w:tc>
        <w:tc>
          <w:tcPr>
            <w:tcW w:w="5440" w:type="dxa"/>
            <w:vAlign w:val="bottom"/>
          </w:tcPr>
          <w:p>
            <w:pPr>
              <w:ind w:left="60"/>
              <w:spacing w:after="0"/>
              <w:rPr>
                <w:sz w:val="20"/>
                <w:szCs w:val="20"/>
                <w:color w:val="auto"/>
              </w:rPr>
            </w:pPr>
            <w:r>
              <w:rPr>
                <w:rFonts w:ascii="Arial" w:cs="Arial" w:eastAsia="Arial" w:hAnsi="Arial"/>
                <w:sz w:val="12"/>
                <w:szCs w:val="12"/>
                <w:color w:val="auto"/>
                <w:w w:val="89"/>
              </w:rPr>
              <w:t>Amendments to Employment Agreement by and among The Scotts Miracle-Gro Company, The Scotts Company</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88"/>
              </w:rPr>
              <w:t>LLC and James Hagedorn, effective as of October 1, 2008 (executed by Mr. Hagedorn on December 22, 2008 and</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w w:val="89"/>
              </w:rPr>
              <w:t>on behalf of The Scotts Miracle-Gro Company and The Scotts Company LLC by Denise Stump on December 22,</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2008 and Vincent C. Brockman on December 30, 2008)</w:t>
            </w:r>
          </w:p>
        </w:tc>
        <w:tc>
          <w:tcPr>
            <w:tcW w:w="0" w:type="dxa"/>
            <w:vAlign w:val="bottom"/>
          </w:tcPr>
          <w:p>
            <w:pPr>
              <w:spacing w:after="0"/>
              <w:rPr>
                <w:sz w:val="1"/>
                <w:szCs w:val="1"/>
                <w:color w:val="auto"/>
              </w:rPr>
            </w:pPr>
          </w:p>
        </w:tc>
      </w:tr>
      <w:tr>
        <w:trPr>
          <w:trHeight w:val="147"/>
        </w:trPr>
        <w:tc>
          <w:tcPr>
            <w:tcW w:w="760" w:type="dxa"/>
            <w:vAlign w:val="bottom"/>
          </w:tcPr>
          <w:p>
            <w:pPr>
              <w:ind w:left="100"/>
              <w:spacing w:after="0"/>
              <w:rPr>
                <w:sz w:val="20"/>
                <w:szCs w:val="20"/>
                <w:color w:val="auto"/>
              </w:rPr>
            </w:pPr>
            <w:r>
              <w:rPr>
                <w:rFonts w:ascii="Arial" w:cs="Arial" w:eastAsia="Arial" w:hAnsi="Arial"/>
                <w:sz w:val="12"/>
                <w:szCs w:val="12"/>
                <w:color w:val="auto"/>
              </w:rPr>
              <w:t>10.14(a)</w:t>
            </w:r>
          </w:p>
        </w:tc>
        <w:tc>
          <w:tcPr>
            <w:tcW w:w="5440" w:type="dxa"/>
            <w:vAlign w:val="bottom"/>
          </w:tcPr>
          <w:p>
            <w:pPr>
              <w:ind w:left="60"/>
              <w:spacing w:after="0"/>
              <w:rPr>
                <w:sz w:val="20"/>
                <w:szCs w:val="20"/>
                <w:color w:val="auto"/>
              </w:rPr>
            </w:pPr>
            <w:r>
              <w:rPr>
                <w:rFonts w:ascii="Arial" w:cs="Arial" w:eastAsia="Arial" w:hAnsi="Arial"/>
                <w:sz w:val="12"/>
                <w:szCs w:val="12"/>
                <w:color w:val="auto"/>
                <w:w w:val="88"/>
              </w:rPr>
              <w:t>Letter agreement, dated June 5, 2000 and accepted by Mr. Norton on June 8, 2000, between The Scotts Company</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440" w:type="dxa"/>
            <w:vAlign w:val="bottom"/>
          </w:tcPr>
          <w:p>
            <w:pPr>
              <w:ind w:left="60"/>
              <w:spacing w:after="0"/>
              <w:rPr>
                <w:sz w:val="20"/>
                <w:szCs w:val="20"/>
                <w:color w:val="auto"/>
              </w:rPr>
            </w:pPr>
            <w:r>
              <w:rPr>
                <w:rFonts w:ascii="Arial" w:cs="Arial" w:eastAsia="Arial" w:hAnsi="Arial"/>
                <w:sz w:val="12"/>
                <w:szCs w:val="12"/>
                <w:color w:val="auto"/>
              </w:rPr>
              <w:t>and Patrick J. Norton</w:t>
            </w:r>
          </w:p>
        </w:tc>
        <w:tc>
          <w:tcPr>
            <w:tcW w:w="0" w:type="dxa"/>
            <w:vAlign w:val="bottom"/>
          </w:tcPr>
          <w:p>
            <w:pPr>
              <w:spacing w:after="0"/>
              <w:rPr>
                <w:sz w:val="1"/>
                <w:szCs w:val="1"/>
                <w:color w:val="auto"/>
              </w:rPr>
            </w:pPr>
          </w:p>
        </w:tc>
      </w:tr>
      <w:tr>
        <w:trPr>
          <w:trHeight w:val="594"/>
        </w:trPr>
        <w:tc>
          <w:tcPr>
            <w:tcW w:w="760" w:type="dxa"/>
            <w:vAlign w:val="bottom"/>
          </w:tcPr>
          <w:p>
            <w:pPr>
              <w:spacing w:after="0"/>
              <w:rPr>
                <w:sz w:val="24"/>
                <w:szCs w:val="24"/>
                <w:color w:val="auto"/>
              </w:rPr>
            </w:pPr>
          </w:p>
        </w:tc>
        <w:tc>
          <w:tcPr>
            <w:tcW w:w="5440" w:type="dxa"/>
            <w:vAlign w:val="bottom"/>
          </w:tcPr>
          <w:p>
            <w:pPr>
              <w:ind w:left="378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-3025775</wp:posOffset>
            </wp:positionV>
            <wp:extent cx="635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10.7(g)(iii)]</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Annual</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10-K for the fiscal year ended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10.7(g)(v)]</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Incorporated herein by reference to the Registrant’s Quarterly</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Report on Form 10-Q for the quarterly period ended March 29,</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2008 (File No. 1-11593) [Exhibit 10(c)(1)]</w:t>
      </w:r>
    </w:p>
    <w:p>
      <w:pPr>
        <w:spacing w:after="0" w:line="9"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February 2, 2006 (File No. 1-11593) [Exhibit 10.1]</w:t>
      </w:r>
    </w:p>
    <w:p>
      <w:pPr>
        <w:spacing w:after="0" w:line="1" w:lineRule="exact"/>
        <w:rPr>
          <w:sz w:val="20"/>
          <w:szCs w:val="20"/>
          <w:color w:val="auto"/>
        </w:rPr>
      </w:pPr>
    </w:p>
    <w:p>
      <w:pPr>
        <w:ind w:right="140"/>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1-11593) [Exhibit 10.8(b)]</w:t>
      </w:r>
    </w:p>
    <w:p>
      <w:pPr>
        <w:spacing w:after="0" w:line="1" w:lineRule="exact"/>
        <w:rPr>
          <w:sz w:val="20"/>
          <w:szCs w:val="20"/>
          <w:color w:val="auto"/>
        </w:rPr>
      </w:pPr>
    </w:p>
    <w:p>
      <w:pPr>
        <w:jc w:val="both"/>
        <w:ind w:right="12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April 3, 2010 (File No. 1-11593) [Exhibit 10.7]</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Incorporated herein by reference to the Annual Report on Form 10-K of The Scotts Company, an Ohio corporation, for the fiscal year ended September 30, 1995 (File No. 1-11593) [Exhibit 10(p)]</w:t>
      </w:r>
    </w:p>
    <w:p>
      <w:pPr>
        <w:spacing w:after="0" w:line="1" w:lineRule="exact"/>
        <w:rPr>
          <w:sz w:val="20"/>
          <w:szCs w:val="20"/>
          <w:color w:val="auto"/>
        </w:rPr>
      </w:pPr>
    </w:p>
    <w:p>
      <w:pPr>
        <w:ind w:right="60"/>
        <w:spacing w:after="0" w:line="299"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December 27, 2008 (File No. 1-11593) [Exhibit 10.16]</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Incorporated herein by reference to the Annual Report on Form 10-K of The Scotts Company, an Ohio corporation, for the fiscal year ended September 30, 2000 (File No. 0-19768) [Exhibit 10(q)]</w:t>
      </w:r>
    </w:p>
    <w:p>
      <w:pPr>
        <w:sectPr>
          <w:pgSz w:w="11900" w:h="16838" w:orient="portrait"/>
          <w:cols w:equalWidth="0" w:num="2">
            <w:col w:w="7280" w:space="300"/>
            <w:col w:w="3040"/>
          </w:cols>
          <w:pgMar w:left="220" w:top="343" w:right="105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1080" w:type="dxa"/>
        <w:tblCellMar>
          <w:top w:w="0" w:type="dxa"/>
          <w:left w:w="0" w:type="dxa"/>
          <w:bottom w:w="0" w:type="dxa"/>
          <w:right w:w="0" w:type="dxa"/>
        </w:tblCellMar>
      </w:tblPr>
      <w:tr>
        <w:trPr>
          <w:trHeight w:val="115"/>
        </w:trPr>
        <w:tc>
          <w:tcPr>
            <w:tcW w:w="6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5520" w:type="dxa"/>
            <w:vAlign w:val="bottom"/>
            <w:vMerge w:val="restart"/>
          </w:tcPr>
          <w:p>
            <w:pPr>
              <w:ind w:left="28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0" w:type="dxa"/>
            <w:vAlign w:val="bottom"/>
          </w:tcPr>
          <w:p>
            <w:pPr>
              <w:spacing w:after="0"/>
              <w:rPr>
                <w:sz w:val="1"/>
                <w:szCs w:val="1"/>
                <w:color w:val="auto"/>
              </w:rPr>
            </w:pPr>
          </w:p>
        </w:tc>
      </w:tr>
      <w:tr>
        <w:trPr>
          <w:trHeight w:val="135"/>
        </w:trPr>
        <w:tc>
          <w:tcPr>
            <w:tcW w:w="66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5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 w:type="dxa"/>
            <w:vAlign w:val="bottom"/>
          </w:tcPr>
          <w:p>
            <w:pPr>
              <w:ind w:left="100"/>
              <w:spacing w:after="0"/>
              <w:rPr>
                <w:sz w:val="20"/>
                <w:szCs w:val="20"/>
                <w:color w:val="auto"/>
              </w:rPr>
            </w:pPr>
            <w:r>
              <w:rPr>
                <w:rFonts w:ascii="Arial" w:cs="Arial" w:eastAsia="Arial" w:hAnsi="Arial"/>
                <w:sz w:val="12"/>
                <w:szCs w:val="12"/>
                <w:color w:val="auto"/>
              </w:rPr>
              <w:t>10.14(b)</w:t>
            </w:r>
          </w:p>
        </w:tc>
        <w:tc>
          <w:tcPr>
            <w:tcW w:w="5520" w:type="dxa"/>
            <w:vAlign w:val="bottom"/>
          </w:tcPr>
          <w:p>
            <w:pPr>
              <w:ind w:left="160"/>
              <w:spacing w:after="0"/>
              <w:rPr>
                <w:sz w:val="20"/>
                <w:szCs w:val="20"/>
                <w:color w:val="auto"/>
              </w:rPr>
            </w:pPr>
            <w:r>
              <w:rPr>
                <w:rFonts w:ascii="Arial" w:cs="Arial" w:eastAsia="Arial" w:hAnsi="Arial"/>
                <w:sz w:val="12"/>
                <w:szCs w:val="12"/>
                <w:color w:val="auto"/>
                <w:w w:val="88"/>
              </w:rPr>
              <w:t>Letter agreement, dated November 5, 2002, and accepted by Mr. Norton on November 22, 2002, pertaining to the</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w w:val="89"/>
              </w:rPr>
              <w:t>terms of employment of Patrick J. Norton through December 31, 2005, and superseding certain provisions of the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rPr>
              <w:t>letter agreement, dated June 5, 2000, between The Scotts Company and Mr. Norton</w:t>
            </w:r>
          </w:p>
        </w:tc>
        <w:tc>
          <w:tcPr>
            <w:tcW w:w="0" w:type="dxa"/>
            <w:vAlign w:val="bottom"/>
          </w:tcPr>
          <w:p>
            <w:pPr>
              <w:spacing w:after="0"/>
              <w:rPr>
                <w:sz w:val="1"/>
                <w:szCs w:val="1"/>
                <w:color w:val="auto"/>
              </w:rPr>
            </w:pPr>
          </w:p>
        </w:tc>
      </w:tr>
      <w:tr>
        <w:trPr>
          <w:trHeight w:val="295"/>
        </w:trPr>
        <w:tc>
          <w:tcPr>
            <w:tcW w:w="660" w:type="dxa"/>
            <w:vAlign w:val="bottom"/>
          </w:tcPr>
          <w:p>
            <w:pPr>
              <w:ind w:left="100"/>
              <w:spacing w:after="0"/>
              <w:rPr>
                <w:sz w:val="20"/>
                <w:szCs w:val="20"/>
                <w:color w:val="auto"/>
              </w:rPr>
            </w:pPr>
            <w:r>
              <w:rPr>
                <w:rFonts w:ascii="Arial" w:cs="Arial" w:eastAsia="Arial" w:hAnsi="Arial"/>
                <w:sz w:val="12"/>
                <w:szCs w:val="12"/>
                <w:color w:val="auto"/>
              </w:rPr>
              <w:t>10.14(c)</w:t>
            </w:r>
          </w:p>
        </w:tc>
        <w:tc>
          <w:tcPr>
            <w:tcW w:w="5520" w:type="dxa"/>
            <w:vAlign w:val="bottom"/>
          </w:tcPr>
          <w:p>
            <w:pPr>
              <w:ind w:left="160"/>
              <w:spacing w:after="0"/>
              <w:rPr>
                <w:sz w:val="20"/>
                <w:szCs w:val="20"/>
                <w:color w:val="auto"/>
              </w:rPr>
            </w:pPr>
            <w:r>
              <w:rPr>
                <w:rFonts w:ascii="Arial" w:cs="Arial" w:eastAsia="Arial" w:hAnsi="Arial"/>
                <w:sz w:val="12"/>
                <w:szCs w:val="12"/>
                <w:color w:val="auto"/>
                <w:w w:val="91"/>
              </w:rPr>
              <w:t>Letter of Extension, dated October 25, 2005, between The Scotts Miracle-Gro Company and Patrick J. Norton</w:t>
            </w:r>
          </w:p>
        </w:tc>
        <w:tc>
          <w:tcPr>
            <w:tcW w:w="0" w:type="dxa"/>
            <w:vAlign w:val="bottom"/>
          </w:tcPr>
          <w:p>
            <w:pPr>
              <w:spacing w:after="0"/>
              <w:rPr>
                <w:sz w:val="1"/>
                <w:szCs w:val="1"/>
                <w:color w:val="auto"/>
              </w:rPr>
            </w:pPr>
          </w:p>
        </w:tc>
      </w:tr>
      <w:tr>
        <w:trPr>
          <w:trHeight w:val="441"/>
        </w:trPr>
        <w:tc>
          <w:tcPr>
            <w:tcW w:w="660" w:type="dxa"/>
            <w:vAlign w:val="bottom"/>
          </w:tcPr>
          <w:p>
            <w:pPr>
              <w:ind w:left="100"/>
              <w:spacing w:after="0"/>
              <w:rPr>
                <w:sz w:val="20"/>
                <w:szCs w:val="20"/>
                <w:color w:val="auto"/>
              </w:rPr>
            </w:pPr>
            <w:r>
              <w:rPr>
                <w:rFonts w:ascii="Arial" w:cs="Arial" w:eastAsia="Arial" w:hAnsi="Arial"/>
                <w:sz w:val="12"/>
                <w:szCs w:val="12"/>
                <w:color w:val="auto"/>
              </w:rPr>
              <w:t>10.15(a)</w:t>
            </w:r>
          </w:p>
        </w:tc>
        <w:tc>
          <w:tcPr>
            <w:tcW w:w="5520" w:type="dxa"/>
            <w:vAlign w:val="bottom"/>
          </w:tcPr>
          <w:p>
            <w:pPr>
              <w:ind w:left="160"/>
              <w:spacing w:after="0"/>
              <w:rPr>
                <w:sz w:val="20"/>
                <w:szCs w:val="20"/>
                <w:color w:val="auto"/>
              </w:rPr>
            </w:pPr>
            <w:r>
              <w:rPr>
                <w:rFonts w:ascii="Arial" w:cs="Arial" w:eastAsia="Arial" w:hAnsi="Arial"/>
                <w:sz w:val="12"/>
                <w:szCs w:val="12"/>
                <w:color w:val="auto"/>
                <w:w w:val="94"/>
              </w:rPr>
              <w:t>Employment Agreement, effective as of October 1, 2007, between The Scotts Company LLC and Barry W.</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w w:val="95"/>
              </w:rPr>
              <w:t>Sanders (executed by Mr. Sanders on November 16, 2007 and on behalf of The Scotts Company LLC on</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rPr>
              <w:t>November 19, 2007)</w:t>
            </w:r>
          </w:p>
        </w:tc>
        <w:tc>
          <w:tcPr>
            <w:tcW w:w="0" w:type="dxa"/>
            <w:vAlign w:val="bottom"/>
          </w:tcPr>
          <w:p>
            <w:pPr>
              <w:spacing w:after="0"/>
              <w:rPr>
                <w:sz w:val="1"/>
                <w:szCs w:val="1"/>
                <w:color w:val="auto"/>
              </w:rPr>
            </w:pPr>
          </w:p>
        </w:tc>
      </w:tr>
      <w:tr>
        <w:trPr>
          <w:trHeight w:val="147"/>
        </w:trPr>
        <w:tc>
          <w:tcPr>
            <w:tcW w:w="660" w:type="dxa"/>
            <w:vAlign w:val="bottom"/>
          </w:tcPr>
          <w:p>
            <w:pPr>
              <w:ind w:left="100"/>
              <w:spacing w:after="0"/>
              <w:rPr>
                <w:sz w:val="20"/>
                <w:szCs w:val="20"/>
                <w:color w:val="auto"/>
              </w:rPr>
            </w:pPr>
            <w:r>
              <w:rPr>
                <w:rFonts w:ascii="Arial" w:cs="Arial" w:eastAsia="Arial" w:hAnsi="Arial"/>
                <w:sz w:val="12"/>
                <w:szCs w:val="12"/>
                <w:color w:val="auto"/>
              </w:rPr>
              <w:t>10.15(b)</w:t>
            </w:r>
          </w:p>
        </w:tc>
        <w:tc>
          <w:tcPr>
            <w:tcW w:w="5520" w:type="dxa"/>
            <w:vAlign w:val="bottom"/>
          </w:tcPr>
          <w:p>
            <w:pPr>
              <w:ind w:left="160"/>
              <w:spacing w:after="0"/>
              <w:rPr>
                <w:sz w:val="20"/>
                <w:szCs w:val="20"/>
                <w:color w:val="auto"/>
              </w:rPr>
            </w:pPr>
            <w:r>
              <w:rPr>
                <w:rFonts w:ascii="Arial" w:cs="Arial" w:eastAsia="Arial" w:hAnsi="Arial"/>
                <w:sz w:val="12"/>
                <w:szCs w:val="12"/>
                <w:color w:val="auto"/>
                <w:w w:val="94"/>
              </w:rPr>
              <w:t>First Amendment to Employment Agreement, effective as of January 14, 2009, by and between The Scotts</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rPr>
              <w:t>Company LLC and Barry Sanders</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10.16(a)</w:t>
            </w:r>
          </w:p>
        </w:tc>
        <w:tc>
          <w:tcPr>
            <w:tcW w:w="5520" w:type="dxa"/>
            <w:vAlign w:val="bottom"/>
          </w:tcPr>
          <w:p>
            <w:pPr>
              <w:ind w:left="160"/>
              <w:spacing w:after="0"/>
              <w:rPr>
                <w:sz w:val="20"/>
                <w:szCs w:val="20"/>
                <w:color w:val="auto"/>
              </w:rPr>
            </w:pPr>
            <w:r>
              <w:rPr>
                <w:rFonts w:ascii="Arial" w:cs="Arial" w:eastAsia="Arial" w:hAnsi="Arial"/>
                <w:sz w:val="12"/>
                <w:szCs w:val="12"/>
                <w:color w:val="auto"/>
                <w:w w:val="92"/>
              </w:rPr>
              <w:t>Employment Contract for an Unlimited Time, effective as of July 1, 2001, between The Scotts Company (now</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rPr>
              <w:t>known as The Scotts Company LLC) and Claude Lopez [English Translation — Original in French]</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10.16(b)</w:t>
            </w:r>
          </w:p>
        </w:tc>
        <w:tc>
          <w:tcPr>
            <w:tcW w:w="5520" w:type="dxa"/>
            <w:vAlign w:val="bottom"/>
          </w:tcPr>
          <w:p>
            <w:pPr>
              <w:ind w:left="160"/>
              <w:spacing w:after="0"/>
              <w:rPr>
                <w:sz w:val="20"/>
                <w:szCs w:val="20"/>
                <w:color w:val="auto"/>
              </w:rPr>
            </w:pPr>
            <w:r>
              <w:rPr>
                <w:rFonts w:ascii="Arial" w:cs="Arial" w:eastAsia="Arial" w:hAnsi="Arial"/>
                <w:sz w:val="12"/>
                <w:szCs w:val="12"/>
                <w:color w:val="auto"/>
                <w:w w:val="94"/>
              </w:rPr>
              <w:t>Employment Agreement for Claude Lopez, executed on behalf of The Scotts Company LLC and by Claude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rPr>
              <w:t>Lopez on May 28, 2010, with an effective date of October 1, 2010</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10.17</w:t>
            </w:r>
          </w:p>
        </w:tc>
        <w:tc>
          <w:tcPr>
            <w:tcW w:w="5520" w:type="dxa"/>
            <w:vAlign w:val="bottom"/>
          </w:tcPr>
          <w:p>
            <w:pPr>
              <w:ind w:left="160"/>
              <w:spacing w:after="0"/>
              <w:rPr>
                <w:sz w:val="20"/>
                <w:szCs w:val="20"/>
                <w:color w:val="auto"/>
              </w:rPr>
            </w:pPr>
            <w:r>
              <w:rPr>
                <w:rFonts w:ascii="Arial" w:cs="Arial" w:eastAsia="Arial" w:hAnsi="Arial"/>
                <w:sz w:val="12"/>
                <w:szCs w:val="12"/>
                <w:color w:val="auto"/>
                <w:w w:val="90"/>
              </w:rPr>
              <w:t>Employment Agreement for David C. Evans, executed on behalf of The Scotts Company LLC on November 19,</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rPr>
              <w:t>2007 and by David C. Evans on December 3, 2007 and effective as of October 1, 2007</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10.18</w:t>
            </w:r>
          </w:p>
        </w:tc>
        <w:tc>
          <w:tcPr>
            <w:tcW w:w="5520" w:type="dxa"/>
            <w:vAlign w:val="bottom"/>
          </w:tcPr>
          <w:p>
            <w:pPr>
              <w:ind w:left="160"/>
              <w:spacing w:after="0"/>
              <w:rPr>
                <w:sz w:val="20"/>
                <w:szCs w:val="20"/>
                <w:color w:val="auto"/>
              </w:rPr>
            </w:pPr>
            <w:r>
              <w:rPr>
                <w:rFonts w:ascii="Arial" w:cs="Arial" w:eastAsia="Arial" w:hAnsi="Arial"/>
                <w:sz w:val="12"/>
                <w:szCs w:val="12"/>
                <w:color w:val="auto"/>
                <w:w w:val="89"/>
              </w:rPr>
              <w:t>Employment Agreement for Denise S. Stump, executed on behalf of The Scotts Company LLC on November 19,</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rPr>
              <w:t>2007 and by Denise S. Stump on December 11, 2007 and effective as of October 1, 2007</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10.19(a)</w:t>
            </w:r>
          </w:p>
        </w:tc>
        <w:tc>
          <w:tcPr>
            <w:tcW w:w="5520" w:type="dxa"/>
            <w:vAlign w:val="bottom"/>
          </w:tcPr>
          <w:p>
            <w:pPr>
              <w:ind w:left="160"/>
              <w:spacing w:after="0"/>
              <w:rPr>
                <w:sz w:val="20"/>
                <w:szCs w:val="20"/>
                <w:color w:val="auto"/>
              </w:rPr>
            </w:pPr>
            <w:r>
              <w:rPr>
                <w:rFonts w:ascii="Arial" w:cs="Arial" w:eastAsia="Arial" w:hAnsi="Arial"/>
                <w:sz w:val="12"/>
                <w:szCs w:val="12"/>
                <w:color w:val="auto"/>
                <w:w w:val="90"/>
              </w:rPr>
              <w:t>Employment Agreement for Vincent Brockman, executed on behalf of The Scotts Miracle-Gro Company and by</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rPr>
              <w:t>Vincent Brockman on May 24, 2006 and effective as of March 1, 2006 (effective until June 1, 2008)</w:t>
            </w:r>
          </w:p>
        </w:tc>
        <w:tc>
          <w:tcPr>
            <w:tcW w:w="0" w:type="dxa"/>
            <w:vAlign w:val="bottom"/>
          </w:tcPr>
          <w:p>
            <w:pPr>
              <w:spacing w:after="0"/>
              <w:rPr>
                <w:sz w:val="1"/>
                <w:szCs w:val="1"/>
                <w:color w:val="auto"/>
              </w:rPr>
            </w:pPr>
          </w:p>
        </w:tc>
      </w:tr>
      <w:tr>
        <w:trPr>
          <w:trHeight w:val="293"/>
        </w:trPr>
        <w:tc>
          <w:tcPr>
            <w:tcW w:w="660" w:type="dxa"/>
            <w:vAlign w:val="bottom"/>
          </w:tcPr>
          <w:p>
            <w:pPr>
              <w:ind w:left="100"/>
              <w:spacing w:after="0"/>
              <w:rPr>
                <w:sz w:val="20"/>
                <w:szCs w:val="20"/>
                <w:color w:val="auto"/>
              </w:rPr>
            </w:pPr>
            <w:r>
              <w:rPr>
                <w:rFonts w:ascii="Arial" w:cs="Arial" w:eastAsia="Arial" w:hAnsi="Arial"/>
                <w:sz w:val="12"/>
                <w:szCs w:val="12"/>
                <w:color w:val="auto"/>
              </w:rPr>
              <w:t>10.19(b)</w:t>
            </w:r>
          </w:p>
        </w:tc>
        <w:tc>
          <w:tcPr>
            <w:tcW w:w="5520" w:type="dxa"/>
            <w:vAlign w:val="bottom"/>
          </w:tcPr>
          <w:p>
            <w:pPr>
              <w:ind w:left="160"/>
              <w:spacing w:after="0"/>
              <w:rPr>
                <w:sz w:val="20"/>
                <w:szCs w:val="20"/>
                <w:color w:val="auto"/>
              </w:rPr>
            </w:pPr>
            <w:r>
              <w:rPr>
                <w:rFonts w:ascii="Arial" w:cs="Arial" w:eastAsia="Arial" w:hAnsi="Arial"/>
                <w:sz w:val="12"/>
                <w:szCs w:val="12"/>
                <w:color w:val="auto"/>
                <w:w w:val="91"/>
              </w:rPr>
              <w:t>Employment Agreement for Vincent C. Brockman, effective as of June 1, 2008, between The Scotts Company</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w w:val="95"/>
              </w:rPr>
              <w:t>LLC and Vincent C. Brockman (executed by Mr. Brockman on June 26, 2008 and on behalf of The Scotts</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rPr>
              <w:t>Company LLC on June 27, 2008)</w:t>
            </w:r>
          </w:p>
        </w:tc>
        <w:tc>
          <w:tcPr>
            <w:tcW w:w="0" w:type="dxa"/>
            <w:vAlign w:val="bottom"/>
          </w:tcPr>
          <w:p>
            <w:pPr>
              <w:spacing w:after="0"/>
              <w:rPr>
                <w:sz w:val="1"/>
                <w:szCs w:val="1"/>
                <w:color w:val="auto"/>
              </w:rPr>
            </w:pPr>
          </w:p>
        </w:tc>
      </w:tr>
      <w:tr>
        <w:trPr>
          <w:trHeight w:val="147"/>
        </w:trPr>
        <w:tc>
          <w:tcPr>
            <w:tcW w:w="660" w:type="dxa"/>
            <w:vAlign w:val="bottom"/>
          </w:tcPr>
          <w:p>
            <w:pPr>
              <w:ind w:left="100"/>
              <w:spacing w:after="0"/>
              <w:rPr>
                <w:sz w:val="20"/>
                <w:szCs w:val="20"/>
                <w:color w:val="auto"/>
              </w:rPr>
            </w:pPr>
            <w:r>
              <w:rPr>
                <w:rFonts w:ascii="Arial" w:cs="Arial" w:eastAsia="Arial" w:hAnsi="Arial"/>
                <w:sz w:val="12"/>
                <w:szCs w:val="12"/>
                <w:color w:val="auto"/>
              </w:rPr>
              <w:t>10.20(a)</w:t>
            </w:r>
          </w:p>
        </w:tc>
        <w:tc>
          <w:tcPr>
            <w:tcW w:w="5520" w:type="dxa"/>
            <w:vAlign w:val="bottom"/>
          </w:tcPr>
          <w:p>
            <w:pPr>
              <w:ind w:left="160"/>
              <w:spacing w:after="0"/>
              <w:rPr>
                <w:sz w:val="20"/>
                <w:szCs w:val="20"/>
                <w:color w:val="auto"/>
              </w:rPr>
            </w:pPr>
            <w:r>
              <w:rPr>
                <w:rFonts w:ascii="Arial" w:cs="Arial" w:eastAsia="Arial" w:hAnsi="Arial"/>
                <w:sz w:val="12"/>
                <w:szCs w:val="12"/>
                <w:color w:val="auto"/>
                <w:w w:val="90"/>
              </w:rPr>
              <w:t>Employment Agreement for Mark R. Baker, effective as of October 1, 2008, between The Scotts Company LLC</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w w:val="89"/>
              </w:rPr>
              <w:t>and Mark R. Baker (executed by Mr. Baker on September 9, 2008 and on behalf of The Scotts Company LLC on</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520" w:type="dxa"/>
            <w:vAlign w:val="bottom"/>
          </w:tcPr>
          <w:p>
            <w:pPr>
              <w:ind w:left="160"/>
              <w:spacing w:after="0"/>
              <w:rPr>
                <w:sz w:val="20"/>
                <w:szCs w:val="20"/>
                <w:color w:val="auto"/>
              </w:rPr>
            </w:pPr>
            <w:r>
              <w:rPr>
                <w:rFonts w:ascii="Arial" w:cs="Arial" w:eastAsia="Arial" w:hAnsi="Arial"/>
                <w:sz w:val="12"/>
                <w:szCs w:val="12"/>
                <w:color w:val="auto"/>
              </w:rPr>
              <w:t>September 10, 2008)</w:t>
            </w:r>
          </w:p>
        </w:tc>
        <w:tc>
          <w:tcPr>
            <w:tcW w:w="0" w:type="dxa"/>
            <w:vAlign w:val="bottom"/>
          </w:tcPr>
          <w:p>
            <w:pPr>
              <w:spacing w:after="0"/>
              <w:rPr>
                <w:sz w:val="1"/>
                <w:szCs w:val="1"/>
                <w:color w:val="auto"/>
              </w:rPr>
            </w:pPr>
          </w:p>
        </w:tc>
      </w:tr>
      <w:tr>
        <w:trPr>
          <w:trHeight w:val="299"/>
        </w:trPr>
        <w:tc>
          <w:tcPr>
            <w:tcW w:w="660" w:type="dxa"/>
            <w:vAlign w:val="bottom"/>
          </w:tcPr>
          <w:p>
            <w:pPr>
              <w:spacing w:after="0"/>
              <w:rPr>
                <w:sz w:val="24"/>
                <w:szCs w:val="24"/>
                <w:color w:val="auto"/>
              </w:rPr>
            </w:pPr>
          </w:p>
        </w:tc>
        <w:tc>
          <w:tcPr>
            <w:tcW w:w="5520" w:type="dxa"/>
            <w:vAlign w:val="bottom"/>
          </w:tcPr>
          <w:p>
            <w:pPr>
              <w:ind w:left="388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-3400425</wp:posOffset>
            </wp:positionV>
            <wp:extent cx="635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12700</wp:posOffset>
            </wp:positionV>
            <wp:extent cx="1841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2"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Incorporated herein by reference to the Annual Report on Form 10-K of The Scotts Company, an Ohio corporation, for the fiscal year ended September 30, 2002 (File No. 0-19768) [Exhibit 10(q)]</w:t>
      </w:r>
    </w:p>
    <w:p>
      <w:pPr>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December 14, 2005 (File No. 1-11593) [Exhibit 10.3]</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2007 (File No. 1-11593) [Exhibit 10(m)]</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January 20, 2009 (File No. 1-11593) [Exhibit 10.2]</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2007 (File No. 1-11593) [Exhibit 10(n)]</w:t>
      </w:r>
    </w:p>
    <w:p>
      <w:pPr>
        <w:spacing w:after="0" w:line="1" w:lineRule="exact"/>
        <w:rPr>
          <w:sz w:val="20"/>
          <w:szCs w:val="20"/>
          <w:color w:val="auto"/>
        </w:rPr>
      </w:pPr>
    </w:p>
    <w:p>
      <w:pPr>
        <w:ind w:right="26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June 4, 2010 (File No. 1-11593) [Exhibit 10.1]</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December 7, 2007 (File No. 1-11593) [Exhibit 10.1]</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December 17, 2007 (File No. 1-11593) [Exhibit 10.1]</w:t>
      </w:r>
    </w:p>
    <w:p>
      <w:pPr>
        <w:spacing w:after="0" w:line="1" w:lineRule="exact"/>
        <w:rPr>
          <w:sz w:val="20"/>
          <w:szCs w:val="20"/>
          <w:color w:val="auto"/>
        </w:rPr>
      </w:pPr>
    </w:p>
    <w:p>
      <w:pPr>
        <w:ind w:right="100"/>
        <w:spacing w:after="0" w:line="279"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December 29, 2007 (File No. 1-11593) [Exhibit 10(q)]</w:t>
      </w:r>
    </w:p>
    <w:p>
      <w:pPr>
        <w:spacing w:after="0" w:line="1" w:lineRule="exact"/>
        <w:rPr>
          <w:sz w:val="20"/>
          <w:szCs w:val="20"/>
          <w:color w:val="auto"/>
        </w:rPr>
      </w:pPr>
    </w:p>
    <w:p>
      <w:pPr>
        <w:jc w:val="both"/>
        <w:ind w:right="16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June 28, 2008 (File No. 1-11593) [Exhibit 10(d)]</w:t>
      </w:r>
    </w:p>
    <w:p>
      <w:pPr>
        <w:spacing w:after="0" w:line="1" w:lineRule="exact"/>
        <w:rPr>
          <w:sz w:val="20"/>
          <w:szCs w:val="20"/>
          <w:color w:val="auto"/>
        </w:rPr>
      </w:pPr>
    </w:p>
    <w:p>
      <w:pPr>
        <w:ind w:right="180"/>
        <w:spacing w:after="0" w:line="264"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10.17]</w:t>
      </w:r>
    </w:p>
    <w:p>
      <w:pPr>
        <w:sectPr>
          <w:pgSz w:w="11900" w:h="16838" w:orient="portrait"/>
          <w:cols w:equalWidth="0" w:num="2">
            <w:col w:w="7260" w:space="320"/>
            <w:col w:w="308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5"/>
              </w:rPr>
              <w:t>Exhibit</w:t>
            </w:r>
          </w:p>
        </w:tc>
        <w:tc>
          <w:tcPr>
            <w:tcW w:w="100" w:type="dxa"/>
            <w:vAlign w:val="bottom"/>
          </w:tcPr>
          <w:p>
            <w:pPr>
              <w:spacing w:after="0"/>
              <w:rPr>
                <w:sz w:val="10"/>
                <w:szCs w:val="10"/>
                <w:color w:val="auto"/>
              </w:rPr>
            </w:pPr>
          </w:p>
        </w:tc>
        <w:tc>
          <w:tcPr>
            <w:tcW w:w="5380" w:type="dxa"/>
            <w:vAlign w:val="bottom"/>
            <w:vMerge w:val="restart"/>
          </w:tcPr>
          <w:p>
            <w:pPr>
              <w:ind w:left="244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No.</w:t>
            </w:r>
          </w:p>
        </w:tc>
        <w:tc>
          <w:tcPr>
            <w:tcW w:w="100" w:type="dxa"/>
            <w:vAlign w:val="bottom"/>
          </w:tcPr>
          <w:p>
            <w:pPr>
              <w:spacing w:after="0"/>
              <w:rPr>
                <w:sz w:val="10"/>
                <w:szCs w:val="10"/>
                <w:color w:val="auto"/>
              </w:rPr>
            </w:pPr>
          </w:p>
        </w:tc>
        <w:tc>
          <w:tcPr>
            <w:tcW w:w="5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120" w:type="dxa"/>
            <w:vAlign w:val="bottom"/>
          </w:tcPr>
          <w:p>
            <w:pPr>
              <w:ind w:left="500"/>
              <w:spacing w:after="0"/>
              <w:rPr>
                <w:sz w:val="20"/>
                <w:szCs w:val="20"/>
                <w:color w:val="auto"/>
              </w:rPr>
            </w:pPr>
            <w:r>
              <w:rPr>
                <w:rFonts w:ascii="Arial" w:cs="Arial" w:eastAsia="Arial" w:hAnsi="Arial"/>
                <w:sz w:val="12"/>
                <w:szCs w:val="12"/>
                <w:color w:val="auto"/>
              </w:rPr>
              <w:t>10.20(b)</w:t>
            </w:r>
          </w:p>
        </w:tc>
        <w:tc>
          <w:tcPr>
            <w:tcW w:w="10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First Amendment to Employment Agreement of Mark R. Baker, effective as of December 10, 2009, between The</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Scotts Company LLC and Mark R. Baker</w:t>
            </w:r>
          </w:p>
        </w:tc>
        <w:tc>
          <w:tcPr>
            <w:tcW w:w="0" w:type="dxa"/>
            <w:vAlign w:val="bottom"/>
          </w:tcPr>
          <w:p>
            <w:pPr>
              <w:spacing w:after="0"/>
              <w:rPr>
                <w:sz w:val="1"/>
                <w:szCs w:val="1"/>
                <w:color w:val="auto"/>
              </w:rPr>
            </w:pPr>
          </w:p>
        </w:tc>
      </w:tr>
      <w:tr>
        <w:trPr>
          <w:trHeight w:val="293"/>
        </w:trPr>
        <w:tc>
          <w:tcPr>
            <w:tcW w:w="1120" w:type="dxa"/>
            <w:vAlign w:val="bottom"/>
          </w:tcPr>
          <w:p>
            <w:pPr>
              <w:ind w:left="500"/>
              <w:spacing w:after="0"/>
              <w:rPr>
                <w:sz w:val="20"/>
                <w:szCs w:val="20"/>
                <w:color w:val="auto"/>
              </w:rPr>
            </w:pPr>
            <w:r>
              <w:rPr>
                <w:rFonts w:ascii="Arial" w:cs="Arial" w:eastAsia="Arial" w:hAnsi="Arial"/>
                <w:sz w:val="12"/>
                <w:szCs w:val="12"/>
                <w:color w:val="auto"/>
              </w:rPr>
              <w:t>10.20(c)</w:t>
            </w:r>
          </w:p>
        </w:tc>
        <w:tc>
          <w:tcPr>
            <w:tcW w:w="1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89"/>
              </w:rPr>
              <w:t>Separation Agreement and Release of All Claims, effective as of November 3, 2010, by and between The Scotts</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w w:val="91"/>
              </w:rPr>
              <w:t>Company LLC and Mark R. Baker (executed by Mr. Baker as of October 28, 2010 and on behalf of The Scotts</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Company LLC on November 3, 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66040</wp:posOffset>
            </wp:positionV>
            <wp:extent cx="82359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34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95961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59610" cy="6350"/>
                    </a:xfrm>
                    <a:prstGeom prst="rect">
                      <a:avLst/>
                    </a:prstGeom>
                    <a:noFill/>
                  </pic:spPr>
                </pic:pic>
              </a:graphicData>
            </a:graphic>
          </wp:anchor>
        </w:drawing>
      </w:r>
    </w:p>
    <w:p>
      <w:pPr>
        <w:spacing w:after="0" w:line="32"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Incorporated herein by reference to the Registrant’s Current Report on Form 8-K filed December 16, 2009 (File No. 1-11593) [Exhibit 10.2]</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2"/>
          <w:szCs w:val="12"/>
          <w:color w:val="auto"/>
        </w:rPr>
        <w:t>Incorporated herein by reference to the Registrant’s Current Report on Form 8-K filed November 5, 2010 (File No. 1-11593) [Exhibit 10.1]</w:t>
      </w:r>
    </w:p>
    <w:p>
      <w:pPr>
        <w:spacing w:after="0" w:line="141" w:lineRule="exact"/>
        <w:rPr>
          <w:sz w:val="20"/>
          <w:szCs w:val="20"/>
          <w:color w:val="auto"/>
        </w:rPr>
      </w:pPr>
    </w:p>
    <w:p>
      <w:pPr>
        <w:sectPr>
          <w:pgSz w:w="11900" w:h="16838" w:orient="portrait"/>
          <w:cols w:equalWidth="0" w:num="2">
            <w:col w:w="7280" w:space="300"/>
            <w:col w:w="3080"/>
          </w:cols>
          <w:pgMar w:left="220" w:top="343" w:right="1019" w:bottom="1440" w:gutter="0" w:footer="0" w:header="0"/>
        </w:sectPr>
      </w:pPr>
    </w:p>
    <w:p>
      <w:pPr>
        <w:ind w:left="900" w:hanging="213"/>
        <w:spacing w:after="0"/>
        <w:tabs>
          <w:tab w:leader="none" w:pos="9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1"/>
          <w:numId w:val="18"/>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96" w:lineRule="exact"/>
        <w:rPr>
          <w:sz w:val="20"/>
          <w:szCs w:val="20"/>
          <w:color w:val="auto"/>
        </w:rPr>
      </w:pPr>
    </w:p>
    <w:p>
      <w:pPr>
        <w:ind w:left="680" w:right="660" w:firstLine="399"/>
        <w:spacing w:after="0" w:line="276" w:lineRule="auto"/>
        <w:rPr>
          <w:sz w:val="20"/>
          <w:szCs w:val="20"/>
          <w:color w:val="auto"/>
        </w:rPr>
      </w:pPr>
      <w:r>
        <w:rPr>
          <w:rFonts w:ascii="Arial" w:cs="Arial" w:eastAsia="Arial" w:hAnsi="Arial"/>
          <w:sz w:val="13"/>
          <w:szCs w:val="13"/>
          <w:color w:val="auto"/>
        </w:rPr>
        <w:t>The exhibits listed on the “Index to Exhibits” beginning on page 123 of this Annual Report on Form 10-K are filed or furnished with this Annual Report on Form 10-K or incorporated herein by reference as noted in the “Index to Exhibits.”</w:t>
      </w:r>
    </w:p>
    <w:p>
      <w:pPr>
        <w:spacing w:after="0" w:line="59" w:lineRule="exact"/>
        <w:rPr>
          <w:sz w:val="20"/>
          <w:szCs w:val="20"/>
          <w:color w:val="auto"/>
        </w:rPr>
      </w:pPr>
    </w:p>
    <w:p>
      <w:pPr>
        <w:ind w:left="1260" w:hanging="174"/>
        <w:spacing w:after="0"/>
        <w:tabs>
          <w:tab w:leader="none" w:pos="126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59 of this Annual Report on Form 10-K.</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58" w:name="page59"/>
    <w:bookmarkEnd w:id="5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THE SCOTTS MIRACLE-GRO COMPANY</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w:t>
      </w:r>
      <w:r>
        <w:rPr>
          <w:rFonts w:ascii="Arial" w:cs="Arial" w:eastAsia="Arial" w:hAnsi="Arial"/>
          <w:sz w:val="8"/>
          <w:szCs w:val="8"/>
          <w:color w:val="auto"/>
        </w:rPr>
        <w:t>AMES</w:t>
      </w:r>
      <w:r>
        <w:rPr>
          <w:rFonts w:ascii="Arial" w:cs="Arial" w:eastAsia="Arial" w:hAnsi="Arial"/>
          <w:sz w:val="13"/>
          <w:szCs w:val="13"/>
          <w:color w:val="auto"/>
        </w:rPr>
        <w:t xml:space="preserve"> H</w:t>
      </w:r>
      <w:r>
        <w:rPr>
          <w:rFonts w:ascii="Arial" w:cs="Arial" w:eastAsia="Arial" w:hAnsi="Arial"/>
          <w:sz w:val="8"/>
          <w:szCs w:val="8"/>
          <w:color w:val="auto"/>
        </w:rPr>
        <w:t>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James Hagedorn, Chief Executive Officer and</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Chairman of the Board</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Dated: November 24, 2010</w:t>
      </w:r>
    </w:p>
    <w:p>
      <w:pPr>
        <w:spacing w:after="0" w:line="96"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20"/>
        <w:spacing w:after="0"/>
        <w:tabs>
          <w:tab w:leader="none" w:pos="6840" w:val="left"/>
          <w:tab w:leader="none" w:pos="98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841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12700</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w:t>
            </w:r>
            <w:r>
              <w:rPr>
                <w:rFonts w:ascii="Arial" w:cs="Arial" w:eastAsia="Arial" w:hAnsi="Arial"/>
                <w:sz w:val="8"/>
                <w:szCs w:val="8"/>
                <w:color w:val="auto"/>
              </w:rPr>
              <w:t>LAN</w:t>
            </w:r>
            <w:r>
              <w:rPr>
                <w:rFonts w:ascii="Arial" w:cs="Arial" w:eastAsia="Arial" w:hAnsi="Arial"/>
                <w:sz w:val="13"/>
                <w:szCs w:val="13"/>
                <w:color w:val="auto"/>
              </w:rPr>
              <w:t xml:space="preserve"> H. B</w:t>
            </w:r>
            <w:r>
              <w:rPr>
                <w:rFonts w:ascii="Arial" w:cs="Arial" w:eastAsia="Arial" w:hAnsi="Arial"/>
                <w:sz w:val="8"/>
                <w:szCs w:val="8"/>
                <w:color w:val="auto"/>
              </w:rPr>
              <w:t>ARRY</w:t>
            </w:r>
            <w:r>
              <w:rPr>
                <w:rFonts w:ascii="Arial" w:cs="Arial" w:eastAsia="Arial" w:hAnsi="Arial"/>
                <w:sz w:val="13"/>
                <w:szCs w:val="13"/>
                <w:color w:val="auto"/>
              </w:rPr>
              <w:t>*</w:t>
            </w:r>
          </w:p>
        </w:tc>
        <w:tc>
          <w:tcPr>
            <w:tcW w:w="40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60" w:type="dxa"/>
            <w:vAlign w:val="bottom"/>
          </w:tcPr>
          <w:p>
            <w:pPr>
              <w:ind w:left="500"/>
              <w:spacing w:after="0"/>
              <w:rPr>
                <w:sz w:val="20"/>
                <w:szCs w:val="20"/>
                <w:color w:val="auto"/>
              </w:rPr>
            </w:pPr>
            <w:r>
              <w:rPr>
                <w:rFonts w:ascii="Arial" w:cs="Arial" w:eastAsia="Arial" w:hAnsi="Arial"/>
                <w:sz w:val="13"/>
                <w:szCs w:val="13"/>
                <w:color w:val="auto"/>
              </w:rPr>
              <w:t>November 24, 2010</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Alan H. Barry</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C. E</w:t>
            </w:r>
            <w:r>
              <w:rPr>
                <w:rFonts w:ascii="Arial" w:cs="Arial" w:eastAsia="Arial" w:hAnsi="Arial"/>
                <w:sz w:val="8"/>
                <w:szCs w:val="8"/>
                <w:color w:val="auto"/>
              </w:rPr>
              <w:t>VANS</w:t>
            </w:r>
          </w:p>
        </w:tc>
        <w:tc>
          <w:tcPr>
            <w:tcW w:w="4000" w:type="dxa"/>
            <w:vAlign w:val="bottom"/>
          </w:tcPr>
          <w:p>
            <w:pPr>
              <w:ind w:left="300"/>
              <w:spacing w:after="0"/>
              <w:rPr>
                <w:sz w:val="20"/>
                <w:szCs w:val="20"/>
                <w:color w:val="auto"/>
              </w:rPr>
            </w:pPr>
            <w:r>
              <w:rPr>
                <w:rFonts w:ascii="Arial" w:cs="Arial" w:eastAsia="Arial" w:hAnsi="Arial"/>
                <w:sz w:val="13"/>
                <w:szCs w:val="13"/>
                <w:color w:val="auto"/>
              </w:rPr>
              <w:t>Executive Vice President and</w:t>
            </w:r>
          </w:p>
        </w:tc>
        <w:tc>
          <w:tcPr>
            <w:tcW w:w="2660" w:type="dxa"/>
            <w:vAlign w:val="bottom"/>
          </w:tcPr>
          <w:p>
            <w:pPr>
              <w:ind w:left="500"/>
              <w:spacing w:after="0"/>
              <w:rPr>
                <w:sz w:val="20"/>
                <w:szCs w:val="20"/>
                <w:color w:val="auto"/>
              </w:rPr>
            </w:pPr>
            <w:r>
              <w:rPr>
                <w:rFonts w:ascii="Arial" w:cs="Arial" w:eastAsia="Arial" w:hAnsi="Arial"/>
                <w:sz w:val="13"/>
                <w:szCs w:val="13"/>
                <w:color w:val="auto"/>
              </w:rPr>
              <w:t>November 24, 2010</w:t>
            </w:r>
          </w:p>
        </w:tc>
      </w:tr>
      <w:tr>
        <w:trPr>
          <w:trHeight w:val="130"/>
        </w:trPr>
        <w:tc>
          <w:tcPr>
            <w:tcW w:w="680" w:type="dxa"/>
            <w:vAlign w:val="bottom"/>
          </w:tcPr>
          <w:p>
            <w:pPr>
              <w:spacing w:after="0"/>
              <w:rPr>
                <w:sz w:val="11"/>
                <w:szCs w:val="11"/>
                <w:color w:val="auto"/>
              </w:rPr>
            </w:pPr>
          </w:p>
        </w:tc>
        <w:tc>
          <w:tcPr>
            <w:tcW w:w="4120" w:type="dxa"/>
            <w:vAlign w:val="bottom"/>
          </w:tcPr>
          <w:p>
            <w:pPr>
              <w:spacing w:after="0" w:line="130" w:lineRule="exact"/>
              <w:rPr>
                <w:sz w:val="20"/>
                <w:szCs w:val="20"/>
                <w:color w:val="auto"/>
              </w:rPr>
            </w:pPr>
            <w:r>
              <w:rPr>
                <w:rFonts w:ascii="Arial" w:cs="Arial" w:eastAsia="Arial" w:hAnsi="Arial"/>
                <w:sz w:val="13"/>
                <w:szCs w:val="13"/>
                <w:color w:val="auto"/>
              </w:rPr>
              <w:t>David C. Evans</w:t>
            </w:r>
          </w:p>
        </w:tc>
        <w:tc>
          <w:tcPr>
            <w:tcW w:w="4000" w:type="dxa"/>
            <w:vAlign w:val="bottom"/>
          </w:tcPr>
          <w:p>
            <w:pPr>
              <w:ind w:left="300"/>
              <w:spacing w:after="0" w:line="130" w:lineRule="exact"/>
              <w:rPr>
                <w:sz w:val="20"/>
                <w:szCs w:val="20"/>
                <w:color w:val="auto"/>
              </w:rPr>
            </w:pPr>
            <w:r>
              <w:rPr>
                <w:rFonts w:ascii="Arial" w:cs="Arial" w:eastAsia="Arial" w:hAnsi="Arial"/>
                <w:sz w:val="13"/>
                <w:szCs w:val="13"/>
                <w:color w:val="auto"/>
              </w:rPr>
              <w:t>Chief Financial Officer</w:t>
            </w:r>
          </w:p>
        </w:tc>
        <w:tc>
          <w:tcPr>
            <w:tcW w:w="2660" w:type="dxa"/>
            <w:vAlign w:val="bottom"/>
          </w:tcPr>
          <w:p>
            <w:pPr>
              <w:spacing w:after="0"/>
              <w:rPr>
                <w:sz w:val="11"/>
                <w:szCs w:val="1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4000" w:type="dxa"/>
            <w:vAlign w:val="bottom"/>
          </w:tcPr>
          <w:p>
            <w:pPr>
              <w:ind w:left="300"/>
              <w:spacing w:after="0"/>
              <w:rPr>
                <w:sz w:val="20"/>
                <w:szCs w:val="20"/>
                <w:color w:val="auto"/>
              </w:rPr>
            </w:pPr>
            <w:r>
              <w:rPr>
                <w:rFonts w:ascii="Arial" w:cs="Arial" w:eastAsia="Arial" w:hAnsi="Arial"/>
                <w:sz w:val="13"/>
                <w:szCs w:val="13"/>
                <w:color w:val="auto"/>
              </w:rPr>
              <w:t>(Principal Financial Officer and</w:t>
            </w:r>
          </w:p>
        </w:tc>
        <w:tc>
          <w:tcPr>
            <w:tcW w:w="266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00" w:type="dxa"/>
            <w:vAlign w:val="bottom"/>
          </w:tcPr>
          <w:p>
            <w:pPr>
              <w:ind w:left="300"/>
              <w:spacing w:after="0"/>
              <w:rPr>
                <w:sz w:val="20"/>
                <w:szCs w:val="20"/>
                <w:color w:val="auto"/>
              </w:rPr>
            </w:pPr>
            <w:r>
              <w:rPr>
                <w:rFonts w:ascii="Arial" w:cs="Arial" w:eastAsia="Arial" w:hAnsi="Arial"/>
                <w:sz w:val="13"/>
                <w:szCs w:val="13"/>
                <w:color w:val="auto"/>
              </w:rPr>
              <w:t>Principal Accounting Officer)</w:t>
            </w:r>
          </w:p>
        </w:tc>
        <w:tc>
          <w:tcPr>
            <w:tcW w:w="266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OSEPH</w:t>
            </w:r>
            <w:r>
              <w:rPr>
                <w:rFonts w:ascii="Arial" w:cs="Arial" w:eastAsia="Arial" w:hAnsi="Arial"/>
                <w:sz w:val="13"/>
                <w:szCs w:val="13"/>
                <w:color w:val="auto"/>
              </w:rPr>
              <w:t xml:space="preserve"> P. F</w:t>
            </w:r>
            <w:r>
              <w:rPr>
                <w:rFonts w:ascii="Arial" w:cs="Arial" w:eastAsia="Arial" w:hAnsi="Arial"/>
                <w:sz w:val="8"/>
                <w:szCs w:val="8"/>
                <w:color w:val="auto"/>
              </w:rPr>
              <w:t>LANNERY</w:t>
            </w:r>
            <w:r>
              <w:rPr>
                <w:rFonts w:ascii="Arial" w:cs="Arial" w:eastAsia="Arial" w:hAnsi="Arial"/>
                <w:sz w:val="13"/>
                <w:szCs w:val="13"/>
                <w:color w:val="auto"/>
              </w:rPr>
              <w:t>*</w:t>
            </w:r>
          </w:p>
        </w:tc>
        <w:tc>
          <w:tcPr>
            <w:tcW w:w="40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60" w:type="dxa"/>
            <w:vAlign w:val="bottom"/>
          </w:tcPr>
          <w:p>
            <w:pPr>
              <w:ind w:left="500"/>
              <w:spacing w:after="0"/>
              <w:rPr>
                <w:sz w:val="20"/>
                <w:szCs w:val="20"/>
                <w:color w:val="auto"/>
              </w:rPr>
            </w:pPr>
            <w:r>
              <w:rPr>
                <w:rFonts w:ascii="Arial" w:cs="Arial" w:eastAsia="Arial" w:hAnsi="Arial"/>
                <w:sz w:val="13"/>
                <w:szCs w:val="13"/>
                <w:color w:val="auto"/>
              </w:rPr>
              <w:t>November 24, 2010</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Joseph P. Flannery</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AMES</w:t>
            </w:r>
            <w:r>
              <w:rPr>
                <w:rFonts w:ascii="Arial" w:cs="Arial" w:eastAsia="Arial" w:hAnsi="Arial"/>
                <w:sz w:val="13"/>
                <w:szCs w:val="13"/>
                <w:color w:val="auto"/>
              </w:rPr>
              <w:t xml:space="preserve"> H</w:t>
            </w:r>
            <w:r>
              <w:rPr>
                <w:rFonts w:ascii="Arial" w:cs="Arial" w:eastAsia="Arial" w:hAnsi="Arial"/>
                <w:sz w:val="8"/>
                <w:szCs w:val="8"/>
                <w:color w:val="auto"/>
              </w:rPr>
              <w:t>AGEDORN</w:t>
            </w:r>
          </w:p>
        </w:tc>
        <w:tc>
          <w:tcPr>
            <w:tcW w:w="4000" w:type="dxa"/>
            <w:vAlign w:val="bottom"/>
          </w:tcPr>
          <w:p>
            <w:pPr>
              <w:ind w:left="300"/>
              <w:spacing w:after="0"/>
              <w:rPr>
                <w:sz w:val="20"/>
                <w:szCs w:val="20"/>
                <w:color w:val="auto"/>
              </w:rPr>
            </w:pPr>
            <w:r>
              <w:rPr>
                <w:rFonts w:ascii="Arial" w:cs="Arial" w:eastAsia="Arial" w:hAnsi="Arial"/>
                <w:sz w:val="13"/>
                <w:szCs w:val="13"/>
                <w:color w:val="auto"/>
              </w:rPr>
              <w:t>Chief Executive Officer, Chairman of the Board and Director</w:t>
            </w:r>
          </w:p>
        </w:tc>
        <w:tc>
          <w:tcPr>
            <w:tcW w:w="2660" w:type="dxa"/>
            <w:vAlign w:val="bottom"/>
          </w:tcPr>
          <w:p>
            <w:pPr>
              <w:ind w:left="500"/>
              <w:spacing w:after="0"/>
              <w:rPr>
                <w:sz w:val="20"/>
                <w:szCs w:val="20"/>
                <w:color w:val="auto"/>
              </w:rPr>
            </w:pPr>
            <w:r>
              <w:rPr>
                <w:rFonts w:ascii="Arial" w:cs="Arial" w:eastAsia="Arial" w:hAnsi="Arial"/>
                <w:sz w:val="13"/>
                <w:szCs w:val="13"/>
                <w:color w:val="auto"/>
              </w:rPr>
              <w:t>November 24, 2010</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James Hagedorn</w:t>
            </w:r>
          </w:p>
        </w:tc>
        <w:tc>
          <w:tcPr>
            <w:tcW w:w="4000" w:type="dxa"/>
            <w:vAlign w:val="bottom"/>
          </w:tcPr>
          <w:p>
            <w:pPr>
              <w:ind w:left="300"/>
              <w:spacing w:after="0" w:line="145" w:lineRule="exact"/>
              <w:rPr>
                <w:sz w:val="20"/>
                <w:szCs w:val="20"/>
                <w:color w:val="auto"/>
              </w:rPr>
            </w:pPr>
            <w:r>
              <w:rPr>
                <w:rFonts w:ascii="Arial" w:cs="Arial" w:eastAsia="Arial" w:hAnsi="Arial"/>
                <w:sz w:val="13"/>
                <w:szCs w:val="13"/>
                <w:color w:val="auto"/>
              </w:rPr>
              <w:t>(Principal Executive Officer)</w:t>
            </w: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w:t>
            </w:r>
            <w:r>
              <w:rPr>
                <w:rFonts w:ascii="Arial" w:cs="Arial" w:eastAsia="Arial" w:hAnsi="Arial"/>
                <w:sz w:val="8"/>
                <w:szCs w:val="8"/>
                <w:color w:val="auto"/>
              </w:rPr>
              <w:t>DAM</w:t>
            </w:r>
            <w:r>
              <w:rPr>
                <w:rFonts w:ascii="Arial" w:cs="Arial" w:eastAsia="Arial" w:hAnsi="Arial"/>
                <w:sz w:val="13"/>
                <w:szCs w:val="13"/>
                <w:color w:val="auto"/>
              </w:rPr>
              <w:t xml:space="preserve"> H</w:t>
            </w:r>
            <w:r>
              <w:rPr>
                <w:rFonts w:ascii="Arial" w:cs="Arial" w:eastAsia="Arial" w:hAnsi="Arial"/>
                <w:sz w:val="8"/>
                <w:szCs w:val="8"/>
                <w:color w:val="auto"/>
              </w:rPr>
              <w:t>ANFT</w:t>
            </w:r>
            <w:r>
              <w:rPr>
                <w:rFonts w:ascii="Arial" w:cs="Arial" w:eastAsia="Arial" w:hAnsi="Arial"/>
                <w:sz w:val="13"/>
                <w:szCs w:val="13"/>
                <w:color w:val="auto"/>
              </w:rPr>
              <w:t>*</w:t>
            </w:r>
          </w:p>
        </w:tc>
        <w:tc>
          <w:tcPr>
            <w:tcW w:w="40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60" w:type="dxa"/>
            <w:vAlign w:val="bottom"/>
          </w:tcPr>
          <w:p>
            <w:pPr>
              <w:ind w:left="500"/>
              <w:spacing w:after="0"/>
              <w:rPr>
                <w:sz w:val="20"/>
                <w:szCs w:val="20"/>
                <w:color w:val="auto"/>
              </w:rPr>
            </w:pPr>
            <w:r>
              <w:rPr>
                <w:rFonts w:ascii="Arial" w:cs="Arial" w:eastAsia="Arial" w:hAnsi="Arial"/>
                <w:sz w:val="13"/>
                <w:szCs w:val="13"/>
                <w:color w:val="auto"/>
              </w:rPr>
              <w:t>November 24, 2010</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Adam Hanft</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TEPHEN</w:t>
            </w:r>
            <w:r>
              <w:rPr>
                <w:rFonts w:ascii="Arial" w:cs="Arial" w:eastAsia="Arial" w:hAnsi="Arial"/>
                <w:sz w:val="13"/>
                <w:szCs w:val="13"/>
                <w:color w:val="auto"/>
              </w:rPr>
              <w:t xml:space="preserve"> L. J</w:t>
            </w:r>
            <w:r>
              <w:rPr>
                <w:rFonts w:ascii="Arial" w:cs="Arial" w:eastAsia="Arial" w:hAnsi="Arial"/>
                <w:sz w:val="8"/>
                <w:szCs w:val="8"/>
                <w:color w:val="auto"/>
              </w:rPr>
              <w:t>OHNSON</w:t>
            </w:r>
            <w:r>
              <w:rPr>
                <w:rFonts w:ascii="Arial" w:cs="Arial" w:eastAsia="Arial" w:hAnsi="Arial"/>
                <w:sz w:val="13"/>
                <w:szCs w:val="13"/>
                <w:color w:val="auto"/>
              </w:rPr>
              <w:t>*</w:t>
            </w:r>
          </w:p>
        </w:tc>
        <w:tc>
          <w:tcPr>
            <w:tcW w:w="40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60" w:type="dxa"/>
            <w:vAlign w:val="bottom"/>
          </w:tcPr>
          <w:p>
            <w:pPr>
              <w:ind w:left="500"/>
              <w:spacing w:after="0"/>
              <w:rPr>
                <w:sz w:val="20"/>
                <w:szCs w:val="20"/>
                <w:color w:val="auto"/>
              </w:rPr>
            </w:pPr>
            <w:r>
              <w:rPr>
                <w:rFonts w:ascii="Arial" w:cs="Arial" w:eastAsia="Arial" w:hAnsi="Arial"/>
                <w:sz w:val="13"/>
                <w:szCs w:val="13"/>
                <w:color w:val="auto"/>
              </w:rPr>
              <w:t>November 24, 2010</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Stephen L. Johnson</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W</w:t>
            </w:r>
            <w:r>
              <w:rPr>
                <w:rFonts w:ascii="Arial" w:cs="Arial" w:eastAsia="Arial" w:hAnsi="Arial"/>
                <w:sz w:val="8"/>
                <w:szCs w:val="8"/>
                <w:color w:val="auto"/>
              </w:rPr>
              <w:t>ILLIAM</w:t>
            </w:r>
            <w:r>
              <w:rPr>
                <w:rFonts w:ascii="Arial" w:cs="Arial" w:eastAsia="Arial" w:hAnsi="Arial"/>
                <w:sz w:val="13"/>
                <w:szCs w:val="13"/>
                <w:color w:val="auto"/>
              </w:rPr>
              <w:t xml:space="preserve"> G. J</w:t>
            </w:r>
            <w:r>
              <w:rPr>
                <w:rFonts w:ascii="Arial" w:cs="Arial" w:eastAsia="Arial" w:hAnsi="Arial"/>
                <w:sz w:val="8"/>
                <w:szCs w:val="8"/>
                <w:color w:val="auto"/>
              </w:rPr>
              <w:t>URGENSEN</w:t>
            </w:r>
            <w:r>
              <w:rPr>
                <w:rFonts w:ascii="Arial" w:cs="Arial" w:eastAsia="Arial" w:hAnsi="Arial"/>
                <w:sz w:val="13"/>
                <w:szCs w:val="13"/>
                <w:color w:val="auto"/>
              </w:rPr>
              <w:t>*</w:t>
            </w:r>
          </w:p>
        </w:tc>
        <w:tc>
          <w:tcPr>
            <w:tcW w:w="40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60" w:type="dxa"/>
            <w:vAlign w:val="bottom"/>
          </w:tcPr>
          <w:p>
            <w:pPr>
              <w:ind w:left="500"/>
              <w:spacing w:after="0"/>
              <w:rPr>
                <w:sz w:val="20"/>
                <w:szCs w:val="20"/>
                <w:color w:val="auto"/>
              </w:rPr>
            </w:pPr>
            <w:r>
              <w:rPr>
                <w:rFonts w:ascii="Arial" w:cs="Arial" w:eastAsia="Arial" w:hAnsi="Arial"/>
                <w:sz w:val="13"/>
                <w:szCs w:val="13"/>
                <w:color w:val="auto"/>
              </w:rPr>
              <w:t>November 24, 2010</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William G. Jurgensen</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w:t>
            </w:r>
            <w:r>
              <w:rPr>
                <w:rFonts w:ascii="Arial" w:cs="Arial" w:eastAsia="Arial" w:hAnsi="Arial"/>
                <w:sz w:val="8"/>
                <w:szCs w:val="8"/>
                <w:color w:val="auto"/>
              </w:rPr>
              <w:t>HOMAS</w:t>
            </w:r>
            <w:r>
              <w:rPr>
                <w:rFonts w:ascii="Arial" w:cs="Arial" w:eastAsia="Arial" w:hAnsi="Arial"/>
                <w:sz w:val="13"/>
                <w:szCs w:val="13"/>
                <w:color w:val="auto"/>
              </w:rPr>
              <w:t xml:space="preserve"> N. K</w:t>
            </w:r>
            <w:r>
              <w:rPr>
                <w:rFonts w:ascii="Arial" w:cs="Arial" w:eastAsia="Arial" w:hAnsi="Arial"/>
                <w:sz w:val="8"/>
                <w:szCs w:val="8"/>
                <w:color w:val="auto"/>
              </w:rPr>
              <w:t>ELLY</w:t>
            </w:r>
            <w:r>
              <w:rPr>
                <w:rFonts w:ascii="Arial" w:cs="Arial" w:eastAsia="Arial" w:hAnsi="Arial"/>
                <w:sz w:val="13"/>
                <w:szCs w:val="13"/>
                <w:color w:val="auto"/>
              </w:rPr>
              <w:t xml:space="preserve"> Jr.*</w:t>
            </w:r>
          </w:p>
        </w:tc>
        <w:tc>
          <w:tcPr>
            <w:tcW w:w="40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60" w:type="dxa"/>
            <w:vAlign w:val="bottom"/>
          </w:tcPr>
          <w:p>
            <w:pPr>
              <w:ind w:left="500"/>
              <w:spacing w:after="0"/>
              <w:rPr>
                <w:sz w:val="20"/>
                <w:szCs w:val="20"/>
                <w:color w:val="auto"/>
              </w:rPr>
            </w:pPr>
            <w:r>
              <w:rPr>
                <w:rFonts w:ascii="Arial" w:cs="Arial" w:eastAsia="Arial" w:hAnsi="Arial"/>
                <w:sz w:val="13"/>
                <w:szCs w:val="13"/>
                <w:color w:val="auto"/>
              </w:rPr>
              <w:t>November 24, 2010</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Thomas N. Kelly Jr.</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w:t>
            </w:r>
            <w:r>
              <w:rPr>
                <w:rFonts w:ascii="Arial" w:cs="Arial" w:eastAsia="Arial" w:hAnsi="Arial"/>
                <w:sz w:val="8"/>
                <w:szCs w:val="8"/>
                <w:color w:val="auto"/>
              </w:rPr>
              <w:t>ARL</w:t>
            </w:r>
            <w:r>
              <w:rPr>
                <w:rFonts w:ascii="Arial" w:cs="Arial" w:eastAsia="Arial" w:hAnsi="Arial"/>
                <w:sz w:val="13"/>
                <w:szCs w:val="13"/>
                <w:color w:val="auto"/>
              </w:rPr>
              <w:t xml:space="preserve"> F. K</w:t>
            </w:r>
            <w:r>
              <w:rPr>
                <w:rFonts w:ascii="Arial" w:cs="Arial" w:eastAsia="Arial" w:hAnsi="Arial"/>
                <w:sz w:val="8"/>
                <w:szCs w:val="8"/>
                <w:color w:val="auto"/>
              </w:rPr>
              <w:t>OHRT</w:t>
            </w:r>
            <w:r>
              <w:rPr>
                <w:rFonts w:ascii="Arial" w:cs="Arial" w:eastAsia="Arial" w:hAnsi="Arial"/>
                <w:sz w:val="13"/>
                <w:szCs w:val="13"/>
                <w:color w:val="auto"/>
              </w:rPr>
              <w:t>, Ph.D.*</w:t>
            </w:r>
          </w:p>
        </w:tc>
        <w:tc>
          <w:tcPr>
            <w:tcW w:w="40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60" w:type="dxa"/>
            <w:vAlign w:val="bottom"/>
          </w:tcPr>
          <w:p>
            <w:pPr>
              <w:ind w:left="500"/>
              <w:spacing w:after="0"/>
              <w:rPr>
                <w:sz w:val="20"/>
                <w:szCs w:val="20"/>
                <w:color w:val="auto"/>
              </w:rPr>
            </w:pPr>
            <w:r>
              <w:rPr>
                <w:rFonts w:ascii="Arial" w:cs="Arial" w:eastAsia="Arial" w:hAnsi="Arial"/>
                <w:sz w:val="13"/>
                <w:szCs w:val="13"/>
                <w:color w:val="auto"/>
              </w:rPr>
              <w:t>November 24, 2010</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Carl F. Kohrt, Ph.D.</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w:t>
            </w:r>
            <w:r>
              <w:rPr>
                <w:rFonts w:ascii="Arial" w:cs="Arial" w:eastAsia="Arial" w:hAnsi="Arial"/>
                <w:sz w:val="8"/>
                <w:szCs w:val="8"/>
                <w:color w:val="auto"/>
              </w:rPr>
              <w:t>ATHERINE</w:t>
            </w:r>
            <w:r>
              <w:rPr>
                <w:rFonts w:ascii="Arial" w:cs="Arial" w:eastAsia="Arial" w:hAnsi="Arial"/>
                <w:sz w:val="13"/>
                <w:szCs w:val="13"/>
                <w:color w:val="auto"/>
              </w:rPr>
              <w:t xml:space="preserve"> H</w:t>
            </w:r>
            <w:r>
              <w:rPr>
                <w:rFonts w:ascii="Arial" w:cs="Arial" w:eastAsia="Arial" w:hAnsi="Arial"/>
                <w:sz w:val="8"/>
                <w:szCs w:val="8"/>
                <w:color w:val="auto"/>
              </w:rPr>
              <w:t>AGEDORN</w:t>
            </w:r>
            <w:r>
              <w:rPr>
                <w:rFonts w:ascii="Arial" w:cs="Arial" w:eastAsia="Arial" w:hAnsi="Arial"/>
                <w:sz w:val="13"/>
                <w:szCs w:val="13"/>
                <w:color w:val="auto"/>
              </w:rPr>
              <w:t xml:space="preserve"> L</w:t>
            </w:r>
            <w:r>
              <w:rPr>
                <w:rFonts w:ascii="Arial" w:cs="Arial" w:eastAsia="Arial" w:hAnsi="Arial"/>
                <w:sz w:val="8"/>
                <w:szCs w:val="8"/>
                <w:color w:val="auto"/>
              </w:rPr>
              <w:t>ITTLEFIELD</w:t>
            </w:r>
            <w:r>
              <w:rPr>
                <w:rFonts w:ascii="Arial" w:cs="Arial" w:eastAsia="Arial" w:hAnsi="Arial"/>
                <w:sz w:val="13"/>
                <w:szCs w:val="13"/>
                <w:color w:val="auto"/>
              </w:rPr>
              <w:t>*</w:t>
            </w:r>
          </w:p>
        </w:tc>
        <w:tc>
          <w:tcPr>
            <w:tcW w:w="40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660" w:type="dxa"/>
            <w:vAlign w:val="bottom"/>
          </w:tcPr>
          <w:p>
            <w:pPr>
              <w:ind w:left="500"/>
              <w:spacing w:after="0"/>
              <w:rPr>
                <w:sz w:val="20"/>
                <w:szCs w:val="20"/>
                <w:color w:val="auto"/>
              </w:rPr>
            </w:pPr>
            <w:r>
              <w:rPr>
                <w:rFonts w:ascii="Arial" w:cs="Arial" w:eastAsia="Arial" w:hAnsi="Arial"/>
                <w:sz w:val="13"/>
                <w:szCs w:val="13"/>
                <w:color w:val="auto"/>
              </w:rPr>
              <w:t>November 24, 2010</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Katherine Hagedorn Littlefield</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0" w:type="dxa"/>
            <w:vAlign w:val="bottom"/>
          </w:tcPr>
          <w:p>
            <w:pPr>
              <w:ind w:left="820"/>
              <w:spacing w:after="0"/>
              <w:rPr>
                <w:sz w:val="20"/>
                <w:szCs w:val="20"/>
                <w:color w:val="auto"/>
              </w:rPr>
            </w:pPr>
            <w:r>
              <w:rPr>
                <w:rFonts w:ascii="Arial" w:cs="Arial" w:eastAsia="Arial" w:hAnsi="Arial"/>
                <w:sz w:val="13"/>
                <w:szCs w:val="13"/>
                <w:color w:val="auto"/>
              </w:rPr>
              <w:t>57</w:t>
            </w:r>
          </w:p>
        </w:tc>
        <w:tc>
          <w:tcPr>
            <w:tcW w:w="26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00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720"/>
        <w:spacing w:after="0"/>
        <w:tabs>
          <w:tab w:leader="none" w:pos="6840" w:val="left"/>
          <w:tab w:leader="none" w:pos="98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841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12700</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N</w:t>
            </w:r>
            <w:r>
              <w:rPr>
                <w:rFonts w:ascii="Arial" w:cs="Arial" w:eastAsia="Arial" w:hAnsi="Arial"/>
                <w:sz w:val="8"/>
                <w:szCs w:val="8"/>
                <w:color w:val="auto"/>
              </w:rPr>
              <w:t>ANCY</w:t>
            </w:r>
            <w:r>
              <w:rPr>
                <w:rFonts w:ascii="Arial" w:cs="Arial" w:eastAsia="Arial" w:hAnsi="Arial"/>
                <w:sz w:val="13"/>
                <w:szCs w:val="13"/>
                <w:color w:val="auto"/>
              </w:rPr>
              <w:t xml:space="preserve"> G. M</w:t>
            </w:r>
            <w:r>
              <w:rPr>
                <w:rFonts w:ascii="Arial" w:cs="Arial" w:eastAsia="Arial" w:hAnsi="Arial"/>
                <w:sz w:val="8"/>
                <w:szCs w:val="8"/>
                <w:color w:val="auto"/>
              </w:rPr>
              <w:t>ISTRETTA</w:t>
            </w:r>
            <w:r>
              <w:rPr>
                <w:rFonts w:ascii="Arial" w:cs="Arial" w:eastAsia="Arial" w:hAnsi="Arial"/>
                <w:sz w:val="13"/>
                <w:szCs w:val="13"/>
                <w:color w:val="auto"/>
              </w:rPr>
              <w:t>*</w:t>
            </w:r>
          </w:p>
        </w:tc>
        <w:tc>
          <w:tcPr>
            <w:tcW w:w="26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20" w:type="dxa"/>
            <w:vAlign w:val="bottom"/>
          </w:tcPr>
          <w:p>
            <w:pPr>
              <w:ind w:left="1880"/>
              <w:spacing w:after="0"/>
              <w:rPr>
                <w:sz w:val="20"/>
                <w:szCs w:val="20"/>
                <w:color w:val="auto"/>
              </w:rPr>
            </w:pPr>
            <w:r>
              <w:rPr>
                <w:rFonts w:ascii="Arial" w:cs="Arial" w:eastAsia="Arial" w:hAnsi="Arial"/>
                <w:sz w:val="13"/>
                <w:szCs w:val="13"/>
                <w:color w:val="auto"/>
                <w:w w:val="89"/>
              </w:rPr>
              <w:t>November 24, 2010</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Nancy G. Mistretta</w:t>
            </w:r>
          </w:p>
        </w:tc>
        <w:tc>
          <w:tcPr>
            <w:tcW w:w="26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01"/>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TEPHANIE</w:t>
            </w:r>
            <w:r>
              <w:rPr>
                <w:rFonts w:ascii="Arial" w:cs="Arial" w:eastAsia="Arial" w:hAnsi="Arial"/>
                <w:sz w:val="13"/>
                <w:szCs w:val="13"/>
                <w:color w:val="auto"/>
              </w:rPr>
              <w:t xml:space="preserve"> M. S</w:t>
            </w:r>
            <w:r>
              <w:rPr>
                <w:rFonts w:ascii="Arial" w:cs="Arial" w:eastAsia="Arial" w:hAnsi="Arial"/>
                <w:sz w:val="8"/>
                <w:szCs w:val="8"/>
                <w:color w:val="auto"/>
              </w:rPr>
              <w:t>HERN</w:t>
            </w:r>
            <w:r>
              <w:rPr>
                <w:rFonts w:ascii="Arial" w:cs="Arial" w:eastAsia="Arial" w:hAnsi="Arial"/>
                <w:sz w:val="13"/>
                <w:szCs w:val="13"/>
                <w:color w:val="auto"/>
              </w:rPr>
              <w:t>*</w:t>
            </w:r>
          </w:p>
        </w:tc>
        <w:tc>
          <w:tcPr>
            <w:tcW w:w="26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20" w:type="dxa"/>
            <w:vAlign w:val="bottom"/>
          </w:tcPr>
          <w:p>
            <w:pPr>
              <w:ind w:left="1880"/>
              <w:spacing w:after="0"/>
              <w:rPr>
                <w:sz w:val="20"/>
                <w:szCs w:val="20"/>
                <w:color w:val="auto"/>
              </w:rPr>
            </w:pPr>
            <w:r>
              <w:rPr>
                <w:rFonts w:ascii="Arial" w:cs="Arial" w:eastAsia="Arial" w:hAnsi="Arial"/>
                <w:sz w:val="13"/>
                <w:szCs w:val="13"/>
                <w:color w:val="auto"/>
                <w:w w:val="89"/>
              </w:rPr>
              <w:t>November 24, 2010</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Stephanie M. Shern</w:t>
            </w:r>
          </w:p>
        </w:tc>
        <w:tc>
          <w:tcPr>
            <w:tcW w:w="26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01"/>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S. S</w:t>
            </w:r>
            <w:r>
              <w:rPr>
                <w:rFonts w:ascii="Arial" w:cs="Arial" w:eastAsia="Arial" w:hAnsi="Arial"/>
                <w:sz w:val="8"/>
                <w:szCs w:val="8"/>
                <w:color w:val="auto"/>
              </w:rPr>
              <w:t>HIELY</w:t>
            </w:r>
            <w:r>
              <w:rPr>
                <w:rFonts w:ascii="Arial" w:cs="Arial" w:eastAsia="Arial" w:hAnsi="Arial"/>
                <w:sz w:val="13"/>
                <w:szCs w:val="13"/>
                <w:color w:val="auto"/>
              </w:rPr>
              <w:t>*</w:t>
            </w:r>
          </w:p>
        </w:tc>
        <w:tc>
          <w:tcPr>
            <w:tcW w:w="2620" w:type="dxa"/>
            <w:vAlign w:val="bottom"/>
          </w:tcPr>
          <w:p>
            <w:pPr>
              <w:ind w:left="300"/>
              <w:spacing w:after="0"/>
              <w:rPr>
                <w:sz w:val="20"/>
                <w:szCs w:val="20"/>
                <w:color w:val="auto"/>
              </w:rPr>
            </w:pPr>
            <w:r>
              <w:rPr>
                <w:rFonts w:ascii="Arial" w:cs="Arial" w:eastAsia="Arial" w:hAnsi="Arial"/>
                <w:sz w:val="13"/>
                <w:szCs w:val="13"/>
                <w:color w:val="auto"/>
              </w:rPr>
              <w:t>Director</w:t>
            </w:r>
          </w:p>
        </w:tc>
        <w:tc>
          <w:tcPr>
            <w:tcW w:w="2920" w:type="dxa"/>
            <w:vAlign w:val="bottom"/>
          </w:tcPr>
          <w:p>
            <w:pPr>
              <w:ind w:left="1880"/>
              <w:spacing w:after="0"/>
              <w:rPr>
                <w:sz w:val="20"/>
                <w:szCs w:val="20"/>
                <w:color w:val="auto"/>
              </w:rPr>
            </w:pPr>
            <w:r>
              <w:rPr>
                <w:rFonts w:ascii="Arial" w:cs="Arial" w:eastAsia="Arial" w:hAnsi="Arial"/>
                <w:sz w:val="13"/>
                <w:szCs w:val="13"/>
                <w:color w:val="auto"/>
                <w:w w:val="89"/>
              </w:rPr>
              <w:t>November 24, 2010</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John S. Shiely</w:t>
            </w:r>
          </w:p>
        </w:tc>
        <w:tc>
          <w:tcPr>
            <w:tcW w:w="2620" w:type="dxa"/>
            <w:vAlign w:val="bottom"/>
          </w:tcPr>
          <w:p>
            <w:pPr>
              <w:spacing w:after="0"/>
              <w:rPr>
                <w:sz w:val="13"/>
                <w:szCs w:val="13"/>
                <w:color w:val="auto"/>
              </w:rPr>
            </w:pPr>
          </w:p>
        </w:tc>
        <w:tc>
          <w:tcPr>
            <w:tcW w:w="29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101600</wp:posOffset>
            </wp:positionV>
            <wp:extent cx="82359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90" w:lineRule="exact"/>
        <w:rPr>
          <w:sz w:val="20"/>
          <w:szCs w:val="20"/>
          <w:color w:val="auto"/>
        </w:rPr>
      </w:pPr>
    </w:p>
    <w:p>
      <w:pPr>
        <w:ind w:left="900" w:hanging="213"/>
        <w:spacing w:after="0" w:line="276" w:lineRule="auto"/>
        <w:tabs>
          <w:tab w:leader="none" w:pos="9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138"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3"/>
          <w:szCs w:val="13"/>
          <w:color w:val="auto"/>
        </w:rPr>
        <w:t>By:</w:t>
        <w:tab/>
        <w:t>/s/ D</w:t>
      </w:r>
      <w:r>
        <w:rPr>
          <w:rFonts w:ascii="Arial" w:cs="Arial" w:eastAsia="Arial" w:hAnsi="Arial"/>
          <w:sz w:val="8"/>
          <w:szCs w:val="8"/>
          <w:color w:val="auto"/>
        </w:rPr>
        <w:t>AVID</w:t>
      </w:r>
      <w:r>
        <w:rPr>
          <w:rFonts w:ascii="Arial" w:cs="Arial" w:eastAsia="Arial" w:hAnsi="Arial"/>
          <w:sz w:val="13"/>
          <w:szCs w:val="13"/>
          <w:color w:val="auto"/>
        </w:rPr>
        <w:t xml:space="preserve"> C. E</w:t>
      </w:r>
      <w:r>
        <w:rPr>
          <w:rFonts w:ascii="Arial" w:cs="Arial" w:eastAsia="Arial" w:hAnsi="Arial"/>
          <w:sz w:val="8"/>
          <w:szCs w:val="8"/>
          <w:color w:val="auto"/>
        </w:rPr>
        <w:t>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10795</wp:posOffset>
            </wp:positionV>
            <wp:extent cx="633539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3"/>
          <w:szCs w:val="13"/>
          <w:color w:val="auto"/>
        </w:rPr>
        <w:t>David C. Evans, Attorney-in-Fact</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AND FINANCIAL STATEMENT SCHEDULES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Page</w:t>
            </w:r>
          </w:p>
        </w:tc>
      </w:tr>
      <w:tr>
        <w:trPr>
          <w:trHeight w:val="178"/>
        </w:trPr>
        <w:tc>
          <w:tcPr>
            <w:tcW w:w="9600" w:type="dxa"/>
            <w:vAlign w:val="bottom"/>
            <w:gridSpan w:val="9"/>
          </w:tcPr>
          <w:p>
            <w:pPr>
              <w:spacing w:after="0"/>
              <w:rPr>
                <w:sz w:val="20"/>
                <w:szCs w:val="20"/>
                <w:color w:val="auto"/>
              </w:rPr>
            </w:pPr>
            <w:r>
              <w:rPr>
                <w:rFonts w:ascii="Arial" w:cs="Arial" w:eastAsia="Arial" w:hAnsi="Arial"/>
                <w:sz w:val="13"/>
                <w:szCs w:val="13"/>
                <w:color w:val="auto"/>
              </w:rPr>
              <w:t>Consolidated Financial Statements of The Scotts Miracle-Gro Company and Subsidiaries:</w:t>
            </w:r>
          </w:p>
        </w:tc>
        <w:tc>
          <w:tcPr>
            <w:tcW w:w="380" w:type="dxa"/>
            <w:vAlign w:val="bottom"/>
          </w:tcPr>
          <w:p>
            <w:pPr>
              <w:spacing w:after="0"/>
              <w:rPr>
                <w:sz w:val="15"/>
                <w:szCs w:val="15"/>
                <w:color w:val="auto"/>
              </w:rPr>
            </w:pPr>
          </w:p>
        </w:tc>
      </w:tr>
      <w:tr>
        <w:trPr>
          <w:trHeight w:val="137"/>
        </w:trPr>
        <w:tc>
          <w:tcPr>
            <w:tcW w:w="140" w:type="dxa"/>
            <w:vAlign w:val="bottom"/>
          </w:tcPr>
          <w:p>
            <w:pPr>
              <w:spacing w:after="0"/>
              <w:rPr>
                <w:sz w:val="11"/>
                <w:szCs w:val="11"/>
                <w:color w:val="auto"/>
              </w:rPr>
            </w:pPr>
          </w:p>
        </w:tc>
        <w:tc>
          <w:tcPr>
            <w:tcW w:w="9460" w:type="dxa"/>
            <w:vAlign w:val="bottom"/>
            <w:gridSpan w:val="8"/>
          </w:tcPr>
          <w:p>
            <w:pPr>
              <w:spacing w:after="0" w:line="137" w:lineRule="exact"/>
              <w:rPr>
                <w:rFonts w:ascii="Arial" w:cs="Arial" w:eastAsia="Arial" w:hAnsi="Arial"/>
                <w:sz w:val="13"/>
                <w:szCs w:val="13"/>
                <w:color w:val="0000EE"/>
              </w:rPr>
            </w:pPr>
            <w:hyperlink w:anchor="page62">
              <w:r>
                <w:rPr>
                  <w:rFonts w:ascii="Arial" w:cs="Arial" w:eastAsia="Arial" w:hAnsi="Arial"/>
                  <w:sz w:val="13"/>
                  <w:szCs w:val="13"/>
                  <w:color w:val="0000EE"/>
                </w:rPr>
                <w:t>Annual Report of Management on Internal Control Over Financial Reporting</w:t>
              </w:r>
            </w:hyperlink>
          </w:p>
        </w:tc>
        <w:tc>
          <w:tcPr>
            <w:tcW w:w="380" w:type="dxa"/>
            <w:vAlign w:val="bottom"/>
          </w:tcPr>
          <w:p>
            <w:pPr>
              <w:jc w:val="right"/>
              <w:ind w:right="36"/>
              <w:spacing w:after="0" w:line="137" w:lineRule="exact"/>
              <w:rPr>
                <w:sz w:val="20"/>
                <w:szCs w:val="20"/>
                <w:color w:val="auto"/>
              </w:rPr>
            </w:pPr>
            <w:r>
              <w:rPr>
                <w:rFonts w:ascii="Arial" w:cs="Arial" w:eastAsia="Arial" w:hAnsi="Arial"/>
                <w:sz w:val="13"/>
                <w:szCs w:val="13"/>
                <w:color w:val="auto"/>
              </w:rPr>
              <w:t>60</w:t>
            </w:r>
          </w:p>
        </w:tc>
      </w:tr>
      <w:tr>
        <w:trPr>
          <w:trHeight w:val="137"/>
        </w:trPr>
        <w:tc>
          <w:tcPr>
            <w:tcW w:w="140" w:type="dxa"/>
            <w:vAlign w:val="bottom"/>
          </w:tcPr>
          <w:p>
            <w:pPr>
              <w:spacing w:after="0"/>
              <w:rPr>
                <w:sz w:val="11"/>
                <w:szCs w:val="11"/>
                <w:color w:val="auto"/>
              </w:rPr>
            </w:pPr>
          </w:p>
        </w:tc>
        <w:tc>
          <w:tcPr>
            <w:tcW w:w="4040" w:type="dxa"/>
            <w:vAlign w:val="bottom"/>
            <w:tcBorders>
              <w:top w:val="single" w:sz="8" w:color="0000EE"/>
            </w:tcBorders>
            <w:gridSpan w:val="4"/>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Reports of Independent Registered Public Accounting Firm</w:t>
              </w:r>
            </w:hyperlink>
          </w:p>
        </w:tc>
        <w:tc>
          <w:tcPr>
            <w:tcW w:w="5420" w:type="dxa"/>
            <w:vAlign w:val="bottom"/>
            <w:gridSpan w:val="4"/>
          </w:tcPr>
          <w:p>
            <w:pPr>
              <w:spacing w:after="0"/>
              <w:rPr>
                <w:sz w:val="11"/>
                <w:szCs w:val="11"/>
                <w:color w:val="auto"/>
              </w:rPr>
            </w:pPr>
          </w:p>
        </w:tc>
        <w:tc>
          <w:tcPr>
            <w:tcW w:w="380" w:type="dxa"/>
            <w:vAlign w:val="bottom"/>
          </w:tcPr>
          <w:p>
            <w:pPr>
              <w:jc w:val="right"/>
              <w:ind w:right="36"/>
              <w:spacing w:after="0" w:line="138" w:lineRule="exact"/>
              <w:rPr>
                <w:sz w:val="20"/>
                <w:szCs w:val="20"/>
                <w:color w:val="auto"/>
              </w:rPr>
            </w:pPr>
            <w:r>
              <w:rPr>
                <w:rFonts w:ascii="Arial" w:cs="Arial" w:eastAsia="Arial" w:hAnsi="Arial"/>
                <w:sz w:val="13"/>
                <w:szCs w:val="13"/>
                <w:color w:val="auto"/>
              </w:rPr>
              <w:t>61</w:t>
            </w:r>
          </w:p>
        </w:tc>
      </w:tr>
      <w:tr>
        <w:trPr>
          <w:trHeight w:val="20"/>
        </w:trPr>
        <w:tc>
          <w:tcPr>
            <w:tcW w:w="1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460" w:type="dxa"/>
            <w:vAlign w:val="bottom"/>
            <w:gridSpan w:val="8"/>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Consolidated Statements of Operations for the fiscal years ended September 30, 2010, 2009 and 2008</w:t>
              </w:r>
            </w:hyperlink>
          </w:p>
        </w:tc>
        <w:tc>
          <w:tcPr>
            <w:tcW w:w="380" w:type="dxa"/>
            <w:vAlign w:val="bottom"/>
          </w:tcPr>
          <w:p>
            <w:pPr>
              <w:jc w:val="right"/>
              <w:ind w:right="36"/>
              <w:spacing w:after="0" w:line="138" w:lineRule="exact"/>
              <w:rPr>
                <w:sz w:val="20"/>
                <w:szCs w:val="20"/>
                <w:color w:val="auto"/>
              </w:rPr>
            </w:pPr>
            <w:r>
              <w:rPr>
                <w:rFonts w:ascii="Arial" w:cs="Arial" w:eastAsia="Arial" w:hAnsi="Arial"/>
                <w:sz w:val="13"/>
                <w:szCs w:val="13"/>
                <w:color w:val="auto"/>
              </w:rPr>
              <w:t>63</w:t>
            </w:r>
          </w:p>
        </w:tc>
      </w:tr>
      <w:tr>
        <w:trPr>
          <w:trHeight w:val="20"/>
        </w:trPr>
        <w:tc>
          <w:tcPr>
            <w:tcW w:w="1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9460" w:type="dxa"/>
            <w:vAlign w:val="bottom"/>
            <w:gridSpan w:val="8"/>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Consolidated Statements of Cash Flows for the fiscal years ended September 30, 2010, 2009 and 2008</w:t>
              </w:r>
            </w:hyperlink>
          </w:p>
        </w:tc>
        <w:tc>
          <w:tcPr>
            <w:tcW w:w="380" w:type="dxa"/>
            <w:vAlign w:val="bottom"/>
          </w:tcPr>
          <w:p>
            <w:pPr>
              <w:jc w:val="right"/>
              <w:ind w:right="36"/>
              <w:spacing w:after="0" w:line="138" w:lineRule="exact"/>
              <w:rPr>
                <w:sz w:val="20"/>
                <w:szCs w:val="20"/>
                <w:color w:val="auto"/>
              </w:rPr>
            </w:pPr>
            <w:r>
              <w:rPr>
                <w:rFonts w:ascii="Arial" w:cs="Arial" w:eastAsia="Arial" w:hAnsi="Arial"/>
                <w:sz w:val="13"/>
                <w:szCs w:val="13"/>
                <w:color w:val="auto"/>
              </w:rPr>
              <w:t>64</w:t>
            </w:r>
          </w:p>
        </w:tc>
      </w:tr>
      <w:tr>
        <w:trPr>
          <w:trHeight w:val="137"/>
        </w:trPr>
        <w:tc>
          <w:tcPr>
            <w:tcW w:w="140" w:type="dxa"/>
            <w:vAlign w:val="bottom"/>
          </w:tcPr>
          <w:p>
            <w:pPr>
              <w:spacing w:after="0"/>
              <w:rPr>
                <w:sz w:val="11"/>
                <w:szCs w:val="11"/>
                <w:color w:val="auto"/>
              </w:rPr>
            </w:pPr>
          </w:p>
        </w:tc>
        <w:tc>
          <w:tcPr>
            <w:tcW w:w="536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67">
              <w:r>
                <w:rPr>
                  <w:rFonts w:ascii="Arial" w:cs="Arial" w:eastAsia="Arial" w:hAnsi="Arial"/>
                  <w:sz w:val="13"/>
                  <w:szCs w:val="13"/>
                  <w:color w:val="0000EE"/>
                </w:rPr>
                <w:t>Consolidated Balance Sheets at September 30, 2010 and 2009</w:t>
              </w:r>
            </w:hyperlink>
          </w:p>
        </w:tc>
        <w:tc>
          <w:tcPr>
            <w:tcW w:w="4100" w:type="dxa"/>
            <w:vAlign w:val="bottom"/>
            <w:gridSpan w:val="2"/>
          </w:tcPr>
          <w:p>
            <w:pPr>
              <w:spacing w:after="0"/>
              <w:rPr>
                <w:sz w:val="11"/>
                <w:szCs w:val="11"/>
                <w:color w:val="auto"/>
              </w:rPr>
            </w:pPr>
          </w:p>
        </w:tc>
        <w:tc>
          <w:tcPr>
            <w:tcW w:w="380" w:type="dxa"/>
            <w:vAlign w:val="bottom"/>
          </w:tcPr>
          <w:p>
            <w:pPr>
              <w:jc w:val="right"/>
              <w:ind w:right="36"/>
              <w:spacing w:after="0" w:line="138" w:lineRule="exact"/>
              <w:rPr>
                <w:sz w:val="20"/>
                <w:szCs w:val="20"/>
                <w:color w:val="auto"/>
              </w:rPr>
            </w:pPr>
            <w:r>
              <w:rPr>
                <w:rFonts w:ascii="Arial" w:cs="Arial" w:eastAsia="Arial" w:hAnsi="Arial"/>
                <w:sz w:val="13"/>
                <w:szCs w:val="13"/>
                <w:color w:val="auto"/>
              </w:rPr>
              <w:t>65</w:t>
            </w:r>
          </w:p>
        </w:tc>
      </w:tr>
      <w:tr>
        <w:trPr>
          <w:trHeight w:val="20"/>
        </w:trPr>
        <w:tc>
          <w:tcPr>
            <w:tcW w:w="1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5920" w:type="dxa"/>
            <w:vAlign w:val="bottom"/>
            <w:tcBorders>
              <w:bottom w:val="single" w:sz="8" w:color="0000EE"/>
            </w:tcBorders>
            <w:gridSpan w:val="7"/>
          </w:tcPr>
          <w:p>
            <w:pPr>
              <w:spacing w:after="0" w:line="138" w:lineRule="exact"/>
              <w:rPr>
                <w:rFonts w:ascii="Arial" w:cs="Arial" w:eastAsia="Arial" w:hAnsi="Arial"/>
                <w:sz w:val="13"/>
                <w:szCs w:val="13"/>
                <w:color w:val="0000EE"/>
                <w:w w:val="90"/>
              </w:rPr>
            </w:pPr>
            <w:hyperlink w:anchor="page68">
              <w:r>
                <w:rPr>
                  <w:rFonts w:ascii="Arial" w:cs="Arial" w:eastAsia="Arial" w:hAnsi="Arial"/>
                  <w:sz w:val="13"/>
                  <w:szCs w:val="13"/>
                  <w:color w:val="0000EE"/>
                  <w:w w:val="90"/>
                </w:rPr>
                <w:t>Consolidated Statements of Shareholders’ Equity for the fiscal years ended September 30, 2010, 2009 and 2008</w:t>
              </w:r>
            </w:hyperlink>
          </w:p>
        </w:tc>
        <w:tc>
          <w:tcPr>
            <w:tcW w:w="3540" w:type="dxa"/>
            <w:vAlign w:val="bottom"/>
          </w:tcPr>
          <w:p>
            <w:pPr>
              <w:spacing w:after="0"/>
              <w:rPr>
                <w:sz w:val="11"/>
                <w:szCs w:val="11"/>
                <w:color w:val="auto"/>
              </w:rPr>
            </w:pPr>
          </w:p>
        </w:tc>
        <w:tc>
          <w:tcPr>
            <w:tcW w:w="380" w:type="dxa"/>
            <w:vAlign w:val="bottom"/>
          </w:tcPr>
          <w:p>
            <w:pPr>
              <w:jc w:val="right"/>
              <w:ind w:right="36"/>
              <w:spacing w:after="0" w:line="138" w:lineRule="exact"/>
              <w:rPr>
                <w:sz w:val="20"/>
                <w:szCs w:val="20"/>
                <w:color w:val="auto"/>
              </w:rPr>
            </w:pPr>
            <w:r>
              <w:rPr>
                <w:rFonts w:ascii="Arial" w:cs="Arial" w:eastAsia="Arial" w:hAnsi="Arial"/>
                <w:sz w:val="13"/>
                <w:szCs w:val="13"/>
                <w:color w:val="auto"/>
              </w:rPr>
              <w:t>66</w:t>
            </w:r>
          </w:p>
        </w:tc>
      </w:tr>
      <w:tr>
        <w:trPr>
          <w:trHeight w:val="137"/>
        </w:trPr>
        <w:tc>
          <w:tcPr>
            <w:tcW w:w="140" w:type="dxa"/>
            <w:vAlign w:val="bottom"/>
          </w:tcPr>
          <w:p>
            <w:pPr>
              <w:spacing w:after="0"/>
              <w:rPr>
                <w:sz w:val="11"/>
                <w:szCs w:val="11"/>
                <w:color w:val="auto"/>
              </w:rPr>
            </w:pPr>
          </w:p>
        </w:tc>
        <w:tc>
          <w:tcPr>
            <w:tcW w:w="230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69">
              <w:r>
                <w:rPr>
                  <w:rFonts w:ascii="Arial" w:cs="Arial" w:eastAsia="Arial" w:hAnsi="Arial"/>
                  <w:sz w:val="13"/>
                  <w:szCs w:val="13"/>
                  <w:color w:val="0000EE"/>
                  <w:w w:val="90"/>
                </w:rPr>
                <w:t>Notes to Consolidated Financial Statements</w:t>
              </w:r>
            </w:hyperlink>
          </w:p>
        </w:tc>
        <w:tc>
          <w:tcPr>
            <w:tcW w:w="7160" w:type="dxa"/>
            <w:vAlign w:val="bottom"/>
            <w:gridSpan w:val="7"/>
          </w:tcPr>
          <w:p>
            <w:pPr>
              <w:spacing w:after="0"/>
              <w:rPr>
                <w:sz w:val="11"/>
                <w:szCs w:val="11"/>
                <w:color w:val="auto"/>
              </w:rPr>
            </w:pPr>
          </w:p>
        </w:tc>
        <w:tc>
          <w:tcPr>
            <w:tcW w:w="380" w:type="dxa"/>
            <w:vAlign w:val="bottom"/>
          </w:tcPr>
          <w:p>
            <w:pPr>
              <w:jc w:val="right"/>
              <w:ind w:right="36"/>
              <w:spacing w:after="0" w:line="138" w:lineRule="exact"/>
              <w:rPr>
                <w:sz w:val="20"/>
                <w:szCs w:val="20"/>
                <w:color w:val="auto"/>
              </w:rPr>
            </w:pPr>
            <w:r>
              <w:rPr>
                <w:rFonts w:ascii="Arial" w:cs="Arial" w:eastAsia="Arial" w:hAnsi="Arial"/>
                <w:sz w:val="13"/>
                <w:szCs w:val="13"/>
                <w:color w:val="auto"/>
              </w:rPr>
              <w:t>67</w:t>
            </w:r>
          </w:p>
        </w:tc>
      </w:tr>
      <w:tr>
        <w:trPr>
          <w:trHeight w:val="158"/>
        </w:trPr>
        <w:tc>
          <w:tcPr>
            <w:tcW w:w="9600" w:type="dxa"/>
            <w:vAlign w:val="bottom"/>
            <w:gridSpan w:val="9"/>
          </w:tcPr>
          <w:p>
            <w:pPr>
              <w:spacing w:after="0"/>
              <w:rPr>
                <w:sz w:val="20"/>
                <w:szCs w:val="20"/>
                <w:color w:val="auto"/>
              </w:rPr>
            </w:pPr>
            <w:r>
              <w:rPr>
                <w:rFonts w:ascii="Arial" w:cs="Arial" w:eastAsia="Arial" w:hAnsi="Arial"/>
                <w:sz w:val="13"/>
                <w:szCs w:val="13"/>
                <w:color w:val="auto"/>
              </w:rPr>
              <w:t>Schedules Supporting the Consolidated Financial Statements:</w:t>
            </w:r>
          </w:p>
        </w:tc>
        <w:tc>
          <w:tcPr>
            <w:tcW w:w="380" w:type="dxa"/>
            <w:vAlign w:val="bottom"/>
          </w:tcPr>
          <w:p>
            <w:pPr>
              <w:spacing w:after="0"/>
              <w:rPr>
                <w:sz w:val="13"/>
                <w:szCs w:val="13"/>
                <w:color w:val="auto"/>
              </w:rPr>
            </w:pPr>
          </w:p>
        </w:tc>
      </w:tr>
      <w:tr>
        <w:trPr>
          <w:trHeight w:val="137"/>
        </w:trPr>
        <w:tc>
          <w:tcPr>
            <w:tcW w:w="140" w:type="dxa"/>
            <w:vAlign w:val="bottom"/>
          </w:tcPr>
          <w:p>
            <w:pPr>
              <w:spacing w:after="0"/>
              <w:rPr>
                <w:sz w:val="11"/>
                <w:szCs w:val="11"/>
                <w:color w:val="auto"/>
              </w:rPr>
            </w:pPr>
          </w:p>
        </w:tc>
        <w:tc>
          <w:tcPr>
            <w:tcW w:w="9460" w:type="dxa"/>
            <w:vAlign w:val="bottom"/>
            <w:gridSpan w:val="8"/>
          </w:tcPr>
          <w:p>
            <w:pPr>
              <w:spacing w:after="0" w:line="137" w:lineRule="exact"/>
              <w:rPr>
                <w:rFonts w:ascii="Arial" w:cs="Arial" w:eastAsia="Arial" w:hAnsi="Arial"/>
                <w:sz w:val="13"/>
                <w:szCs w:val="13"/>
                <w:color w:val="0000EE"/>
              </w:rPr>
            </w:pPr>
            <w:hyperlink w:anchor="page124">
              <w:r>
                <w:rPr>
                  <w:rFonts w:ascii="Arial" w:cs="Arial" w:eastAsia="Arial" w:hAnsi="Arial"/>
                  <w:sz w:val="13"/>
                  <w:szCs w:val="13"/>
                  <w:color w:val="0000EE"/>
                </w:rPr>
                <w:t>Schedule II — Valuation and Qualifying Accounts for the fiscal years ended September 30, 2010, 2009 and 2008</w:t>
              </w:r>
            </w:hyperlink>
          </w:p>
        </w:tc>
        <w:tc>
          <w:tcPr>
            <w:tcW w:w="380" w:type="dxa"/>
            <w:vAlign w:val="bottom"/>
          </w:tcPr>
          <w:p>
            <w:pPr>
              <w:jc w:val="right"/>
              <w:ind w:right="36"/>
              <w:spacing w:after="0" w:line="137" w:lineRule="exact"/>
              <w:rPr>
                <w:sz w:val="20"/>
                <w:szCs w:val="20"/>
                <w:color w:val="auto"/>
              </w:rPr>
            </w:pPr>
            <w:r>
              <w:rPr>
                <w:rFonts w:ascii="Arial" w:cs="Arial" w:eastAsia="Arial" w:hAnsi="Arial"/>
                <w:sz w:val="13"/>
                <w:szCs w:val="13"/>
                <w:color w:val="auto"/>
              </w:rPr>
              <w:t>122</w:t>
            </w:r>
          </w:p>
        </w:tc>
      </w:tr>
      <w:tr>
        <w:trPr>
          <w:trHeight w:val="20"/>
        </w:trPr>
        <w:tc>
          <w:tcPr>
            <w:tcW w:w="1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9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ANNUAL REPORT OF MANAGEMENT ON INTERNAL</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CONTROL OVER FINANCIAL REPORTING</w:t>
      </w:r>
    </w:p>
    <w:p>
      <w:pPr>
        <w:spacing w:after="0" w:line="89" w:lineRule="exact"/>
        <w:rPr>
          <w:sz w:val="20"/>
          <w:szCs w:val="20"/>
          <w:color w:val="auto"/>
        </w:rPr>
      </w:pPr>
    </w:p>
    <w:p>
      <w:pPr>
        <w:ind w:left="680" w:right="800" w:firstLine="399"/>
        <w:spacing w:after="0" w:line="280"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59" w:lineRule="exact"/>
        <w:rPr>
          <w:sz w:val="20"/>
          <w:szCs w:val="20"/>
          <w:color w:val="auto"/>
        </w:rPr>
      </w:pPr>
    </w:p>
    <w:p>
      <w:pPr>
        <w:ind w:left="680" w:right="820" w:firstLine="399"/>
        <w:spacing w:after="0" w:line="322" w:lineRule="auto"/>
        <w:rPr>
          <w:sz w:val="20"/>
          <w:szCs w:val="20"/>
          <w:color w:val="auto"/>
        </w:rPr>
      </w:pPr>
      <w:r>
        <w:rPr>
          <w:rFonts w:ascii="Arial" w:cs="Arial" w:eastAsia="Arial" w:hAnsi="Arial"/>
          <w:sz w:val="11"/>
          <w:szCs w:val="11"/>
          <w:color w:val="auto"/>
        </w:rPr>
        <w:t xml:space="preserve">Management, with the participation of our principal executive officer and principal financial officer, assessed the effectiveness of our internal control over financial reporting as of September 30, 2010, the end of our fiscal year. Management based its assessment on criteria established in </w:t>
      </w:r>
      <w:r>
        <w:rPr>
          <w:rFonts w:ascii="Arial" w:cs="Arial" w:eastAsia="Arial" w:hAnsi="Arial"/>
          <w:sz w:val="11"/>
          <w:szCs w:val="11"/>
          <w:i w:val="1"/>
          <w:iCs w:val="1"/>
          <w:color w:val="auto"/>
        </w:rPr>
        <w:t>Internal Control — Integrated Framework</w:t>
      </w:r>
      <w:r>
        <w:rPr>
          <w:rFonts w:ascii="Arial" w:cs="Arial" w:eastAsia="Arial" w:hAnsi="Arial"/>
          <w:sz w:val="11"/>
          <w:szCs w:val="11"/>
          <w:color w:val="auto"/>
        </w:rPr>
        <w:t xml:space="preserve"> issued by the Committee of Sponsoring Organizations of the Treadway Commission.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39" w:lineRule="exact"/>
        <w:rPr>
          <w:sz w:val="20"/>
          <w:szCs w:val="20"/>
          <w:color w:val="auto"/>
        </w:rPr>
      </w:pPr>
    </w:p>
    <w:p>
      <w:pPr>
        <w:ind w:left="680" w:right="1000" w:firstLine="399"/>
        <w:spacing w:after="0" w:line="29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50" w:lineRule="exact"/>
        <w:rPr>
          <w:sz w:val="20"/>
          <w:szCs w:val="20"/>
          <w:color w:val="auto"/>
        </w:rPr>
      </w:pPr>
    </w:p>
    <w:p>
      <w:pPr>
        <w:ind w:left="680" w:right="960" w:firstLine="399"/>
        <w:spacing w:after="0" w:line="296" w:lineRule="auto"/>
        <w:rPr>
          <w:sz w:val="20"/>
          <w:szCs w:val="20"/>
          <w:color w:val="auto"/>
        </w:rPr>
      </w:pPr>
      <w:r>
        <w:rPr>
          <w:rFonts w:ascii="Arial" w:cs="Arial" w:eastAsia="Arial" w:hAnsi="Arial"/>
          <w:sz w:val="12"/>
          <w:szCs w:val="12"/>
          <w:color w:val="auto"/>
        </w:rPr>
        <w:t>Based on our assessment, management has concluded that our internal control over financial reporting was effective as of September 30, 2010,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50" w:lineRule="exact"/>
        <w:rPr>
          <w:sz w:val="20"/>
          <w:szCs w:val="20"/>
          <w:color w:val="auto"/>
        </w:rPr>
      </w:pPr>
    </w:p>
    <w:p>
      <w:pPr>
        <w:ind w:left="680" w:right="1100" w:firstLine="399"/>
        <w:spacing w:after="0" w:line="276" w:lineRule="auto"/>
        <w:rPr>
          <w:sz w:val="20"/>
          <w:szCs w:val="20"/>
          <w:color w:val="auto"/>
        </w:rPr>
      </w:pPr>
      <w:r>
        <w:rPr>
          <w:rFonts w:ascii="Arial" w:cs="Arial" w:eastAsia="Arial" w:hAnsi="Arial"/>
          <w:sz w:val="13"/>
          <w:szCs w:val="13"/>
          <w:color w:val="auto"/>
        </w:rPr>
        <w:t>Our independent registered public accounting firm, Deloitte &amp; Touche LLP, independently audited our internal control over financial reporting as of September 30, 2010 and has issued their attestation report which appears herein.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Hagedorn</w:t>
            </w:r>
          </w:p>
        </w:tc>
        <w:tc>
          <w:tcPr>
            <w:tcW w:w="700" w:type="dxa"/>
            <w:vAlign w:val="bottom"/>
          </w:tcPr>
          <w:p>
            <w:pPr>
              <w:spacing w:after="0"/>
              <w:rPr>
                <w:sz w:val="14"/>
                <w:szCs w:val="1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C. Evans</w:t>
            </w:r>
          </w:p>
        </w:tc>
        <w:tc>
          <w:tcPr>
            <w:tcW w:w="800" w:type="dxa"/>
            <w:vAlign w:val="bottom"/>
          </w:tcPr>
          <w:p>
            <w:pPr>
              <w:spacing w:after="0"/>
              <w:rPr>
                <w:sz w:val="14"/>
                <w:szCs w:val="14"/>
                <w:color w:val="auto"/>
              </w:rPr>
            </w:pPr>
          </w:p>
        </w:tc>
      </w:tr>
      <w:tr>
        <w:trPr>
          <w:trHeight w:val="144"/>
        </w:trPr>
        <w:tc>
          <w:tcPr>
            <w:tcW w:w="680" w:type="dxa"/>
            <w:vAlign w:val="bottom"/>
          </w:tcPr>
          <w:p>
            <w:pPr>
              <w:spacing w:after="0"/>
              <w:rPr>
                <w:sz w:val="12"/>
                <w:szCs w:val="12"/>
                <w:color w:val="auto"/>
              </w:rPr>
            </w:pPr>
          </w:p>
        </w:tc>
        <w:tc>
          <w:tcPr>
            <w:tcW w:w="4700" w:type="dxa"/>
            <w:vAlign w:val="bottom"/>
          </w:tcPr>
          <w:p>
            <w:pPr>
              <w:spacing w:after="0" w:line="144" w:lineRule="exact"/>
              <w:rPr>
                <w:sz w:val="20"/>
                <w:szCs w:val="20"/>
                <w:color w:val="auto"/>
              </w:rPr>
            </w:pPr>
            <w:r>
              <w:rPr>
                <w:rFonts w:ascii="Arial" w:cs="Arial" w:eastAsia="Arial" w:hAnsi="Arial"/>
                <w:sz w:val="13"/>
                <w:szCs w:val="13"/>
                <w:color w:val="auto"/>
              </w:rPr>
              <w:t>James Hagedorn</w:t>
            </w:r>
          </w:p>
        </w:tc>
        <w:tc>
          <w:tcPr>
            <w:tcW w:w="700" w:type="dxa"/>
            <w:vAlign w:val="bottom"/>
          </w:tcPr>
          <w:p>
            <w:pPr>
              <w:spacing w:after="0"/>
              <w:rPr>
                <w:sz w:val="12"/>
                <w:szCs w:val="12"/>
                <w:color w:val="auto"/>
              </w:rPr>
            </w:pPr>
          </w:p>
        </w:tc>
        <w:tc>
          <w:tcPr>
            <w:tcW w:w="4580" w:type="dxa"/>
            <w:vAlign w:val="bottom"/>
          </w:tcPr>
          <w:p>
            <w:pPr>
              <w:spacing w:after="0" w:line="144" w:lineRule="exact"/>
              <w:rPr>
                <w:sz w:val="20"/>
                <w:szCs w:val="20"/>
                <w:color w:val="auto"/>
              </w:rPr>
            </w:pPr>
            <w:r>
              <w:rPr>
                <w:rFonts w:ascii="Arial" w:cs="Arial" w:eastAsia="Arial" w:hAnsi="Arial"/>
                <w:sz w:val="13"/>
                <w:szCs w:val="13"/>
                <w:color w:val="auto"/>
              </w:rPr>
              <w:t>David C. Evans</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Chief Executive Officer and</w:t>
            </w:r>
          </w:p>
        </w:tc>
        <w:tc>
          <w:tcPr>
            <w:tcW w:w="70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Executive Vice President and</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Chairman of the Board</w:t>
            </w:r>
          </w:p>
        </w:tc>
        <w:tc>
          <w:tcPr>
            <w:tcW w:w="70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Chief Financial Officer</w:t>
            </w:r>
          </w:p>
        </w:tc>
        <w:tc>
          <w:tcPr>
            <w:tcW w:w="800" w:type="dxa"/>
            <w:vAlign w:val="bottom"/>
          </w:tcPr>
          <w:p>
            <w:pPr>
              <w:spacing w:after="0"/>
              <w:rPr>
                <w:sz w:val="14"/>
                <w:szCs w:val="14"/>
                <w:color w:val="auto"/>
              </w:rPr>
            </w:pPr>
          </w:p>
        </w:tc>
      </w:tr>
      <w:tr>
        <w:trPr>
          <w:trHeight w:val="462"/>
        </w:trPr>
        <w:tc>
          <w:tcPr>
            <w:tcW w:w="68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Dated: November 24, 2010</w:t>
            </w:r>
          </w:p>
        </w:tc>
        <w:tc>
          <w:tcPr>
            <w:tcW w:w="7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Dated: November 24, 2010</w:t>
            </w:r>
          </w:p>
        </w:tc>
        <w:tc>
          <w:tcPr>
            <w:tcW w:w="800" w:type="dxa"/>
            <w:vAlign w:val="bottom"/>
          </w:tcPr>
          <w:p>
            <w:pPr>
              <w:spacing w:after="0"/>
              <w:rPr>
                <w:sz w:val="24"/>
                <w:szCs w:val="24"/>
                <w:color w:val="auto"/>
              </w:rPr>
            </w:pPr>
          </w:p>
        </w:tc>
      </w:tr>
      <w:tr>
        <w:trPr>
          <w:trHeight w:val="452"/>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00" w:type="dxa"/>
            <w:vAlign w:val="bottom"/>
          </w:tcPr>
          <w:p>
            <w:pPr>
              <w:jc w:val="right"/>
              <w:ind w:right="274"/>
              <w:spacing w:after="0"/>
              <w:rPr>
                <w:sz w:val="20"/>
                <w:szCs w:val="20"/>
                <w:color w:val="auto"/>
              </w:rPr>
            </w:pPr>
            <w:r>
              <w:rPr>
                <w:rFonts w:ascii="Arial" w:cs="Arial" w:eastAsia="Arial" w:hAnsi="Arial"/>
                <w:sz w:val="13"/>
                <w:szCs w:val="13"/>
                <w:color w:val="auto"/>
              </w:rPr>
              <w:t>60</w:t>
            </w:r>
          </w:p>
        </w:tc>
        <w:tc>
          <w:tcPr>
            <w:tcW w:w="4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5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Shareholders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Scotts Miracle-Gro Company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Marysville, Ohio</w:t>
      </w:r>
    </w:p>
    <w:p>
      <w:pPr>
        <w:spacing w:after="0" w:line="8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We have audited the accompanying consolidated balance sheets of The Scotts Miracle-Gro Company and subsidiaries (the “Company”) as of September 30, 2010 and 2009, and the related consolidated statements of operations, shareholders’ equity, and cash flows for each of the three years in the period ended September 30, 2010. Our audits also included the financial statement schedules listed in the Index to Consolidated Financial Statements and Financial Statement Schedules. These financial statements and financial statement schedules are the responsibility of the Company’s management. Our responsibility is to express an opinion on these financial statements and financial statement schedules based on our audits.</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our opinion, such consolidated financial statements present fairly, in all material respects, the financial position of the Company as of September 30, 2010 and 2009, and the results of its operations and its cash flows for each of the three years in the period ended September 30, 2010,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70"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 xml:space="preserve">We have also audited, in accordance with the standards of the Public Company Accounting Oversight Board (United States), the Company’s internal control over financial reporting as of September 30, 2010, based on the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and our report dated November 24, 2010 expressed an unqualified opinion on the Company’s internal control over financial reporting.</w:t>
      </w:r>
    </w:p>
    <w:p>
      <w:pPr>
        <w:spacing w:after="0" w:line="2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Columbus, Ohio</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November 24,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Shareholders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Scotts Miracle-Gro Company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Marysville, Ohio</w:t>
      </w:r>
    </w:p>
    <w:p>
      <w:pPr>
        <w:spacing w:after="0" w:line="8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 xml:space="preserve">We have audited the internal control over financial reporting of The Scotts Miracle-Gro Company and subsidiaries (the “Company”) as of September 30, 2010,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which is included in the Annual Report of Management on Internal Control Over Financial Reporting. Our responsibility is to express an opinion on the Company’s internal control over financial reporting based on our audit.</w:t>
      </w:r>
    </w:p>
    <w:p>
      <w:pPr>
        <w:spacing w:after="0" w:line="53"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left="680" w:right="260" w:firstLine="7"/>
        <w:spacing w:after="0" w:line="264" w:lineRule="auto"/>
        <w:tabs>
          <w:tab w:leader="none" w:pos="866"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 xml:space="preserve">In our opinion, the Company maintained, in all material respects, effective internal control over financial reporting as of September 30, 2010, based on the criteria established in </w:t>
      </w:r>
      <w:r>
        <w:rPr>
          <w:rFonts w:ascii="Arial" w:cs="Arial" w:eastAsia="Arial" w:hAnsi="Arial"/>
          <w:sz w:val="13"/>
          <w:szCs w:val="13"/>
          <w:i w:val="1"/>
          <w:iCs w:val="1"/>
          <w:color w:val="auto"/>
        </w:rPr>
        <w:t xml:space="preserve">Internal Control — Integrated Framework </w:t>
      </w:r>
      <w:r>
        <w:rPr>
          <w:rFonts w:ascii="Arial" w:cs="Arial" w:eastAsia="Arial" w:hAnsi="Arial"/>
          <w:sz w:val="13"/>
          <w:szCs w:val="13"/>
          <w:color w:val="auto"/>
        </w:rPr>
        <w:t>issued by the Committee of Sponsoring Organizations of the Treadway Commission.</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the consolidated financial statements and financial statement schedules as of and for the year ended September 30, 2010 of the Company and our report dated November 24, 2010 expressed an unqualified opinion on those financial statements and financial statement schedules.</w:t>
      </w:r>
    </w:p>
    <w:p>
      <w:pPr>
        <w:spacing w:after="0" w:line="30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Columbus, Ohio</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November 24,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for the fiscal years ended September 30, 2010, 2009 and 2008</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131"/>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6"/>
          </w:tcPr>
          <w:p>
            <w:pPr>
              <w:jc w:val="center"/>
              <w:ind w:left="276"/>
              <w:spacing w:after="0"/>
              <w:rPr>
                <w:sz w:val="20"/>
                <w:szCs w:val="20"/>
                <w:color w:val="auto"/>
              </w:rPr>
            </w:pPr>
            <w:r>
              <w:rPr>
                <w:rFonts w:ascii="Arial" w:cs="Arial" w:eastAsia="Arial" w:hAnsi="Arial"/>
                <w:sz w:val="10"/>
                <w:szCs w:val="10"/>
                <w:b w:val="1"/>
                <w:bCs w:val="1"/>
                <w:color w:val="auto"/>
                <w:w w:val="94"/>
              </w:rPr>
              <w:t>(In millions, except per share data)</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3,139.9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2,823.2</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Cost of sales</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1,989.6</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1,911.4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1,883.0</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Cost of sales — impairment, restructuring and other charges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Cost of sales — product registration and recall matters</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27.2</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profit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1,147.3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1,057.6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911.7</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Operating expenses: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746.7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742.9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657.1</w:t>
            </w: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Impairment, restructuring and other charges</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109.8</w:t>
            </w: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registration and recall matters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w:t>
            </w: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Other (income) expense, net</w:t>
            </w: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(7.7)</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from operations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384.6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139.8</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46.8</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56.4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82.2</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 before income taxes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337.8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57.6</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Income tax expense from continuing operations</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125.4</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86.6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24.8</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212.4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w:t>
            </w: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Loss from discontinued operations, net of tax</w:t>
            </w: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(43.7)</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w:t>
            </w:r>
          </w:p>
        </w:tc>
      </w:tr>
      <w:tr>
        <w:trPr>
          <w:trHeight w:val="166"/>
        </w:trPr>
        <w:tc>
          <w:tcPr>
            <w:tcW w:w="7300" w:type="dxa"/>
            <w:vAlign w:val="bottom"/>
          </w:tcPr>
          <w:p>
            <w:pPr>
              <w:spacing w:after="0"/>
              <w:rPr>
                <w:sz w:val="20"/>
                <w:szCs w:val="20"/>
                <w:color w:val="auto"/>
              </w:rPr>
            </w:pPr>
            <w:r>
              <w:rPr>
                <w:rFonts w:ascii="Arial" w:cs="Arial" w:eastAsia="Arial" w:hAnsi="Arial"/>
                <w:sz w:val="13"/>
                <w:szCs w:val="13"/>
                <w:color w:val="auto"/>
              </w:rPr>
              <w:t>Basic earnings (loss) per common share:</w:t>
            </w: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0.51</w:t>
            </w: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Loss from discontinued operations</w:t>
            </w: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(0.12)</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(0.02)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(0.68)</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(0.17)</w:t>
            </w:r>
          </w:p>
        </w:tc>
      </w:tr>
      <w:tr>
        <w:trPr>
          <w:trHeight w:val="166"/>
        </w:trPr>
        <w:tc>
          <w:tcPr>
            <w:tcW w:w="7300" w:type="dxa"/>
            <w:vAlign w:val="bottom"/>
          </w:tcPr>
          <w:p>
            <w:pPr>
              <w:spacing w:after="0"/>
              <w:rPr>
                <w:sz w:val="20"/>
                <w:szCs w:val="20"/>
                <w:color w:val="auto"/>
              </w:rPr>
            </w:pPr>
            <w:r>
              <w:rPr>
                <w:rFonts w:ascii="Arial" w:cs="Arial" w:eastAsia="Arial" w:hAnsi="Arial"/>
                <w:sz w:val="13"/>
                <w:szCs w:val="13"/>
                <w:color w:val="auto"/>
              </w:rPr>
              <w:t>Diluted earnings (loss) per common share:</w:t>
            </w: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w:t>
            </w: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Loss from discontinued operations</w:t>
            </w: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(0.12)</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(0.02)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(0.67)</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(0.17)</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for the fiscal years ended September 30, 2010, 2009 and 2008</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w w:val="99"/>
              </w:rPr>
              <w:t>(In millions)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OPERATING ACTIVITIES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Net income (loss)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204.1</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153.3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240"/>
              <w:spacing w:after="0"/>
              <w:rPr>
                <w:sz w:val="20"/>
                <w:szCs w:val="20"/>
                <w:color w:val="auto"/>
              </w:rPr>
            </w:pPr>
            <w:r>
              <w:rPr>
                <w:rFonts w:ascii="Arial" w:cs="Arial" w:eastAsia="Arial" w:hAnsi="Arial"/>
                <w:sz w:val="12"/>
                <w:szCs w:val="12"/>
                <w:color w:val="auto"/>
              </w:rPr>
              <w:t>Impairment and other charges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18.5</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136.8</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Share-based compensation expense</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47"/>
        </w:trPr>
        <w:tc>
          <w:tcPr>
            <w:tcW w:w="7300" w:type="dxa"/>
            <w:vAlign w:val="bottom"/>
          </w:tcPr>
          <w:p>
            <w:pPr>
              <w:ind w:left="240"/>
              <w:spacing w:after="0"/>
              <w:rPr>
                <w:sz w:val="20"/>
                <w:szCs w:val="20"/>
                <w:color w:val="auto"/>
              </w:rPr>
            </w:pPr>
            <w:r>
              <w:rPr>
                <w:rFonts w:ascii="Arial" w:cs="Arial" w:eastAsia="Arial" w:hAnsi="Arial"/>
                <w:sz w:val="12"/>
                <w:szCs w:val="12"/>
                <w:color w:val="auto"/>
              </w:rPr>
              <w:t>Depreciation</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48.5</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47.9</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53.9</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Amortization</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10.9</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12.5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147"/>
        </w:trPr>
        <w:tc>
          <w:tcPr>
            <w:tcW w:w="7300" w:type="dxa"/>
            <w:vAlign w:val="bottom"/>
          </w:tcPr>
          <w:p>
            <w:pPr>
              <w:ind w:left="240"/>
              <w:spacing w:after="0"/>
              <w:rPr>
                <w:sz w:val="20"/>
                <w:szCs w:val="20"/>
                <w:color w:val="auto"/>
              </w:rPr>
            </w:pPr>
            <w:r>
              <w:rPr>
                <w:rFonts w:ascii="Arial" w:cs="Arial" w:eastAsia="Arial" w:hAnsi="Arial"/>
                <w:sz w:val="12"/>
                <w:szCs w:val="12"/>
                <w:color w:val="auto"/>
              </w:rPr>
              <w:t>Deferred taxes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37.7</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Loss (gain) on sale of long-lived assets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(22.4)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7300" w:type="dxa"/>
            <w:vAlign w:val="bottom"/>
          </w:tcPr>
          <w:p>
            <w:pPr>
              <w:ind w:left="240"/>
              <w:spacing w:after="0"/>
              <w:rPr>
                <w:sz w:val="20"/>
                <w:szCs w:val="20"/>
                <w:color w:val="auto"/>
              </w:rPr>
            </w:pPr>
            <w:r>
              <w:rPr>
                <w:rFonts w:ascii="Arial" w:cs="Arial" w:eastAsia="Arial" w:hAnsi="Arial"/>
                <w:sz w:val="12"/>
                <w:szCs w:val="12"/>
                <w:color w:val="auto"/>
              </w:rPr>
              <w:t>Changes in assets and liabilities, net of acquired businesses: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receivable</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7"/>
        </w:trPr>
        <w:tc>
          <w:tcPr>
            <w:tcW w:w="7300" w:type="dxa"/>
            <w:vAlign w:val="bottom"/>
          </w:tcPr>
          <w:p>
            <w:pPr>
              <w:ind w:left="360"/>
              <w:spacing w:after="0"/>
              <w:rPr>
                <w:sz w:val="20"/>
                <w:szCs w:val="20"/>
                <w:color w:val="auto"/>
              </w:rPr>
            </w:pPr>
            <w:r>
              <w:rPr>
                <w:rFonts w:ascii="Arial" w:cs="Arial" w:eastAsia="Arial" w:hAnsi="Arial"/>
                <w:sz w:val="12"/>
                <w:szCs w:val="12"/>
                <w:color w:val="auto"/>
              </w:rPr>
              <w:t>Inventories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50.8</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(47.4)</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Prepaid and other current assets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47"/>
        </w:trPr>
        <w:tc>
          <w:tcPr>
            <w:tcW w:w="7300" w:type="dxa"/>
            <w:vAlign w:val="bottom"/>
          </w:tcPr>
          <w:p>
            <w:pPr>
              <w:ind w:left="360"/>
              <w:spacing w:after="0"/>
              <w:rPr>
                <w:sz w:val="20"/>
                <w:szCs w:val="20"/>
                <w:color w:val="auto"/>
              </w:rPr>
            </w:pPr>
            <w:r>
              <w:rPr>
                <w:rFonts w:ascii="Arial" w:cs="Arial" w:eastAsia="Arial" w:hAnsi="Arial"/>
                <w:sz w:val="12"/>
                <w:szCs w:val="12"/>
                <w:color w:val="auto"/>
              </w:rPr>
              <w:t>Accounts payable</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(31.2)</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(17.3)</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current liabilities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(24.1)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86.3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31.7</w:t>
            </w:r>
          </w:p>
        </w:tc>
        <w:tc>
          <w:tcPr>
            <w:tcW w:w="0" w:type="dxa"/>
            <w:vAlign w:val="bottom"/>
          </w:tcPr>
          <w:p>
            <w:pPr>
              <w:spacing w:after="0"/>
              <w:rPr>
                <w:sz w:val="1"/>
                <w:szCs w:val="1"/>
                <w:color w:val="auto"/>
              </w:rPr>
            </w:pPr>
          </w:p>
        </w:tc>
      </w:tr>
      <w:tr>
        <w:trPr>
          <w:trHeight w:val="147"/>
        </w:trPr>
        <w:tc>
          <w:tcPr>
            <w:tcW w:w="7300" w:type="dxa"/>
            <w:vAlign w:val="bottom"/>
          </w:tcPr>
          <w:p>
            <w:pPr>
              <w:ind w:left="360"/>
              <w:spacing w:after="0"/>
              <w:rPr>
                <w:sz w:val="20"/>
                <w:szCs w:val="20"/>
                <w:color w:val="auto"/>
              </w:rPr>
            </w:pPr>
            <w:r>
              <w:rPr>
                <w:rFonts w:ascii="Arial" w:cs="Arial" w:eastAsia="Arial" w:hAnsi="Arial"/>
                <w:sz w:val="12"/>
                <w:szCs w:val="12"/>
                <w:color w:val="auto"/>
              </w:rPr>
              <w:t>Restructuring reserves</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non-current items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13.0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36.9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47"/>
        </w:trPr>
        <w:tc>
          <w:tcPr>
            <w:tcW w:w="7300" w:type="dxa"/>
            <w:vAlign w:val="bottom"/>
          </w:tcPr>
          <w:p>
            <w:pPr>
              <w:ind w:left="360"/>
              <w:spacing w:after="0"/>
              <w:rPr>
                <w:sz w:val="20"/>
                <w:szCs w:val="20"/>
                <w:color w:val="auto"/>
              </w:rPr>
            </w:pPr>
            <w:r>
              <w:rPr>
                <w:rFonts w:ascii="Arial" w:cs="Arial" w:eastAsia="Arial" w:hAnsi="Arial"/>
                <w:sz w:val="12"/>
                <w:szCs w:val="12"/>
                <w:color w:val="auto"/>
              </w:rPr>
              <w:t>Other, net</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(11.6)</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(31.6)</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cash provided by operating activities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295.9</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264.6</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200.9</w:t>
            </w:r>
          </w:p>
        </w:tc>
        <w:tc>
          <w:tcPr>
            <w:tcW w:w="0" w:type="dxa"/>
            <w:vAlign w:val="bottom"/>
          </w:tcPr>
          <w:p>
            <w:pPr>
              <w:spacing w:after="0"/>
              <w:rPr>
                <w:sz w:val="1"/>
                <w:szCs w:val="1"/>
                <w:color w:val="auto"/>
              </w:rPr>
            </w:pPr>
          </w:p>
        </w:tc>
      </w:tr>
      <w:tr>
        <w:trPr>
          <w:trHeight w:val="144"/>
        </w:trPr>
        <w:tc>
          <w:tcPr>
            <w:tcW w:w="7300" w:type="dxa"/>
            <w:vAlign w:val="bottom"/>
          </w:tcPr>
          <w:p>
            <w:pPr>
              <w:spacing w:after="0"/>
              <w:rPr>
                <w:sz w:val="20"/>
                <w:szCs w:val="20"/>
                <w:color w:val="auto"/>
              </w:rPr>
            </w:pPr>
            <w:r>
              <w:rPr>
                <w:rFonts w:ascii="Arial" w:cs="Arial" w:eastAsia="Arial" w:hAnsi="Arial"/>
                <w:sz w:val="12"/>
                <w:szCs w:val="12"/>
                <w:color w:val="auto"/>
              </w:rPr>
              <w:t>INVESTING ACTIVITIES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 of long-lived assets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24.5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Investments in property, plant and equipment</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(83.4)</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(72.0)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(56.1)</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Investments in intellectual property</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Investments in acquired businesses, net of cash acquired</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(9.3)</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cash used in investing activities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(58.9)</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(83.3)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(59.1)</w:t>
            </w:r>
          </w:p>
        </w:tc>
        <w:tc>
          <w:tcPr>
            <w:tcW w:w="0" w:type="dxa"/>
            <w:vAlign w:val="bottom"/>
          </w:tcPr>
          <w:p>
            <w:pPr>
              <w:spacing w:after="0"/>
              <w:rPr>
                <w:sz w:val="1"/>
                <w:szCs w:val="1"/>
                <w:color w:val="auto"/>
              </w:rPr>
            </w:pPr>
          </w:p>
        </w:tc>
      </w:tr>
      <w:tr>
        <w:trPr>
          <w:trHeight w:val="144"/>
        </w:trPr>
        <w:tc>
          <w:tcPr>
            <w:tcW w:w="7300" w:type="dxa"/>
            <w:vAlign w:val="bottom"/>
          </w:tcPr>
          <w:p>
            <w:pPr>
              <w:spacing w:after="0"/>
              <w:rPr>
                <w:sz w:val="20"/>
                <w:szCs w:val="20"/>
                <w:color w:val="auto"/>
              </w:rPr>
            </w:pPr>
            <w:r>
              <w:rPr>
                <w:rFonts w:ascii="Arial" w:cs="Arial" w:eastAsia="Arial" w:hAnsi="Arial"/>
                <w:sz w:val="12"/>
                <w:szCs w:val="12"/>
                <w:color w:val="auto"/>
              </w:rPr>
              <w:t>FINANCING ACTIVITIES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Borrowings under revolving and bank lines of credit and term loans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1,021.4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1,558.0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942.1</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Repayments under revolving and bank lines of credit and term loans</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(1,391.4)</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w w:val="99"/>
              </w:rPr>
              <w:t>(1,736.0)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(1,042.0)</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7.25% Senior Notes, net of discount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198.5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Financing and issuance fees</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Dividends paid</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(42.6)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(33.4)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(32.5)</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Payments on sellers notes</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(0.6)</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 of common shares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(25.0)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Excess tax benefits from share-based payment arrangements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received from exercise of stock options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22.5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480"/>
              <w:spacing w:after="0"/>
              <w:rPr>
                <w:sz w:val="20"/>
                <w:szCs w:val="20"/>
                <w:color w:val="auto"/>
              </w:rPr>
            </w:pPr>
            <w:r>
              <w:rPr>
                <w:rFonts w:ascii="Arial" w:cs="Arial" w:eastAsia="Arial" w:hAnsi="Arial"/>
                <w:sz w:val="12"/>
                <w:szCs w:val="12"/>
                <w:color w:val="auto"/>
              </w:rPr>
              <w:t>Net cash used in financing activities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(216.3)</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(194.0)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(123.0)</w:t>
            </w:r>
          </w:p>
        </w:tc>
        <w:tc>
          <w:tcPr>
            <w:tcW w:w="0" w:type="dxa"/>
            <w:vAlign w:val="bottom"/>
          </w:tcPr>
          <w:p>
            <w:pPr>
              <w:spacing w:after="0"/>
              <w:rPr>
                <w:sz w:val="1"/>
                <w:szCs w:val="1"/>
                <w:color w:val="auto"/>
              </w:rPr>
            </w:pPr>
          </w:p>
        </w:tc>
      </w:tr>
      <w:tr>
        <w:trPr>
          <w:trHeight w:val="22"/>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(0.4)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2"/>
                <w:szCs w:val="12"/>
                <w:color w:val="auto"/>
              </w:rPr>
              <w:t>Net increase (decrease) in cash and cash equivalents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17.5</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(13.1)</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beginning of year</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71.6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84.7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67.9</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2"/>
                <w:szCs w:val="12"/>
                <w:color w:val="auto"/>
              </w:rPr>
              <w:t>Cash and cash equivalents, end of year</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300" w:type="dxa"/>
            <w:vAlign w:val="bottom"/>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89.1</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71.6</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84.7</w:t>
            </w:r>
          </w:p>
        </w:tc>
        <w:tc>
          <w:tcPr>
            <w:tcW w:w="0" w:type="dxa"/>
            <w:vAlign w:val="bottom"/>
          </w:tcPr>
          <w:p>
            <w:pPr>
              <w:spacing w:after="0"/>
              <w:rPr>
                <w:sz w:val="1"/>
                <w:szCs w:val="1"/>
                <w:color w:val="auto"/>
              </w:rPr>
            </w:pPr>
          </w:p>
        </w:tc>
      </w:tr>
      <w:tr>
        <w:trPr>
          <w:trHeight w:val="155"/>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SUPPLEMENTAL CASH FLOW INFORMATION</w:t>
            </w: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Interest paid, net of interest capitalized</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(41.6)</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(55.6)</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(82.0)</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taxes paid</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(84.2)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(51.2)</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(36.8)</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September 30, 2010 and 2009</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gridSpan w:val="5"/>
          </w:tcPr>
          <w:p>
            <w:pPr>
              <w:jc w:val="right"/>
              <w:ind w:right="360"/>
              <w:spacing w:after="0" w:line="81" w:lineRule="exact"/>
              <w:rPr>
                <w:sz w:val="20"/>
                <w:szCs w:val="20"/>
                <w:color w:val="auto"/>
              </w:rPr>
            </w:pPr>
            <w:r>
              <w:rPr>
                <w:rFonts w:ascii="Arial" w:cs="Arial" w:eastAsia="Arial" w:hAnsi="Arial"/>
                <w:sz w:val="9"/>
                <w:szCs w:val="9"/>
                <w:b w:val="1"/>
                <w:bCs w:val="1"/>
                <w:color w:val="auto"/>
              </w:rPr>
              <w:t>(In millions, except per</w:t>
            </w:r>
          </w:p>
        </w:tc>
        <w:tc>
          <w:tcPr>
            <w:tcW w:w="0" w:type="dxa"/>
            <w:vAlign w:val="bottom"/>
          </w:tcPr>
          <w:p>
            <w:pPr>
              <w:spacing w:after="0"/>
              <w:rPr>
                <w:sz w:val="1"/>
                <w:szCs w:val="1"/>
                <w:color w:val="auto"/>
              </w:rPr>
            </w:pPr>
          </w:p>
        </w:tc>
      </w:tr>
      <w:tr>
        <w:trPr>
          <w:trHeight w:val="135"/>
        </w:trPr>
        <w:tc>
          <w:tcPr>
            <w:tcW w:w="8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share data)</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Accounts receivable, less allowances of $10.4 in 2010 and $11.1 in 2009</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408.4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384.3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pledged</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403.6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458.9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and other assets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159.1</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1,037.6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1,090.9</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394.8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369.7</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Goodwill</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372.8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375.2</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assets, net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330.2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364.2</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2,164.0</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2,220.1</w:t>
            </w:r>
          </w:p>
        </w:tc>
        <w:tc>
          <w:tcPr>
            <w:tcW w:w="0" w:type="dxa"/>
            <w:vAlign w:val="bottom"/>
          </w:tcPr>
          <w:p>
            <w:pPr>
              <w:spacing w:after="0"/>
              <w:rPr>
                <w:sz w:val="1"/>
                <w:szCs w:val="1"/>
                <w:color w:val="auto"/>
              </w:rPr>
            </w:pPr>
          </w:p>
        </w:tc>
      </w:tr>
      <w:tr>
        <w:trPr>
          <w:trHeight w:val="284"/>
        </w:trPr>
        <w:tc>
          <w:tcPr>
            <w:tcW w:w="8300" w:type="dxa"/>
            <w:vAlign w:val="bottom"/>
          </w:tcPr>
          <w:p>
            <w:pPr>
              <w:ind w:left="3580"/>
              <w:spacing w:after="0"/>
              <w:rPr>
                <w:sz w:val="20"/>
                <w:szCs w:val="20"/>
                <w:color w:val="auto"/>
              </w:rPr>
            </w:pPr>
            <w:r>
              <w:rPr>
                <w:rFonts w:ascii="Arial" w:cs="Arial" w:eastAsia="Arial" w:hAnsi="Arial"/>
                <w:sz w:val="13"/>
                <w:szCs w:val="13"/>
                <w:b w:val="1"/>
                <w:bCs w:val="1"/>
                <w:color w:val="auto"/>
              </w:rPr>
              <w:t>LIABILITIES AND SHAREHOLDERS’ EQUITY</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Current portion of debt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195.0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160.4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190.0</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Other current liabilities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375.8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406.4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723.9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756.8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Long-term debt</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436.7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649.7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229.1</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1,399.5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1,635.6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(Notes 3, 17, 18 and 19)</w:t>
            </w: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Shareholders’ equity:</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shares and capital in excess of $.01 stated value per share; shares issued and outstanding of 66.8 in 2010 and 66.2 in 2009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434.0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451.5</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Retained earnings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499.6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337.5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shares, at cost; 1.8 million shares in 2010 and 2.4 million shares in 2009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(92.0)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(131.7)</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Accumulated other comprehensive loss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(77.1)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(72.8)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shareholders’ equity</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764.5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584.5</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2,164.0</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2,220.1</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19"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for the fiscal years ended September 30, 2010, 2009 and 2008</w:t>
      </w:r>
    </w:p>
    <w:p>
      <w:pPr>
        <w:spacing w:after="0" w:line="16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1"/>
              </w:rPr>
              <w:t>Accumulated</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3"/>
              </w:rPr>
              <w:t>Capital in</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4"/>
            <w:vMerge w:val="restart"/>
          </w:tcPr>
          <w:p>
            <w:pPr>
              <w:jc w:val="right"/>
              <w:ind w:right="34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9"/>
                <w:szCs w:val="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Other</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0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260"/>
              <w:spacing w:after="0" w:line="102" w:lineRule="exact"/>
              <w:rPr>
                <w:sz w:val="20"/>
                <w:szCs w:val="20"/>
                <w:color w:val="auto"/>
              </w:rPr>
            </w:pPr>
            <w:r>
              <w:rPr>
                <w:rFonts w:ascii="Arial" w:cs="Arial" w:eastAsia="Arial" w:hAnsi="Arial"/>
                <w:sz w:val="9"/>
                <w:szCs w:val="9"/>
                <w:b w:val="1"/>
                <w:bCs w:val="1"/>
                <w:color w:val="auto"/>
                <w:w w:val="85"/>
              </w:rPr>
              <w:t>Excess of</w:t>
            </w:r>
          </w:p>
        </w:tc>
        <w:tc>
          <w:tcPr>
            <w:tcW w:w="60" w:type="dxa"/>
            <w:vAlign w:val="bottom"/>
          </w:tcPr>
          <w:p>
            <w:pPr>
              <w:spacing w:after="0"/>
              <w:rPr>
                <w:sz w:val="8"/>
                <w:szCs w:val="8"/>
                <w:color w:val="auto"/>
              </w:rPr>
            </w:pPr>
          </w:p>
        </w:tc>
        <w:tc>
          <w:tcPr>
            <w:tcW w:w="620" w:type="dxa"/>
            <w:vAlign w:val="bottom"/>
            <w:gridSpan w:val="2"/>
          </w:tcPr>
          <w:p>
            <w:pPr>
              <w:jc w:val="right"/>
              <w:ind w:right="214"/>
              <w:spacing w:after="0" w:line="102" w:lineRule="exact"/>
              <w:rPr>
                <w:sz w:val="20"/>
                <w:szCs w:val="20"/>
                <w:color w:val="auto"/>
              </w:rPr>
            </w:pPr>
            <w:r>
              <w:rPr>
                <w:rFonts w:ascii="Arial" w:cs="Arial" w:eastAsia="Arial" w:hAnsi="Arial"/>
                <w:sz w:val="9"/>
                <w:szCs w:val="9"/>
                <w:b w:val="1"/>
                <w:bCs w:val="1"/>
                <w:color w:val="auto"/>
                <w:w w:val="89"/>
              </w:rPr>
              <w:t>Retained</w:t>
            </w:r>
          </w:p>
        </w:tc>
        <w:tc>
          <w:tcPr>
            <w:tcW w:w="10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300"/>
              <w:spacing w:after="0" w:line="102" w:lineRule="exact"/>
              <w:rPr>
                <w:sz w:val="20"/>
                <w:szCs w:val="20"/>
                <w:color w:val="auto"/>
              </w:rPr>
            </w:pPr>
            <w:r>
              <w:rPr>
                <w:rFonts w:ascii="Arial" w:cs="Arial" w:eastAsia="Arial" w:hAnsi="Arial"/>
                <w:sz w:val="9"/>
                <w:szCs w:val="9"/>
                <w:b w:val="1"/>
                <w:bCs w:val="1"/>
                <w:color w:val="auto"/>
                <w:w w:val="91"/>
              </w:rPr>
              <w:t>Comprehensive</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700" w:type="dxa"/>
            <w:vAlign w:val="bottom"/>
          </w:tcPr>
          <w:p>
            <w:pPr>
              <w:spacing w:after="0"/>
              <w:rPr>
                <w:sz w:val="7"/>
                <w:szCs w:val="7"/>
                <w:color w:val="auto"/>
              </w:rPr>
            </w:pPr>
          </w:p>
        </w:tc>
        <w:tc>
          <w:tcPr>
            <w:tcW w:w="3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Shares</w:t>
            </w:r>
          </w:p>
        </w:tc>
        <w:tc>
          <w:tcPr>
            <w:tcW w:w="200" w:type="dxa"/>
            <w:vAlign w:val="bottom"/>
            <w:tcBorders>
              <w:top w:val="single" w:sz="8" w:color="auto"/>
            </w:tcBorders>
          </w:tcPr>
          <w:p>
            <w:pPr>
              <w:spacing w:after="0"/>
              <w:rPr>
                <w:sz w:val="7"/>
                <w:szCs w:val="7"/>
                <w:color w:val="auto"/>
              </w:rPr>
            </w:pPr>
          </w:p>
        </w:tc>
        <w:tc>
          <w:tcPr>
            <w:tcW w:w="380" w:type="dxa"/>
            <w:vAlign w:val="bottom"/>
            <w:tcBorders>
              <w:top w:val="single" w:sz="8" w:color="auto"/>
              <w:bottom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w w:val="93"/>
              </w:rPr>
              <w:t>Amount</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center"/>
              <w:ind w:right="29"/>
              <w:spacing w:after="0" w:line="88" w:lineRule="exact"/>
              <w:rPr>
                <w:sz w:val="20"/>
                <w:szCs w:val="20"/>
                <w:color w:val="auto"/>
              </w:rPr>
            </w:pPr>
            <w:r>
              <w:rPr>
                <w:rFonts w:ascii="Arial" w:cs="Arial" w:eastAsia="Arial" w:hAnsi="Arial"/>
                <w:sz w:val="9"/>
                <w:szCs w:val="9"/>
                <w:b w:val="1"/>
                <w:bCs w:val="1"/>
                <w:color w:val="auto"/>
                <w:w w:val="92"/>
              </w:rPr>
              <w:t>Stated Value</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9"/>
              <w:spacing w:after="0" w:line="88" w:lineRule="exact"/>
              <w:rPr>
                <w:sz w:val="20"/>
                <w:szCs w:val="20"/>
                <w:color w:val="auto"/>
              </w:rPr>
            </w:pPr>
            <w:r>
              <w:rPr>
                <w:rFonts w:ascii="Arial" w:cs="Arial" w:eastAsia="Arial" w:hAnsi="Arial"/>
                <w:sz w:val="9"/>
                <w:szCs w:val="9"/>
                <w:b w:val="1"/>
                <w:bCs w:val="1"/>
                <w:color w:val="auto"/>
                <w:w w:val="88"/>
              </w:rPr>
              <w:t>Earnings</w:t>
            </w:r>
          </w:p>
        </w:tc>
        <w:tc>
          <w:tcPr>
            <w:tcW w:w="200" w:type="dxa"/>
            <w:vAlign w:val="bottom"/>
          </w:tcPr>
          <w:p>
            <w:pPr>
              <w:spacing w:after="0"/>
              <w:rPr>
                <w:sz w:val="7"/>
                <w:szCs w:val="7"/>
                <w:color w:val="auto"/>
              </w:rPr>
            </w:pPr>
          </w:p>
        </w:tc>
        <w:tc>
          <w:tcPr>
            <w:tcW w:w="30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6"/>
              </w:rPr>
              <w:t>Shares</w:t>
            </w:r>
          </w:p>
        </w:tc>
        <w:tc>
          <w:tcPr>
            <w:tcW w:w="200" w:type="dxa"/>
            <w:vAlign w:val="bottom"/>
            <w:tcBorders>
              <w:top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Amount</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69"/>
              <w:spacing w:after="0" w:line="88" w:lineRule="exact"/>
              <w:rPr>
                <w:sz w:val="20"/>
                <w:szCs w:val="20"/>
                <w:color w:val="auto"/>
              </w:rPr>
            </w:pPr>
            <w:r>
              <w:rPr>
                <w:rFonts w:ascii="Arial" w:cs="Arial" w:eastAsia="Arial" w:hAnsi="Arial"/>
                <w:sz w:val="9"/>
                <w:szCs w:val="9"/>
                <w:b w:val="1"/>
                <w:bCs w:val="1"/>
                <w:color w:val="auto"/>
                <w:w w:val="89"/>
              </w:rPr>
              <w:t>Income/(loss)</w:t>
            </w:r>
          </w:p>
        </w:tc>
        <w:tc>
          <w:tcPr>
            <w:tcW w:w="200" w:type="dxa"/>
            <w:vAlign w:val="bottom"/>
          </w:tcPr>
          <w:p>
            <w:pPr>
              <w:spacing w:after="0"/>
              <w:rPr>
                <w:sz w:val="7"/>
                <w:szCs w:val="7"/>
                <w:color w:val="auto"/>
              </w:rPr>
            </w:pPr>
          </w:p>
        </w:tc>
        <w:tc>
          <w:tcPr>
            <w:tcW w:w="320" w:type="dxa"/>
            <w:vAlign w:val="bottom"/>
            <w:tcBorders>
              <w:bottom w:val="single" w:sz="8" w:color="auto"/>
            </w:tcBorders>
          </w:tcPr>
          <w:p>
            <w:pPr>
              <w:jc w:val="right"/>
              <w:ind w:right="8"/>
              <w:spacing w:after="0" w:line="88"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9"/>
                <w:szCs w:val="9"/>
                <w:b w:val="1"/>
                <w:bCs w:val="1"/>
                <w:color w:val="auto"/>
              </w:rPr>
              <w:t>(In</w:t>
            </w:r>
          </w:p>
        </w:tc>
        <w:tc>
          <w:tcPr>
            <w:tcW w:w="500" w:type="dxa"/>
            <w:vAlign w:val="bottom"/>
            <w:gridSpan w:val="2"/>
          </w:tcPr>
          <w:p>
            <w:pPr>
              <w:jc w:val="right"/>
              <w:ind w:right="89"/>
              <w:spacing w:after="0"/>
              <w:rPr>
                <w:sz w:val="20"/>
                <w:szCs w:val="20"/>
                <w:color w:val="auto"/>
              </w:rPr>
            </w:pPr>
            <w:r>
              <w:rPr>
                <w:rFonts w:ascii="Arial" w:cs="Arial" w:eastAsia="Arial" w:hAnsi="Arial"/>
                <w:sz w:val="9"/>
                <w:szCs w:val="9"/>
                <w:b w:val="1"/>
                <w:bCs w:val="1"/>
                <w:color w:val="auto"/>
                <w:w w:val="91"/>
              </w:rPr>
              <w:t>millions)</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shd w:val="clear" w:color="auto" w:fill="CCEEFF"/>
          </w:tcPr>
          <w:p>
            <w:pPr>
              <w:spacing w:after="0"/>
              <w:rPr>
                <w:sz w:val="20"/>
                <w:szCs w:val="20"/>
                <w:color w:val="auto"/>
              </w:rPr>
            </w:pPr>
            <w:r>
              <w:rPr>
                <w:rFonts w:ascii="Arial" w:cs="Arial" w:eastAsia="Arial" w:hAnsi="Arial"/>
                <w:sz w:val="10"/>
                <w:szCs w:val="10"/>
                <w:color w:val="auto"/>
              </w:rPr>
              <w:t>Balance, September 30, 2007</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68.1</w:t>
            </w:r>
          </w:p>
        </w:tc>
        <w:tc>
          <w:tcPr>
            <w:tcW w:w="200" w:type="dxa"/>
            <w:vAlign w:val="bottom"/>
            <w:tcBorders>
              <w:left w:val="single" w:sz="8" w:color="CCEEFF"/>
            </w:tcBorders>
            <w:shd w:val="clear" w:color="auto" w:fill="CCEEFF"/>
          </w:tcPr>
          <w:p>
            <w:pPr>
              <w:spacing w:after="0"/>
              <w:rPr>
                <w:sz w:val="10"/>
                <w:szCs w:val="10"/>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480.0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rPr>
              <w:t>260.5</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w w:val="93"/>
              </w:rPr>
              <w:t>$  (219.5)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(42.0)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89"/>
              </w:rPr>
              <w:t>$ 479.3</w:t>
            </w:r>
          </w:p>
        </w:tc>
        <w:tc>
          <w:tcPr>
            <w:tcW w:w="0" w:type="dxa"/>
            <w:vAlign w:val="bottom"/>
          </w:tcPr>
          <w:p>
            <w:pPr>
              <w:spacing w:after="0"/>
              <w:rPr>
                <w:sz w:val="1"/>
                <w:szCs w:val="1"/>
                <w:color w:val="auto"/>
              </w:rPr>
            </w:pPr>
          </w:p>
        </w:tc>
      </w:tr>
      <w:tr>
        <w:trPr>
          <w:trHeight w:val="108"/>
        </w:trPr>
        <w:tc>
          <w:tcPr>
            <w:tcW w:w="4700" w:type="dxa"/>
            <w:vAlign w:val="bottom"/>
          </w:tcPr>
          <w:p>
            <w:pPr>
              <w:spacing w:after="0" w:line="108" w:lineRule="exact"/>
              <w:rPr>
                <w:sz w:val="20"/>
                <w:szCs w:val="20"/>
                <w:color w:val="auto"/>
              </w:rPr>
            </w:pPr>
            <w:r>
              <w:rPr>
                <w:rFonts w:ascii="Arial" w:cs="Arial" w:eastAsia="Arial" w:hAnsi="Arial"/>
                <w:sz w:val="10"/>
                <w:szCs w:val="10"/>
                <w:color w:val="auto"/>
              </w:rPr>
              <w:t>Net loss</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14"/>
              <w:spacing w:after="0" w:line="108" w:lineRule="exact"/>
              <w:rPr>
                <w:sz w:val="20"/>
                <w:szCs w:val="20"/>
                <w:color w:val="auto"/>
              </w:rPr>
            </w:pPr>
            <w:r>
              <w:rPr>
                <w:rFonts w:ascii="Arial" w:cs="Arial" w:eastAsia="Arial" w:hAnsi="Arial"/>
                <w:sz w:val="10"/>
                <w:szCs w:val="10"/>
                <w:color w:val="auto"/>
              </w:rPr>
              <w:t>(10.9)</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(10.9)</w:t>
            </w: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Foreign currency translation</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8.5</w:t>
            </w: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8.5</w:t>
            </w:r>
          </w:p>
        </w:tc>
        <w:tc>
          <w:tcPr>
            <w:tcW w:w="0" w:type="dxa"/>
            <w:vAlign w:val="bottom"/>
          </w:tcPr>
          <w:p>
            <w:pPr>
              <w:spacing w:after="0"/>
              <w:rPr>
                <w:sz w:val="1"/>
                <w:szCs w:val="1"/>
                <w:color w:val="auto"/>
              </w:rPr>
            </w:pPr>
          </w:p>
        </w:tc>
      </w:tr>
      <w:tr>
        <w:trPr>
          <w:trHeight w:val="108"/>
        </w:trPr>
        <w:tc>
          <w:tcPr>
            <w:tcW w:w="4700" w:type="dxa"/>
            <w:vAlign w:val="bottom"/>
          </w:tcPr>
          <w:p>
            <w:pPr>
              <w:spacing w:after="0" w:line="108" w:lineRule="exact"/>
              <w:rPr>
                <w:sz w:val="20"/>
                <w:szCs w:val="20"/>
                <w:color w:val="auto"/>
              </w:rPr>
            </w:pPr>
            <w:r>
              <w:rPr>
                <w:rFonts w:ascii="Arial" w:cs="Arial" w:eastAsia="Arial" w:hAnsi="Arial"/>
                <w:sz w:val="10"/>
                <w:szCs w:val="10"/>
                <w:color w:val="auto"/>
              </w:rPr>
              <w:t>Loss on derivatives, net of tax</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(13.5)</w:t>
            </w: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Pension and other postretirement liabilities, net of tax</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(20.1)</w:t>
            </w: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(20.1)</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120"/>
              <w:spacing w:after="0"/>
              <w:rPr>
                <w:sz w:val="20"/>
                <w:szCs w:val="20"/>
                <w:color w:val="auto"/>
              </w:rPr>
            </w:pPr>
            <w:r>
              <w:rPr>
                <w:rFonts w:ascii="Arial" w:cs="Arial" w:eastAsia="Arial" w:hAnsi="Arial"/>
                <w:sz w:val="10"/>
                <w:szCs w:val="10"/>
                <w:color w:val="auto"/>
              </w:rPr>
              <w:t>Comprehensive loss</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(36.0)</w:t>
            </w: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 to initially apply FASB ASC 740</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14"/>
              <w:spacing w:after="0" w:line="108" w:lineRule="exact"/>
              <w:rPr>
                <w:sz w:val="20"/>
                <w:szCs w:val="20"/>
                <w:color w:val="auto"/>
              </w:rPr>
            </w:pPr>
            <w:r>
              <w:rPr>
                <w:rFonts w:ascii="Arial" w:cs="Arial" w:eastAsia="Arial" w:hAnsi="Arial"/>
                <w:sz w:val="10"/>
                <w:szCs w:val="10"/>
                <w:color w:val="auto"/>
              </w:rPr>
              <w:t>(0.4)</w:t>
            </w: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(0.4)</w:t>
            </w:r>
          </w:p>
        </w:tc>
        <w:tc>
          <w:tcPr>
            <w:tcW w:w="0" w:type="dxa"/>
            <w:vAlign w:val="bottom"/>
          </w:tcPr>
          <w:p>
            <w:pPr>
              <w:spacing w:after="0"/>
              <w:rPr>
                <w:sz w:val="1"/>
                <w:szCs w:val="1"/>
                <w:color w:val="auto"/>
              </w:rPr>
            </w:pPr>
          </w:p>
        </w:tc>
      </w:tr>
      <w:tr>
        <w:trPr>
          <w:trHeight w:val="108"/>
        </w:trPr>
        <w:tc>
          <w:tcPr>
            <w:tcW w:w="4700" w:type="dxa"/>
            <w:vAlign w:val="bottom"/>
          </w:tcPr>
          <w:p>
            <w:pPr>
              <w:spacing w:after="0" w:line="108" w:lineRule="exact"/>
              <w:rPr>
                <w:sz w:val="20"/>
                <w:szCs w:val="20"/>
                <w:color w:val="auto"/>
              </w:rPr>
            </w:pPr>
            <w:r>
              <w:rPr>
                <w:rFonts w:ascii="Arial" w:cs="Arial" w:eastAsia="Arial" w:hAnsi="Arial"/>
                <w:sz w:val="10"/>
                <w:szCs w:val="10"/>
                <w:color w:val="auto"/>
              </w:rPr>
              <w:t>Share-based compensation</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12.5</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12.5</w:t>
            </w: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Dividends declared ($0.50 per share)</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14"/>
              <w:spacing w:after="0" w:line="108" w:lineRule="exact"/>
              <w:rPr>
                <w:sz w:val="20"/>
                <w:szCs w:val="20"/>
                <w:color w:val="auto"/>
              </w:rPr>
            </w:pPr>
            <w:r>
              <w:rPr>
                <w:rFonts w:ascii="Arial" w:cs="Arial" w:eastAsia="Arial" w:hAnsi="Arial"/>
                <w:sz w:val="10"/>
                <w:szCs w:val="10"/>
                <w:color w:val="auto"/>
              </w:rPr>
              <w:t>(32.5)</w:t>
            </w: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(32.5)</w:t>
            </w:r>
          </w:p>
        </w:tc>
        <w:tc>
          <w:tcPr>
            <w:tcW w:w="0" w:type="dxa"/>
            <w:vAlign w:val="bottom"/>
          </w:tcPr>
          <w:p>
            <w:pPr>
              <w:spacing w:after="0"/>
              <w:rPr>
                <w:sz w:val="1"/>
                <w:szCs w:val="1"/>
                <w:color w:val="auto"/>
              </w:rPr>
            </w:pPr>
          </w:p>
        </w:tc>
      </w:tr>
      <w:tr>
        <w:trPr>
          <w:trHeight w:val="108"/>
        </w:trPr>
        <w:tc>
          <w:tcPr>
            <w:tcW w:w="4700" w:type="dxa"/>
            <w:vAlign w:val="bottom"/>
          </w:tcPr>
          <w:p>
            <w:pPr>
              <w:spacing w:after="0" w:line="108" w:lineRule="exact"/>
              <w:rPr>
                <w:sz w:val="20"/>
                <w:szCs w:val="20"/>
                <w:color w:val="auto"/>
              </w:rPr>
            </w:pPr>
            <w:r>
              <w:rPr>
                <w:rFonts w:ascii="Arial" w:cs="Arial" w:eastAsia="Arial" w:hAnsi="Arial"/>
                <w:sz w:val="10"/>
                <w:szCs w:val="10"/>
                <w:color w:val="auto"/>
              </w:rPr>
              <w:t>Treasury stock issuances</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(20.4)</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(0.6)</w:t>
            </w: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34.2</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September 30, 2008</w:t>
            </w: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68.1</w:t>
            </w: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0.3</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472.1</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216.7</w:t>
            </w: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3.4</w:t>
            </w: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(185.3)</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(67.1)</w:t>
            </w: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436.7</w:t>
            </w:r>
          </w:p>
        </w:tc>
        <w:tc>
          <w:tcPr>
            <w:tcW w:w="0" w:type="dxa"/>
            <w:vAlign w:val="bottom"/>
          </w:tcPr>
          <w:p>
            <w:pPr>
              <w:spacing w:after="0"/>
              <w:rPr>
                <w:sz w:val="1"/>
                <w:szCs w:val="1"/>
                <w:color w:val="auto"/>
              </w:rPr>
            </w:pPr>
          </w:p>
        </w:tc>
      </w:tr>
      <w:tr>
        <w:trPr>
          <w:trHeight w:val="108"/>
        </w:trPr>
        <w:tc>
          <w:tcPr>
            <w:tcW w:w="4700" w:type="dxa"/>
            <w:vAlign w:val="bottom"/>
          </w:tcPr>
          <w:p>
            <w:pPr>
              <w:spacing w:after="0" w:line="108" w:lineRule="exact"/>
              <w:rPr>
                <w:sz w:val="20"/>
                <w:szCs w:val="20"/>
                <w:color w:val="auto"/>
              </w:rPr>
            </w:pPr>
            <w:r>
              <w:rPr>
                <w:rFonts w:ascii="Arial" w:cs="Arial" w:eastAsia="Arial" w:hAnsi="Arial"/>
                <w:sz w:val="10"/>
                <w:szCs w:val="10"/>
                <w:color w:val="auto"/>
              </w:rPr>
              <w:t>Net income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153.3</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153.3</w:t>
            </w: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Foreign currency translation</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9.6</w:t>
            </w: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9.6</w:t>
            </w:r>
          </w:p>
        </w:tc>
        <w:tc>
          <w:tcPr>
            <w:tcW w:w="0" w:type="dxa"/>
            <w:vAlign w:val="bottom"/>
          </w:tcPr>
          <w:p>
            <w:pPr>
              <w:spacing w:after="0"/>
              <w:rPr>
                <w:sz w:val="1"/>
                <w:szCs w:val="1"/>
                <w:color w:val="auto"/>
              </w:rPr>
            </w:pPr>
          </w:p>
        </w:tc>
      </w:tr>
      <w:tr>
        <w:trPr>
          <w:trHeight w:val="108"/>
        </w:trPr>
        <w:tc>
          <w:tcPr>
            <w:tcW w:w="4700" w:type="dxa"/>
            <w:vAlign w:val="bottom"/>
          </w:tcPr>
          <w:p>
            <w:pPr>
              <w:spacing w:after="0" w:line="108" w:lineRule="exact"/>
              <w:rPr>
                <w:sz w:val="20"/>
                <w:szCs w:val="20"/>
                <w:color w:val="auto"/>
              </w:rPr>
            </w:pPr>
            <w:r>
              <w:rPr>
                <w:rFonts w:ascii="Arial" w:cs="Arial" w:eastAsia="Arial" w:hAnsi="Arial"/>
                <w:sz w:val="10"/>
                <w:szCs w:val="10"/>
                <w:color w:val="auto"/>
              </w:rPr>
              <w:t>Loss on derivatives, net of tax</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(3.2)</w:t>
            </w: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(3.2)</w:t>
            </w: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Pension and other postretirement liabilities, net of tax</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(12.1)</w:t>
            </w: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108"/>
        </w:trPr>
        <w:tc>
          <w:tcPr>
            <w:tcW w:w="4700" w:type="dxa"/>
            <w:vAlign w:val="bottom"/>
          </w:tcPr>
          <w:p>
            <w:pPr>
              <w:ind w:left="120"/>
              <w:spacing w:after="0" w:line="108" w:lineRule="exact"/>
              <w:rPr>
                <w:sz w:val="20"/>
                <w:szCs w:val="20"/>
                <w:color w:val="auto"/>
              </w:rPr>
            </w:pPr>
            <w:r>
              <w:rPr>
                <w:rFonts w:ascii="Arial" w:cs="Arial" w:eastAsia="Arial" w:hAnsi="Arial"/>
                <w:sz w:val="10"/>
                <w:szCs w:val="10"/>
                <w:color w:val="auto"/>
              </w:rPr>
              <w:t>Comprehensive income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147.6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Share-based compensation</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14.5</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14.5</w:t>
            </w:r>
          </w:p>
        </w:tc>
        <w:tc>
          <w:tcPr>
            <w:tcW w:w="0" w:type="dxa"/>
            <w:vAlign w:val="bottom"/>
          </w:tcPr>
          <w:p>
            <w:pPr>
              <w:spacing w:after="0"/>
              <w:rPr>
                <w:sz w:val="1"/>
                <w:szCs w:val="1"/>
                <w:color w:val="auto"/>
              </w:rPr>
            </w:pPr>
          </w:p>
        </w:tc>
      </w:tr>
      <w:tr>
        <w:trPr>
          <w:trHeight w:val="108"/>
        </w:trPr>
        <w:tc>
          <w:tcPr>
            <w:tcW w:w="4700" w:type="dxa"/>
            <w:vAlign w:val="bottom"/>
          </w:tcPr>
          <w:p>
            <w:pPr>
              <w:spacing w:after="0" w:line="108" w:lineRule="exact"/>
              <w:rPr>
                <w:sz w:val="20"/>
                <w:szCs w:val="20"/>
                <w:color w:val="auto"/>
              </w:rPr>
            </w:pPr>
            <w:r>
              <w:rPr>
                <w:rFonts w:ascii="Arial" w:cs="Arial" w:eastAsia="Arial" w:hAnsi="Arial"/>
                <w:sz w:val="10"/>
                <w:szCs w:val="10"/>
                <w:color w:val="auto"/>
              </w:rPr>
              <w:t>Dividends declared ($0.50 per share)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14"/>
              <w:spacing w:after="0" w:line="108" w:lineRule="exact"/>
              <w:rPr>
                <w:sz w:val="20"/>
                <w:szCs w:val="20"/>
                <w:color w:val="auto"/>
              </w:rPr>
            </w:pPr>
            <w:r>
              <w:rPr>
                <w:rFonts w:ascii="Arial" w:cs="Arial" w:eastAsia="Arial" w:hAnsi="Arial"/>
                <w:sz w:val="10"/>
                <w:szCs w:val="10"/>
                <w:color w:val="auto"/>
              </w:rPr>
              <w:t>(32.5)</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(32.5)</w:t>
            </w: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Treasury stock issuances</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(33.5)</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w:t>
            </w: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53.6</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20.1</w:t>
            </w:r>
          </w:p>
        </w:tc>
        <w:tc>
          <w:tcPr>
            <w:tcW w:w="0" w:type="dxa"/>
            <w:vAlign w:val="bottom"/>
          </w:tcPr>
          <w:p>
            <w:pPr>
              <w:spacing w:after="0"/>
              <w:rPr>
                <w:sz w:val="1"/>
                <w:szCs w:val="1"/>
                <w:color w:val="auto"/>
              </w:rPr>
            </w:pPr>
          </w:p>
        </w:tc>
      </w:tr>
      <w:tr>
        <w:trPr>
          <w:trHeight w:val="108"/>
        </w:trPr>
        <w:tc>
          <w:tcPr>
            <w:tcW w:w="4700" w:type="dxa"/>
            <w:vAlign w:val="bottom"/>
          </w:tcPr>
          <w:p>
            <w:pPr>
              <w:spacing w:after="0" w:line="108" w:lineRule="exact"/>
              <w:rPr>
                <w:sz w:val="20"/>
                <w:szCs w:val="20"/>
                <w:color w:val="auto"/>
              </w:rPr>
            </w:pPr>
            <w:r>
              <w:rPr>
                <w:rFonts w:ascii="Arial" w:cs="Arial" w:eastAsia="Arial" w:hAnsi="Arial"/>
                <w:sz w:val="10"/>
                <w:szCs w:val="10"/>
                <w:color w:val="auto"/>
              </w:rPr>
              <w:t>Other</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September 30, 2009</w:t>
            </w: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68.1</w:t>
            </w: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0.3</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451.2</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337.5</w:t>
            </w: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w:t>
            </w: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(131.7)</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(72.8)</w:t>
            </w: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584.5</w:t>
            </w:r>
          </w:p>
        </w:tc>
        <w:tc>
          <w:tcPr>
            <w:tcW w:w="0" w:type="dxa"/>
            <w:vAlign w:val="bottom"/>
          </w:tcPr>
          <w:p>
            <w:pPr>
              <w:spacing w:after="0"/>
              <w:rPr>
                <w:sz w:val="1"/>
                <w:szCs w:val="1"/>
                <w:color w:val="auto"/>
              </w:rPr>
            </w:pPr>
          </w:p>
        </w:tc>
      </w:tr>
      <w:tr>
        <w:trPr>
          <w:trHeight w:val="108"/>
        </w:trPr>
        <w:tc>
          <w:tcPr>
            <w:tcW w:w="4700" w:type="dxa"/>
            <w:vAlign w:val="bottom"/>
          </w:tcPr>
          <w:p>
            <w:pPr>
              <w:spacing w:after="0" w:line="108" w:lineRule="exact"/>
              <w:rPr>
                <w:sz w:val="20"/>
                <w:szCs w:val="20"/>
                <w:color w:val="auto"/>
              </w:rPr>
            </w:pPr>
            <w:r>
              <w:rPr>
                <w:rFonts w:ascii="Arial" w:cs="Arial" w:eastAsia="Arial" w:hAnsi="Arial"/>
                <w:sz w:val="10"/>
                <w:szCs w:val="10"/>
                <w:color w:val="auto"/>
              </w:rPr>
              <w:t>Net income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204.1</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204.1</w:t>
            </w: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Foreign currency translation</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w:t>
            </w: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08"/>
        </w:trPr>
        <w:tc>
          <w:tcPr>
            <w:tcW w:w="4700" w:type="dxa"/>
            <w:vAlign w:val="bottom"/>
          </w:tcPr>
          <w:p>
            <w:pPr>
              <w:spacing w:after="0" w:line="108" w:lineRule="exact"/>
              <w:rPr>
                <w:sz w:val="20"/>
                <w:szCs w:val="20"/>
                <w:color w:val="auto"/>
              </w:rPr>
            </w:pPr>
            <w:r>
              <w:rPr>
                <w:rFonts w:ascii="Arial" w:cs="Arial" w:eastAsia="Arial" w:hAnsi="Arial"/>
                <w:sz w:val="10"/>
                <w:szCs w:val="10"/>
                <w:color w:val="auto"/>
              </w:rPr>
              <w:t>Loss on derivatives, net of tax</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w:t>
            </w: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4.6</w:t>
            </w: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Pension and other postretirement liabilities, net of tax</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(9.9)</w:t>
            </w: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(9.9)</w:t>
            </w:r>
          </w:p>
        </w:tc>
        <w:tc>
          <w:tcPr>
            <w:tcW w:w="0" w:type="dxa"/>
            <w:vAlign w:val="bottom"/>
          </w:tcPr>
          <w:p>
            <w:pPr>
              <w:spacing w:after="0"/>
              <w:rPr>
                <w:sz w:val="1"/>
                <w:szCs w:val="1"/>
                <w:color w:val="auto"/>
              </w:rPr>
            </w:pPr>
          </w:p>
        </w:tc>
      </w:tr>
      <w:tr>
        <w:trPr>
          <w:trHeight w:val="108"/>
        </w:trPr>
        <w:tc>
          <w:tcPr>
            <w:tcW w:w="4700" w:type="dxa"/>
            <w:vAlign w:val="bottom"/>
          </w:tcPr>
          <w:p>
            <w:pPr>
              <w:ind w:left="120"/>
              <w:spacing w:after="0" w:line="108" w:lineRule="exact"/>
              <w:rPr>
                <w:sz w:val="20"/>
                <w:szCs w:val="20"/>
                <w:color w:val="auto"/>
              </w:rPr>
            </w:pPr>
            <w:r>
              <w:rPr>
                <w:rFonts w:ascii="Arial" w:cs="Arial" w:eastAsia="Arial" w:hAnsi="Arial"/>
                <w:sz w:val="10"/>
                <w:szCs w:val="10"/>
                <w:color w:val="auto"/>
              </w:rPr>
              <w:t>Comprehensive income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199.8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Share-based compensation</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16.4</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16.4</w:t>
            </w:r>
          </w:p>
        </w:tc>
        <w:tc>
          <w:tcPr>
            <w:tcW w:w="0" w:type="dxa"/>
            <w:vAlign w:val="bottom"/>
          </w:tcPr>
          <w:p>
            <w:pPr>
              <w:spacing w:after="0"/>
              <w:rPr>
                <w:sz w:val="1"/>
                <w:szCs w:val="1"/>
                <w:color w:val="auto"/>
              </w:rPr>
            </w:pPr>
          </w:p>
        </w:tc>
      </w:tr>
      <w:tr>
        <w:trPr>
          <w:trHeight w:val="108"/>
        </w:trPr>
        <w:tc>
          <w:tcPr>
            <w:tcW w:w="4700" w:type="dxa"/>
            <w:vAlign w:val="bottom"/>
          </w:tcPr>
          <w:p>
            <w:pPr>
              <w:spacing w:after="0" w:line="108" w:lineRule="exact"/>
              <w:rPr>
                <w:sz w:val="20"/>
                <w:szCs w:val="20"/>
                <w:color w:val="auto"/>
              </w:rPr>
            </w:pPr>
            <w:r>
              <w:rPr>
                <w:rFonts w:ascii="Arial" w:cs="Arial" w:eastAsia="Arial" w:hAnsi="Arial"/>
                <w:sz w:val="10"/>
                <w:szCs w:val="10"/>
                <w:color w:val="auto"/>
              </w:rPr>
              <w:t>Dividends declared ($0.625 per share)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14"/>
              <w:spacing w:after="0" w:line="108" w:lineRule="exact"/>
              <w:rPr>
                <w:sz w:val="20"/>
                <w:szCs w:val="20"/>
                <w:color w:val="auto"/>
              </w:rPr>
            </w:pPr>
            <w:r>
              <w:rPr>
                <w:rFonts w:ascii="Arial" w:cs="Arial" w:eastAsia="Arial" w:hAnsi="Arial"/>
                <w:sz w:val="10"/>
                <w:szCs w:val="10"/>
                <w:color w:val="auto"/>
              </w:rPr>
              <w:t>(42.0)</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(42.0)</w:t>
            </w: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Treasury stock purchases</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0.5</w:t>
            </w: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(25.0)</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(25.0)</w:t>
            </w:r>
          </w:p>
        </w:tc>
        <w:tc>
          <w:tcPr>
            <w:tcW w:w="0" w:type="dxa"/>
            <w:vAlign w:val="bottom"/>
          </w:tcPr>
          <w:p>
            <w:pPr>
              <w:spacing w:after="0"/>
              <w:rPr>
                <w:sz w:val="1"/>
                <w:szCs w:val="1"/>
                <w:color w:val="auto"/>
              </w:rPr>
            </w:pPr>
          </w:p>
        </w:tc>
      </w:tr>
      <w:tr>
        <w:trPr>
          <w:trHeight w:val="108"/>
        </w:trPr>
        <w:tc>
          <w:tcPr>
            <w:tcW w:w="4700" w:type="dxa"/>
            <w:vAlign w:val="bottom"/>
          </w:tcPr>
          <w:p>
            <w:pPr>
              <w:spacing w:after="0" w:line="108" w:lineRule="exact"/>
              <w:rPr>
                <w:sz w:val="20"/>
                <w:szCs w:val="20"/>
                <w:color w:val="auto"/>
              </w:rPr>
            </w:pPr>
            <w:r>
              <w:rPr>
                <w:rFonts w:ascii="Arial" w:cs="Arial" w:eastAsia="Arial" w:hAnsi="Arial"/>
                <w:sz w:val="10"/>
                <w:szCs w:val="10"/>
                <w:color w:val="auto"/>
              </w:rPr>
              <w:t>Treasury stock issuances</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(34.6)</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w:t>
            </w: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64.7</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30.1</w:t>
            </w:r>
          </w:p>
        </w:tc>
        <w:tc>
          <w:tcPr>
            <w:tcW w:w="0" w:type="dxa"/>
            <w:vAlign w:val="bottom"/>
          </w:tcPr>
          <w:p>
            <w:pPr>
              <w:spacing w:after="0"/>
              <w:rPr>
                <w:sz w:val="1"/>
                <w:szCs w:val="1"/>
                <w:color w:val="auto"/>
              </w:rPr>
            </w:pPr>
          </w:p>
        </w:tc>
      </w:tr>
      <w:tr>
        <w:trPr>
          <w:trHeight w:val="108"/>
        </w:trPr>
        <w:tc>
          <w:tcPr>
            <w:tcW w:w="4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w:t>
            </w:r>
          </w:p>
        </w:tc>
        <w:tc>
          <w:tcPr>
            <w:tcW w:w="3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0.7</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0"/>
                <w:szCs w:val="10"/>
                <w:color w:val="auto"/>
              </w:rPr>
              <w:t>Balance, September 30, 2010</w:t>
            </w: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700" w:type="dxa"/>
            <w:vAlign w:val="bottom"/>
            <w:vMerge w:val="continue"/>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68.1</w:t>
            </w:r>
          </w:p>
        </w:tc>
        <w:tc>
          <w:tcPr>
            <w:tcW w:w="2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line="108" w:lineRule="exact"/>
              <w:rPr>
                <w:sz w:val="20"/>
                <w:szCs w:val="20"/>
                <w:color w:val="auto"/>
              </w:rPr>
            </w:pPr>
            <w:r>
              <w:rPr>
                <w:rFonts w:ascii="Arial" w:cs="Arial" w:eastAsia="Arial" w:hAnsi="Arial"/>
                <w:sz w:val="10"/>
                <w:szCs w:val="10"/>
                <w:color w:val="auto"/>
                <w:w w:val="71"/>
              </w:rPr>
              <w:t>0.3</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433.7</w:t>
            </w:r>
          </w:p>
        </w:tc>
        <w:tc>
          <w:tcPr>
            <w:tcW w:w="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499.6</w:t>
            </w:r>
          </w:p>
        </w:tc>
        <w:tc>
          <w:tcPr>
            <w:tcW w:w="200" w:type="dxa"/>
            <w:vAlign w:val="bottom"/>
            <w:vMerge w:val="continue"/>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1.8</w:t>
            </w:r>
          </w:p>
        </w:tc>
        <w:tc>
          <w:tcPr>
            <w:tcW w:w="200" w:type="dxa"/>
            <w:vAlign w:val="bottom"/>
            <w:vMerge w:val="continue"/>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(92.0)</w:t>
            </w: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(77.1)</w:t>
            </w: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764.5</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1.</w:t>
      </w:r>
      <w:r>
        <w:rPr>
          <w:sz w:val="20"/>
          <w:szCs w:val="20"/>
          <w:color w:val="auto"/>
        </w:rPr>
        <w:tab/>
      </w: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Nature of Operations</w:t>
      </w:r>
    </w:p>
    <w:p>
      <w:pPr>
        <w:spacing w:after="0" w:line="96"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The Scotts Miracle-Gro Company (“Scotts Miracle-Gro”) and its subsidiaries (collectively, together with Scotts Miracle-Gro, the “Company”) are engaged in the manufacturing, marketing and sale of consumer branded products for lawn and garden care and professional horticulture products. The Company’s primary customers include home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w:t>
      </w:r>
      <w:r>
        <w:rPr>
          <w:rFonts w:ascii="Arial" w:cs="Arial" w:eastAsia="Arial" w:hAnsi="Arial"/>
          <w:sz w:val="10"/>
          <w:szCs w:val="10"/>
          <w:color w:val="auto"/>
        </w:rPr>
        <w:t>®</w:t>
      </w:r>
      <w:r>
        <w:rPr>
          <w:rFonts w:ascii="Arial" w:cs="Arial" w:eastAsia="Arial" w:hAnsi="Arial"/>
          <w:sz w:val="12"/>
          <w:szCs w:val="12"/>
          <w:color w:val="auto"/>
        </w:rPr>
        <w:t xml:space="preserve"> business, which provides residential and commercial lawn care, tree and shrub care and limited pest control services in the United States.</w:t>
      </w:r>
    </w:p>
    <w:p>
      <w:pPr>
        <w:spacing w:after="0" w:line="53"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After its acquisition in fiscal 2005, the Company operated Smith &amp; Hawken</w:t>
      </w:r>
      <w:r>
        <w:rPr>
          <w:rFonts w:ascii="Arial" w:cs="Arial" w:eastAsia="Arial" w:hAnsi="Arial"/>
          <w:sz w:val="11"/>
          <w:szCs w:val="11"/>
          <w:color w:val="auto"/>
        </w:rPr>
        <w:t>®1</w:t>
      </w:r>
      <w:r>
        <w:rPr>
          <w:rFonts w:ascii="Arial" w:cs="Arial" w:eastAsia="Arial" w:hAnsi="Arial"/>
          <w:sz w:val="13"/>
          <w:szCs w:val="13"/>
          <w:color w:val="auto"/>
        </w:rPr>
        <w:t>, an outdoor living and garden lifestyle category brand. As discussed in “NOTE 2. DISCONTINUED OPERATIONS,” on July 8, 2009, Scotts Miracle-Gro announced its intention to close the Smith &amp; Hawken business by the end of calendar 2009. During the Company’s first quarter of fiscal 2010, all Smith &amp; Hawken stores were closed and substantially all operational activities of Smith &amp; Hawken were discontinued.</w:t>
      </w:r>
    </w:p>
    <w:p>
      <w:pPr>
        <w:spacing w:after="0" w:line="65"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Due to the nature of the lawn and garden business, the majority of sales to customers occur in the Company’s second and third fiscal quarters. On a combined basis, net sales for the second and third fiscal quarters generally represent 70% to 75% of annual net sales.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Organization and Basis of Presentation</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Company’s consolidated financial statements are presented in accordance with accounting principles generally accepted in the United States of America (“GAAP”). The consolidated financial statements include the accounts of Scotts Miracle-Gro and all wholly-owned and majority-owned subsidiaries. All intercompany transactions and accounts are eliminated in consolidation. The Company’s consolidation criteria are based on majority ownership (as evidenced by a majority voting interest in the entity) and an objective evaluation and determination of effective management control.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Use of Estimates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amounts reported in the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Revenue Recognition</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Revenue is recognized when title and risk of loss transfer, which generally occurs when products or services are received by the customer. Provisions for estimated returns and allowances are recorded at the time revenue is recognized based on historical rates and are periodically adjusted for known changes in return levels. Outbound shipping and handling costs are included in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54610</wp:posOffset>
            </wp:positionV>
            <wp:extent cx="82359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4" w:lineRule="exact"/>
        <w:rPr>
          <w:sz w:val="20"/>
          <w:szCs w:val="20"/>
          <w:color w:val="auto"/>
        </w:rPr>
      </w:pPr>
    </w:p>
    <w:p>
      <w:pPr>
        <w:ind w:left="680" w:right="100" w:firstLine="406"/>
        <w:spacing w:after="0" w:line="266" w:lineRule="auto"/>
        <w:tabs>
          <w:tab w:leader="none" w:pos="1168" w:val="left"/>
        </w:tabs>
        <w:numPr>
          <w:ilvl w:val="0"/>
          <w:numId w:val="22"/>
        </w:numPr>
        <w:rPr>
          <w:rFonts w:ascii="Arial" w:cs="Arial" w:eastAsia="Arial" w:hAnsi="Arial"/>
          <w:sz w:val="11"/>
          <w:szCs w:val="11"/>
          <w:color w:val="auto"/>
        </w:rPr>
      </w:pPr>
      <w:r>
        <w:rPr>
          <w:rFonts w:ascii="Arial" w:cs="Arial" w:eastAsia="Arial" w:hAnsi="Arial"/>
          <w:sz w:val="13"/>
          <w:szCs w:val="13"/>
          <w:color w:val="auto"/>
        </w:rPr>
        <w:t>Smith &amp; Hawken</w:t>
      </w:r>
      <w:r>
        <w:rPr>
          <w:rFonts w:ascii="Arial" w:cs="Arial" w:eastAsia="Arial" w:hAnsi="Arial"/>
          <w:sz w:val="11"/>
          <w:szCs w:val="11"/>
          <w:color w:val="auto"/>
        </w:rPr>
        <w:t>®</w:t>
      </w:r>
      <w:r>
        <w:rPr>
          <w:rFonts w:ascii="Arial" w:cs="Arial" w:eastAsia="Arial" w:hAnsi="Arial"/>
          <w:sz w:val="13"/>
          <w:szCs w:val="13"/>
          <w:color w:val="auto"/>
        </w:rPr>
        <w:t xml:space="preserve"> is a registered trademark of Target Brands, Inc. The Company sold the Smith &amp; Hawken brand and certain intellectual property rights related thereto to Target Brands, Inc. on December 30, 2009, and subsequently changed the name of the subsidiary entity formerly known as Smith &amp; Hawken, Ltd. to Teak 2, Ltd. References in this Annual Report on Form 10-K to Smith &amp; Hawken refer to Scotts Miracle-Gro’s subsidiary entity, not the brand itself.</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Under the terms of the Amended and Restated Exclusive Agency and Marketing Agreement (the “Marketing Agreement”) between the Company and Monsanto Company (“Monsanto”), the Company, in its role as exclusive agent, performs certain functions, primarily manufacturing conversion, distribution and logistics, and selling and marketing support on behalf of Monsanto in the conduct of the consumer Roundup</w:t>
      </w:r>
      <w:r>
        <w:rPr>
          <w:rFonts w:ascii="Arial" w:cs="Arial" w:eastAsia="Arial" w:hAnsi="Arial"/>
          <w:sz w:val="10"/>
          <w:szCs w:val="10"/>
          <w:color w:val="auto"/>
        </w:rPr>
        <w:t>®2</w:t>
      </w:r>
      <w:r>
        <w:rPr>
          <w:rFonts w:ascii="Arial" w:cs="Arial" w:eastAsia="Arial" w:hAnsi="Arial"/>
          <w:sz w:val="12"/>
          <w:szCs w:val="12"/>
          <w:color w:val="auto"/>
        </w:rPr>
        <w:t xml:space="preserve"> business. The actual costs incurred by the Company on behalf of the consumer Roundup</w:t>
      </w:r>
      <w:r>
        <w:rPr>
          <w:rFonts w:ascii="Arial" w:cs="Arial" w:eastAsia="Arial" w:hAnsi="Arial"/>
          <w:sz w:val="10"/>
          <w:szCs w:val="10"/>
          <w:color w:val="auto"/>
        </w:rPr>
        <w:t>®</w:t>
      </w:r>
      <w:r>
        <w:rPr>
          <w:rFonts w:ascii="Arial" w:cs="Arial" w:eastAsia="Arial" w:hAnsi="Arial"/>
          <w:sz w:val="12"/>
          <w:szCs w:val="12"/>
          <w:color w:val="auto"/>
        </w:rPr>
        <w:t xml:space="preserve"> business are recovered from Monsanto through the terms of the Marketing Agreement. The reimbursement of costs for which the Company is considered the primary obligor is included in net sales.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Promotional Allowances</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Advertising</w:t>
      </w:r>
    </w:p>
    <w:p>
      <w:pPr>
        <w:spacing w:after="0" w:line="96"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65" w:lineRule="exact"/>
        <w:rPr>
          <w:sz w:val="20"/>
          <w:szCs w:val="20"/>
          <w:color w:val="auto"/>
        </w:rPr>
      </w:pPr>
    </w:p>
    <w:p>
      <w:pPr>
        <w:ind w:left="680" w:right="20" w:firstLine="399"/>
        <w:spacing w:after="0" w:line="261" w:lineRule="auto"/>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r>
        <w:rPr>
          <w:rFonts w:ascii="Arial" w:cs="Arial" w:eastAsia="Arial" w:hAnsi="Arial"/>
          <w:sz w:val="13"/>
          <w:szCs w:val="13"/>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do not qualify as direct response advertising costs are expensed within the fiscal year incurred on a monthly basis in proportion to net sales. The costs deferred at September 30, 2010 and 2009 were $1.5 million and $2.1 million, respectively.</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Advertising expenses were $142.4 million in fiscal 2010, $127.2 million in fiscal 2009 and $127.7 million in fiscal 2008.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Research and Development</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All costs associated with research and development are charged to expense as incurred. Expenses for fiscal 2010, fiscal 2009 and fiscal 2008 were $51.6 million, $56.3 million and $44.7 million, respectively, including product registration costs of $12.9 million, $15.6 million and $9.8 million,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Environmental Costs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54610</wp:posOffset>
            </wp:positionV>
            <wp:extent cx="82359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4" w:lineRule="exact"/>
        <w:rPr>
          <w:sz w:val="20"/>
          <w:szCs w:val="20"/>
          <w:color w:val="auto"/>
        </w:rPr>
      </w:pPr>
    </w:p>
    <w:p>
      <w:pPr>
        <w:ind w:left="5620" w:right="3880" w:hanging="4534"/>
        <w:spacing w:after="0" w:line="738" w:lineRule="auto"/>
        <w:tabs>
          <w:tab w:leader="none" w:pos="1183" w:val="left"/>
        </w:tabs>
        <w:numPr>
          <w:ilvl w:val="0"/>
          <w:numId w:val="23"/>
        </w:numPr>
        <w:rPr>
          <w:rFonts w:ascii="Arial" w:cs="Arial" w:eastAsia="Arial" w:hAnsi="Arial"/>
          <w:sz w:val="11"/>
          <w:szCs w:val="11"/>
          <w:color w:val="auto"/>
        </w:rPr>
      </w:pPr>
      <w:r>
        <w:rPr>
          <w:rFonts w:ascii="Arial" w:cs="Arial" w:eastAsia="Arial" w:hAnsi="Arial"/>
          <w:sz w:val="13"/>
          <w:szCs w:val="13"/>
          <w:color w:val="auto"/>
        </w:rPr>
        <w:t>Roundup</w:t>
      </w:r>
      <w:r>
        <w:rPr>
          <w:rFonts w:ascii="Arial" w:cs="Arial" w:eastAsia="Arial" w:hAnsi="Arial"/>
          <w:sz w:val="11"/>
          <w:szCs w:val="11"/>
          <w:color w:val="auto"/>
        </w:rPr>
        <w:t>®</w:t>
      </w:r>
      <w:r>
        <w:rPr>
          <w:rFonts w:ascii="Arial" w:cs="Arial" w:eastAsia="Arial" w:hAnsi="Arial"/>
          <w:sz w:val="13"/>
          <w:szCs w:val="13"/>
          <w:color w:val="auto"/>
        </w:rPr>
        <w:t xml:space="preserve"> is a registered trademark of Monsanto Technology LLC, a company affiliated with Monsanto.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Share-Based Compensation Awards</w:t>
      </w:r>
    </w:p>
    <w:p>
      <w:pPr>
        <w:spacing w:after="0" w:line="96"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The fair value of awards is expensed ratably over the vesting period, generally three years, except in cases where employees are eligible for accelerated vesting based on having satisfied retirement requirements relating to age and years of service. The Company uses a binomial model to determine the fair value of its option grants.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Earnings per Common Share</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(dilutive stock options, stock appreciation rights, performance shares, restricted stock and restricted stock unit awards) outstanding each period.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Cash and Cash Equivalents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Accounts Receivable and Allowances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Trade accounts receivable are recorded at the invoiced amount and do not bear interest. Allowances reflect the Company’s best estimate of amounts in its existing accounts receivable that may not be collected due to customer claims, or customer inability or unwillingness to pay. The allowance is determined based on the Company’s risk assessment of its customers and historical experience. Past due balances over 90 days and in excess of a specified amount are reviewed individually for collectability. All other balances are reviewed on a pooled basis by type of receivable. Account balances are charged off against the allowance when the Company believes it is probable the receivable will not be recovered.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Inventories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Inventories are stated at the lower of cost or market, principally determined by the FIFO method of accounting, using an average costing approach.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market value. Reserves for excess and obsolete inventories were $21.1 million and $33.0 million at September 30, 2010 and 2009, respectively.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Long-lived Assets</w:t>
      </w:r>
    </w:p>
    <w:p>
      <w:pPr>
        <w:spacing w:after="0" w:line="96" w:lineRule="exact"/>
        <w:rPr>
          <w:sz w:val="20"/>
          <w:szCs w:val="20"/>
          <w:color w:val="auto"/>
        </w:rPr>
      </w:pPr>
    </w:p>
    <w:p>
      <w:pPr>
        <w:jc w:val="both"/>
        <w:ind w:left="680" w:right="240" w:firstLine="399"/>
        <w:spacing w:after="0" w:line="296" w:lineRule="auto"/>
        <w:rPr>
          <w:sz w:val="20"/>
          <w:szCs w:val="20"/>
          <w:color w:val="auto"/>
        </w:rPr>
      </w:pPr>
      <w:r>
        <w:rPr>
          <w:rFonts w:ascii="Arial" w:cs="Arial" w:eastAsia="Arial" w:hAnsi="Arial"/>
          <w:sz w:val="12"/>
          <w:szCs w:val="12"/>
          <w:color w:val="auto"/>
        </w:rPr>
        <w:t>Property, plant and equipment are stated at cost. Interest capitalized on capital projects amounted to $0.8 million, $0.4 million and $0.3 million during fiscal 2010, fiscal 2009 and fiscal 2008,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Depreciation of property, plant and equipment is provided on the straight-line method and is based on the estimated useful economic lives of the assets as follows:</w:t>
      </w:r>
    </w:p>
    <w:p>
      <w:pPr>
        <w:spacing w:after="0" w:line="11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Land improvements</w:t>
            </w:r>
          </w:p>
        </w:tc>
        <w:tc>
          <w:tcPr>
            <w:tcW w:w="5000" w:type="dxa"/>
            <w:vAlign w:val="bottom"/>
            <w:gridSpan w:val="2"/>
            <w:shd w:val="clear" w:color="auto" w:fill="CCEEFF"/>
          </w:tcPr>
          <w:p>
            <w:pPr>
              <w:ind w:left="3600"/>
              <w:spacing w:after="0"/>
              <w:rPr>
                <w:sz w:val="20"/>
                <w:szCs w:val="20"/>
                <w:color w:val="auto"/>
              </w:rPr>
            </w:pPr>
            <w:r>
              <w:rPr>
                <w:rFonts w:ascii="Arial" w:cs="Arial" w:eastAsia="Arial" w:hAnsi="Arial"/>
                <w:sz w:val="13"/>
                <w:szCs w:val="13"/>
                <w:color w:val="auto"/>
              </w:rPr>
              <w:t>10 — 25 years</w:t>
            </w:r>
          </w:p>
        </w:tc>
      </w:tr>
      <w:tr>
        <w:trPr>
          <w:trHeight w:val="157"/>
        </w:trPr>
        <w:tc>
          <w:tcPr>
            <w:tcW w:w="4980" w:type="dxa"/>
            <w:vAlign w:val="bottom"/>
          </w:tcPr>
          <w:p>
            <w:pPr>
              <w:spacing w:after="0"/>
              <w:rPr>
                <w:sz w:val="20"/>
                <w:szCs w:val="20"/>
                <w:color w:val="auto"/>
              </w:rPr>
            </w:pPr>
            <w:r>
              <w:rPr>
                <w:rFonts w:ascii="Arial" w:cs="Arial" w:eastAsia="Arial" w:hAnsi="Arial"/>
                <w:sz w:val="13"/>
                <w:szCs w:val="13"/>
                <w:color w:val="auto"/>
              </w:rPr>
              <w:t>Buildings</w:t>
            </w:r>
          </w:p>
        </w:tc>
        <w:tc>
          <w:tcPr>
            <w:tcW w:w="5000" w:type="dxa"/>
            <w:vAlign w:val="bottom"/>
            <w:gridSpan w:val="2"/>
          </w:tcPr>
          <w:p>
            <w:pPr>
              <w:ind w:left="3600"/>
              <w:spacing w:after="0"/>
              <w:rPr>
                <w:sz w:val="20"/>
                <w:szCs w:val="20"/>
                <w:color w:val="auto"/>
              </w:rPr>
            </w:pPr>
            <w:r>
              <w:rPr>
                <w:rFonts w:ascii="Arial" w:cs="Arial" w:eastAsia="Arial" w:hAnsi="Arial"/>
                <w:sz w:val="13"/>
                <w:szCs w:val="13"/>
                <w:color w:val="auto"/>
              </w:rPr>
              <w:t>10 — 40 years</w:t>
            </w:r>
          </w:p>
        </w:tc>
      </w:tr>
      <w:tr>
        <w:trPr>
          <w:trHeight w:val="157"/>
        </w:trPr>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Machinery and equipment</w:t>
            </w:r>
          </w:p>
        </w:tc>
        <w:tc>
          <w:tcPr>
            <w:tcW w:w="3700" w:type="dxa"/>
            <w:vAlign w:val="bottom"/>
            <w:shd w:val="clear" w:color="auto" w:fill="CCEEFF"/>
          </w:tcPr>
          <w:p>
            <w:pPr>
              <w:ind w:left="3600"/>
              <w:spacing w:after="0"/>
              <w:rPr>
                <w:sz w:val="20"/>
                <w:szCs w:val="20"/>
                <w:color w:val="auto"/>
              </w:rPr>
            </w:pPr>
            <w:r>
              <w:rPr>
                <w:rFonts w:ascii="Arial" w:cs="Arial" w:eastAsia="Arial" w:hAnsi="Arial"/>
                <w:sz w:val="13"/>
                <w:szCs w:val="13"/>
                <w:color w:val="auto"/>
              </w:rPr>
              <w:t>3</w:t>
            </w: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 15 years</w:t>
            </w:r>
          </w:p>
        </w:tc>
      </w:tr>
      <w:tr>
        <w:trPr>
          <w:trHeight w:val="157"/>
        </w:trPr>
        <w:tc>
          <w:tcPr>
            <w:tcW w:w="4980" w:type="dxa"/>
            <w:vAlign w:val="bottom"/>
          </w:tcPr>
          <w:p>
            <w:pPr>
              <w:spacing w:after="0"/>
              <w:rPr>
                <w:sz w:val="20"/>
                <w:szCs w:val="20"/>
                <w:color w:val="auto"/>
              </w:rPr>
            </w:pPr>
            <w:r>
              <w:rPr>
                <w:rFonts w:ascii="Arial" w:cs="Arial" w:eastAsia="Arial" w:hAnsi="Arial"/>
                <w:sz w:val="13"/>
                <w:szCs w:val="13"/>
                <w:color w:val="auto"/>
              </w:rPr>
              <w:t>Furniture and fixtures</w:t>
            </w:r>
          </w:p>
        </w:tc>
        <w:tc>
          <w:tcPr>
            <w:tcW w:w="3700" w:type="dxa"/>
            <w:vAlign w:val="bottom"/>
          </w:tcPr>
          <w:p>
            <w:pPr>
              <w:ind w:left="3600"/>
              <w:spacing w:after="0"/>
              <w:rPr>
                <w:sz w:val="20"/>
                <w:szCs w:val="20"/>
                <w:color w:val="auto"/>
              </w:rPr>
            </w:pPr>
            <w:r>
              <w:rPr>
                <w:rFonts w:ascii="Arial" w:cs="Arial" w:eastAsia="Arial" w:hAnsi="Arial"/>
                <w:sz w:val="13"/>
                <w:szCs w:val="13"/>
                <w:color w:val="auto"/>
              </w:rPr>
              <w:t>6</w:t>
            </w:r>
          </w:p>
        </w:tc>
        <w:tc>
          <w:tcPr>
            <w:tcW w:w="1300" w:type="dxa"/>
            <w:vAlign w:val="bottom"/>
          </w:tcPr>
          <w:p>
            <w:pPr>
              <w:spacing w:after="0"/>
              <w:rPr>
                <w:sz w:val="20"/>
                <w:szCs w:val="20"/>
                <w:color w:val="auto"/>
              </w:rPr>
            </w:pPr>
            <w:r>
              <w:rPr>
                <w:rFonts w:ascii="Arial" w:cs="Arial" w:eastAsia="Arial" w:hAnsi="Arial"/>
                <w:sz w:val="13"/>
                <w:szCs w:val="13"/>
                <w:color w:val="auto"/>
              </w:rPr>
              <w:t>— 10 years</w:t>
            </w:r>
          </w:p>
        </w:tc>
      </w:tr>
      <w:tr>
        <w:trPr>
          <w:trHeight w:val="157"/>
        </w:trPr>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Software</w:t>
            </w:r>
          </w:p>
        </w:tc>
        <w:tc>
          <w:tcPr>
            <w:tcW w:w="3700" w:type="dxa"/>
            <w:vAlign w:val="bottom"/>
            <w:shd w:val="clear" w:color="auto" w:fill="CCEEFF"/>
          </w:tcPr>
          <w:p>
            <w:pPr>
              <w:ind w:left="3600"/>
              <w:spacing w:after="0"/>
              <w:rPr>
                <w:sz w:val="20"/>
                <w:szCs w:val="20"/>
                <w:color w:val="auto"/>
              </w:rPr>
            </w:pPr>
            <w:r>
              <w:rPr>
                <w:rFonts w:ascii="Arial" w:cs="Arial" w:eastAsia="Arial" w:hAnsi="Arial"/>
                <w:sz w:val="13"/>
                <w:szCs w:val="13"/>
                <w:color w:val="auto"/>
              </w:rPr>
              <w:t>3</w:t>
            </w: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 8 years</w:t>
            </w:r>
          </w:p>
        </w:tc>
      </w:tr>
    </w:tbl>
    <w:p>
      <w:pPr>
        <w:spacing w:after="0" w:line="80"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Intangible assets with finite lives, and therefore subject to amortization, include technology (</w:t>
      </w:r>
      <w:r>
        <w:rPr>
          <w:rFonts w:ascii="Arial" w:cs="Arial" w:eastAsia="Arial" w:hAnsi="Arial"/>
          <w:sz w:val="12"/>
          <w:szCs w:val="12"/>
          <w:i w:val="1"/>
          <w:iCs w:val="1"/>
          <w:color w:val="auto"/>
        </w:rPr>
        <w:t>e.g.,</w:t>
      </w:r>
      <w:r>
        <w:rPr>
          <w:rFonts w:ascii="Arial" w:cs="Arial" w:eastAsia="Arial" w:hAnsi="Arial"/>
          <w:sz w:val="12"/>
          <w:szCs w:val="12"/>
          <w:color w:val="auto"/>
        </w:rPr>
        <w:t xml:space="preserve"> patents), customer relationships, non-compete agreements and certain tradenames. These intangible assets are being amortized on the straight-line method over periods typically ranging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would be compared to the asset’s carrying amount to determine if a write-down is required. If the undiscounted cash flows are less than the carrying amount, an impairment loss is recorded to the extent that the carrying amount exceeds fair value.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had noncash investing activities of $11.4 million, representing unpaid liabilities incurred during fiscal 2010 to acquire property, plant and equipment.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Internal Use Software</w:t>
      </w:r>
    </w:p>
    <w:p>
      <w:pPr>
        <w:spacing w:after="0" w:line="96"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The costs of internal use software are expensed or capitalized depending on whether they are incurred in the preliminary project stage, application development stage or the post-implementation/operation stage. As of September 30, 2010 and 2009, the Company had $32.5 million and $23.4 million, respectively, in unamortized capitalized internal use computer software costs. Amortization of these costs was $8.2 million, $8.2 million and $7.2 million during fiscal 2010, fiscal 2009 and fiscal 2008, respectively.</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Goodwill and Indefinite-lived Intangible Assets</w:t>
      </w:r>
    </w:p>
    <w:p>
      <w:pPr>
        <w:spacing w:after="0" w:line="96"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Goodwill and intangible assets determined to have indefinite lives are not subject to amortization. Goodwill and indefinite-lived intangible assets are reviewed for impairment by applying a fair-value based test on an annual basis, as of the first day of the Company’s fiscal fourth quarter, or more frequently if circumstances indicate a potential impairment. If it is determined that an impairment has occurred, an impairment loss is recognized for the amount by which the carrying amount of the asset exceeds its estimated fair value and classified as “Impairment, restructuring and other charges” in the Consolidated Statements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Accruals for Self-Insured Losses</w:t>
      </w:r>
    </w:p>
    <w:p>
      <w:pPr>
        <w:spacing w:after="0" w:line="96" w:lineRule="exact"/>
        <w:rPr>
          <w:sz w:val="20"/>
          <w:szCs w:val="20"/>
          <w:color w:val="auto"/>
        </w:rPr>
      </w:pPr>
    </w:p>
    <w:p>
      <w:pPr>
        <w:ind w:left="680" w:right="360" w:firstLine="399"/>
        <w:spacing w:after="0" w:line="260" w:lineRule="auto"/>
        <w:rPr>
          <w:sz w:val="20"/>
          <w:szCs w:val="20"/>
          <w:color w:val="auto"/>
        </w:rPr>
      </w:pPr>
      <w:r>
        <w:rPr>
          <w:rFonts w:ascii="Arial" w:cs="Arial" w:eastAsia="Arial" w:hAnsi="Arial"/>
          <w:sz w:val="13"/>
          <w:szCs w:val="13"/>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the financial statement accruals include an actuarially determined estimate of claims incurred but not yet reported.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Income Taxes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35"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Translation of Foreign Currencies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For all foreign operations, the functional currency is the local currency. Assets and liabilities of these operations are translated at the exchange rate in effect at each year-end. Income and expense accounts are translated at the average rate of exchange prevailing during the year. Translation gains and losses arising from the use of differing exchange rates from period to period are included in other comprehensive income (loss), a component of shareholders’ equity. Foreign currency transaction gains and losses are included in the determination of net income (loss).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Derivative Instruments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the normal course of business, the Company is exposed to fluctuations in interest rates, the value of foreign currencies and the cost of commodities. A variety of financial instruments, including forward and swap contracts, are used to manage these exposures. The Company’s objective in managing these exposures is to better control these elements of cost and mitigate the earnings and cash flow volatility associated with changes in the applicable rates and prices.</w:t>
      </w:r>
    </w:p>
    <w:p>
      <w:pPr>
        <w:spacing w:after="0" w:line="67"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Variable Interest Entities</w:t>
      </w:r>
    </w:p>
    <w:p>
      <w:pPr>
        <w:spacing w:after="0" w:line="96"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GAAP provides a framework for identifying variable interest entities (“VIEs”) and determining when a company should include the assets, liabilities, noncontrolling interests and results of operations of a VIE in its consolidated financial statements. In general, a VIE is a corporation, partnership, limited liability company, trust or any other legal structure used to conduct activities or hold assets that either: (1) has an insufficient amount of equity to carry out its principal activities without additional subordinated financial support, (2) has a group of equity owners that are unable to make significant decisions about its activities or (3) has a group of equity owners that do not have the obligation to absorb losses or the right to receive returns generated by its operations.</w:t>
      </w:r>
    </w:p>
    <w:p>
      <w:pPr>
        <w:spacing w:after="0" w:line="7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GAAP requires a VIE to be consolidated if a party with an ownership, contractual or other financial interest in the VIE (a variable interest holder) is obligated to absorb a majority of the risk of loss from the VIE’s activities, is entitled to receive a majority of the VIE’s residual returns (if no party absorbs a majority of the VIE’s losses), or both. A variable interest holder that consolidates the VIE is called the primary beneficiary. Upon consolidation,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40"/>
        <w:spacing w:after="0" w:line="371" w:lineRule="auto"/>
        <w:rPr>
          <w:sz w:val="20"/>
          <w:szCs w:val="20"/>
          <w:color w:val="auto"/>
        </w:rPr>
      </w:pPr>
      <w:r>
        <w:rPr>
          <w:rFonts w:ascii="Arial" w:cs="Arial" w:eastAsia="Arial" w:hAnsi="Arial"/>
          <w:sz w:val="11"/>
          <w:szCs w:val="11"/>
          <w:color w:val="auto"/>
        </w:rPr>
        <w:t>primary beneficiary generally must initially record all of the VIE’s assets, liabilities and noncontrolling interests at fair value and subsequently account for the VIE as if it were consolidated based on majority voting interest. GAAP also requires disclosures about VIEs that the variable interest holder is not required to consolidate but in which it has a significant variable interest.</w:t>
      </w:r>
    </w:p>
    <w:p>
      <w:pPr>
        <w:spacing w:after="0" w:line="10" w:lineRule="exact"/>
        <w:rPr>
          <w:sz w:val="20"/>
          <w:szCs w:val="20"/>
          <w:color w:val="auto"/>
        </w:rPr>
      </w:pPr>
    </w:p>
    <w:p>
      <w:pPr>
        <w:ind w:left="680" w:right="40" w:firstLine="399"/>
        <w:spacing w:after="0" w:line="259" w:lineRule="auto"/>
        <w:rPr>
          <w:sz w:val="20"/>
          <w:szCs w:val="20"/>
          <w:color w:val="auto"/>
        </w:rPr>
      </w:pPr>
      <w:r>
        <w:rPr>
          <w:rFonts w:ascii="Arial" w:cs="Arial" w:eastAsia="Arial" w:hAnsi="Arial"/>
          <w:sz w:val="13"/>
          <w:szCs w:val="13"/>
          <w:color w:val="auto"/>
        </w:rPr>
        <w:t>The Company’s Scotts LawnService</w:t>
      </w:r>
      <w:r>
        <w:rPr>
          <w:rFonts w:ascii="Arial" w:cs="Arial" w:eastAsia="Arial" w:hAnsi="Arial"/>
          <w:sz w:val="11"/>
          <w:szCs w:val="11"/>
          <w:color w:val="auto"/>
        </w:rPr>
        <w:t>®</w:t>
      </w:r>
      <w:r>
        <w:rPr>
          <w:rFonts w:ascii="Arial" w:cs="Arial" w:eastAsia="Arial" w:hAnsi="Arial"/>
          <w:sz w:val="13"/>
          <w:szCs w:val="13"/>
          <w:color w:val="auto"/>
        </w:rPr>
        <w:t xml:space="preserve"> business sells new franchise territories, primarily in small to mid-size markets, under arrangements where a portion of the franchise fee is paid in cash with the balance due under a promissory note. The Company believes that it may be the primary beneficiary for certain of its franchisees initially, but ceases to be the primary beneficiary as the franchisees develop their businesses and the promissory notes are repaid. At both September 30, 2010 and 2009, the Company had approximately $2.4 million in notes receivable from such franchisees. The effect of consolidating the entities where the Company may be the primary beneficiary for a limited period of time is not material to the consolidated financial statements.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RECENT ACCOUNTING PRONOUNCEMENTS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Business Combinations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December 2007, the Financial Accounting Standards Board (the “FASB”) issued new accounting guidance on business combinations and noncontrolling interests in consolidated financial statements. The objective is to improve the relevance, representational faithfulness and comparability of the information that a reporting entity provides in its financial reports about a business combination and its effects. The guidance applies to all transactions or other events in which an entity (the “acquirer”) obtains control of one or more businesses (the “acquiree”), including those sometimes referred to as “true mergers” or “mergers of equals” and combinations achieved without the transfer of consideration. The guidance, among other things, requires companies to provide disclosures relating to the gross amount of goodwill and accumulated goodwill impairment losses. In April 2009, the FASB issued additional guidance which addresses application issues arising from contingencies in a business combination. The Company adopted the new guidance beginning October 1, 2009. The Company had no acquisition activity for fiscal 2010, and the adoption of the new guidance did not impact the Company’s financial statements. Refer to “NOTE 5. GOODWILL AND INTANGIBLE ASSETS, NET” for applicable disclosures regarding the gross amount of goodwill and accumulated goodwill impairment losses.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Employers’ Disclosures about Postretirement Benefit Plan Assets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In December 2008, the FASB issued new accounting guidance on employers’ disclosures about assets of a defined benefit pension or other postretirement plan. It requires employers to disclose information about fair value measurements of plan assets. The objectives of the disclosures are to provide an understanding of: (a) how investment allocation decisions are made, including the factors that are pertinent to an understanding of investment policies and strategies; (b) the major categories of plan assets; (c) the inputs and valuation techniques used to measure the fair value of plan assets; (d) the effect of fair value measurements using significant unobservable inputs on changes in plan assets for the period; and (e) significant concentrations of risk within plan assets. The Company adopted this new guidance at September 30, 2010, the fair value measurement date of its defined benefit pension and retiree medical plans. Refer to “NOTE 9. RETIREMENT PLANS” for the applicable disclosures.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Variable Interest Entities</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June 2009, the FASB issued new accounting guidance requiring an enterprise to perform an analysis to determine whether the enterprise’s variable interest or interests give it a controlling financial interest in a variable interest entity. The new guidance also requires enhanced disclosures that will provide users of financial statements with more transparent information about an enterprise’s involvement in a variable interest entity. The provisions are effective for the Company’s financial statements for the fiscal year that began October 1, 2010. The Company is in the process of evaluating the impact that the guidance may have on its financial statements and related disclosures.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Revenue Recognition — Multiple-Element Arrangements</w:t>
      </w:r>
    </w:p>
    <w:p>
      <w:pPr>
        <w:spacing w:after="0" w:line="96"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In October 2009, the FASB issued new accounting guidance addressing the accounting for multiple-deliverable arrangements to enable entities to account for products or services (deliverables) separately rather than as a combined unit. The provisions establish the accounting and reporting guidance for arrangements under which the entity will perform multiple revenue-generating activities. Specifically, this guidance addresses how to separate deliverables and how to measure and allocate arrangement consideration to one or more units of accounting. The provisions are effective for the Company’s financial statements for the fiscal year that began October 1, 2010. The Company is in the process of evaluating the impact that the guidance may have on its financial statements and related disclosures.</w:t>
      </w:r>
    </w:p>
    <w:p>
      <w:pPr>
        <w:spacing w:after="0" w:line="146"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2.</w:t>
      </w:r>
      <w:r>
        <w:rPr>
          <w:sz w:val="20"/>
          <w:szCs w:val="20"/>
          <w:color w:val="auto"/>
        </w:rPr>
        <w:tab/>
      </w:r>
      <w:r>
        <w:rPr>
          <w:rFonts w:ascii="Arial" w:cs="Arial" w:eastAsia="Arial" w:hAnsi="Arial"/>
          <w:sz w:val="13"/>
          <w:szCs w:val="13"/>
          <w:b w:val="1"/>
          <w:bCs w:val="1"/>
          <w:color w:val="auto"/>
        </w:rPr>
        <w:t>DISCONTINUED OPERATIONS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On July 8, 2009, Scotts Miracle-Gro announced that its wholly-owned subsidiary, Smith &amp; Hawken, Ltd., had adopted a plan to close the Smith &amp; Hawken business. During the Company’s first quarter of fiscal 2010, all Smith &amp; Hawken stores were closed and substantially all operational activities of Smith &amp; Hawken were discontinued. As a result, effective in its first quarter of fiscal 2010, the Company classified Smith &amp; Hawken as discontinued operations. Accordingly, the Company has reclassified its results of operations for fiscal 2009 and fiscal 2008 to reflect Smith &amp; Hawken as discontinued operations separate from the Company’s results of continuing operations.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fiscal 2010, the Company incurred $18.3 million of charges related to the liquidation of the Smith &amp; Hawken business primarily associated with the termination of retail site lease obligations, third-party agency fees and severance and benefit commitments. These charges, primarily recorded in the Company’s first quarter of fiscal 2010, were partially offset by a gain of approximately $18 million from the sale of the Smith &amp; Hawken intellectual property on December 30, 2009.</w:t>
      </w:r>
    </w:p>
    <w:p>
      <w:pPr>
        <w:spacing w:after="0" w:line="67"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The Company recorded Smith &amp; Hawken-related impairment, restructuring and other charges of $14.7 million and $25.7 million in fiscal 2009 and fiscal 2008, respectively. Other charges in fiscal 2009 related to the Smith &amp; Hawken closure process. Impairment, restructuring and other charges in fiscal 2008 for Smith &amp; Hawken included $15.4 million for property, plant and equipment and $10.3 million for intangible assets.</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fiscal 2009 income tax expense for discontinued operations included the reduction of $18.4 million of valuation allowances recorded in prior years to fully reserve deferred tax assets that originated from impairment charges recorded for the Smith &amp; Hawken business in fiscal 2007 and fiscal 2008. In fiscal 2008, when the Company was attempting to sell Smith &amp; Hawken, the Company concluded that it would not receive any future tax benefit from these deferred tax assets as a stock sale would have resulted in a non-deductible capital loss. Given the Company’s fourth quarter fiscal 2009 decision to close the Smith &amp; Hawken business, the Company concluded that the character of the losses generated would change from capital to ordinary and as an outcome, would be deductible for tax purposes.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following table summarizes results of Smith &amp; Hawken classified as discontinued operations in the Company’s Consolidated Statements of Operations for fiscal 2010, fiscal 2009 and fiscal 2008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w w:val="98"/>
              </w:rPr>
              <w:t>2010</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rPr>
              <w:t>160.8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158.6</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Operating costs</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23.4</w:t>
            </w:r>
          </w:p>
        </w:tc>
        <w:tc>
          <w:tcPr>
            <w:tcW w:w="120" w:type="dxa"/>
            <w:vAlign w:val="bottom"/>
          </w:tcPr>
          <w:p>
            <w:pPr>
              <w:spacing w:after="0"/>
              <w:rPr>
                <w:sz w:val="13"/>
                <w:szCs w:val="13"/>
                <w:color w:val="auto"/>
              </w:rPr>
            </w:pPr>
          </w:p>
        </w:tc>
        <w:tc>
          <w:tcPr>
            <w:tcW w:w="480" w:type="dxa"/>
            <w:vAlign w:val="bottom"/>
            <w:gridSpan w:val="4"/>
          </w:tcPr>
          <w:p>
            <w:pPr>
              <w:jc w:val="right"/>
              <w:ind w:right="48"/>
              <w:spacing w:after="0"/>
              <w:rPr>
                <w:sz w:val="20"/>
                <w:szCs w:val="20"/>
                <w:color w:val="auto"/>
              </w:rPr>
            </w:pPr>
            <w:r>
              <w:rPr>
                <w:rFonts w:ascii="Arial" w:cs="Arial" w:eastAsia="Arial" w:hAnsi="Arial"/>
                <w:sz w:val="13"/>
                <w:szCs w:val="13"/>
                <w:color w:val="auto"/>
              </w:rPr>
              <w:t>179.1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177.4</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Impairment, restructuring and other charges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rPr>
              <w:t>14.7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Other income, net</w:t>
            </w:r>
          </w:p>
        </w:tc>
        <w:tc>
          <w:tcPr>
            <w:tcW w:w="1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13"/>
                <w:szCs w:val="13"/>
                <w:color w:val="auto"/>
              </w:rPr>
            </w:pPr>
          </w:p>
        </w:tc>
        <w:tc>
          <w:tcPr>
            <w:tcW w:w="480" w:type="dxa"/>
            <w:vAlign w:val="bottom"/>
            <w:gridSpan w:val="4"/>
          </w:tcPr>
          <w:p>
            <w:pPr>
              <w:jc w:val="right"/>
              <w:ind w:right="8"/>
              <w:spacing w:after="0"/>
              <w:rPr>
                <w:sz w:val="20"/>
                <w:szCs w:val="20"/>
                <w:color w:val="auto"/>
              </w:rPr>
            </w:pPr>
            <w:r>
              <w:rPr>
                <w:rFonts w:ascii="Arial" w:cs="Arial" w:eastAsia="Arial" w:hAnsi="Arial"/>
                <w:sz w:val="13"/>
                <w:szCs w:val="13"/>
                <w:color w:val="auto"/>
              </w:rPr>
              <w:t>(2.5)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from discontinued operations before income taxes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8"/>
              <w:spacing w:after="0"/>
              <w:rPr>
                <w:sz w:val="20"/>
                <w:szCs w:val="20"/>
                <w:color w:val="auto"/>
              </w:rPr>
            </w:pPr>
            <w:r>
              <w:rPr>
                <w:rFonts w:ascii="Arial" w:cs="Arial" w:eastAsia="Arial" w:hAnsi="Arial"/>
                <w:sz w:val="13"/>
                <w:szCs w:val="13"/>
                <w:color w:val="auto"/>
              </w:rPr>
              <w:t>(30.5)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9"/>
              </w:rPr>
              <w:t>(41.8)</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Income tax expense (benefit) from discontinued operations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tcPr>
          <w:p>
            <w:pPr>
              <w:jc w:val="right"/>
              <w:ind w:right="8"/>
              <w:spacing w:after="0"/>
              <w:rPr>
                <w:sz w:val="20"/>
                <w:szCs w:val="20"/>
                <w:color w:val="auto"/>
              </w:rPr>
            </w:pPr>
            <w:r>
              <w:rPr>
                <w:rFonts w:ascii="Arial" w:cs="Arial" w:eastAsia="Arial" w:hAnsi="Arial"/>
                <w:sz w:val="13"/>
                <w:szCs w:val="13"/>
                <w:color w:val="auto"/>
              </w:rPr>
              <w:t>(29.2)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from 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4"/>
            <w:shd w:val="clear" w:color="auto" w:fill="CCEEFF"/>
          </w:tcPr>
          <w:p>
            <w:pPr>
              <w:jc w:val="right"/>
              <w:ind w:right="8"/>
              <w:spacing w:after="0"/>
              <w:rPr>
                <w:sz w:val="20"/>
                <w:szCs w:val="20"/>
                <w:color w:val="auto"/>
              </w:rPr>
            </w:pPr>
            <w:r>
              <w:rPr>
                <w:rFonts w:ascii="Arial" w:cs="Arial" w:eastAsia="Arial" w:hAnsi="Arial"/>
                <w:sz w:val="13"/>
                <w:szCs w:val="13"/>
                <w:color w:val="auto"/>
              </w:rPr>
              <w:t>(1.3)</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9"/>
              </w:rPr>
              <w:t>(43.7)</w:t>
            </w:r>
          </w:p>
        </w:tc>
        <w:tc>
          <w:tcPr>
            <w:tcW w:w="0" w:type="dxa"/>
            <w:vAlign w:val="bottom"/>
          </w:tcPr>
          <w:p>
            <w:pPr>
              <w:spacing w:after="0"/>
              <w:rPr>
                <w:sz w:val="1"/>
                <w:szCs w:val="1"/>
                <w:color w:val="auto"/>
              </w:rPr>
            </w:pPr>
          </w:p>
        </w:tc>
      </w:tr>
      <w:tr>
        <w:trPr>
          <w:trHeight w:val="254"/>
        </w:trPr>
        <w:tc>
          <w:tcPr>
            <w:tcW w:w="7600" w:type="dxa"/>
            <w:vAlign w:val="bottom"/>
          </w:tcPr>
          <w:p>
            <w:pPr>
              <w:ind w:left="400"/>
              <w:spacing w:after="0"/>
              <w:rPr>
                <w:sz w:val="20"/>
                <w:szCs w:val="20"/>
                <w:color w:val="auto"/>
              </w:rPr>
            </w:pPr>
            <w:r>
              <w:rPr>
                <w:rFonts w:ascii="Arial" w:cs="Arial" w:eastAsia="Arial" w:hAnsi="Arial"/>
                <w:sz w:val="13"/>
                <w:szCs w:val="13"/>
                <w:color w:val="auto"/>
              </w:rPr>
              <w:t>The major classes of assets and liabilities of Smith &amp; Hawken were as follows (in millions):</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6"/>
          </w:tcPr>
          <w:p>
            <w:pPr>
              <w:jc w:val="right"/>
              <w:ind w:right="32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top w:val="single" w:sz="8" w:color="auto"/>
              <w:bottom w:val="single" w:sz="8" w:color="auto"/>
            </w:tcBorders>
            <w:gridSpan w:val="3"/>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Other current assets</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w w:val="99"/>
              </w:rPr>
              <w:t>1.3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Assets of discontinued operations</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w w:val="99"/>
              </w:rPr>
              <w:t>1.3</w:t>
            </w:r>
          </w:p>
        </w:tc>
        <w:tc>
          <w:tcPr>
            <w:tcW w:w="30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Other current liabilities</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w w:val="99"/>
              </w:rPr>
              <w:t>0.9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Liabilities of discontinued operations</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w w:val="99"/>
              </w:rPr>
              <w:t>0.9</w:t>
            </w:r>
          </w:p>
        </w:tc>
        <w:tc>
          <w:tcPr>
            <w:tcW w:w="30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3.</w:t>
      </w:r>
      <w:r>
        <w:rPr>
          <w:sz w:val="20"/>
          <w:szCs w:val="20"/>
          <w:color w:val="auto"/>
        </w:rPr>
        <w:tab/>
      </w:r>
      <w:r>
        <w:rPr>
          <w:rFonts w:ascii="Arial" w:cs="Arial" w:eastAsia="Arial" w:hAnsi="Arial"/>
          <w:sz w:val="13"/>
          <w:szCs w:val="13"/>
          <w:b w:val="1"/>
          <w:bCs w:val="1"/>
          <w:color w:val="auto"/>
        </w:rPr>
        <w:t>PRODUCT REGISTRATION AND RECALL MATTERS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April 2008, the Company became aware that a former associate apparently deliberately circumvented the Company’s policies and U.S. Environmental Protection Agency (“U.S. EPA”) regulations under the Federal Insecticide, Fungicide, and Rodenticide Act of 1947, as amended (“FIFRA”), by failing to obtain valid registrations for certain products and/or causing certain invalid product registration forms to be submitted to regulators. Since that time, the Company has been cooperating with both the U.S. EPA and the U.S. Department of Justice (the “U.S. DOJ”) in related civil and criminal investigations into the pesticide product registration issues as well as a state civil investigation into related allegations arising under state pesticide registration laws and regulations.</w:t>
      </w:r>
    </w:p>
    <w:p>
      <w:pPr>
        <w:spacing w:after="0" w:line="7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late April of 2008, in connection with the U.S. EPA’s investigation, the Company conducted a consumer-level recall of certain consumer lawn and garden products and a Scotts LawnService</w:t>
      </w:r>
      <w:r>
        <w:rPr>
          <w:rFonts w:ascii="Arial" w:cs="Arial" w:eastAsia="Arial" w:hAnsi="Arial"/>
          <w:sz w:val="11"/>
          <w:szCs w:val="11"/>
          <w:color w:val="auto"/>
        </w:rPr>
        <w:t>®</w:t>
      </w:r>
      <w:r>
        <w:rPr>
          <w:rFonts w:ascii="Arial" w:cs="Arial" w:eastAsia="Arial" w:hAnsi="Arial"/>
          <w:sz w:val="13"/>
          <w:szCs w:val="13"/>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reviewed substantially all of the Company’s U.S. pesticide product registrations and associated advertisements, some of which were historical in nature and no longer related to sales of the Company’s products. The U.S. EPA investigation and the QAI review process resulted in the temporary suspension of sales and shipments of certain products. In addition, as the QAI review process or the Company’s internal review identified potential FIFRA registration issues (some of which appear unrelated to the actions of the former associate), the Company endeavored to stop selling or distributing the affected products until the issues could be resolved. QAI’s review of the Company’s U.S. pesticide product registrations and associated advertisements is now substantially complete. The results of the QAI review process did not materially affect the</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Company’s fiscal 2009 and fiscal 2010 sales, and are not expected to materially affect the Company’s fiscal 2011 sales.</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In fiscal 2008, the Company conducted a voluntary recall of certain of its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the Company’s fiscal 2009 financial condition, results of operations or cash flows.</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June of 2008, the California Department of Pesticide Regulation (“CDPR”) issued a request for information to the Company relating to products that had been the subject of the April 2008 recall. The Company cooperated with that inquiry and reached agreement with CDPR that CDPR would place its investigation on hold pending the completion of the Company’s internal audit. In furtherance of that agreement, in May of 2010, the Company and CDPR executed a tolling agreement that extends CDPR’s rights through April 2012. In July of 2010, CDPR notified the Company that CDPR planned to proceed with its investigation independent of the U.S. EPA and U.S. DOJ. The Company is continuing to cooperate with CDPR’s investigation.</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 result of these registration and recall matters, the Company has reversed sales associated with estimated returns of affected products, recorded charges for affected inventory and recorded other registration and recall-related costs. The effects of these adjustments were pre-tax charges of $8.7 million, $28.6 million and $51.1 million for the years ended September 30, 2010, 2009 and 2008, respectively. The Company expects to incur an additional $8-$10 million in fiscal 2011 on recall and registration matters, excluding possible fines, penalties, judgments and/or litigation costs. The Company expects that these charges will include costs associated with the rework of certain finished goods inventories, the potential disposal of certain products and ongoing third-party professional services related to the U.S. EPA, U.S. DOJ and state investigations.</w:t>
      </w:r>
    </w:p>
    <w:p>
      <w:pPr>
        <w:spacing w:after="0" w:line="55" w:lineRule="exact"/>
        <w:rPr>
          <w:sz w:val="20"/>
          <w:szCs w:val="20"/>
          <w:color w:val="auto"/>
        </w:rPr>
      </w:pPr>
    </w:p>
    <w:p>
      <w:pPr>
        <w:jc w:val="both"/>
        <w:ind w:left="680" w:firstLine="399"/>
        <w:spacing w:after="0" w:line="303" w:lineRule="auto"/>
        <w:rPr>
          <w:sz w:val="20"/>
          <w:szCs w:val="20"/>
          <w:color w:val="auto"/>
        </w:rPr>
      </w:pPr>
      <w:r>
        <w:rPr>
          <w:rFonts w:ascii="Arial" w:cs="Arial" w:eastAsia="Arial" w:hAnsi="Arial"/>
          <w:sz w:val="11"/>
          <w:szCs w:val="11"/>
          <w:color w:val="auto"/>
        </w:rPr>
        <w:t>The U.S. EPA, U.S. DOJ and CDPR investigations continue and may result in future state, federal or private rights of action including fines and/or penalties with respect to known or potential additional product registration issues. Until the U.S. EPA, U.S. DOJ and related state investigations are complete, the Company cannot reasonably determine the scope or magnitude of possible liabilities that could result from known or potential product registration issues, and no reserves for these potential liabilities have been established as of September 30, 2010.</w:t>
      </w:r>
    </w:p>
    <w:p>
      <w:pPr>
        <w:ind w:left="680" w:right="200"/>
        <w:spacing w:after="0" w:line="264" w:lineRule="auto"/>
        <w:rPr>
          <w:sz w:val="20"/>
          <w:szCs w:val="20"/>
          <w:color w:val="auto"/>
        </w:rPr>
      </w:pPr>
      <w:r>
        <w:rPr>
          <w:rFonts w:ascii="Arial" w:cs="Arial" w:eastAsia="Arial" w:hAnsi="Arial"/>
          <w:sz w:val="13"/>
          <w:szCs w:val="13"/>
          <w:color w:val="auto"/>
        </w:rPr>
        <w:t>However, it is possible that such liabilities, including fines, penalties, judgments and/or litigation costs could be material and have an adverse effect on the Company’s financial condition, results of operations or cash flows.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The following tables summarize the impact of the product registration and recall matters on the results of operations during fiscal 2010, fiscal 2009 and fiscal 2008 and on accrued liabilities and inventory reserves as of September 30, 2010 and 2009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w w:val="90"/>
              </w:rPr>
              <w:t>Year Ended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Net sales — product recalls</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(0.3)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Cost of sales — product recalls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(0.2)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Cost of sales — other charges</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140"/>
              <w:spacing w:after="0"/>
              <w:rPr>
                <w:sz w:val="20"/>
                <w:szCs w:val="20"/>
                <w:color w:val="auto"/>
              </w:rPr>
            </w:pPr>
            <w:r>
              <w:rPr>
                <w:rFonts w:ascii="Arial" w:cs="Arial" w:eastAsia="Arial" w:hAnsi="Arial"/>
                <w:sz w:val="13"/>
                <w:szCs w:val="13"/>
                <w:color w:val="auto"/>
              </w:rPr>
              <w:t>Gross profit</w:t>
            </w: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(3.0)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(11.8)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58"/>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SG&amp;A</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16.8</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140"/>
              <w:spacing w:after="0"/>
              <w:rPr>
                <w:sz w:val="20"/>
                <w:szCs w:val="20"/>
                <w:color w:val="auto"/>
              </w:rPr>
            </w:pPr>
            <w:r>
              <w:rPr>
                <w:rFonts w:ascii="Arial" w:cs="Arial" w:eastAsia="Arial" w:hAnsi="Arial"/>
                <w:sz w:val="13"/>
                <w:szCs w:val="13"/>
                <w:color w:val="auto"/>
              </w:rPr>
              <w:t>Loss from operations</w:t>
            </w: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(8.7)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(28.6)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58"/>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9"/>
              </w:rPr>
              <w:t>(3.1)</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140"/>
              <w:spacing w:after="0"/>
              <w:rPr>
                <w:sz w:val="20"/>
                <w:szCs w:val="20"/>
                <w:color w:val="auto"/>
              </w:rPr>
            </w:pPr>
            <w:r>
              <w:rPr>
                <w:rFonts w:ascii="Arial" w:cs="Arial" w:eastAsia="Arial" w:hAnsi="Arial"/>
                <w:sz w:val="13"/>
                <w:szCs w:val="13"/>
                <w:color w:val="auto"/>
              </w:rPr>
              <w:t>Net loss</w:t>
            </w: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spacing w:after="0"/>
              <w:rPr>
                <w:sz w:val="13"/>
                <w:szCs w:val="13"/>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w w:val="90"/>
              </w:rPr>
              <w:t>$ (5.6)</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(18.3)</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300" w:type="dxa"/>
            <w:vAlign w:val="bottom"/>
          </w:tcPr>
          <w:p>
            <w:pPr>
              <w:spacing w:after="0"/>
              <w:rPr>
                <w:sz w:val="23"/>
                <w:szCs w:val="23"/>
                <w:color w:val="auto"/>
              </w:rPr>
            </w:pPr>
          </w:p>
        </w:tc>
        <w:tc>
          <w:tcPr>
            <w:tcW w:w="840" w:type="dxa"/>
            <w:vAlign w:val="bottom"/>
            <w:vMerge w:val="restart"/>
          </w:tcPr>
          <w:p>
            <w:pPr>
              <w:jc w:val="center"/>
              <w:ind w:left="122"/>
              <w:spacing w:after="0"/>
              <w:rPr>
                <w:sz w:val="20"/>
                <w:szCs w:val="20"/>
                <w:color w:val="auto"/>
              </w:rPr>
            </w:pPr>
            <w:r>
              <w:rPr>
                <w:rFonts w:ascii="Arial" w:cs="Arial" w:eastAsia="Arial" w:hAnsi="Arial"/>
                <w:sz w:val="10"/>
                <w:szCs w:val="10"/>
                <w:b w:val="1"/>
                <w:bCs w:val="1"/>
                <w:color w:val="auto"/>
                <w:w w:val="88"/>
              </w:rPr>
              <w:t>Reserves at</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4"/>
            <w:vMerge w:val="restart"/>
          </w:tcPr>
          <w:p>
            <w:pPr>
              <w:jc w:val="center"/>
              <w:ind w:right="260"/>
              <w:spacing w:after="0"/>
              <w:rPr>
                <w:sz w:val="20"/>
                <w:szCs w:val="20"/>
                <w:color w:val="auto"/>
              </w:rPr>
            </w:pPr>
            <w:r>
              <w:rPr>
                <w:rFonts w:ascii="Arial" w:cs="Arial" w:eastAsia="Arial" w:hAnsi="Arial"/>
                <w:sz w:val="10"/>
                <w:szCs w:val="10"/>
                <w:b w:val="1"/>
                <w:bCs w:val="1"/>
                <w:color w:val="auto"/>
                <w:w w:val="88"/>
              </w:rPr>
              <w:t>Reserves at</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tcPr>
          <w:p>
            <w:pPr>
              <w:jc w:val="center"/>
              <w:ind w:right="421"/>
              <w:spacing w:after="0" w:line="108" w:lineRule="exact"/>
              <w:rPr>
                <w:sz w:val="20"/>
                <w:szCs w:val="20"/>
                <w:color w:val="auto"/>
              </w:rPr>
            </w:pPr>
            <w:r>
              <w:rPr>
                <w:rFonts w:ascii="Arial" w:cs="Arial" w:eastAsia="Arial" w:hAnsi="Arial"/>
                <w:sz w:val="10"/>
                <w:szCs w:val="10"/>
                <w:b w:val="1"/>
                <w:bCs w:val="1"/>
                <w:color w:val="auto"/>
                <w:w w:val="90"/>
              </w:rPr>
              <w:t>Costs and</w:t>
            </w:r>
          </w:p>
        </w:tc>
        <w:tc>
          <w:tcPr>
            <w:tcW w:w="680" w:type="dxa"/>
            <w:vAlign w:val="bottom"/>
            <w:gridSpan w:val="4"/>
            <w:vMerge w:val="restart"/>
          </w:tcPr>
          <w:p>
            <w:pPr>
              <w:jc w:val="right"/>
              <w:ind w:right="128"/>
              <w:spacing w:after="0"/>
              <w:rPr>
                <w:sz w:val="20"/>
                <w:szCs w:val="20"/>
                <w:color w:val="auto"/>
              </w:rPr>
            </w:pPr>
            <w:r>
              <w:rPr>
                <w:rFonts w:ascii="Arial" w:cs="Arial" w:eastAsia="Arial" w:hAnsi="Arial"/>
                <w:sz w:val="10"/>
                <w:szCs w:val="10"/>
                <w:b w:val="1"/>
                <w:bCs w:val="1"/>
                <w:color w:val="auto"/>
              </w:rPr>
              <w:t>Reserves</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840" w:type="dxa"/>
            <w:vAlign w:val="bottom"/>
          </w:tcPr>
          <w:p>
            <w:pPr>
              <w:jc w:val="center"/>
              <w:ind w:left="142"/>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tcPr>
          <w:p>
            <w:pPr>
              <w:jc w:val="center"/>
              <w:ind w:right="421"/>
              <w:spacing w:after="0" w:line="108" w:lineRule="exact"/>
              <w:rPr>
                <w:sz w:val="20"/>
                <w:szCs w:val="20"/>
                <w:color w:val="auto"/>
              </w:rPr>
            </w:pPr>
            <w:r>
              <w:rPr>
                <w:rFonts w:ascii="Arial" w:cs="Arial" w:eastAsia="Arial" w:hAnsi="Arial"/>
                <w:sz w:val="10"/>
                <w:szCs w:val="10"/>
                <w:b w:val="1"/>
                <w:bCs w:val="1"/>
                <w:color w:val="auto"/>
                <w:w w:val="88"/>
              </w:rPr>
              <w:t>Changes in</w:t>
            </w:r>
          </w:p>
        </w:tc>
        <w:tc>
          <w:tcPr>
            <w:tcW w:w="6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4"/>
          </w:tcPr>
          <w:p>
            <w:pPr>
              <w:jc w:val="center"/>
              <w:ind w:right="260"/>
              <w:spacing w:after="0" w:line="108" w:lineRule="exact"/>
              <w:rPr>
                <w:sz w:val="20"/>
                <w:szCs w:val="20"/>
                <w:color w:val="auto"/>
              </w:rPr>
            </w:pPr>
            <w:r>
              <w:rPr>
                <w:rFonts w:ascii="Arial" w:cs="Arial" w:eastAsia="Arial" w:hAnsi="Arial"/>
                <w:sz w:val="10"/>
                <w:szCs w:val="10"/>
                <w:b w:val="1"/>
                <w:bCs w:val="1"/>
                <w:color w:val="auto"/>
                <w:w w:val="90"/>
              </w:rPr>
              <w:t>September 30,</w:t>
            </w: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840" w:type="dxa"/>
            <w:vAlign w:val="bottom"/>
          </w:tcPr>
          <w:p>
            <w:pPr>
              <w:jc w:val="center"/>
              <w:ind w:left="122"/>
              <w:spacing w:after="0"/>
              <w:rPr>
                <w:sz w:val="20"/>
                <w:szCs w:val="20"/>
                <w:color w:val="auto"/>
              </w:rPr>
            </w:pPr>
            <w:r>
              <w:rPr>
                <w:rFonts w:ascii="Arial" w:cs="Arial" w:eastAsia="Arial" w:hAnsi="Arial"/>
                <w:sz w:val="10"/>
                <w:szCs w:val="10"/>
                <w:b w:val="1"/>
                <w:bCs w:val="1"/>
                <w:color w:val="auto"/>
                <w:w w:val="98"/>
              </w:rPr>
              <w:t>2009</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421"/>
              <w:spacing w:after="0"/>
              <w:rPr>
                <w:sz w:val="20"/>
                <w:szCs w:val="20"/>
                <w:color w:val="auto"/>
              </w:rPr>
            </w:pPr>
            <w:r>
              <w:rPr>
                <w:rFonts w:ascii="Arial" w:cs="Arial" w:eastAsia="Arial" w:hAnsi="Arial"/>
                <w:sz w:val="10"/>
                <w:szCs w:val="10"/>
                <w:b w:val="1"/>
                <w:bCs w:val="1"/>
                <w:color w:val="auto"/>
                <w:w w:val="93"/>
              </w:rPr>
              <w:t>Estimates</w:t>
            </w:r>
          </w:p>
        </w:tc>
        <w:tc>
          <w:tcPr>
            <w:tcW w:w="680" w:type="dxa"/>
            <w:vAlign w:val="bottom"/>
            <w:gridSpan w:val="4"/>
          </w:tcPr>
          <w:p>
            <w:pPr>
              <w:jc w:val="right"/>
              <w:ind w:right="208"/>
              <w:spacing w:after="0"/>
              <w:rPr>
                <w:sz w:val="20"/>
                <w:szCs w:val="20"/>
                <w:color w:val="auto"/>
              </w:rPr>
            </w:pPr>
            <w:r>
              <w:rPr>
                <w:rFonts w:ascii="Arial" w:cs="Arial" w:eastAsia="Arial" w:hAnsi="Arial"/>
                <w:sz w:val="10"/>
                <w:szCs w:val="10"/>
                <w:b w:val="1"/>
                <w:bCs w:val="1"/>
                <w:color w:val="auto"/>
              </w:rPr>
              <w:t>Used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center"/>
              <w:ind w:left="142"/>
              <w:spacing w:after="0"/>
              <w:rPr>
                <w:sz w:val="20"/>
                <w:szCs w:val="20"/>
                <w:color w:val="auto"/>
              </w:rPr>
            </w:pPr>
            <w:r>
              <w:rPr>
                <w:rFonts w:ascii="Arial" w:cs="Arial" w:eastAsia="Arial" w:hAnsi="Arial"/>
                <w:sz w:val="10"/>
                <w:szCs w:val="10"/>
                <w:b w:val="1"/>
                <w:bCs w:val="1"/>
                <w:color w:val="auto"/>
                <w:w w:val="98"/>
              </w:rPr>
              <w:t>2010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reserves</w:t>
            </w:r>
          </w:p>
        </w:tc>
        <w:tc>
          <w:tcPr>
            <w:tcW w:w="840" w:type="dxa"/>
            <w:vAlign w:val="bottom"/>
            <w:shd w:val="clear" w:color="auto" w:fill="CCEEFF"/>
          </w:tcPr>
          <w:p>
            <w:pPr>
              <w:jc w:val="right"/>
              <w:ind w:right="702"/>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4.1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Other incremental costs of sales</w:t>
            </w:r>
          </w:p>
        </w:tc>
        <w:tc>
          <w:tcPr>
            <w:tcW w:w="8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8"/>
              </w:rPr>
              <w:t>4.2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(5.7)</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Other general and administrative costs</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3"/>
                <w:szCs w:val="13"/>
                <w:color w:val="auto"/>
              </w:rPr>
              <w:t>Accrued liabilities and inventory reserves</w:t>
            </w: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vMerge w:val="continue"/>
          </w:tcPr>
          <w:p>
            <w:pPr>
              <w:spacing w:after="0"/>
              <w:rPr>
                <w:sz w:val="13"/>
                <w:szCs w:val="13"/>
                <w:color w:val="auto"/>
              </w:rPr>
            </w:pPr>
          </w:p>
        </w:tc>
        <w:tc>
          <w:tcPr>
            <w:tcW w:w="840" w:type="dxa"/>
            <w:vAlign w:val="bottom"/>
          </w:tcPr>
          <w:p>
            <w:pPr>
              <w:jc w:val="right"/>
              <w:ind w:right="702"/>
              <w:spacing w:after="0"/>
              <w:rPr>
                <w:sz w:val="20"/>
                <w:szCs w:val="20"/>
                <w:color w:val="auto"/>
              </w:rPr>
            </w:pPr>
            <w:r>
              <w:rPr>
                <w:rFonts w:ascii="Arial" w:cs="Arial" w:eastAsia="Arial" w:hAnsi="Arial"/>
                <w:sz w:val="13"/>
                <w:szCs w:val="13"/>
                <w:color w:val="auto"/>
                <w:w w:val="82"/>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88"/>
              </w:rPr>
              <w:t>9.7</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94"/>
              </w:rPr>
              <w:t>(14.4)</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30"/>
        </w:trPr>
        <w:tc>
          <w:tcPr>
            <w:tcW w:w="5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4.</w:t>
      </w:r>
      <w:r>
        <w:rPr>
          <w:sz w:val="20"/>
          <w:szCs w:val="20"/>
          <w:color w:val="auto"/>
        </w:rPr>
        <w:tab/>
      </w:r>
      <w:r>
        <w:rPr>
          <w:rFonts w:ascii="Arial" w:cs="Arial" w:eastAsia="Arial" w:hAnsi="Arial"/>
          <w:sz w:val="13"/>
          <w:szCs w:val="13"/>
          <w:b w:val="1"/>
          <w:bCs w:val="1"/>
          <w:color w:val="auto"/>
        </w:rPr>
        <w:t>IMPAIRMENT, RESTRUCTURING AND OTHER CHARGES</w:t>
      </w:r>
    </w:p>
    <w:p>
      <w:pPr>
        <w:spacing w:after="0" w:line="100" w:lineRule="exact"/>
        <w:rPr>
          <w:sz w:val="20"/>
          <w:szCs w:val="20"/>
          <w:color w:val="auto"/>
        </w:rPr>
      </w:pPr>
    </w:p>
    <w:p>
      <w:pPr>
        <w:ind w:left="680" w:right="920" w:firstLine="399"/>
        <w:spacing w:after="0" w:line="296" w:lineRule="auto"/>
        <w:rPr>
          <w:sz w:val="20"/>
          <w:szCs w:val="20"/>
          <w:color w:val="auto"/>
        </w:rPr>
      </w:pPr>
      <w:r>
        <w:rPr>
          <w:rFonts w:ascii="Arial" w:cs="Arial" w:eastAsia="Arial" w:hAnsi="Arial"/>
          <w:sz w:val="12"/>
          <w:szCs w:val="12"/>
          <w:color w:val="auto"/>
        </w:rPr>
        <w:t>The Company recorded intangible asset impairment charges of $18.5 million in fiscal 2010. The Company recorded net restructuring and other charges of $1.0 million and property, plant and equipment charges of $0.3 million in fiscal 2008 related to the Company’s turfgrass biotechnology program. Goodwill and intangible asset impairment charges of $109.8 million were also recorded in fiscal 2008. The nature of the impairment charges are discussed further in “NOTE 5. GOODWILL AND INTANGIBLE ASSETS, NET.”</w:t>
      </w:r>
    </w:p>
    <w:p>
      <w:pPr>
        <w:spacing w:after="0" w:line="50" w:lineRule="exact"/>
        <w:rPr>
          <w:sz w:val="20"/>
          <w:szCs w:val="20"/>
          <w:color w:val="auto"/>
        </w:rPr>
      </w:pPr>
    </w:p>
    <w:p>
      <w:pPr>
        <w:ind w:left="680" w:right="1020" w:firstLine="399"/>
        <w:spacing w:after="0" w:line="276" w:lineRule="auto"/>
        <w:rPr>
          <w:sz w:val="20"/>
          <w:szCs w:val="20"/>
          <w:color w:val="auto"/>
        </w:rPr>
      </w:pPr>
      <w:r>
        <w:rPr>
          <w:rFonts w:ascii="Arial" w:cs="Arial" w:eastAsia="Arial" w:hAnsi="Arial"/>
          <w:sz w:val="13"/>
          <w:szCs w:val="13"/>
          <w:color w:val="auto"/>
        </w:rPr>
        <w:t>The following table details impairment, restructuring and other charges and rolls forward the cash portion of the restructuring and other charges accrued in fiscal 2010, fiscal 2009 and fiscal 2008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Restructuring and other charges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Property, plant and equipment impairment</w:t>
            </w:r>
          </w:p>
        </w:tc>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Goodwill and intangible asset impairments</w:t>
            </w:r>
          </w:p>
        </w:tc>
        <w:tc>
          <w:tcPr>
            <w:tcW w:w="4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60" w:type="dxa"/>
            <w:vAlign w:val="bottom"/>
            <w:vMerge w:val="restart"/>
          </w:tcPr>
          <w:p>
            <w:pPr>
              <w:spacing w:after="0"/>
              <w:rPr>
                <w:sz w:val="20"/>
                <w:szCs w:val="20"/>
                <w:color w:val="auto"/>
              </w:rPr>
            </w:pPr>
            <w:r>
              <w:rPr>
                <w:rFonts w:ascii="Arial" w:cs="Arial" w:eastAsia="Arial" w:hAnsi="Arial"/>
                <w:sz w:val="13"/>
                <w:szCs w:val="13"/>
                <w:color w:val="auto"/>
              </w:rPr>
              <w:t>Total impairment, restructuring and other charges</w:t>
            </w:r>
          </w:p>
        </w:tc>
        <w:tc>
          <w:tcPr>
            <w:tcW w:w="4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18.5</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200" w:type="dxa"/>
            <w:vAlign w:val="bottom"/>
          </w:tcPr>
          <w:p>
            <w:pPr>
              <w:jc w:val="right"/>
              <w:ind w:right="2834"/>
              <w:spacing w:after="0"/>
              <w:rPr>
                <w:sz w:val="20"/>
                <w:szCs w:val="20"/>
                <w:color w:val="auto"/>
              </w:rPr>
            </w:pPr>
            <w:r>
              <w:rPr>
                <w:rFonts w:ascii="Arial" w:cs="Arial" w:eastAsia="Arial" w:hAnsi="Arial"/>
                <w:sz w:val="13"/>
                <w:szCs w:val="13"/>
                <w:color w:val="auto"/>
              </w:rPr>
              <w:t>76</w:t>
            </w: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60" w:type="dxa"/>
            <w:vAlign w:val="bottom"/>
            <w:tcBorders>
              <w:bottom w:val="single" w:sz="8" w:color="808080"/>
            </w:tcBorders>
          </w:tcPr>
          <w:p>
            <w:pPr>
              <w:spacing w:after="0"/>
              <w:rPr>
                <w:sz w:val="14"/>
                <w:szCs w:val="14"/>
                <w:color w:val="auto"/>
              </w:rPr>
            </w:pPr>
          </w:p>
        </w:tc>
        <w:tc>
          <w:tcPr>
            <w:tcW w:w="4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29"/>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Amounts reserved for restructuring and other charges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Restructuring and other expense from continuing operations</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and other expense from discontinued operations (see “NOTE 2. DISCONTINUED OPERATIONS”)</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Payments and other</w:t>
            </w:r>
          </w:p>
        </w:tc>
        <w:tc>
          <w:tcPr>
            <w:tcW w:w="10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(32.4)</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(2.4)</w:t>
            </w:r>
          </w:p>
        </w:tc>
      </w:tr>
      <w:tr>
        <w:trPr>
          <w:trHeight w:val="20"/>
        </w:trPr>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Amounts reserved for restructuring and other charges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r>
      <w:tr>
        <w:trPr>
          <w:trHeight w:val="29"/>
        </w:trPr>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5.</w:t>
      </w:r>
      <w:r>
        <w:rPr>
          <w:sz w:val="20"/>
          <w:szCs w:val="20"/>
          <w:color w:val="auto"/>
        </w:rPr>
        <w:tab/>
      </w:r>
      <w:r>
        <w:rPr>
          <w:rFonts w:ascii="Arial" w:cs="Arial" w:eastAsia="Arial" w:hAnsi="Arial"/>
          <w:sz w:val="13"/>
          <w:szCs w:val="13"/>
          <w:b w:val="1"/>
          <w:bCs w:val="1"/>
          <w:color w:val="auto"/>
        </w:rPr>
        <w:t>GOODWILL AND INTANGIBLE ASSETS, NET</w:t>
      </w:r>
    </w:p>
    <w:p>
      <w:pPr>
        <w:spacing w:after="0" w:line="100" w:lineRule="exact"/>
        <w:rPr>
          <w:sz w:val="20"/>
          <w:szCs w:val="20"/>
          <w:color w:val="auto"/>
        </w:rPr>
      </w:pPr>
    </w:p>
    <w:p>
      <w:pPr>
        <w:ind w:left="680" w:right="120" w:firstLine="399"/>
        <w:spacing w:after="0" w:line="281" w:lineRule="auto"/>
        <w:rPr>
          <w:sz w:val="20"/>
          <w:szCs w:val="20"/>
          <w:color w:val="auto"/>
        </w:rPr>
      </w:pPr>
      <w:r>
        <w:rPr>
          <w:rFonts w:ascii="Arial" w:cs="Arial" w:eastAsia="Arial" w:hAnsi="Arial"/>
          <w:sz w:val="12"/>
          <w:szCs w:val="12"/>
          <w:color w:val="auto"/>
        </w:rPr>
        <w:t>Goodwill and indefinite-lived intangible assets are not subject to amortization. Goodwill and indefinite-lived intangible assets are reviewed for impairment by applying a fair-value based test on an annual basis or more frequently if circumstances indicate impairment may have occurred. The Company assesses goodwill for impairment by comparing the carrying value of its reporting units to their respective fair values and reviewing the Company’s market value of invested capital. Management engages an independent valuation firm to assist in its impairment assessment reviews. The Company determines the fair value of its reporting units utilizing discounted cash flows and incorporates assumptions it believes marketplace participants would utilize. The Company also uses comparative market multiples and other factors to corroborate the discounted cash flow results used. As permitted by GAAP, if certain criteria are met, the Company carries forward the fair value of a reporting unit from the previous year. The value of all indefinite-lived tradenames was determined using a royalty savings methodology similar to that employed when the associated businesses were acquired but using updated estimates of sales, cash flow and profitability.</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Fiscal 2010</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Company’s fiscal 2010 impairment review resulted in a non-cash charge of $18.5 million related to certain brands and sub-brands in its Global Consumer segment that have been discontinued or de-emphasized, consistent with the Company’s business strategy to increasingly concentrate its advertising and promotional spending on fewer, more significant brands to more efficiently drive growth.</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Fiscal 2009</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completed its impairment analysis as of June 28, 2009 and determined that no charge for impairment was required.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Fiscal 2008</w:t>
      </w:r>
    </w:p>
    <w:p>
      <w:pPr>
        <w:spacing w:after="0" w:line="67" w:lineRule="exact"/>
        <w:rPr>
          <w:sz w:val="20"/>
          <w:szCs w:val="20"/>
          <w:color w:val="auto"/>
        </w:rPr>
      </w:pPr>
    </w:p>
    <w:p>
      <w:pPr>
        <w:ind w:left="680" w:right="40" w:firstLine="399"/>
        <w:spacing w:after="0" w:line="305" w:lineRule="auto"/>
        <w:rPr>
          <w:sz w:val="20"/>
          <w:szCs w:val="20"/>
          <w:color w:val="auto"/>
        </w:rPr>
      </w:pPr>
      <w:r>
        <w:rPr>
          <w:rFonts w:ascii="Arial" w:cs="Arial" w:eastAsia="Arial" w:hAnsi="Arial"/>
          <w:sz w:val="11"/>
          <w:szCs w:val="11"/>
          <w:color w:val="auto"/>
        </w:rPr>
        <w:t>The Company’s fiscal 2008 impairment review resulted in a non-cash charge of $111.1 million to reflect the decline in the fair value of certain goodwill and other assets as evidenced by the decline in the price of the Company’s common shares as of the measurement date. In total, the fiscal 2008 impairment charges were comprised of $80.8 million for goodwill,</w:t>
      </w:r>
    </w:p>
    <w:p>
      <w:pPr>
        <w:spacing w:after="0" w:line="1"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$11.3 million related to indefinite-lived tradenames and $19.0 million for long-lived assets. Of the $19.0 million impairment charge recorded for long-lived assets, $1.3 million was recorded in cost of sales. On a reportable segment basis, $64.5 million of the impairment was in Global Consumer, $38.4 million was in Global Professional, with the remaining $8.2 million in Corporate.</w:t>
      </w:r>
    </w:p>
    <w:p>
      <w:pPr>
        <w:spacing w:after="0" w:line="12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intangible assets as of September 30, 2010 and 2009 (dollars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0"/>
                <w:szCs w:val="10"/>
                <w:b w:val="1"/>
                <w:bCs w:val="1"/>
                <w:color w:val="auto"/>
              </w:rPr>
              <w:t>September 30, 2010</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0"/>
                <w:szCs w:val="10"/>
                <w:b w:val="1"/>
                <w:bCs w:val="1"/>
                <w:color w:val="auto"/>
              </w:rPr>
              <w:t>September 30, 2009</w:t>
            </w: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8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Gross</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w w:val="95"/>
              </w:rPr>
              <w:t>Accumulated</w:t>
            </w:r>
          </w:p>
        </w:tc>
        <w:tc>
          <w:tcPr>
            <w:tcW w:w="120" w:type="dxa"/>
            <w:vAlign w:val="bottom"/>
          </w:tcPr>
          <w:p>
            <w:pPr>
              <w:spacing w:after="0"/>
              <w:rPr>
                <w:sz w:val="7"/>
                <w:szCs w:val="7"/>
                <w:color w:val="auto"/>
              </w:rPr>
            </w:pPr>
          </w:p>
        </w:tc>
        <w:tc>
          <w:tcPr>
            <w:tcW w:w="380" w:type="dxa"/>
            <w:vAlign w:val="bottom"/>
          </w:tcPr>
          <w:p>
            <w:pPr>
              <w:jc w:val="center"/>
              <w:ind w:right="37"/>
              <w:spacing w:after="0" w:line="81" w:lineRule="exact"/>
              <w:rPr>
                <w:sz w:val="20"/>
                <w:szCs w:val="20"/>
                <w:color w:val="auto"/>
              </w:rPr>
            </w:pPr>
            <w:r>
              <w:rPr>
                <w:rFonts w:ascii="Arial" w:cs="Arial" w:eastAsia="Arial" w:hAnsi="Arial"/>
                <w:sz w:val="9"/>
                <w:szCs w:val="9"/>
                <w:b w:val="1"/>
                <w:bCs w:val="1"/>
                <w:color w:val="auto"/>
              </w:rPr>
              <w:t>Net</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9"/>
              </w:rPr>
              <w:t>Gross</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5"/>
              </w:rPr>
              <w:t>Accumulated</w:t>
            </w:r>
          </w:p>
        </w:tc>
        <w:tc>
          <w:tcPr>
            <w:tcW w:w="120" w:type="dxa"/>
            <w:vAlign w:val="bottom"/>
          </w:tcPr>
          <w:p>
            <w:pPr>
              <w:spacing w:after="0"/>
              <w:rPr>
                <w:sz w:val="7"/>
                <w:szCs w:val="7"/>
                <w:color w:val="auto"/>
              </w:rPr>
            </w:pPr>
          </w:p>
        </w:tc>
        <w:tc>
          <w:tcPr>
            <w:tcW w:w="360" w:type="dxa"/>
            <w:vAlign w:val="bottom"/>
          </w:tcPr>
          <w:p>
            <w:pPr>
              <w:jc w:val="center"/>
              <w:ind w:right="57"/>
              <w:spacing w:after="0" w:line="81" w:lineRule="exact"/>
              <w:rPr>
                <w:sz w:val="20"/>
                <w:szCs w:val="20"/>
                <w:color w:val="auto"/>
              </w:rPr>
            </w:pPr>
            <w:r>
              <w:rPr>
                <w:rFonts w:ascii="Arial" w:cs="Arial" w:eastAsia="Arial" w:hAnsi="Arial"/>
                <w:sz w:val="9"/>
                <w:szCs w:val="9"/>
                <w:b w:val="1"/>
                <w:bCs w:val="1"/>
                <w:color w:val="auto"/>
              </w:rPr>
              <w:t>Net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640" w:type="dxa"/>
            <w:vAlign w:val="bottom"/>
            <w:gridSpan w:val="3"/>
          </w:tcPr>
          <w:p>
            <w:pPr>
              <w:jc w:val="center"/>
              <w:ind w:right="120"/>
              <w:spacing w:after="0" w:line="108" w:lineRule="exact"/>
              <w:rPr>
                <w:sz w:val="20"/>
                <w:szCs w:val="20"/>
                <w:color w:val="auto"/>
              </w:rPr>
            </w:pPr>
            <w:r>
              <w:rPr>
                <w:rFonts w:ascii="Arial" w:cs="Arial" w:eastAsia="Arial" w:hAnsi="Arial"/>
                <w:sz w:val="10"/>
                <w:szCs w:val="10"/>
                <w:b w:val="1"/>
                <w:bCs w:val="1"/>
                <w:color w:val="auto"/>
                <w:w w:val="97"/>
              </w:rPr>
              <w:t>Carrying</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0" w:type="dxa"/>
            <w:vAlign w:val="bottom"/>
            <w:gridSpan w:val="3"/>
          </w:tcPr>
          <w:p>
            <w:pPr>
              <w:jc w:val="center"/>
              <w:ind w:right="280"/>
              <w:spacing w:after="0" w:line="108" w:lineRule="exact"/>
              <w:rPr>
                <w:sz w:val="20"/>
                <w:szCs w:val="20"/>
                <w:color w:val="auto"/>
              </w:rPr>
            </w:pPr>
            <w:r>
              <w:rPr>
                <w:rFonts w:ascii="Arial" w:cs="Arial" w:eastAsia="Arial" w:hAnsi="Arial"/>
                <w:sz w:val="10"/>
                <w:szCs w:val="10"/>
                <w:b w:val="1"/>
                <w:bCs w:val="1"/>
                <w:color w:val="auto"/>
                <w:w w:val="97"/>
              </w:rPr>
              <w:t>Carrying</w:t>
            </w:r>
          </w:p>
        </w:tc>
        <w:tc>
          <w:tcPr>
            <w:tcW w:w="620" w:type="dxa"/>
            <w:vAlign w:val="bottom"/>
            <w:gridSpan w:val="3"/>
          </w:tcPr>
          <w:p>
            <w:pPr>
              <w:jc w:val="center"/>
              <w:ind w:right="120"/>
              <w:spacing w:after="0" w:line="108" w:lineRule="exact"/>
              <w:rPr>
                <w:sz w:val="20"/>
                <w:szCs w:val="20"/>
                <w:color w:val="auto"/>
              </w:rPr>
            </w:pPr>
            <w:r>
              <w:rPr>
                <w:rFonts w:ascii="Arial" w:cs="Arial" w:eastAsia="Arial" w:hAnsi="Arial"/>
                <w:sz w:val="10"/>
                <w:szCs w:val="10"/>
                <w:b w:val="1"/>
                <w:bCs w:val="1"/>
                <w:color w:val="auto"/>
              </w:rPr>
              <w:t>Carrying</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58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Carrying</w:t>
            </w: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Amount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8"/>
              </w:rPr>
              <w:t>Amortization</w:t>
            </w: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5"/>
              </w:rPr>
              <w:t>Amount</w:t>
            </w:r>
          </w:p>
        </w:tc>
        <w:tc>
          <w:tcPr>
            <w:tcW w:w="62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5"/>
              </w:rPr>
              <w:t>Amount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8"/>
              </w:rPr>
              <w:t>Amortization</w:t>
            </w:r>
          </w:p>
        </w:tc>
        <w:tc>
          <w:tcPr>
            <w:tcW w:w="5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5"/>
              </w:rPr>
              <w:t>Amount</w:t>
            </w: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Amortizable intangible assets: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Technology</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53.2</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(40.5)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12.7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53.6</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(40.3)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Customer accounts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78.0</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(43.7)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34.3</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85.0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(44.6)</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Tradenames</w:t>
            </w: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35.0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23.7</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11.3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104.8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(78.8)</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26.0</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105.1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(75.1)</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140"/>
              <w:spacing w:after="0"/>
              <w:rPr>
                <w:sz w:val="20"/>
                <w:szCs w:val="20"/>
                <w:color w:val="auto"/>
              </w:rPr>
            </w:pPr>
            <w:r>
              <w:rPr>
                <w:rFonts w:ascii="Arial" w:cs="Arial" w:eastAsia="Arial" w:hAnsi="Arial"/>
                <w:sz w:val="13"/>
                <w:szCs w:val="13"/>
                <w:color w:val="auto"/>
              </w:rPr>
              <w:t>Total amortizable intangible assets, net</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96.7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84.8</w:t>
            </w:r>
          </w:p>
        </w:tc>
        <w:tc>
          <w:tcPr>
            <w:tcW w:w="0" w:type="dxa"/>
            <w:vAlign w:val="bottom"/>
          </w:tcPr>
          <w:p>
            <w:pPr>
              <w:spacing w:after="0"/>
              <w:rPr>
                <w:sz w:val="1"/>
                <w:szCs w:val="1"/>
                <w:color w:val="auto"/>
              </w:rPr>
            </w:pPr>
          </w:p>
        </w:tc>
      </w:tr>
      <w:tr>
        <w:trPr>
          <w:trHeight w:val="158"/>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Unamortizable intangible assets: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Tradenames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233.5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279.4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intangible assets, net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330.2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364.2</w:t>
            </w: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60" w:firstLine="399"/>
        <w:spacing w:after="0" w:line="276" w:lineRule="auto"/>
        <w:rPr>
          <w:sz w:val="20"/>
          <w:szCs w:val="20"/>
          <w:color w:val="auto"/>
        </w:rPr>
      </w:pPr>
      <w:r>
        <w:rPr>
          <w:rFonts w:ascii="Arial" w:cs="Arial" w:eastAsia="Arial" w:hAnsi="Arial"/>
          <w:sz w:val="13"/>
          <w:szCs w:val="13"/>
          <w:color w:val="auto"/>
        </w:rPr>
        <w:t>The total amortization expense for the years ended September 30, 2010, 2009 and 2008 was $10.9 million, $12.5 million and $16.4 million, respectively. Amortization expense is estimated to be as follows for the years ending September 30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5"/>
              </w:rPr>
              <w:t>$10.7</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2012</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35"/>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2014</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35"/>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80" w:type="dxa"/>
            <w:vAlign w:val="bottom"/>
          </w:tcPr>
          <w:p>
            <w:pPr>
              <w:spacing w:after="0"/>
              <w:rPr>
                <w:sz w:val="21"/>
                <w:szCs w:val="21"/>
                <w:color w:val="auto"/>
              </w:rPr>
            </w:pPr>
          </w:p>
        </w:tc>
        <w:tc>
          <w:tcPr>
            <w:tcW w:w="7120" w:type="dxa"/>
            <w:vAlign w:val="bottom"/>
            <w:gridSpan w:val="7"/>
          </w:tcPr>
          <w:p>
            <w:pPr>
              <w:ind w:left="400"/>
              <w:spacing w:after="0"/>
              <w:rPr>
                <w:sz w:val="20"/>
                <w:szCs w:val="20"/>
                <w:color w:val="auto"/>
              </w:rPr>
            </w:pPr>
            <w:r>
              <w:rPr>
                <w:rFonts w:ascii="Arial" w:cs="Arial" w:eastAsia="Arial" w:hAnsi="Arial"/>
                <w:sz w:val="13"/>
                <w:szCs w:val="13"/>
                <w:color w:val="auto"/>
              </w:rPr>
              <w:t>The following table displays a rollforward of the carrying amount of goodwill by reportable segment (in millions):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Global</w:t>
            </w:r>
          </w:p>
        </w:tc>
        <w:tc>
          <w:tcPr>
            <w:tcW w:w="100" w:type="dxa"/>
            <w:vAlign w:val="bottom"/>
          </w:tcPr>
          <w:p>
            <w:pPr>
              <w:spacing w:after="0"/>
              <w:rPr>
                <w:sz w:val="16"/>
                <w:szCs w:val="16"/>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Global</w:t>
            </w:r>
          </w:p>
        </w:tc>
        <w:tc>
          <w:tcPr>
            <w:tcW w:w="100" w:type="dxa"/>
            <w:vAlign w:val="bottom"/>
          </w:tcPr>
          <w:p>
            <w:pPr>
              <w:spacing w:after="0"/>
              <w:rPr>
                <w:sz w:val="16"/>
                <w:szCs w:val="16"/>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Scotts</w:t>
            </w:r>
          </w:p>
        </w:tc>
        <w:tc>
          <w:tcPr>
            <w:tcW w:w="980" w:type="dxa"/>
            <w:vAlign w:val="bottom"/>
            <w:gridSpan w:val="3"/>
            <w:vMerge w:val="restart"/>
          </w:tcPr>
          <w:p>
            <w:pPr>
              <w:jc w:val="right"/>
              <w:ind w:right="460"/>
              <w:spacing w:after="0"/>
              <w:rPr>
                <w:sz w:val="20"/>
                <w:szCs w:val="20"/>
                <w:color w:val="auto"/>
              </w:rPr>
            </w:pPr>
            <w:r>
              <w:rPr>
                <w:rFonts w:ascii="Arial" w:cs="Arial" w:eastAsia="Arial" w:hAnsi="Arial"/>
                <w:sz w:val="10"/>
                <w:szCs w:val="10"/>
                <w:b w:val="1"/>
                <w:bCs w:val="1"/>
                <w:color w:val="auto"/>
              </w:rPr>
              <w:t>Corporate</w:t>
            </w:r>
          </w:p>
        </w:tc>
        <w:tc>
          <w:tcPr>
            <w:tcW w:w="8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2"/>
              </w:rPr>
              <w:t>Consumer</w:t>
            </w:r>
          </w:p>
        </w:tc>
        <w:tc>
          <w:tcPr>
            <w:tcW w:w="100" w:type="dxa"/>
            <w:vAlign w:val="bottom"/>
          </w:tcPr>
          <w:p>
            <w:pPr>
              <w:spacing w:after="0"/>
              <w:rPr>
                <w:sz w:val="10"/>
                <w:szCs w:val="1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89"/>
              </w:rPr>
              <w:t>Professional</w:t>
            </w:r>
          </w:p>
        </w:tc>
        <w:tc>
          <w:tcPr>
            <w:tcW w:w="100" w:type="dxa"/>
            <w:vAlign w:val="bottom"/>
          </w:tcPr>
          <w:p>
            <w:pPr>
              <w:spacing w:after="0"/>
              <w:rPr>
                <w:sz w:val="10"/>
                <w:szCs w:val="1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8"/>
              </w:rPr>
              <w:t>LawnService</w:t>
            </w:r>
            <w:r>
              <w:rPr>
                <w:rFonts w:ascii="Arial" w:cs="Arial" w:eastAsia="Arial" w:hAnsi="Arial"/>
                <w:sz w:val="8"/>
                <w:szCs w:val="8"/>
                <w:b w:val="1"/>
                <w:bCs w:val="1"/>
                <w:color w:val="auto"/>
                <w:w w:val="98"/>
              </w:rPr>
              <w:t>®</w:t>
            </w:r>
          </w:p>
        </w:tc>
        <w:tc>
          <w:tcPr>
            <w:tcW w:w="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as of September 30, 2008</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Goodwill</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277.6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61.1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123.8</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24.6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487.1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Accumulated impairment losses</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(24.6)</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215.1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123.8</w:t>
            </w:r>
          </w:p>
        </w:tc>
        <w:tc>
          <w:tcPr>
            <w:tcW w:w="1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377.7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Other, primarily foreign currency translation</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b w:val="1"/>
                <w:bCs w:val="1"/>
                <w:color w:val="auto"/>
              </w:rPr>
              <w:t>Balance as of September 30, 2009</w:t>
            </w: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123.7</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Accumulated impairment losses</w:t>
            </w:r>
          </w:p>
        </w:tc>
        <w:tc>
          <w:tcPr>
            <w:tcW w:w="6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(62.5)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(24.6)</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(109.4)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211.7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39.8</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123.7</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Reclassifications</w:t>
            </w:r>
          </w:p>
        </w:tc>
        <w:tc>
          <w:tcPr>
            <w:tcW w:w="6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Other, primarily foreign currency translation</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b w:val="1"/>
                <w:bCs w:val="1"/>
                <w:color w:val="auto"/>
              </w:rPr>
              <w:t>Balance as of September 30, 2010</w:t>
            </w: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123.7</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Accumulated impairment losses</w:t>
            </w:r>
          </w:p>
        </w:tc>
        <w:tc>
          <w:tcPr>
            <w:tcW w:w="6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(62.5)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(24.6)</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(109.4)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182.1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123.7</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rPr>
              <w:t>78</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9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3"/>
                <w:szCs w:val="13"/>
                <w:b w:val="1"/>
                <w:bCs w:val="1"/>
                <w:color w:val="auto"/>
              </w:rPr>
              <w:t>NOTE 6.</w:t>
            </w:r>
          </w:p>
        </w:tc>
        <w:tc>
          <w:tcPr>
            <w:tcW w:w="3840" w:type="dxa"/>
            <w:vAlign w:val="bottom"/>
          </w:tcPr>
          <w:p>
            <w:pPr>
              <w:ind w:left="20"/>
              <w:spacing w:after="0"/>
              <w:rPr>
                <w:sz w:val="20"/>
                <w:szCs w:val="20"/>
                <w:color w:val="auto"/>
              </w:rPr>
            </w:pPr>
            <w:r>
              <w:rPr>
                <w:rFonts w:ascii="Arial" w:cs="Arial" w:eastAsia="Arial" w:hAnsi="Arial"/>
                <w:sz w:val="13"/>
                <w:szCs w:val="13"/>
                <w:b w:val="1"/>
                <w:bCs w:val="1"/>
                <w:color w:val="auto"/>
              </w:rPr>
              <w:t>DETAIL OF CERTAIN FINANCIAL STATEMENT ACCOUNTS</w:t>
            </w:r>
          </w:p>
        </w:tc>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8"/>
        </w:trPr>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0"/>
                <w:szCs w:val="10"/>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00" w:type="dxa"/>
            <w:vAlign w:val="bottom"/>
            <w:tcBorders>
              <w:bottom w:val="single" w:sz="8" w:color="auto"/>
            </w:tcBorders>
            <w:gridSpan w:val="3"/>
          </w:tcPr>
          <w:p>
            <w:pPr>
              <w:ind w:left="200"/>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INVENTORIES, NET:</w:t>
            </w:r>
          </w:p>
        </w:tc>
        <w:tc>
          <w:tcPr>
            <w:tcW w:w="3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w w:val="92"/>
              </w:rPr>
              <w:t>Finished goods</w:t>
            </w:r>
          </w:p>
        </w:tc>
        <w:tc>
          <w:tcPr>
            <w:tcW w:w="3840" w:type="dxa"/>
            <w:vAlign w:val="bottom"/>
          </w:tcPr>
          <w:p>
            <w:pPr>
              <w:spacing w:after="0"/>
              <w:rPr>
                <w:sz w:val="13"/>
                <w:szCs w:val="13"/>
                <w:color w:val="auto"/>
              </w:rPr>
            </w:pPr>
          </w:p>
        </w:tc>
        <w:tc>
          <w:tcPr>
            <w:tcW w:w="3680" w:type="dxa"/>
            <w:vAlign w:val="bottom"/>
            <w:gridSpan w:val="2"/>
          </w:tcPr>
          <w:p>
            <w:pPr>
              <w:jc w:val="right"/>
              <w:ind w:right="9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215.8</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239.1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Work-in-progress</w:t>
            </w:r>
          </w:p>
        </w:tc>
        <w:tc>
          <w:tcPr>
            <w:tcW w:w="3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w w:val="99"/>
              </w:rPr>
              <w:t>Raw materials</w:t>
            </w:r>
          </w:p>
        </w:tc>
        <w:tc>
          <w:tcPr>
            <w:tcW w:w="38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158.0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178.3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403.6</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w:t>
            </w:r>
            <w:r>
              <w:rPr>
                <w:rFonts w:ascii="Arial" w:cs="Arial" w:eastAsia="Arial" w:hAnsi="Arial"/>
                <w:sz w:val="13"/>
                <w:szCs w:val="13"/>
                <w:u w:val="single" w:color="auto"/>
                <w:color w:val="auto"/>
              </w:rPr>
              <w:t>9</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4820" w:type="dxa"/>
            <w:vAlign w:val="bottom"/>
            <w:gridSpan w:val="2"/>
          </w:tcPr>
          <w:p>
            <w:pPr>
              <w:spacing w:after="0"/>
              <w:rPr>
                <w:sz w:val="20"/>
                <w:szCs w:val="20"/>
                <w:color w:val="auto"/>
              </w:rPr>
            </w:pPr>
            <w:r>
              <w:rPr>
                <w:rFonts w:ascii="Arial" w:cs="Arial" w:eastAsia="Arial" w:hAnsi="Arial"/>
                <w:sz w:val="13"/>
                <w:szCs w:val="13"/>
                <w:b w:val="1"/>
                <w:bCs w:val="1"/>
                <w:color w:val="auto"/>
              </w:rPr>
              <w:t>PREPAID AND OTHER ASSETS:</w:t>
            </w:r>
          </w:p>
        </w:tc>
        <w:tc>
          <w:tcPr>
            <w:tcW w:w="34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tax asset</w:t>
            </w:r>
          </w:p>
        </w:tc>
        <w:tc>
          <w:tcPr>
            <w:tcW w:w="36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gridSpan w:val="2"/>
          </w:tcPr>
          <w:p>
            <w:pPr>
              <w:ind w:left="140"/>
              <w:spacing w:after="0"/>
              <w:rPr>
                <w:sz w:val="20"/>
                <w:szCs w:val="20"/>
                <w:color w:val="auto"/>
              </w:rPr>
            </w:pPr>
            <w:r>
              <w:rPr>
                <w:rFonts w:ascii="Arial" w:cs="Arial" w:eastAsia="Arial" w:hAnsi="Arial"/>
                <w:sz w:val="13"/>
                <w:szCs w:val="13"/>
                <w:color w:val="auto"/>
              </w:rPr>
              <w:t>Accounts receivable, non-trade</w:t>
            </w:r>
          </w:p>
        </w:tc>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15.3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3840" w:type="dxa"/>
            <w:vAlign w:val="bottom"/>
            <w:shd w:val="clear" w:color="auto" w:fill="CCEEFF"/>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136.5</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159.1</w:t>
            </w: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PROPERTY, PLANT AND EQUIPMENT, NET:</w:t>
            </w:r>
          </w:p>
        </w:tc>
        <w:tc>
          <w:tcPr>
            <w:tcW w:w="34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820" w:type="dxa"/>
            <w:vAlign w:val="bottom"/>
            <w:gridSpan w:val="2"/>
          </w:tcPr>
          <w:p>
            <w:pPr>
              <w:ind w:left="140"/>
              <w:spacing w:after="0"/>
              <w:rPr>
                <w:sz w:val="20"/>
                <w:szCs w:val="20"/>
                <w:color w:val="auto"/>
              </w:rPr>
            </w:pPr>
            <w:r>
              <w:rPr>
                <w:rFonts w:ascii="Arial" w:cs="Arial" w:eastAsia="Arial" w:hAnsi="Arial"/>
                <w:sz w:val="13"/>
                <w:szCs w:val="13"/>
                <w:color w:val="auto"/>
              </w:rPr>
              <w:t>Land and improvements</w:t>
            </w:r>
          </w:p>
        </w:tc>
        <w:tc>
          <w:tcPr>
            <w:tcW w:w="3680" w:type="dxa"/>
            <w:vAlign w:val="bottom"/>
            <w:gridSpan w:val="2"/>
          </w:tcPr>
          <w:p>
            <w:pPr>
              <w:jc w:val="right"/>
              <w:ind w:right="9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66.6</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61.5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Buildings</w:t>
            </w:r>
          </w:p>
        </w:tc>
        <w:tc>
          <w:tcPr>
            <w:tcW w:w="3840" w:type="dxa"/>
            <w:vAlign w:val="bottom"/>
            <w:shd w:val="clear" w:color="auto" w:fill="CCEEFF"/>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190.8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gridSpan w:val="2"/>
          </w:tcPr>
          <w:p>
            <w:pPr>
              <w:ind w:left="140"/>
              <w:spacing w:after="0"/>
              <w:rPr>
                <w:sz w:val="20"/>
                <w:szCs w:val="20"/>
                <w:color w:val="auto"/>
              </w:rPr>
            </w:pPr>
            <w:r>
              <w:rPr>
                <w:rFonts w:ascii="Arial" w:cs="Arial" w:eastAsia="Arial" w:hAnsi="Arial"/>
                <w:sz w:val="13"/>
                <w:szCs w:val="13"/>
                <w:color w:val="auto"/>
              </w:rPr>
              <w:t>Machinery and equipment</w:t>
            </w:r>
          </w:p>
        </w:tc>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439.7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449.6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Furniture and fixtures</w:t>
            </w:r>
          </w:p>
        </w:tc>
        <w:tc>
          <w:tcPr>
            <w:tcW w:w="3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rPr>
              <w:t>Software</w:t>
            </w:r>
          </w:p>
        </w:tc>
        <w:tc>
          <w:tcPr>
            <w:tcW w:w="38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109.4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98.9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Aircraft</w:t>
            </w:r>
          </w:p>
        </w:tc>
        <w:tc>
          <w:tcPr>
            <w:tcW w:w="3840" w:type="dxa"/>
            <w:vAlign w:val="bottom"/>
            <w:shd w:val="clear" w:color="auto" w:fill="CCEEFF"/>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gridSpan w:val="2"/>
          </w:tcPr>
          <w:p>
            <w:pPr>
              <w:ind w:left="140"/>
              <w:spacing w:after="0"/>
              <w:rPr>
                <w:sz w:val="20"/>
                <w:szCs w:val="20"/>
                <w:color w:val="auto"/>
              </w:rPr>
            </w:pPr>
            <w:r>
              <w:rPr>
                <w:rFonts w:ascii="Arial" w:cs="Arial" w:eastAsia="Arial" w:hAnsi="Arial"/>
                <w:sz w:val="13"/>
                <w:szCs w:val="13"/>
                <w:color w:val="auto"/>
              </w:rPr>
              <w:t>Construction in progress</w:t>
            </w:r>
          </w:p>
        </w:tc>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36.4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34.0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890.7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862.0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w w:val="87"/>
              </w:rPr>
              <w:t>(495.9)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(492.3)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394.8</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369.7</w:t>
            </w:r>
          </w:p>
        </w:tc>
        <w:tc>
          <w:tcPr>
            <w:tcW w:w="800" w:type="dxa"/>
            <w:vAlign w:val="bottom"/>
          </w:tcPr>
          <w:p>
            <w:pPr>
              <w:spacing w:after="0"/>
              <w:rPr>
                <w:sz w:val="14"/>
                <w:szCs w:val="14"/>
                <w:color w:val="auto"/>
              </w:rPr>
            </w:pPr>
          </w:p>
        </w:tc>
      </w:tr>
      <w:tr>
        <w:trPr>
          <w:trHeight w:val="108"/>
        </w:trPr>
        <w:tc>
          <w:tcPr>
            <w:tcW w:w="680" w:type="dxa"/>
            <w:vAlign w:val="bottom"/>
          </w:tcPr>
          <w:p>
            <w:pPr>
              <w:spacing w:after="0"/>
              <w:rPr>
                <w:sz w:val="9"/>
                <w:szCs w:val="9"/>
                <w:color w:val="auto"/>
              </w:rPr>
            </w:pPr>
          </w:p>
        </w:tc>
        <w:tc>
          <w:tcPr>
            <w:tcW w:w="4820" w:type="dxa"/>
            <w:vAlign w:val="bottom"/>
            <w:gridSpan w:val="2"/>
          </w:tcPr>
          <w:p>
            <w:pPr>
              <w:spacing w:after="0"/>
              <w:rPr>
                <w:sz w:val="9"/>
                <w:szCs w:val="9"/>
                <w:color w:val="auto"/>
              </w:rPr>
            </w:pPr>
          </w:p>
        </w:tc>
        <w:tc>
          <w:tcPr>
            <w:tcW w:w="34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57"/>
        </w:trPr>
        <w:tc>
          <w:tcPr>
            <w:tcW w:w="680" w:type="dxa"/>
            <w:vAlign w:val="bottom"/>
          </w:tcPr>
          <w:p>
            <w:pPr>
              <w:spacing w:after="0"/>
              <w:rPr>
                <w:sz w:val="13"/>
                <w:szCs w:val="13"/>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CURRENT LIABILITIES:</w:t>
            </w:r>
          </w:p>
        </w:tc>
        <w:tc>
          <w:tcPr>
            <w:tcW w:w="3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gridSpan w:val="2"/>
          </w:tcPr>
          <w:p>
            <w:pPr>
              <w:ind w:left="140"/>
              <w:spacing w:after="0"/>
              <w:rPr>
                <w:sz w:val="20"/>
                <w:szCs w:val="20"/>
                <w:color w:val="auto"/>
              </w:rPr>
            </w:pPr>
            <w:r>
              <w:rPr>
                <w:rFonts w:ascii="Arial" w:cs="Arial" w:eastAsia="Arial" w:hAnsi="Arial"/>
                <w:sz w:val="13"/>
                <w:szCs w:val="13"/>
                <w:color w:val="auto"/>
              </w:rPr>
              <w:t>Payroll and other compensation accruals</w:t>
            </w:r>
          </w:p>
        </w:tc>
        <w:tc>
          <w:tcPr>
            <w:tcW w:w="3740" w:type="dxa"/>
            <w:vAlign w:val="bottom"/>
            <w:gridSpan w:val="3"/>
          </w:tcPr>
          <w:p>
            <w:pPr>
              <w:ind w:left="3680"/>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3"/>
                <w:szCs w:val="13"/>
                <w:color w:val="auto"/>
              </w:rPr>
              <w:t>97.3</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120.8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Advertising and promotional accruals</w:t>
            </w:r>
          </w:p>
        </w:tc>
        <w:tc>
          <w:tcPr>
            <w:tcW w:w="3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152.3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rPr>
              <w:t>Other</w:t>
            </w:r>
          </w:p>
        </w:tc>
        <w:tc>
          <w:tcPr>
            <w:tcW w:w="38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3"/>
                <w:szCs w:val="13"/>
                <w:color w:val="auto"/>
              </w:rPr>
              <w:t>126.2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127.2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3680" w:type="dxa"/>
            <w:vAlign w:val="bottom"/>
            <w:gridSpan w:val="2"/>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375.8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406.4</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4820" w:type="dxa"/>
            <w:vAlign w:val="bottom"/>
            <w:gridSpan w:val="2"/>
          </w:tcPr>
          <w:p>
            <w:pPr>
              <w:spacing w:after="0"/>
              <w:rPr>
                <w:sz w:val="20"/>
                <w:szCs w:val="20"/>
                <w:color w:val="auto"/>
              </w:rPr>
            </w:pPr>
            <w:r>
              <w:rPr>
                <w:rFonts w:ascii="Arial" w:cs="Arial" w:eastAsia="Arial" w:hAnsi="Arial"/>
                <w:sz w:val="13"/>
                <w:szCs w:val="13"/>
                <w:b w:val="1"/>
                <w:bCs w:val="1"/>
                <w:color w:val="auto"/>
              </w:rPr>
              <w:t>OTHER NON-CURRENT LIABILITIES:</w:t>
            </w:r>
          </w:p>
        </w:tc>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Accrued pension and postretirement liabilities</w:t>
            </w:r>
          </w:p>
        </w:tc>
        <w:tc>
          <w:tcPr>
            <w:tcW w:w="3740" w:type="dxa"/>
            <w:vAlign w:val="bottom"/>
            <w:gridSpan w:val="3"/>
            <w:shd w:val="clear" w:color="auto" w:fill="CCEEFF"/>
          </w:tcPr>
          <w:p>
            <w:pPr>
              <w:ind w:left="3680"/>
              <w:spacing w:after="0"/>
              <w:rPr>
                <w:sz w:val="20"/>
                <w:szCs w:val="20"/>
                <w:color w:val="auto"/>
              </w:rPr>
            </w:pPr>
            <w:r>
              <w:rPr>
                <w:rFonts w:ascii="Arial" w:cs="Arial" w:eastAsia="Arial" w:hAnsi="Arial"/>
                <w:sz w:val="10"/>
                <w:szCs w:val="10"/>
                <w:color w:val="auto"/>
                <w:w w:val="71"/>
              </w:rPr>
              <w:t>$</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139.0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gridSpan w:val="2"/>
          </w:tcPr>
          <w:p>
            <w:pPr>
              <w:ind w:left="140"/>
              <w:spacing w:after="0"/>
              <w:rPr>
                <w:sz w:val="20"/>
                <w:szCs w:val="20"/>
                <w:color w:val="auto"/>
              </w:rPr>
            </w:pPr>
            <w:r>
              <w:rPr>
                <w:rFonts w:ascii="Arial" w:cs="Arial" w:eastAsia="Arial" w:hAnsi="Arial"/>
                <w:sz w:val="13"/>
                <w:szCs w:val="13"/>
                <w:color w:val="auto"/>
              </w:rPr>
              <w:t>Deferred tax liability</w:t>
            </w:r>
          </w:p>
        </w:tc>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49.6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3840" w:type="dxa"/>
            <w:vAlign w:val="bottom"/>
            <w:shd w:val="clear" w:color="auto" w:fill="CCEEFF"/>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80" w:type="dxa"/>
            <w:vAlign w:val="bottom"/>
            <w:gridSpan w:val="2"/>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3"/>
                <w:szCs w:val="13"/>
                <w:color w:val="auto"/>
              </w:rPr>
              <w:t>238.9</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229.1</w:t>
            </w:r>
          </w:p>
        </w:tc>
        <w:tc>
          <w:tcPr>
            <w:tcW w:w="800" w:type="dxa"/>
            <w:vAlign w:val="bottom"/>
          </w:tcPr>
          <w:p>
            <w:pPr>
              <w:spacing w:after="0"/>
              <w:rPr>
                <w:sz w:val="14"/>
                <w:szCs w:val="14"/>
                <w:color w:val="auto"/>
              </w:rPr>
            </w:pPr>
          </w:p>
        </w:tc>
      </w:tr>
      <w:tr>
        <w:trPr>
          <w:trHeight w:val="549"/>
        </w:trPr>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80" w:type="dxa"/>
            <w:vAlign w:val="bottom"/>
          </w:tcPr>
          <w:p>
            <w:pPr>
              <w:jc w:val="right"/>
              <w:ind w:right="3180"/>
              <w:spacing w:after="0"/>
              <w:rPr>
                <w:sz w:val="20"/>
                <w:szCs w:val="20"/>
                <w:color w:val="auto"/>
              </w:rPr>
            </w:pPr>
            <w:r>
              <w:rPr>
                <w:rFonts w:ascii="Arial" w:cs="Arial" w:eastAsia="Arial" w:hAnsi="Arial"/>
                <w:sz w:val="13"/>
                <w:szCs w:val="13"/>
                <w:color w:val="auto"/>
              </w:rPr>
              <w:t>79</w:t>
            </w: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3"/>
              </w:rPr>
              <w:t>September 30,</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2010</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center"/>
              <w:ind w:right="37"/>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131"/>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left="121"/>
              <w:spacing w:after="0"/>
              <w:rPr>
                <w:sz w:val="20"/>
                <w:szCs w:val="20"/>
                <w:color w:val="auto"/>
              </w:rPr>
            </w:pPr>
            <w:r>
              <w:rPr>
                <w:rFonts w:ascii="Arial" w:cs="Arial" w:eastAsia="Arial" w:hAnsi="Arial"/>
                <w:sz w:val="10"/>
                <w:szCs w:val="10"/>
                <w:b w:val="1"/>
                <w:bCs w:val="1"/>
                <w:color w:val="auto"/>
                <w:w w:val="92"/>
              </w:rPr>
              <w:t>(In 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ACCUMULATED OTHER COMPREHENSIVE LOSS:</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Unrecognized loss on derivatives, net of tax of $7.9, $10.7 and $8.9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(12.7)</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(14.1)</w:t>
            </w: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Pension and other postretirement liabilities, net of tax of $40.4, $35.3 and $29.2</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(69.1)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(47.1)</w:t>
            </w: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(5.9)</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(77.1)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(67.1)</w:t>
            </w: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7.</w:t>
      </w:r>
      <w:r>
        <w:rPr>
          <w:sz w:val="20"/>
          <w:szCs w:val="20"/>
          <w:color w:val="auto"/>
        </w:rPr>
        <w:tab/>
      </w:r>
      <w:r>
        <w:rPr>
          <w:rFonts w:ascii="Arial" w:cs="Arial" w:eastAsia="Arial" w:hAnsi="Arial"/>
          <w:sz w:val="13"/>
          <w:szCs w:val="13"/>
          <w:b w:val="1"/>
          <w:bCs w:val="1"/>
          <w:color w:val="auto"/>
        </w:rPr>
        <w:t>MARKETING AGREEMENT</w:t>
      </w:r>
    </w:p>
    <w:p>
      <w:pPr>
        <w:spacing w:after="0" w:line="98"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The Company is Monsanto’s exclusive agent for the marketing and distribution of consumer Roundup</w:t>
      </w:r>
      <w:r>
        <w:rPr>
          <w:rFonts w:ascii="Arial" w:cs="Arial" w:eastAsia="Arial" w:hAnsi="Arial"/>
          <w:sz w:val="10"/>
          <w:szCs w:val="10"/>
          <w:color w:val="auto"/>
        </w:rPr>
        <w:t>®</w:t>
      </w:r>
      <w:r>
        <w:rPr>
          <w:rFonts w:ascii="Arial" w:cs="Arial" w:eastAsia="Arial" w:hAnsi="Arial"/>
          <w:sz w:val="12"/>
          <w:szCs w:val="12"/>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10"/>
          <w:szCs w:val="10"/>
          <w:color w:val="auto"/>
        </w:rPr>
        <w:t>®</w:t>
      </w:r>
      <w:r>
        <w:rPr>
          <w:rFonts w:ascii="Arial" w:cs="Arial" w:eastAsia="Arial" w:hAnsi="Arial"/>
          <w:sz w:val="12"/>
          <w:szCs w:val="12"/>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10"/>
          <w:szCs w:val="10"/>
          <w:color w:val="auto"/>
        </w:rPr>
        <w:t>®</w:t>
      </w:r>
      <w:r>
        <w:rPr>
          <w:rFonts w:ascii="Arial" w:cs="Arial" w:eastAsia="Arial" w:hAnsi="Arial"/>
          <w:sz w:val="12"/>
          <w:szCs w:val="12"/>
          <w:color w:val="auto"/>
        </w:rPr>
        <w:t xml:space="preserve"> business. The annual contribution payment is defined in the Marketing Agreement as $20 million.</w:t>
      </w:r>
    </w:p>
    <w:p>
      <w:pPr>
        <w:spacing w:after="0" w:line="61" w:lineRule="exact"/>
        <w:rPr>
          <w:sz w:val="20"/>
          <w:szCs w:val="20"/>
          <w:color w:val="auto"/>
        </w:rPr>
      </w:pPr>
    </w:p>
    <w:p>
      <w:pPr>
        <w:jc w:val="both"/>
        <w:ind w:left="680" w:right="340" w:firstLine="399"/>
        <w:spacing w:after="0" w:line="296" w:lineRule="auto"/>
        <w:rPr>
          <w:sz w:val="20"/>
          <w:szCs w:val="20"/>
          <w:color w:val="auto"/>
        </w:rPr>
      </w:pPr>
      <w:r>
        <w:rPr>
          <w:rFonts w:ascii="Arial" w:cs="Arial" w:eastAsia="Arial" w:hAnsi="Arial"/>
          <w:sz w:val="12"/>
          <w:szCs w:val="12"/>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5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$65.0 million, $67.8 million and $58.0 million for fiscal 2010, fiscal 2009 and fiscal 2008, respectively.</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For fiscal 2010, fiscal 2009 and fiscal 2008, the net amount earned under the Marketing Agreement was $70.0 million, $51.4 million and $44.3 million, respectively. The</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elements of the net commission earned under the Marketing Agreement and included in “Net sales” for each of the three years in the period ended September 30, 2010 were as follows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w w:val="98"/>
              </w:rPr>
              <w:t>2010</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Gross commission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Contribution expenses</w:t>
            </w:r>
          </w:p>
        </w:tc>
        <w:tc>
          <w:tcPr>
            <w:tcW w:w="1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marketing fee</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Net commission income</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70.0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51.4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Reimbursements associated with Marketing Agreement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58.0</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Total net sales associated with Marketing Agreement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135.0</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119.2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102.3</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Marketing Agreement has no definite term except as it relates to the European Union countries (the “EU term”). The EU term extends through September 30, 2011, with up to two additional automatic renewal periods of two years each, subject to non-renewal only upon the occurrence of certain performance defaults. Thereafter, the Marketing Agreement provides that the parties may agree to renew the EU term for an additional three years.</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11"/>
          <w:szCs w:val="11"/>
          <w:color w:val="auto"/>
        </w:rPr>
        <w:t>®</w:t>
      </w:r>
      <w:r>
        <w:rPr>
          <w:rFonts w:ascii="Arial" w:cs="Arial" w:eastAsia="Arial" w:hAnsi="Arial"/>
          <w:sz w:val="13"/>
          <w:szCs w:val="13"/>
          <w:color w:val="auto"/>
        </w:rPr>
        <w:t xml:space="preserve"> business exceeding a certain threshold, but in no event will the termination fee be less than $16 million. If Monsanto were to terminate the Marketing Agreement due to an event of default by the Company, however, the Company would not be entitled to any termination fee, and the Company would lose all, or a substantial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w:t>
      </w:r>
    </w:p>
    <w:p>
      <w:pPr>
        <w:spacing w:after="0" w:line="7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Monsanto has agreed to provide the Company with notice of any proposed sale of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allow the Company to participate in the sale process and negotiate in good faith with the Company with respect to any such proposed sale. In the event the Company acquires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11"/>
          <w:szCs w:val="11"/>
          <w:color w:val="auto"/>
        </w:rPr>
        <w:t>®</w:t>
      </w:r>
      <w:r>
        <w:rPr>
          <w:rFonts w:ascii="Arial" w:cs="Arial" w:eastAsia="Arial" w:hAnsi="Arial"/>
          <w:sz w:val="13"/>
          <w:szCs w:val="13"/>
          <w:color w:val="auto"/>
        </w:rPr>
        <w:t xml:space="preserve"> business to another party, the Company must let Monsanto know whether the Company intends to terminate the Marketing Agreement and forfeit any right to a termination fee or whether it will agree to continue to perform under the Marketing Agreement on behalf of the purchaser.</w:t>
      </w:r>
    </w:p>
    <w:p>
      <w:pPr>
        <w:spacing w:after="0" w:line="14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8.</w:t>
      </w:r>
      <w:r>
        <w:rPr>
          <w:sz w:val="20"/>
          <w:szCs w:val="20"/>
          <w:color w:val="auto"/>
        </w:rPr>
        <w:tab/>
      </w:r>
      <w:r>
        <w:rPr>
          <w:rFonts w:ascii="Arial" w:cs="Arial" w:eastAsia="Arial" w:hAnsi="Arial"/>
          <w:sz w:val="13"/>
          <w:szCs w:val="13"/>
          <w:b w:val="1"/>
          <w:bCs w:val="1"/>
          <w:color w:val="auto"/>
        </w:rPr>
        <w:t>ACQUISITIONS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Effective October 1, 2008, the Company acquired Humax Horticulture Limited (“Humax”), a privately-owned growing media company in the United Kingdom, for a total cost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$9.3 million. Purchase accounting allocations have been recorded for Humax, including the allocation of the purchase price to assets acquired and liabilities assumed, based on estimated fair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values at the date of acquisition. Pro forma net sales, net income and net income per common share for fiscal 2008 would not have been significantly different had the acquisition of Humax</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occurred as of October 1, 2007.</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9.</w:t>
      </w:r>
      <w:r>
        <w:rPr>
          <w:sz w:val="20"/>
          <w:szCs w:val="20"/>
          <w:color w:val="auto"/>
        </w:rPr>
        <w:tab/>
      </w:r>
      <w:r>
        <w:rPr>
          <w:rFonts w:ascii="Arial" w:cs="Arial" w:eastAsia="Arial" w:hAnsi="Arial"/>
          <w:sz w:val="13"/>
          <w:szCs w:val="13"/>
          <w:b w:val="1"/>
          <w:bCs w:val="1"/>
          <w:color w:val="auto"/>
        </w:rPr>
        <w:t>RETIREMENT PLANS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sponsors a defined contribution 401(k) plan for substantially all U.S. associates. The Company provides a base contribution equal to 2% of compensation up to 50% of the Social Security taxable wage base plus 4% of remaining compensation. Associates also may make pretax contributions from compensation that are matched by the Company at 100% of the associates’ initial 3% contribution and 50% of their remaining contribution up to 5%. The Company recorded charges of $14.5 million, $15.3 million and $11.4 million under the plan in fiscal 2010, fiscal 2009 and fiscal 2008, respectively. Beginning January 1, 2011, the Company will no longer provide base contributions and will match 150% of the associates’ initial 4% contribution and 50% of their remaining contribution up to 6%.</w:t>
      </w:r>
    </w:p>
    <w:p>
      <w:pPr>
        <w:spacing w:after="0" w:line="71"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sponsors two defined benefit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w:t>
      </w:r>
    </w:p>
    <w:p>
      <w:pPr>
        <w:spacing w:after="0" w:line="71"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The Company sponsors defined benefit pension plans associated with its international businesses in the United Kingdom, the Netherlands, Germany and France. These plans generally cover all associates of the respective businesses, with retirement benefits primarily based on years of service and compensation levels.</w:t>
      </w:r>
    </w:p>
    <w:p>
      <w:pPr>
        <w:spacing w:after="0" w:line="35"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On July 1, 2010, the Company froze its two U.K. defined benefit pension plans and transferred participants to an amended defined contribution plan. Under the frozen plans, participants are no longer credited for future service; however, future salary increases will continue to be factored into each participant’s final pension benefit. As a result of the freeze, the Company measured the unfunded status of the U.K. defined benefit pension plans as of July 3, 2010. The results of the freeze and remeasurement did not affect the Company’s results of operations or cash flows, and did not significantly affect the Company’s financial position.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100" w:firstLine="399"/>
        <w:spacing w:after="0" w:line="276" w:lineRule="auto"/>
        <w:rPr>
          <w:sz w:val="20"/>
          <w:szCs w:val="20"/>
          <w:color w:val="auto"/>
        </w:rPr>
      </w:pPr>
      <w:r>
        <w:rPr>
          <w:rFonts w:ascii="Arial" w:cs="Arial" w:eastAsia="Arial" w:hAnsi="Arial"/>
          <w:sz w:val="13"/>
          <w:szCs w:val="13"/>
          <w:color w:val="auto"/>
        </w:rPr>
        <w:t>The following tables present information about benefit obligations, plan assets, annual expense, assumptions and other information about the Company’s defined benefit pension plans (in millions). The defined benefit plans are valued using a September 30 measurement date.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U.S. Defined</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left="196"/>
              <w:spacing w:after="0"/>
              <w:rPr>
                <w:sz w:val="20"/>
                <w:szCs w:val="20"/>
                <w:color w:val="auto"/>
              </w:rPr>
            </w:pPr>
            <w:r>
              <w:rPr>
                <w:rFonts w:ascii="Arial" w:cs="Arial" w:eastAsia="Arial" w:hAnsi="Arial"/>
                <w:sz w:val="10"/>
                <w:szCs w:val="10"/>
                <w:b w:val="1"/>
                <w:bCs w:val="1"/>
                <w:color w:val="auto"/>
                <w:w w:val="99"/>
              </w:rPr>
              <w:t>International</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Defined</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Benefit Plans</w:t>
            </w:r>
          </w:p>
        </w:tc>
        <w:tc>
          <w:tcPr>
            <w:tcW w:w="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center"/>
              <w:ind w:left="196"/>
              <w:spacing w:after="0"/>
              <w:rPr>
                <w:sz w:val="20"/>
                <w:szCs w:val="20"/>
                <w:color w:val="auto"/>
              </w:rPr>
            </w:pPr>
            <w:r>
              <w:rPr>
                <w:rFonts w:ascii="Arial" w:cs="Arial" w:eastAsia="Arial" w:hAnsi="Arial"/>
                <w:sz w:val="10"/>
                <w:szCs w:val="10"/>
                <w:b w:val="1"/>
                <w:bCs w:val="1"/>
                <w:color w:val="auto"/>
                <w:w w:val="94"/>
              </w:rPr>
              <w:t>Benefit Plans</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projected benefit obligation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Benefit obligation at beginning of year</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101.5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90.2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182.4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176.7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Interest cost</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Plan participants’ contributions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Actuarial loss</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Benefits paid</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Projected benefit obligation gain due to plan freeze</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Projected benefit obligation at end of year</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203.8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700" w:type="dxa"/>
            <w:vAlign w:val="bottom"/>
            <w:vMerge w:val="restart"/>
          </w:tcPr>
          <w:p>
            <w:pPr>
              <w:spacing w:after="0"/>
              <w:rPr>
                <w:sz w:val="20"/>
                <w:szCs w:val="20"/>
                <w:color w:val="auto"/>
              </w:rPr>
            </w:pPr>
            <w:r>
              <w:rPr>
                <w:rFonts w:ascii="Arial" w:cs="Arial" w:eastAsia="Arial" w:hAnsi="Arial"/>
                <w:sz w:val="13"/>
                <w:szCs w:val="13"/>
                <w:b w:val="1"/>
                <w:bCs w:val="1"/>
                <w:color w:val="auto"/>
              </w:rPr>
              <w:t>Accumulated benefit obligation at end of year</w:t>
            </w: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6700" w:type="dxa"/>
            <w:vAlign w:val="bottom"/>
            <w:vMerge w:val="continue"/>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106.6</w:t>
            </w: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101.5</w:t>
            </w:r>
          </w:p>
        </w:tc>
        <w:tc>
          <w:tcPr>
            <w:tcW w:w="3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192.9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157.4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plan assets</w:t>
            </w: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Fair value of plan assets at beginning of year</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64.2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65.9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122.9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118.9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Actual return on plan assets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Employer contribution</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Plan participants’ contributions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Actuarial gain/(loss)</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Benefits paid</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vMerge w:val="restart"/>
          </w:tcPr>
          <w:p>
            <w:pPr>
              <w:spacing w:after="0"/>
              <w:rPr>
                <w:sz w:val="20"/>
                <w:szCs w:val="20"/>
                <w:color w:val="auto"/>
              </w:rPr>
            </w:pPr>
            <w:r>
              <w:rPr>
                <w:rFonts w:ascii="Arial" w:cs="Arial" w:eastAsia="Arial" w:hAnsi="Arial"/>
                <w:sz w:val="13"/>
                <w:szCs w:val="13"/>
                <w:color w:val="auto"/>
              </w:rPr>
              <w:t>Fair value of plan assets at end of year</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7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69.7</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64.2</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134.4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122.9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Underfunded status at end of year</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(37.3)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(69.4)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3"/>
                <w:szCs w:val="13"/>
                <w:b w:val="1"/>
                <w:bCs w:val="1"/>
                <w:color w:val="auto"/>
              </w:rPr>
              <w:t>Information for pension plans with an accumulated benefit obligation in excess of plan assets</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Projected benefit obligation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203.8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Accumulated benefit obligation</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106.6</w:t>
            </w: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101.5</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192.9</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157.4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69.7</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134.4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b w:val="1"/>
                <w:bCs w:val="1"/>
                <w:color w:val="auto"/>
              </w:rPr>
              <w:t>Amounts recognized in the Consolidated Balance Sheets consist of:</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Noncurrent liabilities</w:t>
            </w: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(36.7)</w:t>
            </w:r>
          </w:p>
        </w:tc>
        <w:tc>
          <w:tcPr>
            <w:tcW w:w="12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13"/>
                <w:szCs w:val="13"/>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3"/>
                <w:szCs w:val="13"/>
                <w:color w:val="auto"/>
              </w:rPr>
              <w:t>(68.5)</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(58.4)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Total amount accrued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(37.3)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(69.4)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6700" w:type="dxa"/>
            <w:vAlign w:val="bottom"/>
          </w:tcPr>
          <w:p>
            <w:pPr>
              <w:ind w:left="4940"/>
              <w:spacing w:after="0"/>
              <w:rPr>
                <w:sz w:val="20"/>
                <w:szCs w:val="20"/>
                <w:color w:val="auto"/>
              </w:rPr>
            </w:pPr>
            <w:r>
              <w:rPr>
                <w:rFonts w:ascii="Arial" w:cs="Arial" w:eastAsia="Arial" w:hAnsi="Arial"/>
                <w:sz w:val="13"/>
                <w:szCs w:val="13"/>
                <w:color w:val="auto"/>
              </w:rPr>
              <w:t>83</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4"/>
            <w:vMerge w:val="restart"/>
          </w:tcPr>
          <w:p>
            <w:pPr>
              <w:jc w:val="center"/>
              <w:ind w:left="76"/>
              <w:spacing w:after="0"/>
              <w:rPr>
                <w:sz w:val="20"/>
                <w:szCs w:val="20"/>
                <w:color w:val="auto"/>
              </w:rPr>
            </w:pPr>
            <w:r>
              <w:rPr>
                <w:rFonts w:ascii="Arial" w:cs="Arial" w:eastAsia="Arial" w:hAnsi="Arial"/>
                <w:sz w:val="10"/>
                <w:szCs w:val="10"/>
                <w:b w:val="1"/>
                <w:bCs w:val="1"/>
                <w:color w:val="auto"/>
                <w:w w:val="94"/>
              </w:rPr>
              <w:t>U.S. Defined</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left="76"/>
              <w:spacing w:after="0"/>
              <w:rPr>
                <w:sz w:val="20"/>
                <w:szCs w:val="20"/>
                <w:color w:val="auto"/>
              </w:rPr>
            </w:pPr>
            <w:r>
              <w:rPr>
                <w:rFonts w:ascii="Arial" w:cs="Arial" w:eastAsia="Arial" w:hAnsi="Arial"/>
                <w:sz w:val="10"/>
                <w:szCs w:val="10"/>
                <w:b w:val="1"/>
                <w:bCs w:val="1"/>
                <w:color w:val="auto"/>
                <w:w w:val="96"/>
              </w:rPr>
              <w:t>International</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Defined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center"/>
              <w:ind w:left="76"/>
              <w:spacing w:after="0"/>
              <w:rPr>
                <w:sz w:val="20"/>
                <w:szCs w:val="20"/>
                <w:color w:val="auto"/>
              </w:rPr>
            </w:pPr>
            <w:r>
              <w:rPr>
                <w:rFonts w:ascii="Arial" w:cs="Arial" w:eastAsia="Arial" w:hAnsi="Arial"/>
                <w:sz w:val="10"/>
                <w:szCs w:val="10"/>
                <w:b w:val="1"/>
                <w:bCs w:val="1"/>
                <w:color w:val="auto"/>
                <w:w w:val="94"/>
              </w:rPr>
              <w:t>Benefit Plans</w:t>
            </w:r>
          </w:p>
        </w:tc>
        <w:tc>
          <w:tcPr>
            <w:tcW w:w="3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0"/>
                <w:szCs w:val="10"/>
                <w:b w:val="1"/>
                <w:bCs w:val="1"/>
                <w:color w:val="auto"/>
                <w:w w:val="91"/>
              </w:rPr>
              <w:t>Benefit Plans</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gridSpan w:val="3"/>
          </w:tcPr>
          <w:p>
            <w:pPr>
              <w:jc w:val="right"/>
              <w:ind w:right="76"/>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2009</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gridSpan w:val="3"/>
          </w:tcPr>
          <w:p>
            <w:pPr>
              <w:jc w:val="right"/>
              <w:ind w:right="76"/>
              <w:spacing w:after="0" w:line="98" w:lineRule="exact"/>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2009</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8"/>
              </w:rPr>
              <w:t>Amounts recognized in accumulated other comprehensive loss consist of:</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Actuarial loss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49.4</w:t>
            </w: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48.6</w:t>
            </w:r>
          </w:p>
        </w:tc>
        <w:tc>
          <w:tcPr>
            <w:tcW w:w="80" w:type="dxa"/>
            <w:vAlign w:val="bottom"/>
          </w:tcPr>
          <w:p>
            <w:pPr>
              <w:spacing w:after="0"/>
              <w:rPr>
                <w:sz w:val="13"/>
                <w:szCs w:val="13"/>
                <w:color w:val="auto"/>
              </w:rPr>
            </w:pP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86"/>
              </w:rPr>
              <w:t>60.6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48.3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Prior service cost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w w:val="97"/>
              </w:rPr>
              <w:t>(0.3)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Net amount recognized</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49.4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4"/>
                <w:szCs w:val="14"/>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86"/>
              </w:rPr>
              <w:t>60.3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47.3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change in other comprehensive loss attributable to:</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Pension benefit losses during the period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13.9</w:t>
            </w:r>
          </w:p>
        </w:tc>
        <w:tc>
          <w:tcPr>
            <w:tcW w:w="80" w:type="dxa"/>
            <w:vAlign w:val="bottom"/>
          </w:tcPr>
          <w:p>
            <w:pPr>
              <w:spacing w:after="0"/>
              <w:rPr>
                <w:sz w:val="13"/>
                <w:szCs w:val="13"/>
                <w:color w:val="auto"/>
              </w:rPr>
            </w:pP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86"/>
              </w:rPr>
              <w:t>16.2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Reclassification of pension benefit losses to net income</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w w:val="97"/>
              </w:rPr>
              <w:t>(2.0)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328"/>
              <w:spacing w:after="0"/>
              <w:rPr>
                <w:sz w:val="20"/>
                <w:szCs w:val="20"/>
                <w:color w:val="auto"/>
              </w:rPr>
            </w:pPr>
            <w:r>
              <w:rPr>
                <w:rFonts w:ascii="Arial" w:cs="Arial" w:eastAsia="Arial" w:hAnsi="Arial"/>
                <w:sz w:val="13"/>
                <w:szCs w:val="13"/>
                <w:color w:val="auto"/>
                <w:w w:val="97"/>
              </w:rPr>
              <w:t>(1.2)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Total change in other comprehensive loss</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w w:val="86"/>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6440" w:type="dxa"/>
            <w:vAlign w:val="bottom"/>
            <w:gridSpan w:val="9"/>
          </w:tcPr>
          <w:p>
            <w:pPr>
              <w:spacing w:after="0"/>
              <w:rPr>
                <w:sz w:val="20"/>
                <w:szCs w:val="20"/>
                <w:color w:val="auto"/>
              </w:rPr>
            </w:pPr>
            <w:r>
              <w:rPr>
                <w:rFonts w:ascii="Arial" w:cs="Arial" w:eastAsia="Arial" w:hAnsi="Arial"/>
                <w:sz w:val="13"/>
                <w:szCs w:val="13"/>
                <w:b w:val="1"/>
                <w:bCs w:val="1"/>
                <w:color w:val="auto"/>
                <w:w w:val="88"/>
              </w:rPr>
              <w:t>Amounts in accumulated other comprehensive loss expected to be recognized as components of net periodic benefit</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4540" w:type="dxa"/>
            <w:vAlign w:val="bottom"/>
          </w:tcPr>
          <w:p>
            <w:pPr>
              <w:ind w:left="140"/>
              <w:spacing w:after="0"/>
              <w:rPr>
                <w:sz w:val="20"/>
                <w:szCs w:val="20"/>
                <w:color w:val="auto"/>
              </w:rPr>
            </w:pPr>
            <w:r>
              <w:rPr>
                <w:rFonts w:ascii="Arial" w:cs="Arial" w:eastAsia="Arial" w:hAnsi="Arial"/>
                <w:sz w:val="13"/>
                <w:szCs w:val="13"/>
                <w:b w:val="1"/>
                <w:bCs w:val="1"/>
                <w:color w:val="auto"/>
              </w:rPr>
              <w:t>cost in fiscal 2011 are as follows: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Actuarial loss</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Prior service cost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328"/>
              <w:spacing w:after="0"/>
              <w:rPr>
                <w:sz w:val="20"/>
                <w:szCs w:val="20"/>
                <w:color w:val="auto"/>
              </w:rPr>
            </w:pPr>
            <w:r>
              <w:rPr>
                <w:rFonts w:ascii="Arial" w:cs="Arial" w:eastAsia="Arial" w:hAnsi="Arial"/>
                <w:sz w:val="13"/>
                <w:szCs w:val="13"/>
                <w:color w:val="auto"/>
                <w:w w:val="97"/>
              </w:rPr>
              <w:t>(0.1)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Amount to be amortized into net periodic benefit cost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Arial" w:cs="Arial" w:eastAsia="Arial" w:hAnsi="Arial"/>
                <w:sz w:val="13"/>
                <w:szCs w:val="13"/>
                <w:b w:val="1"/>
                <w:bCs w:val="1"/>
                <w:color w:val="auto"/>
                <w:w w:val="89"/>
              </w:rPr>
              <w:t>Weighted average assumptions used in development of projected benefit obligation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35"/>
              <w:spacing w:after="0"/>
              <w:rPr>
                <w:sz w:val="20"/>
                <w:szCs w:val="20"/>
                <w:color w:val="auto"/>
              </w:rPr>
            </w:pPr>
            <w:r>
              <w:rPr>
                <w:rFonts w:ascii="Arial" w:cs="Arial" w:eastAsia="Arial" w:hAnsi="Arial"/>
                <w:sz w:val="13"/>
                <w:szCs w:val="13"/>
                <w:color w:val="auto"/>
                <w:w w:val="92"/>
              </w:rPr>
              <w:t>4.66%</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w w:val="92"/>
              </w:rPr>
              <w:t>5.01%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Rate of compensation increase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48"/>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U.S. Defined Benefit Plans</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jc w:val="right"/>
              <w:ind w:right="28"/>
              <w:spacing w:after="0"/>
              <w:rPr>
                <w:sz w:val="20"/>
                <w:szCs w:val="20"/>
                <w:color w:val="auto"/>
              </w:rPr>
            </w:pPr>
            <w:r>
              <w:rPr>
                <w:rFonts w:ascii="Arial" w:cs="Arial" w:eastAsia="Arial" w:hAnsi="Arial"/>
                <w:sz w:val="10"/>
                <w:szCs w:val="10"/>
                <w:b w:val="1"/>
                <w:bCs w:val="1"/>
                <w:color w:val="auto"/>
                <w:w w:val="96"/>
              </w:rPr>
              <w:t>International Defined Benefit Plans</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2010</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2009</w:t>
            </w: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2008</w:t>
            </w:r>
          </w:p>
        </w:tc>
        <w:tc>
          <w:tcPr>
            <w:tcW w:w="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center"/>
              <w:ind w:right="15"/>
              <w:spacing w:after="0" w:line="98" w:lineRule="exact"/>
              <w:rPr>
                <w:sz w:val="20"/>
                <w:szCs w:val="20"/>
                <w:color w:val="auto"/>
              </w:rPr>
            </w:pPr>
            <w:r>
              <w:rPr>
                <w:rFonts w:ascii="Arial" w:cs="Arial" w:eastAsia="Arial" w:hAnsi="Arial"/>
                <w:sz w:val="10"/>
                <w:szCs w:val="10"/>
                <w:b w:val="1"/>
                <w:bCs w:val="1"/>
                <w:color w:val="auto"/>
                <w:w w:val="89"/>
              </w:rPr>
              <w:t>2010</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2009</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Components of net periodic benefit cost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Service cost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60"/>
              <w:spacing w:after="0"/>
              <w:rPr>
                <w:sz w:val="20"/>
                <w:szCs w:val="20"/>
                <w:color w:val="auto"/>
              </w:rPr>
            </w:pPr>
            <w:r>
              <w:rPr>
                <w:rFonts w:ascii="Arial" w:cs="Arial" w:eastAsia="Arial" w:hAnsi="Arial"/>
                <w:sz w:val="13"/>
                <w:szCs w:val="13"/>
                <w:color w:val="auto"/>
              </w:rPr>
              <w:t>2.4</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Interest cost</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9.6</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Expected return on plan assets</w:t>
            </w:r>
          </w:p>
        </w:tc>
        <w:tc>
          <w:tcPr>
            <w:tcW w:w="10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(5.0)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3"/>
                <w:szCs w:val="13"/>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3"/>
                <w:szCs w:val="13"/>
                <w:color w:val="auto"/>
              </w:rPr>
              <w:t>(6.2)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3"/>
                <w:szCs w:val="13"/>
                <w:color w:val="auto"/>
              </w:rPr>
              <w:t>(8.1)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3"/>
                <w:szCs w:val="13"/>
                <w:color w:val="auto"/>
              </w:rPr>
              <w:t>(7.2)</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Net amortization</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2.0</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Net periodic benefit cost</w:t>
            </w: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4.4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3"/>
                <w:szCs w:val="13"/>
                <w:color w:val="auto"/>
              </w:rPr>
              <w:t>0.5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3"/>
                <w:szCs w:val="13"/>
                <w:color w:val="auto"/>
              </w:rPr>
              <w:t>6.8</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Curtailment/settlement loss</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Total benefit cost</w:t>
            </w: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4.4</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520"/>
              <w:spacing w:after="0"/>
              <w:rPr>
                <w:sz w:val="20"/>
                <w:szCs w:val="20"/>
                <w:color w:val="auto"/>
              </w:rPr>
            </w:pPr>
            <w:r>
              <w:rPr>
                <w:rFonts w:ascii="Arial" w:cs="Arial" w:eastAsia="Arial" w:hAnsi="Arial"/>
                <w:sz w:val="13"/>
                <w:szCs w:val="13"/>
                <w:color w:val="auto"/>
              </w:rPr>
              <w:t>3.6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3"/>
          </w:tcPr>
          <w:p>
            <w:pPr>
              <w:jc w:val="right"/>
              <w:ind w:right="140"/>
              <w:spacing w:after="0"/>
              <w:rPr>
                <w:sz w:val="20"/>
                <w:szCs w:val="20"/>
                <w:color w:val="auto"/>
              </w:rPr>
            </w:pPr>
            <w:r>
              <w:rPr>
                <w:rFonts w:ascii="Arial" w:cs="Arial" w:eastAsia="Arial" w:hAnsi="Arial"/>
                <w:sz w:val="13"/>
                <w:szCs w:val="13"/>
                <w:color w:val="auto"/>
              </w:rPr>
              <w:t>0.5</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60"/>
              <w:spacing w:after="0"/>
              <w:rPr>
                <w:sz w:val="20"/>
                <w:szCs w:val="20"/>
                <w:color w:val="auto"/>
              </w:rPr>
            </w:pPr>
            <w:r>
              <w:rPr>
                <w:rFonts w:ascii="Arial" w:cs="Arial" w:eastAsia="Arial" w:hAnsi="Arial"/>
                <w:sz w:val="13"/>
                <w:szCs w:val="13"/>
                <w:color w:val="auto"/>
              </w:rPr>
              <w:t>6.8</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6"/>
              </w:rPr>
              <w:t>Weighted average assumptions used in development of net periodic benefit</w:t>
            </w:r>
          </w:p>
        </w:tc>
        <w:tc>
          <w:tcPr>
            <w:tcW w:w="1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cost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Discount rate</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5.23%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6.46%</w:t>
            </w:r>
          </w:p>
        </w:tc>
        <w:tc>
          <w:tcPr>
            <w:tcW w:w="80" w:type="dxa"/>
            <w:vAlign w:val="bottom"/>
          </w:tcPr>
          <w:p>
            <w:pPr>
              <w:spacing w:after="0"/>
              <w:rPr>
                <w:sz w:val="13"/>
                <w:szCs w:val="13"/>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3"/>
                <w:szCs w:val="13"/>
                <w:color w:val="auto"/>
              </w:rPr>
              <w:t>6.11%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5.51%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right"/>
              <w:ind w:right="136"/>
              <w:spacing w:after="0"/>
              <w:rPr>
                <w:sz w:val="20"/>
                <w:szCs w:val="20"/>
                <w:color w:val="auto"/>
              </w:rPr>
            </w:pPr>
            <w:r>
              <w:rPr>
                <w:rFonts w:ascii="Arial" w:cs="Arial" w:eastAsia="Arial" w:hAnsi="Arial"/>
                <w:sz w:val="13"/>
                <w:szCs w:val="13"/>
                <w:color w:val="auto"/>
              </w:rPr>
              <w:t>6.06%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5.67%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136"/>
              <w:spacing w:after="0"/>
              <w:rPr>
                <w:sz w:val="20"/>
                <w:szCs w:val="20"/>
                <w:color w:val="auto"/>
              </w:rPr>
            </w:pPr>
            <w:r>
              <w:rPr>
                <w:rFonts w:ascii="Arial" w:cs="Arial" w:eastAsia="Arial" w:hAnsi="Arial"/>
                <w:sz w:val="13"/>
                <w:szCs w:val="13"/>
                <w:color w:val="auto"/>
              </w:rPr>
              <w:t>5.8%</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Rate of compensation increase</w:t>
            </w:r>
          </w:p>
        </w:tc>
        <w:tc>
          <w:tcPr>
            <w:tcW w:w="10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3"/>
                <w:szCs w:val="13"/>
                <w:color w:val="auto"/>
              </w:rPr>
              <w:t>n/a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3.8%</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tcPr>
          <w:p>
            <w:pPr>
              <w:jc w:val="right"/>
              <w:ind w:right="136"/>
              <w:spacing w:after="0"/>
              <w:rPr>
                <w:sz w:val="20"/>
                <w:szCs w:val="20"/>
                <w:color w:val="auto"/>
              </w:rPr>
            </w:pPr>
            <w:r>
              <w:rPr>
                <w:rFonts w:ascii="Arial" w:cs="Arial" w:eastAsia="Arial" w:hAnsi="Arial"/>
                <w:sz w:val="13"/>
                <w:szCs w:val="13"/>
                <w:color w:val="auto"/>
              </w:rPr>
              <w:t>4.1%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84</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information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960" w:type="dxa"/>
            <w:vAlign w:val="bottom"/>
          </w:tcPr>
          <w:p>
            <w:pPr>
              <w:spacing w:after="0"/>
              <w:rPr>
                <w:sz w:val="10"/>
                <w:szCs w:val="1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U.S. Defined</w:t>
            </w:r>
          </w:p>
        </w:tc>
        <w:tc>
          <w:tcPr>
            <w:tcW w:w="17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International Defined</w:t>
            </w:r>
          </w:p>
        </w:tc>
      </w:tr>
      <w:tr>
        <w:trPr>
          <w:trHeight w:val="125"/>
        </w:trPr>
        <w:tc>
          <w:tcPr>
            <w:tcW w:w="6960" w:type="dxa"/>
            <w:vAlign w:val="bottom"/>
          </w:tcPr>
          <w:p>
            <w:pPr>
              <w:spacing w:after="0"/>
              <w:rPr>
                <w:sz w:val="10"/>
                <w:szCs w:val="1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Benefit Plans</w:t>
            </w:r>
          </w:p>
        </w:tc>
        <w:tc>
          <w:tcPr>
            <w:tcW w:w="17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Benefit Plans</w:t>
            </w:r>
          </w:p>
        </w:tc>
      </w:tr>
      <w:tr>
        <w:trPr>
          <w:trHeight w:val="29"/>
        </w:trPr>
        <w:tc>
          <w:tcPr>
            <w:tcW w:w="69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Plan asset allocations:</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6960" w:type="dxa"/>
            <w:vAlign w:val="bottom"/>
          </w:tcPr>
          <w:p>
            <w:pPr>
              <w:ind w:left="140"/>
              <w:spacing w:after="0"/>
              <w:rPr>
                <w:sz w:val="20"/>
                <w:szCs w:val="20"/>
                <w:color w:val="auto"/>
              </w:rPr>
            </w:pPr>
            <w:r>
              <w:rPr>
                <w:rFonts w:ascii="Arial" w:cs="Arial" w:eastAsia="Arial" w:hAnsi="Arial"/>
                <w:sz w:val="13"/>
                <w:szCs w:val="13"/>
                <w:color w:val="auto"/>
              </w:rPr>
              <w:t>Target for September 30, 2011:</w:t>
            </w: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69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Equity securities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57"/>
        </w:trPr>
        <w:tc>
          <w:tcPr>
            <w:tcW w:w="6960" w:type="dxa"/>
            <w:vAlign w:val="bottom"/>
          </w:tcPr>
          <w:p>
            <w:pPr>
              <w:ind w:left="280"/>
              <w:spacing w:after="0"/>
              <w:rPr>
                <w:sz w:val="20"/>
                <w:szCs w:val="20"/>
                <w:color w:val="auto"/>
              </w:rPr>
            </w:pPr>
            <w:r>
              <w:rPr>
                <w:rFonts w:ascii="Arial" w:cs="Arial" w:eastAsia="Arial" w:hAnsi="Arial"/>
                <w:sz w:val="13"/>
                <w:szCs w:val="13"/>
                <w:color w:val="auto"/>
              </w:rPr>
              <w:t>Debt securities</w:t>
            </w: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60%</w:t>
            </w: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6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September 30, 2010:</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6960" w:type="dxa"/>
            <w:vAlign w:val="bottom"/>
          </w:tcPr>
          <w:p>
            <w:pPr>
              <w:ind w:left="280"/>
              <w:spacing w:after="0"/>
              <w:rPr>
                <w:sz w:val="20"/>
                <w:szCs w:val="20"/>
                <w:color w:val="auto"/>
              </w:rPr>
            </w:pPr>
            <w:r>
              <w:rPr>
                <w:rFonts w:ascii="Arial" w:cs="Arial" w:eastAsia="Arial" w:hAnsi="Arial"/>
                <w:sz w:val="13"/>
                <w:szCs w:val="13"/>
                <w:color w:val="auto"/>
              </w:rPr>
              <w:t>Equity securities</w:t>
            </w: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53%</w:t>
            </w: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49%</w:t>
            </w:r>
          </w:p>
        </w:tc>
      </w:tr>
      <w:tr>
        <w:trPr>
          <w:trHeight w:val="157"/>
        </w:trPr>
        <w:tc>
          <w:tcPr>
            <w:tcW w:w="69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Debt securities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6960" w:type="dxa"/>
            <w:vAlign w:val="bottom"/>
          </w:tcPr>
          <w:p>
            <w:pPr>
              <w:ind w:left="140"/>
              <w:spacing w:after="0"/>
              <w:rPr>
                <w:sz w:val="20"/>
                <w:szCs w:val="20"/>
                <w:color w:val="auto"/>
              </w:rPr>
            </w:pPr>
            <w:r>
              <w:rPr>
                <w:rFonts w:ascii="Arial" w:cs="Arial" w:eastAsia="Arial" w:hAnsi="Arial"/>
                <w:sz w:val="13"/>
                <w:szCs w:val="13"/>
                <w:color w:val="auto"/>
              </w:rPr>
              <w:t>September 30, 2009:</w:t>
            </w: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69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Equity securities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6960" w:type="dxa"/>
            <w:vAlign w:val="bottom"/>
          </w:tcPr>
          <w:p>
            <w:pPr>
              <w:ind w:left="280"/>
              <w:spacing w:after="0"/>
              <w:rPr>
                <w:sz w:val="20"/>
                <w:szCs w:val="20"/>
                <w:color w:val="auto"/>
              </w:rPr>
            </w:pPr>
            <w:r>
              <w:rPr>
                <w:rFonts w:ascii="Arial" w:cs="Arial" w:eastAsia="Arial" w:hAnsi="Arial"/>
                <w:sz w:val="13"/>
                <w:szCs w:val="13"/>
                <w:color w:val="auto"/>
              </w:rPr>
              <w:t>Debt securities</w:t>
            </w: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41%</w:t>
            </w: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69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57"/>
        </w:trPr>
        <w:tc>
          <w:tcPr>
            <w:tcW w:w="6960" w:type="dxa"/>
            <w:vAlign w:val="bottom"/>
          </w:tcPr>
          <w:p>
            <w:pPr>
              <w:ind w:left="140"/>
              <w:spacing w:after="0"/>
              <w:rPr>
                <w:sz w:val="20"/>
                <w:szCs w:val="20"/>
                <w:color w:val="auto"/>
              </w:rPr>
            </w:pPr>
            <w:r>
              <w:rPr>
                <w:rFonts w:ascii="Arial" w:cs="Arial" w:eastAsia="Arial" w:hAnsi="Arial"/>
                <w:sz w:val="13"/>
                <w:szCs w:val="13"/>
                <w:color w:val="auto"/>
              </w:rPr>
              <w:t>Expected company contributions in fiscal 2011</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11.1</w:t>
            </w:r>
          </w:p>
        </w:tc>
        <w:tc>
          <w:tcPr>
            <w:tcW w:w="1700" w:type="dxa"/>
            <w:vAlign w:val="bottom"/>
            <w:gridSpan w:val="2"/>
          </w:tcPr>
          <w:p>
            <w:pPr>
              <w:jc w:val="right"/>
              <w:ind w:right="120"/>
              <w:spacing w:after="0"/>
              <w:rPr>
                <w:sz w:val="20"/>
                <w:szCs w:val="20"/>
                <w:color w:val="auto"/>
              </w:rPr>
            </w:pPr>
            <w:r>
              <w:rPr>
                <w:rFonts w:ascii="Arial" w:cs="Arial" w:eastAsia="Arial" w:hAnsi="Arial"/>
                <w:sz w:val="13"/>
                <w:szCs w:val="13"/>
                <w:color w:val="auto"/>
              </w:rPr>
              <w:t>8.7</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Expected future benefit payments:</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2011</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6.5</w:t>
            </w:r>
          </w:p>
        </w:tc>
        <w:tc>
          <w:tcPr>
            <w:tcW w:w="1700" w:type="dxa"/>
            <w:vAlign w:val="bottom"/>
            <w:gridSpan w:val="2"/>
          </w:tcPr>
          <w:p>
            <w:pPr>
              <w:jc w:val="right"/>
              <w:ind w:right="120"/>
              <w:spacing w:after="0"/>
              <w:rPr>
                <w:sz w:val="20"/>
                <w:szCs w:val="20"/>
                <w:color w:val="auto"/>
              </w:rPr>
            </w:pPr>
            <w:r>
              <w:rPr>
                <w:rFonts w:ascii="Arial" w:cs="Arial" w:eastAsia="Arial" w:hAnsi="Arial"/>
                <w:sz w:val="13"/>
                <w:szCs w:val="13"/>
                <w:color w:val="auto"/>
              </w:rPr>
              <w:t>5.4</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6.8</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5.7</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2013</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6.8</w:t>
            </w:r>
          </w:p>
        </w:tc>
        <w:tc>
          <w:tcPr>
            <w:tcW w:w="1700" w:type="dxa"/>
            <w:vAlign w:val="bottom"/>
            <w:gridSpan w:val="2"/>
          </w:tcPr>
          <w:p>
            <w:pPr>
              <w:jc w:val="right"/>
              <w:ind w:right="120"/>
              <w:spacing w:after="0"/>
              <w:rPr>
                <w:sz w:val="20"/>
                <w:szCs w:val="20"/>
                <w:color w:val="auto"/>
              </w:rPr>
            </w:pPr>
            <w:r>
              <w:rPr>
                <w:rFonts w:ascii="Arial" w:cs="Arial" w:eastAsia="Arial" w:hAnsi="Arial"/>
                <w:sz w:val="13"/>
                <w:szCs w:val="13"/>
                <w:color w:val="auto"/>
              </w:rPr>
              <w:t>5.9</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6.9</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2015</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7.1</w:t>
            </w:r>
          </w:p>
        </w:tc>
        <w:tc>
          <w:tcPr>
            <w:tcW w:w="1700" w:type="dxa"/>
            <w:vAlign w:val="bottom"/>
            <w:gridSpan w:val="2"/>
          </w:tcPr>
          <w:p>
            <w:pPr>
              <w:jc w:val="right"/>
              <w:ind w:right="120"/>
              <w:spacing w:after="0"/>
              <w:rPr>
                <w:sz w:val="20"/>
                <w:szCs w:val="20"/>
                <w:color w:val="auto"/>
              </w:rPr>
            </w:pPr>
            <w:r>
              <w:rPr>
                <w:rFonts w:ascii="Arial" w:cs="Arial" w:eastAsia="Arial" w:hAnsi="Arial"/>
                <w:sz w:val="13"/>
                <w:szCs w:val="13"/>
                <w:color w:val="auto"/>
              </w:rPr>
              <w:t>6.8</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2016 — 2020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36.2</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39.8</w:t>
            </w:r>
          </w:p>
        </w:tc>
      </w:tr>
    </w:tbl>
    <w:p>
      <w:pPr>
        <w:spacing w:after="0" w:line="80"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The following table sets forth the fair value of the Company’s pension plan assets as of September 30, 2010 (in millions), segregated by level within the fair value hierarchy (refer to “NOTE 16. FAIR VALUE MEASUREMENTS” for further discussion of the fair value hierarchy and fair value principles):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September 30, 2010</w:t>
            </w: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440" w:type="dxa"/>
            <w:vAlign w:val="bottom"/>
          </w:tcPr>
          <w:p>
            <w:pPr>
              <w:jc w:val="center"/>
              <w:ind w:left="240"/>
              <w:spacing w:after="0" w:line="81" w:lineRule="exact"/>
              <w:rPr>
                <w:sz w:val="20"/>
                <w:szCs w:val="20"/>
                <w:color w:val="auto"/>
              </w:rPr>
            </w:pPr>
            <w:r>
              <w:rPr>
                <w:rFonts w:ascii="Arial" w:cs="Arial" w:eastAsia="Arial" w:hAnsi="Arial"/>
                <w:sz w:val="9"/>
                <w:szCs w:val="9"/>
                <w:b w:val="1"/>
                <w:bCs w:val="1"/>
                <w:color w:val="auto"/>
              </w:rPr>
              <w:t>Quoted Prices in Active</w:t>
            </w: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Significant Other</w:t>
            </w:r>
          </w:p>
        </w:tc>
        <w:tc>
          <w:tcPr>
            <w:tcW w:w="100" w:type="dxa"/>
            <w:vAlign w:val="bottom"/>
          </w:tcPr>
          <w:p>
            <w:pPr>
              <w:spacing w:after="0"/>
              <w:rPr>
                <w:sz w:val="7"/>
                <w:szCs w:val="7"/>
                <w:color w:val="auto"/>
              </w:rPr>
            </w:pPr>
          </w:p>
        </w:tc>
        <w:tc>
          <w:tcPr>
            <w:tcW w:w="12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Unobservable</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440" w:type="dxa"/>
            <w:vAlign w:val="bottom"/>
          </w:tcPr>
          <w:p>
            <w:pPr>
              <w:jc w:val="center"/>
              <w:ind w:left="220"/>
              <w:spacing w:after="0" w:line="108" w:lineRule="exact"/>
              <w:rPr>
                <w:sz w:val="20"/>
                <w:szCs w:val="20"/>
                <w:color w:val="auto"/>
              </w:rPr>
            </w:pPr>
            <w:r>
              <w:rPr>
                <w:rFonts w:ascii="Arial" w:cs="Arial" w:eastAsia="Arial" w:hAnsi="Arial"/>
                <w:sz w:val="10"/>
                <w:szCs w:val="10"/>
                <w:b w:val="1"/>
                <w:bCs w:val="1"/>
                <w:color w:val="auto"/>
                <w:w w:val="98"/>
              </w:rPr>
              <w:t>Markets for Identical</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Observable</w:t>
            </w:r>
          </w:p>
        </w:tc>
        <w:tc>
          <w:tcPr>
            <w:tcW w:w="100" w:type="dxa"/>
            <w:vAlign w:val="bottom"/>
          </w:tcPr>
          <w:p>
            <w:pPr>
              <w:spacing w:after="0"/>
              <w:rPr>
                <w:sz w:val="9"/>
                <w:szCs w:val="9"/>
                <w:color w:val="auto"/>
              </w:rPr>
            </w:pPr>
          </w:p>
        </w:tc>
        <w:tc>
          <w:tcPr>
            <w:tcW w:w="12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9"/>
              </w:rPr>
              <w:t>Inputs</w:t>
            </w:r>
          </w:p>
        </w:tc>
        <w:tc>
          <w:tcPr>
            <w:tcW w:w="60" w:type="dxa"/>
            <w:vAlign w:val="bottom"/>
          </w:tcPr>
          <w:p>
            <w:pPr>
              <w:spacing w:after="0"/>
              <w:rPr>
                <w:sz w:val="9"/>
                <w:szCs w:val="9"/>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1"/>
              </w:rPr>
              <w:t>Total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40" w:type="dxa"/>
            <w:vAlign w:val="bottom"/>
          </w:tcPr>
          <w:p>
            <w:pPr>
              <w:jc w:val="center"/>
              <w:ind w:left="240"/>
              <w:spacing w:after="0"/>
              <w:rPr>
                <w:sz w:val="20"/>
                <w:szCs w:val="20"/>
                <w:color w:val="auto"/>
              </w:rPr>
            </w:pPr>
            <w:r>
              <w:rPr>
                <w:rFonts w:ascii="Arial" w:cs="Arial" w:eastAsia="Arial" w:hAnsi="Arial"/>
                <w:sz w:val="10"/>
                <w:szCs w:val="10"/>
                <w:b w:val="1"/>
                <w:bCs w:val="1"/>
                <w:color w:val="auto"/>
                <w:w w:val="91"/>
              </w:rPr>
              <w:t>Assets (Level 1)</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Inputs (Level 2)</w:t>
            </w:r>
          </w:p>
        </w:tc>
        <w:tc>
          <w:tcPr>
            <w:tcW w:w="10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(Level 3)</w:t>
            </w:r>
          </w:p>
        </w:tc>
        <w:tc>
          <w:tcPr>
            <w:tcW w:w="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U.S. Defined Benefit Plan Assets</w:t>
            </w:r>
          </w:p>
        </w:tc>
        <w:tc>
          <w:tcPr>
            <w:tcW w:w="1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440" w:type="dxa"/>
            <w:vAlign w:val="bottom"/>
          </w:tcPr>
          <w:p>
            <w:pPr>
              <w:jc w:val="right"/>
              <w:ind w:right="1300"/>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Common stock</w:t>
            </w:r>
          </w:p>
        </w:tc>
        <w:tc>
          <w:tcPr>
            <w:tcW w:w="14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Mutual funds — equities</w:t>
            </w:r>
          </w:p>
        </w:tc>
        <w:tc>
          <w:tcPr>
            <w:tcW w:w="144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32.7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Mutual funds — fixed income</w:t>
            </w:r>
          </w:p>
        </w:tc>
        <w:tc>
          <w:tcPr>
            <w:tcW w:w="14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600" w:type="dxa"/>
            <w:vAlign w:val="bottom"/>
            <w:vMerge w:val="continue"/>
          </w:tcPr>
          <w:p>
            <w:pPr>
              <w:spacing w:after="0"/>
              <w:rPr>
                <w:sz w:val="14"/>
                <w:szCs w:val="14"/>
                <w:color w:val="auto"/>
              </w:rPr>
            </w:pPr>
          </w:p>
        </w:tc>
        <w:tc>
          <w:tcPr>
            <w:tcW w:w="1440" w:type="dxa"/>
            <w:vAlign w:val="bottom"/>
          </w:tcPr>
          <w:p>
            <w:pPr>
              <w:jc w:val="right"/>
              <w:ind w:right="1300"/>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69.7</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69.7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International Defined Benefit Plan Assets</w:t>
            </w:r>
          </w:p>
        </w:tc>
        <w:tc>
          <w:tcPr>
            <w:tcW w:w="14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440" w:type="dxa"/>
            <w:vAlign w:val="bottom"/>
          </w:tcPr>
          <w:p>
            <w:pPr>
              <w:jc w:val="right"/>
              <w:ind w:right="1300"/>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Insurance contracts</w:t>
            </w:r>
          </w:p>
        </w:tc>
        <w:tc>
          <w:tcPr>
            <w:tcW w:w="14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Mutual funds — equities</w:t>
            </w:r>
          </w:p>
        </w:tc>
        <w:tc>
          <w:tcPr>
            <w:tcW w:w="144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65.1</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65.1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Mutual funds — fixed income</w:t>
            </w:r>
          </w:p>
        </w:tc>
        <w:tc>
          <w:tcPr>
            <w:tcW w:w="14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vMerge w:val="continue"/>
          </w:tcPr>
          <w:p>
            <w:pPr>
              <w:spacing w:after="0"/>
              <w:rPr>
                <w:sz w:val="14"/>
                <w:szCs w:val="14"/>
                <w:color w:val="auto"/>
              </w:rPr>
            </w:pPr>
          </w:p>
        </w:tc>
        <w:tc>
          <w:tcPr>
            <w:tcW w:w="1440" w:type="dxa"/>
            <w:vAlign w:val="bottom"/>
          </w:tcPr>
          <w:p>
            <w:pPr>
              <w:jc w:val="right"/>
              <w:ind w:right="1300"/>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0.7</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111.0</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22.7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134.4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40" w:type="dxa"/>
            <w:vAlign w:val="bottom"/>
            <w:tcBorders>
              <w:top w:val="single" w:sz="8" w:color="auto"/>
            </w:tcBorders>
          </w:tcPr>
          <w:p>
            <w:pPr>
              <w:jc w:val="right"/>
              <w:ind w:right="920"/>
              <w:spacing w:after="0"/>
              <w:rPr>
                <w:sz w:val="20"/>
                <w:szCs w:val="20"/>
                <w:color w:val="auto"/>
              </w:rPr>
            </w:pPr>
            <w:r>
              <w:rPr>
                <w:rFonts w:ascii="Arial" w:cs="Arial" w:eastAsia="Arial" w:hAnsi="Arial"/>
                <w:sz w:val="13"/>
                <w:szCs w:val="13"/>
                <w:color w:val="auto"/>
              </w:rPr>
              <w:t>85</w:t>
            </w:r>
          </w:p>
        </w:tc>
        <w:tc>
          <w:tcPr>
            <w:tcW w:w="2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0" w:type="dxa"/>
            <w:vAlign w:val="bottom"/>
            <w:tcBorders>
              <w:bottom w:val="single" w:sz="8" w:color="808080"/>
            </w:tcBorders>
          </w:tcPr>
          <w:p>
            <w:pPr>
              <w:spacing w:after="0"/>
              <w:rPr>
                <w:sz w:val="14"/>
                <w:szCs w:val="14"/>
                <w:color w:val="auto"/>
              </w:rPr>
            </w:pPr>
          </w:p>
        </w:tc>
        <w:tc>
          <w:tcPr>
            <w:tcW w:w="14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right"/>
        <w:ind w:right="960"/>
        <w:spacing w:after="0"/>
        <w:rPr>
          <w:sz w:val="20"/>
          <w:szCs w:val="20"/>
          <w:color w:val="auto"/>
        </w:rPr>
      </w:pPr>
      <w:r>
        <w:rPr>
          <w:rFonts w:ascii="Arial" w:cs="Arial" w:eastAsia="Arial" w:hAnsi="Arial"/>
          <w:sz w:val="13"/>
          <w:szCs w:val="13"/>
          <w:color w:val="auto"/>
        </w:rPr>
        <w:t>The table below sets forth a summary of changes in the fair value of the Company’s level 3 pension plan assets for the year ended September 30, 2010 (in millions):</w:t>
      </w:r>
    </w:p>
    <w:p>
      <w:pPr>
        <w:sectPr>
          <w:pgSz w:w="11900" w:h="16838" w:orient="portrait"/>
          <w:cols w:equalWidth="0" w:num="1">
            <w:col w:w="10640"/>
          </w:cols>
          <w:pgMar w:left="220" w:top="343" w:right="1039" w:bottom="1440" w:gutter="0" w:footer="0" w:header="0"/>
        </w:sectPr>
      </w:pPr>
    </w:p>
    <w:p>
      <w:pPr>
        <w:spacing w:after="0" w:line="37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Balance, October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Realized gain on plan assets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Unrealized gain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Foreign currency translation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Purchases, sales, issuances and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-78740</wp:posOffset>
            </wp:positionV>
            <wp:extent cx="6335395" cy="996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Balance, September 30, 2010</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Investment Strategy</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ind w:right="73"/>
        <w:spacing w:after="0"/>
        <w:rPr>
          <w:sz w:val="20"/>
          <w:szCs w:val="20"/>
          <w:color w:val="auto"/>
        </w:rPr>
      </w:pPr>
      <w:r>
        <w:rPr>
          <w:rFonts w:ascii="Arial" w:cs="Arial" w:eastAsia="Arial" w:hAnsi="Arial"/>
          <w:sz w:val="10"/>
          <w:szCs w:val="10"/>
          <w:b w:val="1"/>
          <w:bCs w:val="1"/>
          <w:color w:val="auto"/>
        </w:rPr>
        <w:t>Level 3 Assets</w:t>
      </w:r>
    </w:p>
    <w:p>
      <w:pPr>
        <w:spacing w:after="0" w:line="5" w:lineRule="exact"/>
        <w:rPr>
          <w:sz w:val="20"/>
          <w:szCs w:val="20"/>
          <w:color w:val="auto"/>
        </w:rPr>
      </w:pPr>
    </w:p>
    <w:p>
      <w:pPr>
        <w:jc w:val="center"/>
        <w:ind w:right="73"/>
        <w:spacing w:after="0"/>
        <w:rPr>
          <w:sz w:val="20"/>
          <w:szCs w:val="20"/>
          <w:color w:val="auto"/>
        </w:rPr>
      </w:pPr>
      <w:r>
        <w:rPr>
          <w:rFonts w:ascii="Arial" w:cs="Arial" w:eastAsia="Arial" w:hAnsi="Arial"/>
          <w:sz w:val="10"/>
          <w:szCs w:val="10"/>
          <w:b w:val="1"/>
          <w:bCs w:val="1"/>
          <w:color w:val="auto"/>
        </w:rPr>
        <w:t>Insurance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94869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spacing w:after="0" w:line="18" w:lineRule="exact"/>
        <w:rPr>
          <w:sz w:val="20"/>
          <w:szCs w:val="20"/>
          <w:color w:val="auto"/>
        </w:rPr>
      </w:pPr>
    </w:p>
    <w:p>
      <w:pPr>
        <w:ind w:left="1267" w:hanging="1267"/>
        <w:spacing w:after="0"/>
        <w:tabs>
          <w:tab w:leader="none" w:pos="1267" w:val="left"/>
        </w:tabs>
        <w:numPr>
          <w:ilvl w:val="0"/>
          <w:numId w:val="24"/>
        </w:numPr>
        <w:rPr>
          <w:rFonts w:ascii="Arial" w:cs="Arial" w:eastAsia="Arial" w:hAnsi="Arial"/>
          <w:sz w:val="13"/>
          <w:szCs w:val="13"/>
          <w:color w:val="auto"/>
        </w:rPr>
      </w:pPr>
      <w:r>
        <w:rPr>
          <w:rFonts w:ascii="Arial" w:cs="Arial" w:eastAsia="Arial" w:hAnsi="Arial"/>
          <w:sz w:val="13"/>
          <w:szCs w:val="13"/>
          <w:color w:val="auto"/>
        </w:rPr>
        <w:t>20.9</w:t>
      </w:r>
    </w:p>
    <w:p>
      <w:pPr>
        <w:spacing w:after="0" w:line="15" w:lineRule="exact"/>
        <w:rPr>
          <w:rFonts w:ascii="Arial" w:cs="Arial" w:eastAsia="Arial" w:hAnsi="Arial"/>
          <w:sz w:val="13"/>
          <w:szCs w:val="13"/>
          <w:color w:val="auto"/>
        </w:rPr>
      </w:pPr>
    </w:p>
    <w:p>
      <w:pPr>
        <w:ind w:left="1327"/>
        <w:spacing w:after="0"/>
        <w:rPr>
          <w:rFonts w:ascii="Arial" w:cs="Arial" w:eastAsia="Arial" w:hAnsi="Arial"/>
          <w:sz w:val="13"/>
          <w:szCs w:val="13"/>
          <w:color w:val="auto"/>
        </w:rPr>
      </w:pPr>
      <w:r>
        <w:rPr>
          <w:rFonts w:ascii="Arial" w:cs="Arial" w:eastAsia="Arial" w:hAnsi="Arial"/>
          <w:sz w:val="13"/>
          <w:szCs w:val="13"/>
          <w:color w:val="auto"/>
        </w:rPr>
        <w:t>0.9</w:t>
      </w:r>
    </w:p>
    <w:p>
      <w:pPr>
        <w:spacing w:after="0" w:line="7" w:lineRule="exact"/>
        <w:rPr>
          <w:rFonts w:ascii="Arial" w:cs="Arial" w:eastAsia="Arial" w:hAnsi="Arial"/>
          <w:sz w:val="13"/>
          <w:szCs w:val="13"/>
          <w:color w:val="auto"/>
        </w:rPr>
      </w:pPr>
    </w:p>
    <w:p>
      <w:pPr>
        <w:ind w:left="1327"/>
        <w:spacing w:after="0"/>
        <w:rPr>
          <w:rFonts w:ascii="Arial" w:cs="Arial" w:eastAsia="Arial" w:hAnsi="Arial"/>
          <w:sz w:val="13"/>
          <w:szCs w:val="13"/>
          <w:color w:val="auto"/>
        </w:rPr>
      </w:pPr>
      <w:r>
        <w:rPr>
          <w:rFonts w:ascii="Arial" w:cs="Arial" w:eastAsia="Arial" w:hAnsi="Arial"/>
          <w:sz w:val="13"/>
          <w:szCs w:val="13"/>
          <w:color w:val="auto"/>
        </w:rPr>
        <w:t>1.1</w:t>
      </w:r>
    </w:p>
    <w:p>
      <w:pPr>
        <w:spacing w:after="0" w:line="8"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(1.5)</w:t>
      </w:r>
    </w:p>
    <w:p>
      <w:pPr>
        <w:spacing w:after="0" w:line="8" w:lineRule="exact"/>
        <w:rPr>
          <w:sz w:val="20"/>
          <w:szCs w:val="20"/>
          <w:color w:val="auto"/>
        </w:rPr>
      </w:pPr>
    </w:p>
    <w:p>
      <w:pPr>
        <w:ind w:left="1327"/>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94869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ind w:left="1267" w:hanging="1267"/>
        <w:spacing w:after="0"/>
        <w:tabs>
          <w:tab w:leader="none" w:pos="1267" w:val="left"/>
        </w:tabs>
        <w:numPr>
          <w:ilvl w:val="0"/>
          <w:numId w:val="25"/>
        </w:numPr>
        <w:rPr>
          <w:rFonts w:ascii="Arial" w:cs="Arial" w:eastAsia="Arial" w:hAnsi="Arial"/>
          <w:sz w:val="13"/>
          <w:szCs w:val="13"/>
          <w:color w:val="auto"/>
        </w:rPr>
      </w:pPr>
      <w:r>
        <w:rPr>
          <w:rFonts w:ascii="Arial" w:cs="Arial" w:eastAsia="Arial" w:hAnsi="Arial"/>
          <w:sz w:val="13"/>
          <w:szCs w:val="13"/>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94869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8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94869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spacing w:after="0" w:line="459" w:lineRule="exact"/>
        <w:rPr>
          <w:sz w:val="20"/>
          <w:szCs w:val="20"/>
          <w:color w:val="auto"/>
        </w:rPr>
      </w:pPr>
    </w:p>
    <w:p>
      <w:pPr>
        <w:sectPr>
          <w:pgSz w:w="11900" w:h="16838" w:orient="portrait"/>
          <w:cols w:equalWidth="0" w:num="2">
            <w:col w:w="8353" w:space="720"/>
            <w:col w:w="1567"/>
          </w:cols>
          <w:pgMar w:left="220" w:top="343" w:right="1039" w:bottom="1440" w:gutter="0" w:footer="0" w:header="0"/>
          <w:type w:val="continuous"/>
        </w:sectPr>
      </w:pPr>
    </w:p>
    <w:p>
      <w:pPr>
        <w:ind w:left="680" w:firstLine="399"/>
        <w:spacing w:after="0" w:line="260" w:lineRule="auto"/>
        <w:rPr>
          <w:sz w:val="20"/>
          <w:szCs w:val="20"/>
          <w:color w:val="auto"/>
        </w:rPr>
      </w:pPr>
      <w:r>
        <w:rPr>
          <w:rFonts w:ascii="Arial" w:cs="Arial" w:eastAsia="Arial" w:hAnsi="Arial"/>
          <w:sz w:val="13"/>
          <w:szCs w:val="13"/>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and considering expected cash requirements necessary to fund benefit payments. However, we cannot predict future investment returns, and therefore cannot determine whether future pension plan funding requirements could materially and adversely affect our financial condition, results of operations or cash flows.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Basis for Long-Term Rate of Return on Asset Assumptions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14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10.</w:t>
      </w:r>
      <w:r>
        <w:rPr>
          <w:sz w:val="20"/>
          <w:szCs w:val="20"/>
          <w:color w:val="auto"/>
        </w:rPr>
        <w:tab/>
      </w:r>
      <w:r>
        <w:rPr>
          <w:rFonts w:ascii="Arial" w:cs="Arial" w:eastAsia="Arial" w:hAnsi="Arial"/>
          <w:sz w:val="13"/>
          <w:szCs w:val="13"/>
          <w:b w:val="1"/>
          <w:bCs w:val="1"/>
          <w:color w:val="auto"/>
        </w:rPr>
        <w:t>ASSOCIATE MEDICAL BENEFITS</w:t>
      </w:r>
    </w:p>
    <w:p>
      <w:pPr>
        <w:spacing w:after="0" w:line="100"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retiree medical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88" w:name="page89"/>
    <w:bookmarkEnd w:id="8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about the retiree medical plan for domestic associates (in millions). The retiree medical plan is valued using a September 30 measurement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0"/>
                <w:szCs w:val="10"/>
                <w:b w:val="1"/>
                <w:bCs w:val="1"/>
                <w:color w:val="auto"/>
              </w:rPr>
              <w:t>2009</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Accumulated Plan Benefit Obligation (APBO)</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color w:val="auto"/>
              </w:rPr>
              <w:t>Benefit obligation at beginning of year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78"/>
              </w:rPr>
              <w:t>31.0</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26.2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color w:val="auto"/>
              </w:rPr>
              <w:t>Interest cost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Plan participants’ contributions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color w:val="auto"/>
              </w:rPr>
              <w:t>Actuarial loss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0.5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Benefits paid (net of federal subsidy of $0.3 and $0.3)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(2.9)</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60" w:type="dxa"/>
            <w:vAlign w:val="bottom"/>
            <w:vMerge w:val="restart"/>
          </w:tcPr>
          <w:p>
            <w:pPr>
              <w:spacing w:after="0"/>
              <w:rPr>
                <w:sz w:val="20"/>
                <w:szCs w:val="20"/>
                <w:color w:val="auto"/>
              </w:rPr>
            </w:pPr>
            <w:r>
              <w:rPr>
                <w:rFonts w:ascii="Arial" w:cs="Arial" w:eastAsia="Arial" w:hAnsi="Arial"/>
                <w:sz w:val="13"/>
                <w:szCs w:val="13"/>
                <w:color w:val="auto"/>
              </w:rPr>
              <w:t>Benefit obligation at end of year</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7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78"/>
              </w:rPr>
              <w:t>31.7</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31.0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plan assets</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color w:val="auto"/>
              </w:rPr>
              <w:t>Fair value of plan assets at beginning of year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Employer contribution</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color w:val="auto"/>
              </w:rPr>
              <w:t>Plan participants’ contributions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0.9</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Gross benefits paid</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(3.3)</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60" w:type="dxa"/>
            <w:vAlign w:val="bottom"/>
            <w:vMerge w:val="restart"/>
          </w:tcPr>
          <w:p>
            <w:pPr>
              <w:spacing w:after="0"/>
              <w:rPr>
                <w:sz w:val="20"/>
                <w:szCs w:val="20"/>
                <w:color w:val="auto"/>
              </w:rPr>
            </w:pPr>
            <w:r>
              <w:rPr>
                <w:rFonts w:ascii="Arial" w:cs="Arial" w:eastAsia="Arial" w:hAnsi="Arial"/>
                <w:sz w:val="13"/>
                <w:szCs w:val="13"/>
                <w:color w:val="auto"/>
              </w:rPr>
              <w:t>Fair value of plan assets at end of year</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Unfunded status at end of year</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(31.7)</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9"/>
              </w:rPr>
              <w:t>(31.0)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60" w:type="dxa"/>
            <w:vAlign w:val="bottom"/>
          </w:tcPr>
          <w:p>
            <w:pPr>
              <w:spacing w:after="0"/>
              <w:rPr>
                <w:sz w:val="20"/>
                <w:szCs w:val="20"/>
                <w:color w:val="auto"/>
              </w:rPr>
            </w:pPr>
            <w:r>
              <w:rPr>
                <w:rFonts w:ascii="Arial" w:cs="Arial" w:eastAsia="Arial" w:hAnsi="Arial"/>
                <w:sz w:val="13"/>
                <w:szCs w:val="13"/>
                <w:b w:val="1"/>
                <w:bCs w:val="1"/>
                <w:color w:val="auto"/>
              </w:rPr>
              <w:t>Amounts recognized in the Consolidated Balance Sheets consist of:</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(2.1)</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color w:val="auto"/>
              </w:rPr>
              <w:t>Noncurrent liabilities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13"/>
                <w:szCs w:val="13"/>
                <w:color w:val="auto"/>
              </w:rPr>
              <w:t>(29.6)</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w w:val="99"/>
              </w:rPr>
              <w:t>(28.8)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Total amount accrued</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(31.7)</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9"/>
              </w:rPr>
              <w:t>(31.0)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60" w:type="dxa"/>
            <w:vAlign w:val="bottom"/>
          </w:tcPr>
          <w:p>
            <w:pPr>
              <w:spacing w:after="0"/>
              <w:rPr>
                <w:sz w:val="20"/>
                <w:szCs w:val="20"/>
                <w:color w:val="auto"/>
              </w:rPr>
            </w:pPr>
            <w:r>
              <w:rPr>
                <w:rFonts w:ascii="Arial" w:cs="Arial" w:eastAsia="Arial" w:hAnsi="Arial"/>
                <w:sz w:val="13"/>
                <w:szCs w:val="13"/>
                <w:b w:val="1"/>
                <w:bCs w:val="1"/>
                <w:color w:val="auto"/>
              </w:rPr>
              <w:t>Amounts recognized in accumulated other comprehensive loss consist of:</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Actuarial loss</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60" w:type="dxa"/>
            <w:vAlign w:val="bottom"/>
          </w:tcPr>
          <w:p>
            <w:pPr>
              <w:spacing w:after="0"/>
              <w:rPr>
                <w:sz w:val="20"/>
                <w:szCs w:val="20"/>
                <w:color w:val="auto"/>
              </w:rPr>
            </w:pPr>
            <w:r>
              <w:rPr>
                <w:rFonts w:ascii="Arial" w:cs="Arial" w:eastAsia="Arial" w:hAnsi="Arial"/>
                <w:sz w:val="13"/>
                <w:szCs w:val="13"/>
                <w:b w:val="1"/>
                <w:bCs w:val="1"/>
                <w:color w:val="auto"/>
              </w:rPr>
              <w:t>Total change in other comprehensive loss attributable to:</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Benefit losses during the period</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color w:val="auto"/>
              </w:rPr>
              <w:t>Reclassification of benefit gains to net income</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Total change in other comprehensive loss</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60" w:type="dxa"/>
            <w:vAlign w:val="bottom"/>
          </w:tcPr>
          <w:p>
            <w:pPr>
              <w:spacing w:after="0"/>
              <w:rPr>
                <w:sz w:val="20"/>
                <w:szCs w:val="20"/>
                <w:color w:val="auto"/>
              </w:rPr>
            </w:pPr>
            <w:r>
              <w:rPr>
                <w:rFonts w:ascii="Arial" w:cs="Arial" w:eastAsia="Arial" w:hAnsi="Arial"/>
                <w:sz w:val="13"/>
                <w:szCs w:val="13"/>
                <w:color w:val="auto"/>
                <w:w w:val="97"/>
              </w:rPr>
              <w:t>The estimated actuarial gain that will be amortized from accumulated loss into net periodic benefit cost over the next fiscal year is immaterial</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Discount rate used in development of APBO</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86"/>
              </w:rPr>
              <w:t>4.91%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89"/>
              </w:rPr>
              <w:t>2010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w w:val="89"/>
              </w:rPr>
              <w:t>2009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Components of net periodic benefit cost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color w:val="auto"/>
              </w:rPr>
              <w:t>Service cost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320"/>
              <w:spacing w:after="0"/>
              <w:rPr>
                <w:sz w:val="20"/>
                <w:szCs w:val="20"/>
                <w:color w:val="auto"/>
              </w:rPr>
            </w:pPr>
            <w:r>
              <w:rPr>
                <w:rFonts w:ascii="Arial" w:cs="Arial" w:eastAsia="Arial" w:hAnsi="Arial"/>
                <w:sz w:val="13"/>
                <w:szCs w:val="13"/>
                <w:color w:val="auto"/>
              </w:rPr>
              <w:t>0.4</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Interest cost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color w:val="auto"/>
              </w:rPr>
              <w:t>Amortization of actuarial gain</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Total postretirement benefit cost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860" w:type="dxa"/>
            <w:vAlign w:val="bottom"/>
            <w:vMerge w:val="restart"/>
          </w:tcPr>
          <w:p>
            <w:pPr>
              <w:spacing w:after="0"/>
              <w:rPr>
                <w:sz w:val="20"/>
                <w:szCs w:val="20"/>
                <w:color w:val="auto"/>
              </w:rPr>
            </w:pPr>
            <w:r>
              <w:rPr>
                <w:rFonts w:ascii="Arial" w:cs="Arial" w:eastAsia="Arial" w:hAnsi="Arial"/>
                <w:sz w:val="13"/>
                <w:szCs w:val="13"/>
                <w:b w:val="1"/>
                <w:bCs w:val="1"/>
                <w:color w:val="auto"/>
              </w:rPr>
              <w:t>Discount rate used in development of net periodic benefit cost</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gridSpan w:val="2"/>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7.54%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6.22%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860" w:type="dxa"/>
            <w:vAlign w:val="bottom"/>
          </w:tcPr>
          <w:p>
            <w:pPr>
              <w:ind w:left="4940"/>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8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The APBO at September 30, 2010, has been reduced by a deferred actuarial gain in the amount of $0.8 million to reflect the effect of the subsidy related to benefits attributed to past service. The amortization of the actuarial gain and reduction of service and interest costs served to reduce net periodic post retirement benefit cost for fiscal 2010, fiscal 2009 and fiscal 2008 by $0.5 million, $0.6 million and $0.5 million, respectively.</w:t>
      </w:r>
    </w:p>
    <w:p>
      <w:pPr>
        <w:spacing w:after="0" w:line="71"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Company has historically received a federal retiree drug subsidy as it offers retiree prescription drug coverage that is at a minimum as valuable as Medicare Part D coverage. The Patient Protection and Affordable Care Act (“PPACA”), which was enacted on March 23, 2010, repealed the existing rule that permitted a tax deduction for the portion of the drug coverage expense that was offset by the Medicare Part D subsidy received by the Company. This provision of PPACA was to be effective beginning with the Company’s fiscal 2012 tax year. On March 30, 2010, a companion bill, the Health Care and Education Reconciliation Act of 2010 (“HCERA”), was enacted. HCERA delayed the effective date of the reduction under PPACA until the Company’s fiscal 2014 tax year. As a result of this new legislation, the Company recorded a $1.9 million charge to tax expense during its second quarter of fiscal 2010 to reduce its deferred tax asset for the portion of the subsidy that will no longer be deductible when paid after fiscal 2013.</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For measurement as of September 30, 2010, management has assumed that health care costs will increase at an annual rate of 7.5% in fiscal 2010, decreasing 0.50% per year to an ultimate trend of 5.00% in 2015. A 1% increase in health cost trend rate assumptions would increase the APBO by $0.9 million both as of September 30, 2010 and 2009. A 1% decrease in health cost trend rate assumptions would decrease the APBO by $1.0 million both as of September 30, 2010 and 2009. A 1% increase or decrease in the same rate would not have a material effect on service or interest costs.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Estimated Future Benefit Payments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benefit payments under the plan are expected to be paid by the Company and the retirees for the fiscal years indicated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89"/>
              </w:rPr>
              <w:t>Gross</w:t>
            </w:r>
          </w:p>
        </w:tc>
        <w:tc>
          <w:tcPr>
            <w:tcW w:w="280" w:type="dxa"/>
            <w:vAlign w:val="bottom"/>
          </w:tcPr>
          <w:p>
            <w:pPr>
              <w:spacing w:after="0"/>
              <w:rPr>
                <w:sz w:val="10"/>
                <w:szCs w:val="10"/>
                <w:color w:val="auto"/>
              </w:rPr>
            </w:pPr>
          </w:p>
        </w:tc>
        <w:tc>
          <w:tcPr>
            <w:tcW w:w="1240" w:type="dxa"/>
            <w:vAlign w:val="bottom"/>
            <w:vMerge w:val="restart"/>
          </w:tcPr>
          <w:p>
            <w:pPr>
              <w:jc w:val="right"/>
              <w:ind w:right="408"/>
              <w:spacing w:after="0"/>
              <w:rPr>
                <w:sz w:val="20"/>
                <w:szCs w:val="20"/>
                <w:color w:val="auto"/>
              </w:rPr>
            </w:pPr>
            <w:r>
              <w:rPr>
                <w:rFonts w:ascii="Arial" w:cs="Arial" w:eastAsia="Arial" w:hAnsi="Arial"/>
                <w:sz w:val="10"/>
                <w:szCs w:val="10"/>
                <w:b w:val="1"/>
                <w:bCs w:val="1"/>
                <w:color w:val="auto"/>
              </w:rPr>
              <w:t>Retiree</w:t>
            </w:r>
          </w:p>
        </w:tc>
        <w:tc>
          <w:tcPr>
            <w:tcW w:w="28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6"/>
              </w:rPr>
              <w:t>Medicare</w:t>
            </w:r>
          </w:p>
        </w:tc>
        <w:tc>
          <w:tcPr>
            <w:tcW w:w="280" w:type="dxa"/>
            <w:vAlign w:val="bottom"/>
          </w:tcPr>
          <w:p>
            <w:pPr>
              <w:spacing w:after="0"/>
              <w:rPr>
                <w:sz w:val="10"/>
                <w:szCs w:val="10"/>
                <w:color w:val="auto"/>
              </w:rPr>
            </w:pPr>
          </w:p>
        </w:tc>
        <w:tc>
          <w:tcPr>
            <w:tcW w:w="820" w:type="dxa"/>
            <w:vAlign w:val="bottom"/>
          </w:tcPr>
          <w:p>
            <w:pPr>
              <w:jc w:val="right"/>
              <w:ind w:right="268"/>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Benefit</w:t>
            </w:r>
          </w:p>
        </w:tc>
        <w:tc>
          <w:tcPr>
            <w:tcW w:w="2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Part D</w:t>
            </w:r>
          </w:p>
        </w:tc>
        <w:tc>
          <w:tcPr>
            <w:tcW w:w="280" w:type="dxa"/>
            <w:vAlign w:val="bottom"/>
          </w:tcPr>
          <w:p>
            <w:pPr>
              <w:spacing w:after="0"/>
              <w:rPr>
                <w:sz w:val="9"/>
                <w:szCs w:val="9"/>
                <w:color w:val="auto"/>
              </w:rPr>
            </w:pPr>
          </w:p>
        </w:tc>
        <w:tc>
          <w:tcPr>
            <w:tcW w:w="820" w:type="dxa"/>
            <w:vAlign w:val="bottom"/>
          </w:tcPr>
          <w:p>
            <w:pPr>
              <w:jc w:val="right"/>
              <w:ind w:right="128"/>
              <w:spacing w:after="0" w:line="108" w:lineRule="exact"/>
              <w:rPr>
                <w:sz w:val="20"/>
                <w:szCs w:val="20"/>
                <w:color w:val="auto"/>
              </w:rPr>
            </w:pPr>
            <w:r>
              <w:rPr>
                <w:rFonts w:ascii="Arial" w:cs="Arial" w:eastAsia="Arial" w:hAnsi="Arial"/>
                <w:sz w:val="10"/>
                <w:szCs w:val="10"/>
                <w:b w:val="1"/>
                <w:bCs w:val="1"/>
                <w:color w:val="auto"/>
              </w:rPr>
              <w:t>Company</w:t>
            </w:r>
          </w:p>
        </w:tc>
        <w:tc>
          <w:tcPr>
            <w:tcW w:w="0" w:type="dxa"/>
            <w:vAlign w:val="bottom"/>
          </w:tcPr>
          <w:p>
            <w:pPr>
              <w:spacing w:after="0"/>
              <w:rPr>
                <w:sz w:val="1"/>
                <w:szCs w:val="1"/>
                <w:color w:val="auto"/>
              </w:rPr>
            </w:pPr>
          </w:p>
        </w:tc>
      </w:tr>
      <w:tr>
        <w:trPr>
          <w:trHeight w:val="125"/>
        </w:trPr>
        <w:tc>
          <w:tcPr>
            <w:tcW w:w="54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Payments</w:t>
            </w:r>
          </w:p>
        </w:tc>
        <w:tc>
          <w:tcPr>
            <w:tcW w:w="280" w:type="dxa"/>
            <w:vAlign w:val="bottom"/>
          </w:tcPr>
          <w:p>
            <w:pPr>
              <w:spacing w:after="0"/>
              <w:rPr>
                <w:sz w:val="10"/>
                <w:szCs w:val="10"/>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0"/>
                <w:szCs w:val="10"/>
                <w:b w:val="1"/>
                <w:bCs w:val="1"/>
                <w:color w:val="auto"/>
              </w:rPr>
              <w:t>Contributions</w:t>
            </w:r>
          </w:p>
        </w:tc>
        <w:tc>
          <w:tcPr>
            <w:tcW w:w="28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Subsidy</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Payments</w:t>
            </w: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82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$ 3.3</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 (0.9)</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$(0.3)</w:t>
            </w: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$ 2.1</w:t>
            </w:r>
          </w:p>
        </w:tc>
        <w:tc>
          <w:tcPr>
            <w:tcW w:w="0" w:type="dxa"/>
            <w:vAlign w:val="bottom"/>
          </w:tcPr>
          <w:p>
            <w:pPr>
              <w:spacing w:after="0"/>
              <w:rPr>
                <w:sz w:val="1"/>
                <w:szCs w:val="1"/>
                <w:color w:val="auto"/>
              </w:rPr>
            </w:pPr>
          </w:p>
        </w:tc>
      </w:tr>
      <w:tr>
        <w:trPr>
          <w:trHeight w:val="157"/>
        </w:trPr>
        <w:tc>
          <w:tcPr>
            <w:tcW w:w="5480" w:type="dxa"/>
            <w:vAlign w:val="bottom"/>
          </w:tcPr>
          <w:p>
            <w:pPr>
              <w:spacing w:after="0"/>
              <w:rPr>
                <w:sz w:val="20"/>
                <w:szCs w:val="20"/>
                <w:color w:val="auto"/>
              </w:rPr>
            </w:pPr>
            <w:r>
              <w:rPr>
                <w:rFonts w:ascii="Arial" w:cs="Arial" w:eastAsia="Arial" w:hAnsi="Arial"/>
                <w:sz w:val="13"/>
                <w:szCs w:val="13"/>
                <w:color w:val="auto"/>
              </w:rPr>
              <w:t>2012</w:t>
            </w:r>
          </w:p>
        </w:tc>
        <w:tc>
          <w:tcPr>
            <w:tcW w:w="820" w:type="dxa"/>
            <w:vAlign w:val="bottom"/>
          </w:tcPr>
          <w:p>
            <w:pPr>
              <w:jc w:val="right"/>
              <w:ind w:right="239"/>
              <w:spacing w:after="0"/>
              <w:rPr>
                <w:sz w:val="20"/>
                <w:szCs w:val="20"/>
                <w:color w:val="auto"/>
              </w:rPr>
            </w:pPr>
            <w:r>
              <w:rPr>
                <w:rFonts w:ascii="Arial" w:cs="Arial" w:eastAsia="Arial" w:hAnsi="Arial"/>
                <w:sz w:val="13"/>
                <w:szCs w:val="13"/>
                <w:color w:val="auto"/>
              </w:rPr>
              <w:t>3.6</w:t>
            </w:r>
          </w:p>
        </w:tc>
        <w:tc>
          <w:tcPr>
            <w:tcW w:w="1520" w:type="dxa"/>
            <w:vAlign w:val="bottom"/>
            <w:gridSpan w:val="2"/>
          </w:tcPr>
          <w:p>
            <w:pPr>
              <w:jc w:val="right"/>
              <w:ind w:right="388"/>
              <w:spacing w:after="0"/>
              <w:rPr>
                <w:sz w:val="20"/>
                <w:szCs w:val="20"/>
                <w:color w:val="auto"/>
              </w:rPr>
            </w:pPr>
            <w:r>
              <w:rPr>
                <w:rFonts w:ascii="Arial" w:cs="Arial" w:eastAsia="Arial" w:hAnsi="Arial"/>
                <w:sz w:val="13"/>
                <w:szCs w:val="13"/>
                <w:color w:val="auto"/>
              </w:rPr>
              <w:t>(1.1)</w:t>
            </w:r>
          </w:p>
        </w:tc>
        <w:tc>
          <w:tcPr>
            <w:tcW w:w="1060" w:type="dxa"/>
            <w:vAlign w:val="bottom"/>
            <w:gridSpan w:val="2"/>
          </w:tcPr>
          <w:p>
            <w:pPr>
              <w:jc w:val="right"/>
              <w:ind w:right="188"/>
              <w:spacing w:after="0"/>
              <w:rPr>
                <w:sz w:val="20"/>
                <w:szCs w:val="20"/>
                <w:color w:val="auto"/>
              </w:rPr>
            </w:pPr>
            <w:r>
              <w:rPr>
                <w:rFonts w:ascii="Arial" w:cs="Arial" w:eastAsia="Arial" w:hAnsi="Arial"/>
                <w:sz w:val="13"/>
                <w:szCs w:val="13"/>
                <w:color w:val="auto"/>
              </w:rPr>
              <w:t>(0.4)</w:t>
            </w:r>
          </w:p>
        </w:tc>
        <w:tc>
          <w:tcPr>
            <w:tcW w:w="1100" w:type="dxa"/>
            <w:vAlign w:val="bottom"/>
            <w:gridSpan w:val="2"/>
          </w:tcPr>
          <w:p>
            <w:pPr>
              <w:jc w:val="right"/>
              <w:ind w:right="228"/>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82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3.8</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(1.3)</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(0.4)</w:t>
            </w: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5480" w:type="dxa"/>
            <w:vAlign w:val="bottom"/>
          </w:tcPr>
          <w:p>
            <w:pPr>
              <w:spacing w:after="0"/>
              <w:rPr>
                <w:sz w:val="20"/>
                <w:szCs w:val="20"/>
                <w:color w:val="auto"/>
              </w:rPr>
            </w:pPr>
            <w:r>
              <w:rPr>
                <w:rFonts w:ascii="Arial" w:cs="Arial" w:eastAsia="Arial" w:hAnsi="Arial"/>
                <w:sz w:val="13"/>
                <w:szCs w:val="13"/>
                <w:color w:val="auto"/>
              </w:rPr>
              <w:t>2014</w:t>
            </w:r>
          </w:p>
        </w:tc>
        <w:tc>
          <w:tcPr>
            <w:tcW w:w="820" w:type="dxa"/>
            <w:vAlign w:val="bottom"/>
          </w:tcPr>
          <w:p>
            <w:pPr>
              <w:jc w:val="right"/>
              <w:ind w:right="239"/>
              <w:spacing w:after="0"/>
              <w:rPr>
                <w:sz w:val="20"/>
                <w:szCs w:val="20"/>
                <w:color w:val="auto"/>
              </w:rPr>
            </w:pPr>
            <w:r>
              <w:rPr>
                <w:rFonts w:ascii="Arial" w:cs="Arial" w:eastAsia="Arial" w:hAnsi="Arial"/>
                <w:sz w:val="13"/>
                <w:szCs w:val="13"/>
                <w:color w:val="auto"/>
              </w:rPr>
              <w:t>4.2</w:t>
            </w:r>
          </w:p>
        </w:tc>
        <w:tc>
          <w:tcPr>
            <w:tcW w:w="1520" w:type="dxa"/>
            <w:vAlign w:val="bottom"/>
            <w:gridSpan w:val="2"/>
          </w:tcPr>
          <w:p>
            <w:pPr>
              <w:jc w:val="right"/>
              <w:ind w:right="388"/>
              <w:spacing w:after="0"/>
              <w:rPr>
                <w:sz w:val="20"/>
                <w:szCs w:val="20"/>
                <w:color w:val="auto"/>
              </w:rPr>
            </w:pPr>
            <w:r>
              <w:rPr>
                <w:rFonts w:ascii="Arial" w:cs="Arial" w:eastAsia="Arial" w:hAnsi="Arial"/>
                <w:sz w:val="13"/>
                <w:szCs w:val="13"/>
                <w:color w:val="auto"/>
              </w:rPr>
              <w:t>(1.5)</w:t>
            </w:r>
          </w:p>
        </w:tc>
        <w:tc>
          <w:tcPr>
            <w:tcW w:w="1060" w:type="dxa"/>
            <w:vAlign w:val="bottom"/>
            <w:gridSpan w:val="2"/>
          </w:tcPr>
          <w:p>
            <w:pPr>
              <w:jc w:val="right"/>
              <w:ind w:right="188"/>
              <w:spacing w:after="0"/>
              <w:rPr>
                <w:sz w:val="20"/>
                <w:szCs w:val="20"/>
                <w:color w:val="auto"/>
              </w:rPr>
            </w:pPr>
            <w:r>
              <w:rPr>
                <w:rFonts w:ascii="Arial" w:cs="Arial" w:eastAsia="Arial" w:hAnsi="Arial"/>
                <w:sz w:val="13"/>
                <w:szCs w:val="13"/>
                <w:color w:val="auto"/>
              </w:rPr>
              <w:t>(0.5)</w:t>
            </w:r>
          </w:p>
        </w:tc>
        <w:tc>
          <w:tcPr>
            <w:tcW w:w="1100" w:type="dxa"/>
            <w:vAlign w:val="bottom"/>
            <w:gridSpan w:val="2"/>
          </w:tcPr>
          <w:p>
            <w:pPr>
              <w:jc w:val="right"/>
              <w:ind w:right="228"/>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82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4.5</w:t>
            </w:r>
          </w:p>
        </w:tc>
        <w:tc>
          <w:tcPr>
            <w:tcW w:w="15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(1.7)</w:t>
            </w:r>
          </w:p>
        </w:tc>
        <w:tc>
          <w:tcPr>
            <w:tcW w:w="106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(0.5)</w:t>
            </w: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5"/>
        </w:trPr>
        <w:tc>
          <w:tcPr>
            <w:tcW w:w="5480" w:type="dxa"/>
            <w:vAlign w:val="bottom"/>
          </w:tcPr>
          <w:p>
            <w:pPr>
              <w:spacing w:after="0"/>
              <w:rPr>
                <w:sz w:val="20"/>
                <w:szCs w:val="20"/>
                <w:color w:val="auto"/>
              </w:rPr>
            </w:pPr>
            <w:r>
              <w:rPr>
                <w:rFonts w:ascii="Arial" w:cs="Arial" w:eastAsia="Arial" w:hAnsi="Arial"/>
                <w:sz w:val="13"/>
                <w:szCs w:val="13"/>
                <w:color w:val="auto"/>
              </w:rPr>
              <w:t>2016 — 2020</w:t>
            </w:r>
          </w:p>
        </w:tc>
        <w:tc>
          <w:tcPr>
            <w:tcW w:w="820" w:type="dxa"/>
            <w:vAlign w:val="bottom"/>
          </w:tcPr>
          <w:p>
            <w:pPr>
              <w:jc w:val="right"/>
              <w:ind w:right="239"/>
              <w:spacing w:after="0"/>
              <w:rPr>
                <w:sz w:val="20"/>
                <w:szCs w:val="20"/>
                <w:color w:val="auto"/>
              </w:rPr>
            </w:pPr>
            <w:r>
              <w:rPr>
                <w:rFonts w:ascii="Arial" w:cs="Arial" w:eastAsia="Arial" w:hAnsi="Arial"/>
                <w:sz w:val="13"/>
                <w:szCs w:val="13"/>
                <w:color w:val="auto"/>
              </w:rPr>
              <w:t>27.5</w:t>
            </w:r>
          </w:p>
        </w:tc>
        <w:tc>
          <w:tcPr>
            <w:tcW w:w="1520" w:type="dxa"/>
            <w:vAlign w:val="bottom"/>
            <w:gridSpan w:val="2"/>
          </w:tcPr>
          <w:p>
            <w:pPr>
              <w:jc w:val="right"/>
              <w:ind w:right="388"/>
              <w:spacing w:after="0"/>
              <w:rPr>
                <w:sz w:val="20"/>
                <w:szCs w:val="20"/>
                <w:color w:val="auto"/>
              </w:rPr>
            </w:pPr>
            <w:r>
              <w:rPr>
                <w:rFonts w:ascii="Arial" w:cs="Arial" w:eastAsia="Arial" w:hAnsi="Arial"/>
                <w:sz w:val="13"/>
                <w:szCs w:val="13"/>
                <w:color w:val="auto"/>
              </w:rPr>
              <w:t>(12.5)</w:t>
            </w:r>
          </w:p>
        </w:tc>
        <w:tc>
          <w:tcPr>
            <w:tcW w:w="1060" w:type="dxa"/>
            <w:vAlign w:val="bottom"/>
            <w:gridSpan w:val="2"/>
          </w:tcPr>
          <w:p>
            <w:pPr>
              <w:jc w:val="right"/>
              <w:ind w:right="188"/>
              <w:spacing w:after="0"/>
              <w:rPr>
                <w:sz w:val="20"/>
                <w:szCs w:val="20"/>
                <w:color w:val="auto"/>
              </w:rPr>
            </w:pPr>
            <w:r>
              <w:rPr>
                <w:rFonts w:ascii="Arial" w:cs="Arial" w:eastAsia="Arial" w:hAnsi="Arial"/>
                <w:sz w:val="13"/>
                <w:szCs w:val="13"/>
                <w:color w:val="auto"/>
              </w:rPr>
              <w:t>(3.1)</w:t>
            </w:r>
          </w:p>
        </w:tc>
        <w:tc>
          <w:tcPr>
            <w:tcW w:w="1100" w:type="dxa"/>
            <w:vAlign w:val="bottom"/>
            <w:gridSpan w:val="2"/>
          </w:tcPr>
          <w:p>
            <w:pPr>
              <w:jc w:val="right"/>
              <w:ind w:right="228"/>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Company also provides comprehensive major medical benefits to its associates. The Company is self-insured for certain health benefits up to $0.3 million per occurrence per individual. The cost of such benefits is recognized as expense in the period the claim is incurred. This cost was $27.6 million, $27.8 million and $24.1 million in fiscal 2010, fiscal 2009 and fiscal 2008, respectively.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60" w:type="dxa"/>
            <w:vAlign w:val="bottom"/>
          </w:tcPr>
          <w:p>
            <w:pPr>
              <w:spacing w:after="0"/>
              <w:rPr>
                <w:sz w:val="20"/>
                <w:szCs w:val="20"/>
                <w:color w:val="auto"/>
              </w:rPr>
            </w:pPr>
            <w:r>
              <w:rPr>
                <w:rFonts w:ascii="Arial" w:cs="Arial" w:eastAsia="Arial" w:hAnsi="Arial"/>
                <w:sz w:val="13"/>
                <w:szCs w:val="13"/>
                <w:b w:val="1"/>
                <w:bCs w:val="1"/>
                <w:color w:val="auto"/>
              </w:rPr>
              <w:t>NOTE 11.</w:t>
            </w:r>
          </w:p>
        </w:tc>
        <w:tc>
          <w:tcPr>
            <w:tcW w:w="7540" w:type="dxa"/>
            <w:vAlign w:val="bottom"/>
            <w:gridSpan w:val="2"/>
          </w:tcPr>
          <w:p>
            <w:pPr>
              <w:jc w:val="right"/>
              <w:ind w:right="7091"/>
              <w:spacing w:after="0"/>
              <w:rPr>
                <w:sz w:val="20"/>
                <w:szCs w:val="20"/>
                <w:color w:val="auto"/>
              </w:rPr>
            </w:pPr>
            <w:r>
              <w:rPr>
                <w:rFonts w:ascii="Arial" w:cs="Arial" w:eastAsia="Arial" w:hAnsi="Arial"/>
                <w:sz w:val="13"/>
                <w:szCs w:val="13"/>
                <w:b w:val="1"/>
                <w:bCs w:val="1"/>
                <w:color w:val="auto"/>
              </w:rPr>
              <w:t>DEBT</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10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06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r>
      <w:tr>
        <w:trPr>
          <w:trHeight w:val="131"/>
        </w:trPr>
        <w:tc>
          <w:tcPr>
            <w:tcW w:w="106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(In millions)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Credit Facilities:</w:t>
            </w:r>
          </w:p>
        </w:tc>
        <w:tc>
          <w:tcPr>
            <w:tcW w:w="7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1060" w:type="dxa"/>
            <w:vAlign w:val="bottom"/>
          </w:tcPr>
          <w:p>
            <w:pPr>
              <w:ind w:left="140"/>
              <w:spacing w:after="0"/>
              <w:rPr>
                <w:sz w:val="20"/>
                <w:szCs w:val="20"/>
                <w:color w:val="auto"/>
              </w:rPr>
            </w:pPr>
            <w:r>
              <w:rPr>
                <w:rFonts w:ascii="Arial" w:cs="Arial" w:eastAsia="Arial" w:hAnsi="Arial"/>
                <w:sz w:val="13"/>
                <w:szCs w:val="13"/>
                <w:color w:val="auto"/>
                <w:w w:val="98"/>
              </w:rPr>
              <w:t>Revolving loans</w:t>
            </w:r>
          </w:p>
        </w:tc>
        <w:tc>
          <w:tcPr>
            <w:tcW w:w="7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111.7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330.4</w:t>
            </w:r>
          </w:p>
        </w:tc>
      </w:tr>
      <w:tr>
        <w:trPr>
          <w:trHeight w:val="157"/>
        </w:trPr>
        <w:tc>
          <w:tcPr>
            <w:tcW w:w="1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Term loans</w:t>
            </w:r>
          </w:p>
        </w:tc>
        <w:tc>
          <w:tcPr>
            <w:tcW w:w="7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456.4</w:t>
            </w:r>
          </w:p>
        </w:tc>
      </w:tr>
      <w:tr>
        <w:trPr>
          <w:trHeight w:val="157"/>
        </w:trPr>
        <w:tc>
          <w:tcPr>
            <w:tcW w:w="8600" w:type="dxa"/>
            <w:vAlign w:val="bottom"/>
            <w:gridSpan w:val="3"/>
          </w:tcPr>
          <w:p>
            <w:pPr>
              <w:spacing w:after="0"/>
              <w:rPr>
                <w:sz w:val="20"/>
                <w:szCs w:val="20"/>
                <w:color w:val="auto"/>
              </w:rPr>
            </w:pPr>
            <w:r>
              <w:rPr>
                <w:rFonts w:ascii="Arial" w:cs="Arial" w:eastAsia="Arial" w:hAnsi="Arial"/>
                <w:sz w:val="13"/>
                <w:szCs w:val="13"/>
                <w:color w:val="auto"/>
              </w:rPr>
              <w:t>Senior Notes — 7.25%</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200.0</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Master Accounts Receivable Purchase Agreement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w:t>
            </w:r>
          </w:p>
        </w:tc>
      </w:tr>
      <w:tr>
        <w:trPr>
          <w:trHeight w:val="157"/>
        </w:trPr>
        <w:tc>
          <w:tcPr>
            <w:tcW w:w="8600" w:type="dxa"/>
            <w:vAlign w:val="bottom"/>
            <w:gridSpan w:val="3"/>
          </w:tcPr>
          <w:p>
            <w:pPr>
              <w:spacing w:after="0"/>
              <w:rPr>
                <w:sz w:val="20"/>
                <w:szCs w:val="20"/>
                <w:color w:val="auto"/>
              </w:rPr>
            </w:pPr>
            <w:r>
              <w:rPr>
                <w:rFonts w:ascii="Arial" w:cs="Arial" w:eastAsia="Arial" w:hAnsi="Arial"/>
                <w:sz w:val="13"/>
                <w:szCs w:val="13"/>
                <w:color w:val="auto"/>
              </w:rPr>
              <w:t>Contingent consideration</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11.0</w:t>
            </w:r>
          </w:p>
        </w:tc>
      </w:tr>
      <w:tr>
        <w:trPr>
          <w:trHeight w:val="157"/>
        </w:trPr>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7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w:t>
            </w:r>
          </w:p>
        </w:tc>
      </w:tr>
      <w:tr>
        <w:trPr>
          <w:trHeight w:val="20"/>
        </w:trPr>
        <w:tc>
          <w:tcPr>
            <w:tcW w:w="10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631.7</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810.1</w:t>
            </w:r>
          </w:p>
        </w:tc>
      </w:tr>
      <w:tr>
        <w:trPr>
          <w:trHeight w:val="158"/>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portions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195.0</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160.4</w:t>
            </w:r>
          </w:p>
        </w:tc>
      </w:tr>
      <w:tr>
        <w:trPr>
          <w:trHeight w:val="20"/>
        </w:trPr>
        <w:tc>
          <w:tcPr>
            <w:tcW w:w="10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106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436.7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649.7</w:t>
            </w:r>
          </w:p>
        </w:tc>
      </w:tr>
      <w:tr>
        <w:trPr>
          <w:trHeight w:val="244"/>
        </w:trPr>
        <w:tc>
          <w:tcPr>
            <w:tcW w:w="8500" w:type="dxa"/>
            <w:vAlign w:val="bottom"/>
            <w:gridSpan w:val="2"/>
          </w:tcPr>
          <w:p>
            <w:pPr>
              <w:ind w:left="400"/>
              <w:spacing w:after="0"/>
              <w:rPr>
                <w:sz w:val="20"/>
                <w:szCs w:val="20"/>
                <w:color w:val="auto"/>
              </w:rPr>
            </w:pPr>
            <w:r>
              <w:rPr>
                <w:rFonts w:ascii="Arial" w:cs="Arial" w:eastAsia="Arial" w:hAnsi="Arial"/>
                <w:sz w:val="13"/>
                <w:szCs w:val="13"/>
                <w:color w:val="auto"/>
              </w:rPr>
              <w:t>The Company’s debt matures as follows for each of the next five fiscal years and thereafter (in millions):</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00"/>
        </w:trPr>
        <w:tc>
          <w:tcPr>
            <w:tcW w:w="106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r>
      <w:tr>
        <w:trPr>
          <w:trHeight w:val="157"/>
        </w:trPr>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7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195.0</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2012</w:t>
            </w:r>
          </w:p>
        </w:tc>
        <w:tc>
          <w:tcPr>
            <w:tcW w:w="7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232.8</w:t>
            </w:r>
          </w:p>
        </w:tc>
      </w:tr>
      <w:tr>
        <w:trPr>
          <w:trHeight w:val="157"/>
        </w:trPr>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7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2014</w:t>
            </w:r>
          </w:p>
        </w:tc>
        <w:tc>
          <w:tcPr>
            <w:tcW w:w="7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0.5</w:t>
            </w:r>
          </w:p>
        </w:tc>
      </w:tr>
      <w:tr>
        <w:trPr>
          <w:trHeight w:val="157"/>
        </w:trPr>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7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r>
      <w:tr>
        <w:trPr>
          <w:trHeight w:val="157"/>
        </w:trPr>
        <w:tc>
          <w:tcPr>
            <w:tcW w:w="1060" w:type="dxa"/>
            <w:vAlign w:val="bottom"/>
          </w:tcPr>
          <w:p>
            <w:pPr>
              <w:spacing w:after="0"/>
              <w:rPr>
                <w:sz w:val="20"/>
                <w:szCs w:val="20"/>
                <w:color w:val="auto"/>
              </w:rPr>
            </w:pPr>
            <w:r>
              <w:rPr>
                <w:rFonts w:ascii="Arial" w:cs="Arial" w:eastAsia="Arial" w:hAnsi="Arial"/>
                <w:sz w:val="13"/>
                <w:szCs w:val="13"/>
                <w:color w:val="auto"/>
              </w:rPr>
              <w:t>Thereafter</w:t>
            </w:r>
          </w:p>
        </w:tc>
        <w:tc>
          <w:tcPr>
            <w:tcW w:w="7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202.4</w:t>
            </w:r>
          </w:p>
        </w:tc>
      </w:tr>
      <w:tr>
        <w:trPr>
          <w:trHeight w:val="20"/>
        </w:trPr>
        <w:tc>
          <w:tcPr>
            <w:tcW w:w="10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060" w:type="dxa"/>
            <w:vAlign w:val="bottom"/>
            <w:shd w:val="clear" w:color="auto" w:fill="CCEEFF"/>
          </w:tcPr>
          <w:p>
            <w:pPr>
              <w:spacing w:after="0"/>
              <w:rPr>
                <w:sz w:val="13"/>
                <w:szCs w:val="13"/>
                <w:color w:val="auto"/>
              </w:rPr>
            </w:pPr>
          </w:p>
        </w:tc>
        <w:tc>
          <w:tcPr>
            <w:tcW w:w="7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631.7</w:t>
            </w:r>
          </w:p>
        </w:tc>
      </w:tr>
      <w:tr>
        <w:trPr>
          <w:trHeight w:val="29"/>
        </w:trPr>
        <w:tc>
          <w:tcPr>
            <w:tcW w:w="106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In February 2007, Scotts Miracle-Gro and certain of its subsidiaries entered into the following senior secured credit facilities totaling up to $2.15 billion in the aggregate: (a) a senior secured five-year term loan facility in the principal amount of $560 million and (b) a senior secured five-year revolving loan facility in the aggregate principal amount of up to $1.59 billion. Under the terms of these senior secured credit facilities, the Company may request an additional $200 million in revolving credit and/or term credit commitments, subject to approval from the lenders. Borrowings may be made in various currencies including U.S. dollars, Euros, British pounds, Australian dollars and Canadian dollars. Amortization payments on the term loan portion of the senior secured credit facilities began on September 30, 2007 and are due quarterly through 2012. As of September 30, 2010, the cumulative total amortization payments on the term loan were $257.6 million, reducing the balance of the Company’s term loans and effectively reducing the amount outstanding under the senior secured credit facilities.</w:t>
      </w:r>
    </w:p>
    <w:p>
      <w:pPr>
        <w:spacing w:after="0" w:line="59"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The terms of these senior secured credit facilities provide for customary representations and warranties and affirmative covenants. The senior secured credit facilities also contain customary negative covenants setting forth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the Company’s fiscal year end; modifications of certain debt instruments; negative pledge clauses; entering into new lines of business; and restricted payments (including restricting dividend payments to $75 million annually based on the current leverage ratio (as defined) of the Company). The senior secured credit facilities are secured by collateral that includes the capital stock of specified subsidiaries of Scotts Miracle-Gro, substantially all domestic accounts receivable (exclusive of any “sold” receivables), inventory and equipment. The senior secured credit facilities also require the maintenance of a</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specified leverage ratio and interest coverage ratio (both as defined), and are guaranteed by substantially all of Scotts Miracle-Gro’s domestic subsidiaries.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senior secured credit facilities have several borrowing options, including interest rates that are based on (i) a LIBOR rate plus a margin based on a leverage ratio (as defined) or</w:t>
      </w:r>
    </w:p>
    <w:p>
      <w:pPr>
        <w:spacing w:after="0" w:line="25" w:lineRule="exact"/>
        <w:rPr>
          <w:sz w:val="20"/>
          <w:szCs w:val="20"/>
          <w:color w:val="auto"/>
        </w:rPr>
      </w:pPr>
    </w:p>
    <w:p>
      <w:pPr>
        <w:ind w:left="680" w:right="40" w:firstLine="7"/>
        <w:spacing w:after="0" w:line="274" w:lineRule="auto"/>
        <w:tabs>
          <w:tab w:leader="none" w:pos="873" w:val="left"/>
        </w:tabs>
        <w:numPr>
          <w:ilvl w:val="0"/>
          <w:numId w:val="26"/>
        </w:numPr>
        <w:rPr>
          <w:rFonts w:ascii="Arial" w:cs="Arial" w:eastAsia="Arial" w:hAnsi="Arial"/>
          <w:sz w:val="11"/>
          <w:szCs w:val="11"/>
          <w:color w:val="auto"/>
        </w:rPr>
      </w:pPr>
      <w:r>
        <w:rPr>
          <w:rFonts w:ascii="Arial" w:cs="Arial" w:eastAsia="Arial" w:hAnsi="Arial"/>
          <w:sz w:val="11"/>
          <w:szCs w:val="11"/>
          <w:color w:val="auto"/>
        </w:rPr>
        <w:t xml:space="preserve">the greater of the prime rate or the Federal Funds Effective Rate (as defined) plus </w:t>
      </w:r>
      <w:r>
        <w:rPr>
          <w:rFonts w:ascii="Arial" w:cs="Arial" w:eastAsia="Arial" w:hAnsi="Arial"/>
          <w:sz w:val="15"/>
          <w:szCs w:val="15"/>
          <w:color w:val="auto"/>
          <w:vertAlign w:val="superscript"/>
        </w:rPr>
        <w:t>1</w:t>
      </w:r>
      <w:r>
        <w:rPr>
          <w:rFonts w:ascii="Arial" w:cs="Arial" w:eastAsia="Arial" w:hAnsi="Arial"/>
          <w:sz w:val="11"/>
          <w:szCs w:val="11"/>
          <w:color w:val="auto"/>
        </w:rPr>
        <w:t>/</w:t>
      </w:r>
      <w:r>
        <w:rPr>
          <w:rFonts w:ascii="Arial" w:cs="Arial" w:eastAsia="Arial" w:hAnsi="Arial"/>
          <w:sz w:val="8"/>
          <w:szCs w:val="8"/>
          <w:color w:val="auto"/>
        </w:rPr>
        <w:t>2</w:t>
      </w:r>
      <w:r>
        <w:rPr>
          <w:rFonts w:ascii="Arial" w:cs="Arial" w:eastAsia="Arial" w:hAnsi="Arial"/>
          <w:sz w:val="11"/>
          <w:szCs w:val="11"/>
          <w:color w:val="auto"/>
        </w:rPr>
        <w:t xml:space="preserve"> of 1% plus a margin based on a leverage ratio (as defined). Commitment fees are paid quarterly and are calculated as an amount equal to the product of a rate based on a leverage ratio (as defined) and the average daily unused portion of both the revolving and term credit facilities. Amounts outstanding under the senior secured credit facilities at September 30, 2010 were at interest rates based on LIBOR applicable to the borrowed currencies plus 87.5 basis points. The weighted average interest rates on average debt were 4.7% for fiscal 2010 and fiscal 2009. As of September 30, 2010, there was $1.5 billion of availability under the senior secured credit facilities.</w:t>
      </w:r>
    </w:p>
    <w:p>
      <w:pPr>
        <w:ind w:left="680" w:right="100"/>
        <w:spacing w:after="0" w:line="264" w:lineRule="auto"/>
        <w:rPr>
          <w:rFonts w:ascii="Arial" w:cs="Arial" w:eastAsia="Arial" w:hAnsi="Arial"/>
          <w:sz w:val="11"/>
          <w:szCs w:val="11"/>
          <w:color w:val="auto"/>
        </w:rPr>
      </w:pPr>
      <w:r>
        <w:rPr>
          <w:rFonts w:ascii="Arial" w:cs="Arial" w:eastAsia="Arial" w:hAnsi="Arial"/>
          <w:sz w:val="13"/>
          <w:szCs w:val="13"/>
          <w:color w:val="auto"/>
        </w:rPr>
        <w:t>Under the senior secured credit facilities, the Company has the ability to issue letter of credit commitments up to $65.0 million. At September 30, 2010, the Company had letters of credit in the amount of $26.7 million outstanding.</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On January 14, 2010, Scotts Miracle-Gro issued $200 million aggregate principal amount of 7.25% Senior Notes due 2018 (the “Senior Notes”). The proceeds of the offering were used to reduce outstanding borrowings under the Company’s senior secured revolving credit facility. The Senior Notes represent general unsecured senior obligations of Scotts Miracle-Gro, and were sold to the public at 99.254% of the principal amount thereof, to yield 7.375% to maturity. The Senior Notes have interest payment dates of January 15 and July 15, which began on July 15, 2010, and may be redeemed prior to maturity at applicable redemption premiums. The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for or redemptions of Scotts Miracle-Gro stock and prepayments of subordinated debt, limitations on asset sales and restrictions on transactions with affiliates. The Senior Notes mature on January 15, 2018. Certain of Scotts Miracle-Gro’s domestic subsidiaries serve as guarantors of the Senior Notes. Refer to “NOTE 24. FINANCIAL INFORMATION FOR SUBSIDIARY GUARANTORS AND NON-GUARANTORS” for more information regarding the guarantor entities.</w:t>
      </w:r>
    </w:p>
    <w:p>
      <w:pPr>
        <w:spacing w:after="0" w:line="6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Company was in compliance with the terms of all debt covenants at September 30, 2010. The senior secured credit facilities contain, among other obligations, an affirmative covenant regarding the Company’s leverage ratio, calculated as average total indebtedness, as described in the Company’s senior secured credit facilities, relative to the Company’s EBITDA, as adjusted pursuant to the terms of senior secured credit facilities (“Adjusted EBITDA”). Under the terms of the senior secured credit facilities, the maximum leverage ratio was 3.50 as of September 30, 2010, which is scheduled to decrease to 3.25 on September 30, 2011. The Company’s leverage ratio was 2.0 at September 30, 2010. The Company’s senior secured credit facilities also include an affirmative covenant regarding its interest coverage ratio. Interest coverage ratio is calculated as Adjusted EBITDA divided by interest expense, as described in the senior secured credit facilities, and excludes costs related to refinancings. Under the terms of the senior secured credit facilities, the minimum interest coverage ratio was 3.50 for the year ended September 30, 2010. The Company’s interest coverage ratio was 9.4 for the year ended September 30, 2010.</w:t>
      </w:r>
    </w:p>
    <w:p>
      <w:pPr>
        <w:spacing w:after="0" w:line="58" w:lineRule="exact"/>
        <w:rPr>
          <w:sz w:val="20"/>
          <w:szCs w:val="20"/>
          <w:color w:val="auto"/>
        </w:rPr>
      </w:pPr>
    </w:p>
    <w:p>
      <w:pPr>
        <w:ind w:left="680" w:right="480" w:firstLine="399"/>
        <w:spacing w:after="0" w:line="320" w:lineRule="auto"/>
        <w:rPr>
          <w:sz w:val="20"/>
          <w:szCs w:val="20"/>
          <w:color w:val="auto"/>
        </w:rPr>
      </w:pPr>
      <w:r>
        <w:rPr>
          <w:rFonts w:ascii="Arial" w:cs="Arial" w:eastAsia="Arial" w:hAnsi="Arial"/>
          <w:sz w:val="12"/>
          <w:szCs w:val="12"/>
          <w:color w:val="auto"/>
        </w:rPr>
        <w:t>At September 30, 2010, the Company had outstanding interest rate swap agreements with major financial institutions that effectively converted a portion of variable-rate debt denominated in U.S. dollars to a fixed rate. The swap agreements had a total U.S. dollar notional amount of $450 million at September 30, 2010. Interest payments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made between the effective date and expiration date are hedged by the swap agreement, except as noted below. The notional amount, effective date, expiration date and rate of each of these swap agreements are shown in the table below.</w:t>
      </w:r>
    </w:p>
    <w:p>
      <w:pPr>
        <w:spacing w:after="0" w:line="54" w:lineRule="exact"/>
        <w:rPr>
          <w:sz w:val="20"/>
          <w:szCs w:val="20"/>
          <w:color w:val="auto"/>
        </w:rPr>
      </w:pPr>
    </w:p>
    <w:tbl>
      <w:tblPr>
        <w:tblLayout w:type="fixed"/>
        <w:tblInd w:w="4300" w:type="dxa"/>
        <w:tblCellMar>
          <w:top w:w="0" w:type="dxa"/>
          <w:left w:w="0" w:type="dxa"/>
          <w:bottom w:w="0" w:type="dxa"/>
          <w:right w:w="0" w:type="dxa"/>
        </w:tblCellMar>
      </w:tblPr>
      <w:tr>
        <w:trPr>
          <w:trHeight w:val="115"/>
        </w:trPr>
        <w:tc>
          <w:tcPr>
            <w:tcW w:w="940" w:type="dxa"/>
            <w:vAlign w:val="bottom"/>
            <w:vMerge w:val="restart"/>
          </w:tcPr>
          <w:p>
            <w:pPr>
              <w:jc w:val="right"/>
              <w:ind w:right="103"/>
              <w:spacing w:after="0"/>
              <w:rPr>
                <w:sz w:val="20"/>
                <w:szCs w:val="20"/>
                <w:color w:val="auto"/>
              </w:rPr>
            </w:pPr>
            <w:r>
              <w:rPr>
                <w:rFonts w:ascii="Arial" w:cs="Arial" w:eastAsia="Arial" w:hAnsi="Arial"/>
                <w:sz w:val="10"/>
                <w:szCs w:val="10"/>
                <w:b w:val="1"/>
                <w:bCs w:val="1"/>
                <w:color w:val="auto"/>
                <w:w w:val="94"/>
              </w:rPr>
              <w:t>Notional Amount</w:t>
            </w:r>
          </w:p>
        </w:tc>
        <w:tc>
          <w:tcPr>
            <w:tcW w:w="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5"/>
              </w:rPr>
              <w:t>Effective</w:t>
            </w:r>
          </w:p>
        </w:tc>
        <w:tc>
          <w:tcPr>
            <w:tcW w:w="4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Expiration</w:t>
            </w:r>
          </w:p>
        </w:tc>
        <w:tc>
          <w:tcPr>
            <w:tcW w:w="4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91"/>
              </w:rPr>
              <w:t>Fixed</w:t>
            </w:r>
          </w:p>
        </w:tc>
        <w:tc>
          <w:tcPr>
            <w:tcW w:w="0" w:type="dxa"/>
            <w:vAlign w:val="bottom"/>
          </w:tcPr>
          <w:p>
            <w:pPr>
              <w:spacing w:after="0"/>
              <w:rPr>
                <w:sz w:val="1"/>
                <w:szCs w:val="1"/>
                <w:color w:val="auto"/>
              </w:rPr>
            </w:pPr>
          </w:p>
        </w:tc>
      </w:tr>
      <w:tr>
        <w:trPr>
          <w:trHeight w:val="125"/>
        </w:trPr>
        <w:tc>
          <w:tcPr>
            <w:tcW w:w="940" w:type="dxa"/>
            <w:vAlign w:val="bottom"/>
            <w:tcBorders>
              <w:bottom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Date(a)</w:t>
            </w:r>
          </w:p>
        </w:tc>
        <w:tc>
          <w:tcPr>
            <w:tcW w:w="4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Date</w:t>
            </w:r>
          </w:p>
        </w:tc>
        <w:tc>
          <w:tcPr>
            <w:tcW w:w="40" w:type="dxa"/>
            <w:vAlign w:val="bottom"/>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0" w:type="dxa"/>
            <w:vAlign w:val="bottom"/>
          </w:tcPr>
          <w:p>
            <w:pPr>
              <w:spacing w:after="0"/>
              <w:rPr>
                <w:sz w:val="1"/>
                <w:szCs w:val="1"/>
                <w:color w:val="auto"/>
              </w:rPr>
            </w:pPr>
          </w:p>
        </w:tc>
      </w:tr>
      <w:tr>
        <w:trPr>
          <w:trHeight w:val="125"/>
        </w:trPr>
        <w:tc>
          <w:tcPr>
            <w:tcW w:w="940" w:type="dxa"/>
            <w:vAlign w:val="bottom"/>
          </w:tcPr>
          <w:p>
            <w:pPr>
              <w:jc w:val="right"/>
              <w:ind w:right="143"/>
              <w:spacing w:after="0"/>
              <w:rPr>
                <w:sz w:val="20"/>
                <w:szCs w:val="20"/>
                <w:color w:val="auto"/>
              </w:rPr>
            </w:pPr>
            <w:r>
              <w:rPr>
                <w:rFonts w:ascii="Arial" w:cs="Arial" w:eastAsia="Arial" w:hAnsi="Arial"/>
                <w:sz w:val="10"/>
                <w:szCs w:val="10"/>
                <w:b w:val="1"/>
                <w:bCs w:val="1"/>
                <w:color w:val="auto"/>
              </w:rPr>
              <w:t>(In millions)</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40" w:type="dxa"/>
            <w:vAlign w:val="bottom"/>
            <w:shd w:val="clear" w:color="auto" w:fill="CCEEFF"/>
          </w:tcPr>
          <w:p>
            <w:pPr>
              <w:jc w:val="right"/>
              <w:ind w:right="303"/>
              <w:spacing w:after="0"/>
              <w:rPr>
                <w:sz w:val="20"/>
                <w:szCs w:val="20"/>
                <w:color w:val="auto"/>
              </w:rPr>
            </w:pPr>
            <w:r>
              <w:rPr>
                <w:rFonts w:ascii="Arial" w:cs="Arial" w:eastAsia="Arial" w:hAnsi="Arial"/>
                <w:sz w:val="13"/>
                <w:szCs w:val="13"/>
                <w:color w:val="auto"/>
              </w:rPr>
              <w:t>$200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2/14/2007</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3"/>
              </w:rPr>
              <w:t>2/14/2012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0" w:type="dxa"/>
            <w:vAlign w:val="bottom"/>
          </w:tcPr>
          <w:p>
            <w:pPr>
              <w:spacing w:after="0"/>
              <w:rPr>
                <w:sz w:val="1"/>
                <w:szCs w:val="1"/>
                <w:color w:val="auto"/>
              </w:rPr>
            </w:pPr>
          </w:p>
        </w:tc>
      </w:tr>
    </w:tbl>
    <w:p>
      <w:pPr>
        <w:ind w:left="5400" w:hanging="660"/>
        <w:spacing w:after="0"/>
        <w:tabs>
          <w:tab w:leader="none" w:pos="54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2/14/2012  2/14/2016  3.78%</w:t>
      </w:r>
    </w:p>
    <w:p>
      <w:pPr>
        <w:spacing w:after="0" w:line="6" w:lineRule="exact"/>
        <w:rPr>
          <w:rFonts w:ascii="Arial" w:cs="Arial" w:eastAsia="Arial" w:hAnsi="Arial"/>
          <w:sz w:val="13"/>
          <w:szCs w:val="13"/>
          <w:color w:val="auto"/>
        </w:rPr>
      </w:pPr>
    </w:p>
    <w:p>
      <w:pPr>
        <w:ind w:left="4680"/>
        <w:spacing w:after="0"/>
        <w:rPr>
          <w:rFonts w:ascii="Arial" w:cs="Arial" w:eastAsia="Arial" w:hAnsi="Arial"/>
          <w:sz w:val="13"/>
          <w:szCs w:val="13"/>
          <w:color w:val="auto"/>
        </w:rPr>
      </w:pPr>
      <w:r>
        <w:rPr>
          <w:rFonts w:ascii="Arial" w:cs="Arial" w:eastAsia="Arial" w:hAnsi="Arial"/>
          <w:sz w:val="13"/>
          <w:szCs w:val="13"/>
          <w:color w:val="auto"/>
        </w:rPr>
        <w:t>150(b)</w:t>
      </w:r>
      <w:r>
        <w:rPr>
          <w:rFonts w:ascii="Arial" w:cs="Arial" w:eastAsia="Arial" w:hAnsi="Arial"/>
          <w:sz w:val="12"/>
          <w:szCs w:val="12"/>
          <w:color w:val="auto"/>
        </w:rPr>
        <w:t>11/16/2009  5/16/2016  3.26%</w:t>
      </w:r>
    </w:p>
    <w:p>
      <w:pPr>
        <w:spacing w:after="0" w:line="7" w:lineRule="exact"/>
        <w:rPr>
          <w:rFonts w:ascii="Arial" w:cs="Arial" w:eastAsia="Arial" w:hAnsi="Arial"/>
          <w:sz w:val="13"/>
          <w:szCs w:val="13"/>
          <w:color w:val="auto"/>
        </w:rPr>
      </w:pPr>
    </w:p>
    <w:p>
      <w:pPr>
        <w:ind w:left="4740"/>
        <w:spacing w:after="0"/>
        <w:rPr>
          <w:rFonts w:ascii="Arial" w:cs="Arial" w:eastAsia="Arial" w:hAnsi="Arial"/>
          <w:sz w:val="13"/>
          <w:szCs w:val="13"/>
          <w:color w:val="auto"/>
        </w:rPr>
      </w:pPr>
      <w:r>
        <w:rPr>
          <w:rFonts w:ascii="Arial" w:cs="Arial" w:eastAsia="Arial" w:hAnsi="Arial"/>
          <w:sz w:val="13"/>
          <w:szCs w:val="13"/>
          <w:color w:val="auto"/>
        </w:rPr>
        <w:t>50(c)</w:t>
      </w:r>
      <w:r>
        <w:rPr>
          <w:rFonts w:ascii="Arial" w:cs="Arial" w:eastAsia="Arial" w:hAnsi="Arial"/>
          <w:sz w:val="12"/>
          <w:szCs w:val="12"/>
          <w:color w:val="auto"/>
        </w:rPr>
        <w:t>2/16/2010  5/16/2016  3.05%</w:t>
      </w:r>
    </w:p>
    <w:p>
      <w:pPr>
        <w:spacing w:after="0" w:line="157" w:lineRule="exact"/>
        <w:rPr>
          <w:rFonts w:ascii="Arial" w:cs="Arial" w:eastAsia="Arial" w:hAnsi="Arial"/>
          <w:sz w:val="13"/>
          <w:szCs w:val="13"/>
          <w:color w:val="auto"/>
        </w:rPr>
      </w:pPr>
    </w:p>
    <w:p>
      <w:pPr>
        <w:ind w:left="1080" w:hanging="393"/>
        <w:spacing w:after="0"/>
        <w:tabs>
          <w:tab w:leader="none" w:pos="10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effective date refers to the date on which interest payments are first hedged by the applicable swap agreement.</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Interest payments made during the six-month period beginning November 14 of each year between the effective date and expiration date are hedged by the swap agreement.</w:t>
      </w:r>
    </w:p>
    <w:p>
      <w:pPr>
        <w:spacing w:after="0" w:line="58" w:lineRule="exact"/>
        <w:rPr>
          <w:rFonts w:ascii="Arial" w:cs="Arial" w:eastAsia="Arial" w:hAnsi="Arial"/>
          <w:sz w:val="12"/>
          <w:szCs w:val="12"/>
          <w:color w:val="auto"/>
        </w:rPr>
      </w:pPr>
    </w:p>
    <w:p>
      <w:pPr>
        <w:ind w:left="1080" w:hanging="393"/>
        <w:spacing w:after="0"/>
        <w:tabs>
          <w:tab w:leader="none" w:pos="10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Interest payments made during the three-month period beginning February 14 of each year between the effective date and expiration date are hedged by the swap agreement.</w:t>
      </w:r>
    </w:p>
    <w:p>
      <w:pPr>
        <w:spacing w:after="0" w:line="107"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2"/>
          <w:szCs w:val="12"/>
          <w:color w:val="auto"/>
        </w:rPr>
        <w:t>In November 2010, the Company entered into additional interest rate swap agreements to convert a portion of variable-rate debt denominated in U.S. dollars to a fixed rate for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-786765</wp:posOffset>
            </wp:positionV>
            <wp:extent cx="1747520" cy="996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47520" cy="996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-524510</wp:posOffset>
            </wp:positionV>
            <wp:extent cx="82359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7"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aggregate notional amount of $300 million. The effective dates of the agreements are in 2011 or 2012 and expiration dates are in 2016 or 2017. The swap agreements hedge interest payments for three-month or six-month periods each year between the effective date and expiration date. The fixed rates range from 2.34% to 2.96%.</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Master Accounts Receivable Purchase Agreement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April 9, 2008, the Company entered into a Master Accounts Receivable Purchase Agreement (the “2008 MARP Agreement”). The 2008 MARP Agreement provided for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discounted sale, on a revolving basis, of accounts receivable generated by specified account debtors, with seasonally adjusted monthly aggregate limits ranging from $10 million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$300 million. The 2008 MARP Agreement also provided for specified account debtor sublimit amounts, which provided limits on the amount of receivables owed by individual account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debtors that could be sold to the banks. The 2008 MARP Agreement provided an interest rate that approximated the 7-day LIBOR rate plus 85 basis points. The 2008 MARP Agreement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expired by its terms on April 8, 2009.</w:t>
      </w:r>
    </w:p>
    <w:p>
      <w:pPr>
        <w:spacing w:after="0" w:line="89" w:lineRule="exact"/>
        <w:rPr>
          <w:sz w:val="20"/>
          <w:szCs w:val="20"/>
          <w:color w:val="auto"/>
        </w:rPr>
      </w:pPr>
    </w:p>
    <w:p>
      <w:pPr>
        <w:jc w:val="both"/>
        <w:ind w:left="680" w:right="240" w:firstLine="399"/>
        <w:spacing w:after="0" w:line="260" w:lineRule="auto"/>
        <w:rPr>
          <w:sz w:val="20"/>
          <w:szCs w:val="20"/>
          <w:color w:val="auto"/>
        </w:rPr>
      </w:pPr>
      <w:r>
        <w:rPr>
          <w:rFonts w:ascii="Arial" w:cs="Arial" w:eastAsia="Arial" w:hAnsi="Arial"/>
          <w:sz w:val="13"/>
          <w:szCs w:val="13"/>
          <w:color w:val="auto"/>
        </w:rPr>
        <w:t>On May 1, 2009, the Company entered into a Master Accounts Receivable Purchase Agreement (the “2009 MARP Agreement”), with an initial stated termination date of May 1, 2010, or such later date as may be mutually agreed by the Company and its lender. The 2009 MARP Agreement provided for the discounted sale, on an uncommitted, revolving basis, of accounts receivable generated by a specified account debtor, with aggregate limits not to exceed $80 million. The 2009 MARP Agreement provided an interest rate that approximated the 7-day LIBOR rate plus 225 basis points.</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On May 13, 2010, the Company and its lender entered into a First Amendment to the 2009 MARP Agreement (the “First Amendment”). The First Amendment, which was effective May 1, 2010, extended the stated termination date of the 2009 MARP Agreement through May 12, 2011, or such later date as may be mutually agreed by the Company and its lender. The 2009 MARP Agreement, as amended by the First Amendment, provides an interest rate that approximates the 7-day LIBOR rate plus 125 basis points; the First Amendment did not otherwise modify any substantive provisions of the 2009 MARP Agreement.</w:t>
      </w:r>
    </w:p>
    <w:p>
      <w:pPr>
        <w:spacing w:after="0" w:line="70"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color w:val="auto"/>
        </w:rPr>
        <w:t>The Company accounts for the sale of receivables under the 2009 MARP Agreement, as amended, as short-term debt and continues to carry the receivables on its Consolidated Balance Sheet, primarily as a result of the Company’s right to repurchase receivables sold. The caption “Accounts receivable pledged” on the accompanying</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40"/>
        <w:spacing w:after="0" w:line="264" w:lineRule="auto"/>
        <w:rPr>
          <w:sz w:val="20"/>
          <w:szCs w:val="20"/>
          <w:color w:val="auto"/>
        </w:rPr>
      </w:pPr>
      <w:r>
        <w:rPr>
          <w:rFonts w:ascii="Arial" w:cs="Arial" w:eastAsia="Arial" w:hAnsi="Arial"/>
          <w:sz w:val="13"/>
          <w:szCs w:val="13"/>
          <w:color w:val="auto"/>
        </w:rPr>
        <w:t>Consolidated Balance Sheets in the amount of $17.0 million as of September 30, 2009, represents the pool of receivables that have been designated as “sold” under the 2009 MARP Agreement and serve as collateral for short-term debt thereunder in the amount of $4.2 million as September 30, 2009. There were no short-term borrowings under the amended 2009 MARP Agreement as of September 30, 2010.</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Contingent Consideration</w:t>
      </w:r>
    </w:p>
    <w:p>
      <w:pPr>
        <w:spacing w:after="0" w:line="96"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In May 2006, the Company acquired certain brands and assets of Turf-Seed, Inc., a leading producer of quality commercial turfgrasses, for cash of $10.0 million, assumed liabilities of $4.5 million and contingent consideration due in the second half of fiscal 2012. The final determination of the contingent consideration is largely based on the performance of the Company’s consumer and professional seed business for the twelve-month period ending in May 2012.</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Estimated Fair Values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description of the methods and assumptions used to estimate the fair values of the Company’s debt instruments is as follows: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Long-Term Debt</w:t>
      </w:r>
    </w:p>
    <w:p>
      <w:pPr>
        <w:spacing w:after="0" w:line="96"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The interest rate currently available to the Company fluctuates with the applicable LIBOR rate, prime rate or Federal Funds Effective Rate, and thus the carrying value is a reasonable estimate of fair value.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Senior Notes — 7.25%</w:t>
      </w:r>
    </w:p>
    <w:p>
      <w:pPr>
        <w:spacing w:after="0" w:line="96"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The fair value of the Senior Notes can be determined based on the trading of the Senior Notes in the open market. The difference between the carrying value and the fair value of the Senior Notes represents the premium or discount on that date. Based on the trading value on or around September 30, 2010, the fair value of the Senior Notes was approximately $211.0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Pledged</w:t>
      </w:r>
    </w:p>
    <w:p>
      <w:pPr>
        <w:spacing w:after="0" w:line="96" w:lineRule="exact"/>
        <w:rPr>
          <w:sz w:val="20"/>
          <w:szCs w:val="20"/>
          <w:color w:val="auto"/>
        </w:rPr>
      </w:pPr>
    </w:p>
    <w:p>
      <w:pPr>
        <w:ind w:left="680" w:right="1260" w:firstLine="399"/>
        <w:spacing w:after="0" w:line="276" w:lineRule="auto"/>
        <w:rPr>
          <w:sz w:val="20"/>
          <w:szCs w:val="20"/>
          <w:color w:val="auto"/>
        </w:rPr>
      </w:pPr>
      <w:r>
        <w:rPr>
          <w:rFonts w:ascii="Arial" w:cs="Arial" w:eastAsia="Arial" w:hAnsi="Arial"/>
          <w:sz w:val="13"/>
          <w:szCs w:val="13"/>
          <w:color w:val="auto"/>
        </w:rPr>
        <w:t>The interest rate on the short-term debt associated with accounts receivable pledged under the 2009 MARP Agreement fluctuates with the one-week LIBOR rate, and thus the carrying value is a reasonable estimate of fair value.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estimated fair values of the Company’s debt instruments are as follows for the fiscal years ended September 30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w w:val="89"/>
              </w:rPr>
              <w:t>2010</w:t>
            </w: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2009</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37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rPr>
              <w:t>Carrying</w:t>
            </w:r>
          </w:p>
        </w:tc>
        <w:tc>
          <w:tcPr>
            <w:tcW w:w="380" w:type="dxa"/>
            <w:vAlign w:val="bottom"/>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Fair</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100"/>
              <w:spacing w:after="0" w:line="81" w:lineRule="exact"/>
              <w:rPr>
                <w:sz w:val="20"/>
                <w:szCs w:val="20"/>
                <w:color w:val="auto"/>
              </w:rPr>
            </w:pPr>
            <w:r>
              <w:rPr>
                <w:rFonts w:ascii="Arial" w:cs="Arial" w:eastAsia="Arial" w:hAnsi="Arial"/>
                <w:sz w:val="9"/>
                <w:szCs w:val="9"/>
                <w:b w:val="1"/>
                <w:bCs w:val="1"/>
                <w:color w:val="auto"/>
              </w:rPr>
              <w:t>Carrying</w:t>
            </w:r>
          </w:p>
        </w:tc>
        <w:tc>
          <w:tcPr>
            <w:tcW w:w="380" w:type="dxa"/>
            <w:vAlign w:val="bottom"/>
          </w:tcPr>
          <w:p>
            <w:pPr>
              <w:spacing w:after="0"/>
              <w:rPr>
                <w:sz w:val="7"/>
                <w:szCs w:val="7"/>
                <w:color w:val="auto"/>
              </w:rPr>
            </w:pPr>
          </w:p>
        </w:tc>
        <w:tc>
          <w:tcPr>
            <w:tcW w:w="480" w:type="dxa"/>
            <w:vAlign w:val="bottom"/>
          </w:tcPr>
          <w:p>
            <w:pPr>
              <w:jc w:val="right"/>
              <w:ind w:right="85"/>
              <w:spacing w:after="0" w:line="81" w:lineRule="exact"/>
              <w:rPr>
                <w:sz w:val="20"/>
                <w:szCs w:val="20"/>
                <w:color w:val="auto"/>
              </w:rPr>
            </w:pPr>
            <w:r>
              <w:rPr>
                <w:rFonts w:ascii="Arial" w:cs="Arial" w:eastAsia="Arial" w:hAnsi="Arial"/>
                <w:sz w:val="9"/>
                <w:szCs w:val="9"/>
                <w:b w:val="1"/>
                <w:bCs w:val="1"/>
                <w:color w:val="auto"/>
              </w:rPr>
              <w:t>Fair</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Amount</w:t>
            </w:r>
          </w:p>
        </w:tc>
        <w:tc>
          <w:tcPr>
            <w:tcW w:w="380" w:type="dxa"/>
            <w:vAlign w:val="bottom"/>
          </w:tcPr>
          <w:p>
            <w:pPr>
              <w:spacing w:after="0"/>
              <w:rPr>
                <w:sz w:val="10"/>
                <w:szCs w:val="10"/>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Value</w:t>
            </w: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Amount</w:t>
            </w:r>
          </w:p>
        </w:tc>
        <w:tc>
          <w:tcPr>
            <w:tcW w:w="38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Value</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Revolving loans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111.7</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111.7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330.4</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330.4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Term loans</w:t>
            </w: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302.4</w:t>
            </w: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302.4</w:t>
            </w:r>
          </w:p>
        </w:tc>
        <w:tc>
          <w:tcPr>
            <w:tcW w:w="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456.4</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456.4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Senior Notes — 7.25%</w:t>
            </w:r>
          </w:p>
        </w:tc>
        <w:tc>
          <w:tcPr>
            <w:tcW w:w="2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200.0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211.0</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Master Accounts Receivable Purchase Agreement</w:t>
            </w: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4.2</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Contingent consideration</w:t>
            </w:r>
          </w:p>
        </w:tc>
        <w:tc>
          <w:tcPr>
            <w:tcW w:w="2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10.9</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10.9</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11.0</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Other</w:t>
            </w: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6.7</w:t>
            </w: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6.7</w:t>
            </w:r>
          </w:p>
        </w:tc>
        <w:tc>
          <w:tcPr>
            <w:tcW w:w="6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8.1</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8.1</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20" w:type="dxa"/>
            <w:vAlign w:val="bottom"/>
          </w:tcPr>
          <w:p>
            <w:pPr>
              <w:jc w:val="right"/>
              <w:ind w:right="1374"/>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920" w:type="dxa"/>
            <w:vAlign w:val="bottom"/>
          </w:tcPr>
          <w:p>
            <w:pPr>
              <w:spacing w:after="0"/>
              <w:rPr>
                <w:sz w:val="20"/>
                <w:szCs w:val="20"/>
                <w:color w:val="auto"/>
              </w:rPr>
            </w:pPr>
            <w:r>
              <w:rPr>
                <w:rFonts w:ascii="Arial" w:cs="Arial" w:eastAsia="Arial" w:hAnsi="Arial"/>
                <w:sz w:val="13"/>
                <w:szCs w:val="13"/>
                <w:b w:val="1"/>
                <w:bCs w:val="1"/>
                <w:color w:val="auto"/>
              </w:rPr>
              <w:t>NOTE 12.</w:t>
            </w:r>
          </w:p>
        </w:tc>
        <w:tc>
          <w:tcPr>
            <w:tcW w:w="6960" w:type="dxa"/>
            <w:vAlign w:val="bottom"/>
            <w:gridSpan w:val="2"/>
          </w:tcPr>
          <w:p>
            <w:pPr>
              <w:jc w:val="right"/>
              <w:ind w:right="5037"/>
              <w:spacing w:after="0"/>
              <w:rPr>
                <w:sz w:val="20"/>
                <w:szCs w:val="20"/>
                <w:color w:val="auto"/>
              </w:rPr>
            </w:pPr>
            <w:r>
              <w:rPr>
                <w:rFonts w:ascii="Arial" w:cs="Arial" w:eastAsia="Arial" w:hAnsi="Arial"/>
                <w:sz w:val="13"/>
                <w:szCs w:val="13"/>
                <w:b w:val="1"/>
                <w:bCs w:val="1"/>
                <w:color w:val="auto"/>
              </w:rPr>
              <w:t>SHAREHOLDERS’ EQUITY</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8"/>
        </w:trPr>
        <w:tc>
          <w:tcPr>
            <w:tcW w:w="9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4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2010</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Borders>
              <w:bottom w:val="single" w:sz="8" w:color="auto"/>
            </w:tcBorders>
          </w:tcPr>
          <w:p>
            <w:pPr>
              <w:jc w:val="right"/>
              <w:ind w:right="597"/>
              <w:spacing w:after="0"/>
              <w:rPr>
                <w:sz w:val="20"/>
                <w:szCs w:val="20"/>
                <w:color w:val="auto"/>
              </w:rPr>
            </w:pPr>
            <w:r>
              <w:rPr>
                <w:rFonts w:ascii="Arial" w:cs="Arial" w:eastAsia="Arial" w:hAnsi="Arial"/>
                <w:sz w:val="10"/>
                <w:szCs w:val="10"/>
                <w:b w:val="1"/>
                <w:bCs w:val="1"/>
                <w:color w:val="auto"/>
              </w:rPr>
              <w:t>2009</w:t>
            </w:r>
          </w:p>
        </w:tc>
      </w:tr>
      <w:tr>
        <w:trPr>
          <w:trHeight w:val="131"/>
        </w:trPr>
        <w:tc>
          <w:tcPr>
            <w:tcW w:w="9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ind w:left="160"/>
              <w:spacing w:after="0"/>
              <w:rPr>
                <w:sz w:val="20"/>
                <w:szCs w:val="20"/>
                <w:color w:val="auto"/>
              </w:rPr>
            </w:pPr>
            <w:r>
              <w:rPr>
                <w:rFonts w:ascii="Arial" w:cs="Arial" w:eastAsia="Arial" w:hAnsi="Arial"/>
                <w:sz w:val="10"/>
                <w:szCs w:val="10"/>
                <w:b w:val="1"/>
                <w:bCs w:val="1"/>
                <w:color w:val="auto"/>
                <w:w w:val="97"/>
              </w:rPr>
              <w:t>(In</w:t>
            </w:r>
          </w:p>
        </w:tc>
        <w:tc>
          <w:tcPr>
            <w:tcW w:w="1800" w:type="dxa"/>
            <w:vAlign w:val="bottom"/>
            <w:gridSpan w:val="2"/>
          </w:tcPr>
          <w:p>
            <w:pPr>
              <w:jc w:val="right"/>
              <w:ind w:right="1337"/>
              <w:spacing w:after="0"/>
              <w:rPr>
                <w:sz w:val="20"/>
                <w:szCs w:val="20"/>
                <w:color w:val="auto"/>
              </w:rPr>
            </w:pPr>
            <w:r>
              <w:rPr>
                <w:rFonts w:ascii="Arial" w:cs="Arial" w:eastAsia="Arial" w:hAnsi="Arial"/>
                <w:sz w:val="10"/>
                <w:szCs w:val="10"/>
                <w:b w:val="1"/>
                <w:bCs w:val="1"/>
                <w:color w:val="auto"/>
                <w:w w:val="92"/>
              </w:rPr>
              <w:t>millions)</w:t>
            </w:r>
          </w:p>
        </w:tc>
      </w:tr>
      <w:tr>
        <w:trPr>
          <w:trHeight w:val="163"/>
        </w:trPr>
        <w:tc>
          <w:tcPr>
            <w:tcW w:w="7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Preferred shares, no par value:</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57"/>
        </w:trPr>
        <w:tc>
          <w:tcPr>
            <w:tcW w:w="920" w:type="dxa"/>
            <w:vAlign w:val="bottom"/>
          </w:tcPr>
          <w:p>
            <w:pPr>
              <w:ind w:left="140"/>
              <w:spacing w:after="0"/>
              <w:rPr>
                <w:sz w:val="20"/>
                <w:szCs w:val="20"/>
                <w:color w:val="auto"/>
              </w:rPr>
            </w:pPr>
            <w:r>
              <w:rPr>
                <w:rFonts w:ascii="Arial" w:cs="Arial" w:eastAsia="Arial" w:hAnsi="Arial"/>
                <w:sz w:val="13"/>
                <w:szCs w:val="13"/>
                <w:color w:val="auto"/>
              </w:rPr>
              <w:t>Authorized</w:t>
            </w:r>
          </w:p>
        </w:tc>
        <w:tc>
          <w:tcPr>
            <w:tcW w:w="5720" w:type="dxa"/>
            <w:vAlign w:val="bottom"/>
          </w:tcPr>
          <w:p>
            <w:pPr>
              <w:spacing w:after="0"/>
              <w:rPr>
                <w:sz w:val="13"/>
                <w:szCs w:val="13"/>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auto"/>
              </w:rPr>
              <w:t>0.2 shares</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377"/>
              <w:spacing w:after="0"/>
              <w:rPr>
                <w:sz w:val="20"/>
                <w:szCs w:val="20"/>
                <w:color w:val="auto"/>
              </w:rPr>
            </w:pPr>
            <w:r>
              <w:rPr>
                <w:rFonts w:ascii="Arial" w:cs="Arial" w:eastAsia="Arial" w:hAnsi="Arial"/>
                <w:sz w:val="13"/>
                <w:szCs w:val="13"/>
                <w:color w:val="auto"/>
              </w:rPr>
              <w:t>0.2 shares</w:t>
            </w:r>
          </w:p>
        </w:tc>
      </w:tr>
      <w:tr>
        <w:trPr>
          <w:trHeight w:val="157"/>
        </w:trPr>
        <w:tc>
          <w:tcPr>
            <w:tcW w:w="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Issued</w:t>
            </w:r>
          </w:p>
        </w:tc>
        <w:tc>
          <w:tcPr>
            <w:tcW w:w="57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 shares</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0.0 shares</w:t>
            </w:r>
          </w:p>
        </w:tc>
      </w:tr>
      <w:tr>
        <w:trPr>
          <w:trHeight w:val="157"/>
        </w:trPr>
        <w:tc>
          <w:tcPr>
            <w:tcW w:w="7880" w:type="dxa"/>
            <w:vAlign w:val="bottom"/>
            <w:gridSpan w:val="3"/>
          </w:tcPr>
          <w:p>
            <w:pPr>
              <w:spacing w:after="0"/>
              <w:rPr>
                <w:sz w:val="20"/>
                <w:szCs w:val="20"/>
                <w:color w:val="auto"/>
              </w:rPr>
            </w:pPr>
            <w:r>
              <w:rPr>
                <w:rFonts w:ascii="Arial" w:cs="Arial" w:eastAsia="Arial" w:hAnsi="Arial"/>
                <w:sz w:val="13"/>
                <w:szCs w:val="13"/>
                <w:color w:val="auto"/>
              </w:rPr>
              <w:t>Common shares, no par value, $.01 stated value per share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7"/>
        </w:trPr>
        <w:tc>
          <w:tcPr>
            <w:tcW w:w="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Authorized</w:t>
            </w:r>
          </w:p>
        </w:tc>
        <w:tc>
          <w:tcPr>
            <w:tcW w:w="57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100.0 shares</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100.0 shares</w:t>
            </w:r>
          </w:p>
        </w:tc>
      </w:tr>
      <w:tr>
        <w:trPr>
          <w:trHeight w:val="165"/>
        </w:trPr>
        <w:tc>
          <w:tcPr>
            <w:tcW w:w="920" w:type="dxa"/>
            <w:vAlign w:val="bottom"/>
          </w:tcPr>
          <w:p>
            <w:pPr>
              <w:ind w:left="140"/>
              <w:spacing w:after="0"/>
              <w:rPr>
                <w:sz w:val="20"/>
                <w:szCs w:val="20"/>
                <w:color w:val="auto"/>
              </w:rPr>
            </w:pPr>
            <w:r>
              <w:rPr>
                <w:rFonts w:ascii="Arial" w:cs="Arial" w:eastAsia="Arial" w:hAnsi="Arial"/>
                <w:sz w:val="13"/>
                <w:szCs w:val="13"/>
                <w:color w:val="auto"/>
              </w:rPr>
              <w:t>Issued</w:t>
            </w:r>
          </w:p>
        </w:tc>
        <w:tc>
          <w:tcPr>
            <w:tcW w:w="5720" w:type="dxa"/>
            <w:vAlign w:val="bottom"/>
          </w:tcPr>
          <w:p>
            <w:pPr>
              <w:spacing w:after="0"/>
              <w:rPr>
                <w:sz w:val="14"/>
                <w:szCs w:val="14"/>
                <w:color w:val="auto"/>
              </w:rPr>
            </w:pPr>
          </w:p>
        </w:tc>
        <w:tc>
          <w:tcPr>
            <w:tcW w:w="1240" w:type="dxa"/>
            <w:vAlign w:val="bottom"/>
          </w:tcPr>
          <w:p>
            <w:pPr>
              <w:jc w:val="right"/>
              <w:ind w:right="77"/>
              <w:spacing w:after="0"/>
              <w:rPr>
                <w:sz w:val="20"/>
                <w:szCs w:val="20"/>
                <w:color w:val="auto"/>
              </w:rPr>
            </w:pPr>
            <w:r>
              <w:rPr>
                <w:rFonts w:ascii="Arial" w:cs="Arial" w:eastAsia="Arial" w:hAnsi="Arial"/>
                <w:sz w:val="13"/>
                <w:szCs w:val="13"/>
                <w:color w:val="auto"/>
              </w:rPr>
              <w:t>68.1 shares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377"/>
              <w:spacing w:after="0"/>
              <w:rPr>
                <w:sz w:val="20"/>
                <w:szCs w:val="20"/>
                <w:color w:val="auto"/>
              </w:rPr>
            </w:pPr>
            <w:r>
              <w:rPr>
                <w:rFonts w:ascii="Arial" w:cs="Arial" w:eastAsia="Arial" w:hAnsi="Arial"/>
                <w:sz w:val="13"/>
                <w:szCs w:val="13"/>
                <w:color w:val="auto"/>
              </w:rPr>
              <w:t>68.1 shares</w:t>
            </w:r>
          </w:p>
        </w:tc>
      </w:tr>
    </w:tbl>
    <w:p>
      <w:pPr>
        <w:spacing w:after="0" w:line="72"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fiscal 1995, The Scotts Company merged with Stern’s Miracle-Gro Products, Inc. (“Miracle-Gro”). At September 30, 2010, the former shareholders of Miracle-Gro, including Hagedorn Partnership L.P., owned approximately 30% of Scotts Miracle-Gro’s outstanding common shares and, thus, have the ability to significantly influence the election of directors and other actions requiring the approval of Scotts Miracle-Gro’s shareholders.</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71"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On August 10, 2010, Scotts Miracle-Gro announced that its Board of Directors had authorized the repurchase of up to $500 million of Scotts Miracle-Gro’s common shares over the next four years. The authorization provides the Company with flexibility to purchase the common shares from time to time in open market purchases or through privately negotiated transactions. All or part of the repurchases may be made under Rule 10b5-1 plans, which the Company may enter from time to time and which enable the repurchases to occur on a more regular basis, or pursuant to accelerated share repurchases. The share repurchase authorization, which expires September 30, 2014, may be suspended or discontinued at any time, and there can be no guarantee as to the timing or amount of any repurchases. Scotts Miracle-Gro reacquired 0.5 million common shares during fiscal 2010 to be held in treasury. Scotts Miracle-Gro did not reacquire any common shares in fiscal 2009. Common shares held in treasury totaling 1.1 million and 1.0 million were reissued in support of share-based compensation awards and employee purchases under the employee stock purchase plan during fiscal 2010 and fiscal 2009, respectively.</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Share-Based Awards</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Scotts Miracle-Gro grants share-based awards annually to officers, other key employees of the Company and non-employee directors of Scotts Miracle-Gro. The share-based awards typically consist of stock options, restricted stock, restricted stock units and deferred stock units, although performance share awards have been made. Stock appreciation rights (“SARs”) also have been granted, though not in recent years. SARs result in less dilution than stock options as the SAR holder receives a net share settlement upon exercise. All of these share-based awards have been made under plans approved by the shareholders. Generally, employee share-based awards provide for three-year cliff vesting. Vesting for non-employee director awards varies based on the length of service and age of each director at the time of the award. Share-based awards are forfeited if a holder terminates employment or service with the Company prior to the vesting date. The Company estimates that 10-15% of its share-based awards will be forfeited based on an analysis of historical trends. This assumption is re-evaluated on an annual basis and adjusted as appropriate. Stock options and SAR awards have exercise prices equal to the market price of the underlying common shares on the date of grant with a term of 10 years. If available, Scotts Miracle-Gro will typically use treasury shares, or if not available, newly-issued common shares, in satisfaction of its share-based awards.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100" w:firstLine="399"/>
        <w:spacing w:after="0" w:line="276" w:lineRule="auto"/>
        <w:rPr>
          <w:sz w:val="20"/>
          <w:szCs w:val="20"/>
          <w:color w:val="auto"/>
        </w:rPr>
      </w:pPr>
      <w:r>
        <w:rPr>
          <w:rFonts w:ascii="Arial" w:cs="Arial" w:eastAsia="Arial" w:hAnsi="Arial"/>
          <w:sz w:val="13"/>
          <w:szCs w:val="13"/>
          <w:color w:val="auto"/>
        </w:rPr>
        <w:t>A maximum of 18 million common shares are available for issuance under share-based award plans. At September 30, 2010, approximately 1.1 million common shares were not subject to outstanding awards and were available to underlie the grant of new share-based awards.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recap of the share-based awards granted during the periods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0"/>
                <w:szCs w:val="10"/>
                <w:b w:val="1"/>
                <w:bCs w:val="1"/>
                <w:color w:val="auto"/>
              </w:rPr>
              <w:t>Year Ended September 30,</w:t>
            </w: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2010</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281"/>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Key employees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Options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367,600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701,100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889,700</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Restricted stock</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243,400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154,900</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Restricted stock units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259,353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199,262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Performance shares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4,200</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Board of Directors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stock units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28,854</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33,281</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30,271</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3"/>
                <w:szCs w:val="13"/>
                <w:color w:val="auto"/>
              </w:rPr>
              <w:t>Total share-based awards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660,007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1,177,043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1,114,871</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Aggregate fair value at grant dates (in millions)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244"/>
        </w:trPr>
        <w:tc>
          <w:tcPr>
            <w:tcW w:w="6600" w:type="dxa"/>
            <w:vAlign w:val="bottom"/>
          </w:tcPr>
          <w:p>
            <w:pPr>
              <w:ind w:left="400"/>
              <w:spacing w:after="0"/>
              <w:rPr>
                <w:sz w:val="20"/>
                <w:szCs w:val="20"/>
                <w:color w:val="auto"/>
              </w:rPr>
            </w:pPr>
            <w:r>
              <w:rPr>
                <w:rFonts w:ascii="Arial" w:cs="Arial" w:eastAsia="Arial" w:hAnsi="Arial"/>
                <w:sz w:val="13"/>
                <w:szCs w:val="13"/>
                <w:color w:val="auto"/>
              </w:rPr>
              <w:t>Total share-based compensation was as follows for the periods indicated (in millions):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9"/>
          </w:tcPr>
          <w:p>
            <w:pPr>
              <w:jc w:val="center"/>
              <w:ind w:right="180"/>
              <w:spacing w:after="0"/>
              <w:rPr>
                <w:sz w:val="20"/>
                <w:szCs w:val="20"/>
                <w:color w:val="auto"/>
              </w:rPr>
            </w:pPr>
            <w:r>
              <w:rPr>
                <w:rFonts w:ascii="Arial" w:cs="Arial" w:eastAsia="Arial" w:hAnsi="Arial"/>
                <w:sz w:val="10"/>
                <w:szCs w:val="10"/>
                <w:b w:val="1"/>
                <w:bCs w:val="1"/>
                <w:color w:val="auto"/>
                <w:w w:val="93"/>
              </w:rPr>
              <w:t>Year Ended September 30,</w:t>
            </w:r>
          </w:p>
        </w:tc>
        <w:tc>
          <w:tcPr>
            <w:tcW w:w="0" w:type="dxa"/>
            <w:vAlign w:val="bottom"/>
          </w:tcPr>
          <w:p>
            <w:pPr>
              <w:spacing w:after="0"/>
              <w:rPr>
                <w:sz w:val="1"/>
                <w:szCs w:val="1"/>
                <w:color w:val="auto"/>
              </w:rPr>
            </w:pPr>
          </w:p>
        </w:tc>
      </w:tr>
      <w:tr>
        <w:trPr>
          <w:trHeight w:val="98"/>
        </w:trPr>
        <w:tc>
          <w:tcPr>
            <w:tcW w:w="6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w w:val="98"/>
              </w:rPr>
              <w:t>2010</w:t>
            </w:r>
          </w:p>
        </w:tc>
        <w:tc>
          <w:tcPr>
            <w:tcW w:w="2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2009</w:t>
            </w: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660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14"/>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5"/>
                <w:szCs w:val="15"/>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3"/>
                <w:szCs w:val="13"/>
                <w:color w:val="auto"/>
                <w:w w:val="95"/>
              </w:rPr>
              <w:t>$  14.5</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  12.5</w:t>
            </w:r>
          </w:p>
        </w:tc>
        <w:tc>
          <w:tcPr>
            <w:tcW w:w="0" w:type="dxa"/>
            <w:vAlign w:val="bottom"/>
          </w:tcPr>
          <w:p>
            <w:pPr>
              <w:spacing w:after="0"/>
              <w:rPr>
                <w:sz w:val="1"/>
                <w:szCs w:val="1"/>
                <w:color w:val="auto"/>
              </w:rPr>
            </w:pPr>
          </w:p>
        </w:tc>
      </w:tr>
      <w:tr>
        <w:trPr>
          <w:trHeight w:val="165"/>
        </w:trPr>
        <w:tc>
          <w:tcPr>
            <w:tcW w:w="6600" w:type="dxa"/>
            <w:vAlign w:val="bottom"/>
          </w:tcPr>
          <w:p>
            <w:pPr>
              <w:spacing w:after="0"/>
              <w:rPr>
                <w:sz w:val="20"/>
                <w:szCs w:val="20"/>
                <w:color w:val="auto"/>
              </w:rPr>
            </w:pPr>
            <w:r>
              <w:rPr>
                <w:rFonts w:ascii="Arial" w:cs="Arial" w:eastAsia="Arial" w:hAnsi="Arial"/>
                <w:sz w:val="13"/>
                <w:szCs w:val="13"/>
                <w:color w:val="auto"/>
              </w:rPr>
              <w:t>Tax benefit recognized</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14"/>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3"/>
                <w:szCs w:val="13"/>
                <w:color w:val="auto"/>
              </w:rPr>
              <w:t>5.6</w:t>
            </w: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Stock Options/SARs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Aggregate stock option and SARs activity consisted of the following for the year ended September 30, 2010 (options/SARs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WTD.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400" w:type="dxa"/>
            <w:vAlign w:val="bottom"/>
            <w:gridSpan w:val="2"/>
            <w:vMerge w:val="restart"/>
          </w:tcPr>
          <w:p>
            <w:pPr>
              <w:jc w:val="right"/>
              <w:ind w:right="760"/>
              <w:spacing w:after="0"/>
              <w:rPr>
                <w:sz w:val="20"/>
                <w:szCs w:val="20"/>
                <w:color w:val="auto"/>
              </w:rPr>
            </w:pPr>
            <w:r>
              <w:rPr>
                <w:rFonts w:ascii="Arial" w:cs="Arial" w:eastAsia="Arial" w:hAnsi="Arial"/>
                <w:sz w:val="10"/>
                <w:szCs w:val="10"/>
                <w:b w:val="1"/>
                <w:bCs w:val="1"/>
                <w:color w:val="auto"/>
              </w:rPr>
              <w:t>No. of</w:t>
            </w:r>
          </w:p>
        </w:tc>
        <w:tc>
          <w:tcPr>
            <w:tcW w:w="5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2"/>
              </w:rPr>
              <w:t>Avg.</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5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87"/>
              </w:rPr>
              <w:t>Exercise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Options/SARs</w:t>
            </w: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64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  29.36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Granted</w:t>
            </w:r>
          </w:p>
        </w:tc>
        <w:tc>
          <w:tcPr>
            <w:tcW w:w="6440" w:type="dxa"/>
            <w:vAlign w:val="bottom"/>
            <w:gridSpan w:val="3"/>
          </w:tcPr>
          <w:p>
            <w:pPr>
              <w:jc w:val="right"/>
              <w:ind w:right="400"/>
              <w:spacing w:after="0"/>
              <w:rPr>
                <w:sz w:val="20"/>
                <w:szCs w:val="20"/>
                <w:color w:val="auto"/>
              </w:rPr>
            </w:pPr>
            <w:r>
              <w:rPr>
                <w:rFonts w:ascii="Arial" w:cs="Arial" w:eastAsia="Arial" w:hAnsi="Arial"/>
                <w:sz w:val="13"/>
                <w:szCs w:val="13"/>
                <w:color w:val="auto"/>
              </w:rPr>
              <w:t>0.4</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41.68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64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Forfeited</w:t>
            </w:r>
          </w:p>
        </w:tc>
        <w:tc>
          <w:tcPr>
            <w:tcW w:w="5040" w:type="dxa"/>
            <w:vAlign w:val="bottom"/>
          </w:tcPr>
          <w:p>
            <w:pPr>
              <w:spacing w:after="0"/>
              <w:rPr>
                <w:sz w:val="13"/>
                <w:szCs w:val="13"/>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3"/>
                <w:szCs w:val="13"/>
                <w:color w:val="auto"/>
              </w:rPr>
              <w:t>(0.1)</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34.47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50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960" w:type="dxa"/>
            <w:vAlign w:val="bottom"/>
            <w:vMerge w:val="restart"/>
          </w:tcPr>
          <w:p>
            <w:pPr>
              <w:spacing w:after="0"/>
              <w:rPr>
                <w:sz w:val="20"/>
                <w:szCs w:val="20"/>
                <w:color w:val="auto"/>
              </w:rPr>
            </w:pPr>
            <w:r>
              <w:rPr>
                <w:rFonts w:ascii="Arial" w:cs="Arial" w:eastAsia="Arial" w:hAnsi="Arial"/>
                <w:sz w:val="13"/>
                <w:szCs w:val="13"/>
                <w:color w:val="auto"/>
              </w:rPr>
              <w:t>Exercisable</w:t>
            </w:r>
          </w:p>
        </w:tc>
        <w:tc>
          <w:tcPr>
            <w:tcW w:w="50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30.98</w:t>
            </w: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504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5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040" w:type="dxa"/>
            <w:vAlign w:val="bottom"/>
          </w:tcPr>
          <w:p>
            <w:pPr>
              <w:jc w:val="right"/>
              <w:ind w:right="2874"/>
              <w:spacing w:after="0"/>
              <w:rPr>
                <w:sz w:val="20"/>
                <w:szCs w:val="20"/>
                <w:color w:val="auto"/>
              </w:rPr>
            </w:pPr>
            <w:r>
              <w:rPr>
                <w:rFonts w:ascii="Arial" w:cs="Arial" w:eastAsia="Arial" w:hAnsi="Arial"/>
                <w:sz w:val="13"/>
                <w:szCs w:val="13"/>
                <w:color w:val="auto"/>
              </w:rPr>
              <w:t>94</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c>
          <w:tcPr>
            <w:tcW w:w="504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certain information pertaining to stock option and SAR awards outstanding and exercisable at September 30, 2010 (options/SARs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Awards Outstanding</w:t>
            </w: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Awards Exercisable</w:t>
            </w: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Range of</w:t>
            </w:r>
          </w:p>
        </w:tc>
        <w:tc>
          <w:tcPr>
            <w:tcW w:w="102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rPr>
              <w:t>No. of</w:t>
            </w:r>
          </w:p>
        </w:tc>
        <w:tc>
          <w:tcPr>
            <w:tcW w:w="12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WTD. Avg.</w:t>
            </w:r>
          </w:p>
        </w:tc>
        <w:tc>
          <w:tcPr>
            <w:tcW w:w="120" w:type="dxa"/>
            <w:vAlign w:val="bottom"/>
          </w:tcPr>
          <w:p>
            <w:pPr>
              <w:spacing w:after="0"/>
              <w:rPr>
                <w:sz w:val="7"/>
                <w:szCs w:val="7"/>
                <w:color w:val="auto"/>
              </w:rPr>
            </w:pPr>
          </w:p>
        </w:tc>
        <w:tc>
          <w:tcPr>
            <w:tcW w:w="680" w:type="dxa"/>
            <w:vAlign w:val="bottom"/>
          </w:tcPr>
          <w:p>
            <w:pPr>
              <w:jc w:val="center"/>
              <w:ind w:right="39"/>
              <w:spacing w:after="0" w:line="81" w:lineRule="exact"/>
              <w:rPr>
                <w:sz w:val="20"/>
                <w:szCs w:val="20"/>
                <w:color w:val="auto"/>
              </w:rPr>
            </w:pPr>
            <w:r>
              <w:rPr>
                <w:rFonts w:ascii="Arial" w:cs="Arial" w:eastAsia="Arial" w:hAnsi="Arial"/>
                <w:sz w:val="9"/>
                <w:szCs w:val="9"/>
                <w:b w:val="1"/>
                <w:bCs w:val="1"/>
                <w:color w:val="auto"/>
              </w:rPr>
              <w:t>WTD. Avg.</w:t>
            </w:r>
          </w:p>
        </w:tc>
        <w:tc>
          <w:tcPr>
            <w:tcW w:w="400" w:type="dxa"/>
            <w:vAlign w:val="bottom"/>
          </w:tcPr>
          <w:p>
            <w:pPr>
              <w:spacing w:after="0"/>
              <w:rPr>
                <w:sz w:val="7"/>
                <w:szCs w:val="7"/>
                <w:color w:val="auto"/>
              </w:rPr>
            </w:pPr>
          </w:p>
        </w:tc>
        <w:tc>
          <w:tcPr>
            <w:tcW w:w="98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No. of</w:t>
            </w:r>
          </w:p>
        </w:tc>
        <w:tc>
          <w:tcPr>
            <w:tcW w:w="11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WTD. Avg.</w:t>
            </w:r>
          </w:p>
        </w:tc>
        <w:tc>
          <w:tcPr>
            <w:tcW w:w="80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WTD. Avg.</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500" w:type="dxa"/>
            <w:vAlign w:val="bottom"/>
            <w:gridSpan w:val="2"/>
            <w:vMerge w:val="continue"/>
          </w:tcPr>
          <w:p>
            <w:pPr>
              <w:spacing w:after="0"/>
              <w:rPr>
                <w:sz w:val="9"/>
                <w:szCs w:val="9"/>
                <w:color w:val="auto"/>
              </w:rPr>
            </w:pPr>
          </w:p>
        </w:tc>
        <w:tc>
          <w:tcPr>
            <w:tcW w:w="102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Options/</w:t>
            </w: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7"/>
              </w:rPr>
              <w:t>Remaining</w:t>
            </w:r>
          </w:p>
        </w:tc>
        <w:tc>
          <w:tcPr>
            <w:tcW w:w="120" w:type="dxa"/>
            <w:vAlign w:val="bottom"/>
          </w:tcPr>
          <w:p>
            <w:pPr>
              <w:spacing w:after="0"/>
              <w:rPr>
                <w:sz w:val="9"/>
                <w:szCs w:val="9"/>
                <w:color w:val="auto"/>
              </w:rPr>
            </w:pPr>
          </w:p>
        </w:tc>
        <w:tc>
          <w:tcPr>
            <w:tcW w:w="10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2"/>
              </w:rPr>
              <w:t>Exercise</w:t>
            </w:r>
          </w:p>
        </w:tc>
        <w:tc>
          <w:tcPr>
            <w:tcW w:w="9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Options/</w:t>
            </w:r>
          </w:p>
        </w:tc>
        <w:tc>
          <w:tcPr>
            <w:tcW w:w="11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Remaining</w:t>
            </w:r>
          </w:p>
        </w:tc>
        <w:tc>
          <w:tcPr>
            <w:tcW w:w="900" w:type="dxa"/>
            <w:vAlign w:val="bottom"/>
            <w:gridSpan w:val="4"/>
          </w:tcPr>
          <w:p>
            <w:pPr>
              <w:jc w:val="center"/>
              <w:ind w:right="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33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Exercise Price</w:t>
            </w:r>
          </w:p>
        </w:tc>
        <w:tc>
          <w:tcPr>
            <w:tcW w:w="20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SARs</w:t>
            </w:r>
          </w:p>
        </w:tc>
        <w:tc>
          <w:tcPr>
            <w:tcW w:w="400" w:type="dxa"/>
            <w:vAlign w:val="bottom"/>
            <w:gridSpan w:val="2"/>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Life</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89"/>
              </w:rPr>
              <w:t>Price</w:t>
            </w:r>
          </w:p>
        </w:tc>
        <w:tc>
          <w:tcPr>
            <w:tcW w:w="40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SARS</w:t>
            </w:r>
          </w:p>
        </w:tc>
        <w:tc>
          <w:tcPr>
            <w:tcW w:w="4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Life</w:t>
            </w:r>
          </w:p>
        </w:tc>
        <w:tc>
          <w:tcPr>
            <w:tcW w:w="3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center"/>
              <w:ind w:right="196"/>
              <w:spacing w:after="0"/>
              <w:rPr>
                <w:sz w:val="20"/>
                <w:szCs w:val="20"/>
                <w:color w:val="auto"/>
              </w:rPr>
            </w:pPr>
            <w:r>
              <w:rPr>
                <w:rFonts w:ascii="Arial" w:cs="Arial" w:eastAsia="Arial" w:hAnsi="Arial"/>
                <w:sz w:val="10"/>
                <w:szCs w:val="10"/>
                <w:b w:val="1"/>
                <w:bCs w:val="1"/>
                <w:color w:val="auto"/>
                <w:w w:val="89"/>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500" w:type="dxa"/>
            <w:vAlign w:val="bottom"/>
            <w:gridSpan w:val="2"/>
          </w:tcPr>
          <w:p>
            <w:pPr>
              <w:spacing w:after="0"/>
              <w:rPr>
                <w:sz w:val="20"/>
                <w:szCs w:val="20"/>
                <w:color w:val="auto"/>
              </w:rPr>
            </w:pPr>
            <w:r>
              <w:rPr>
                <w:rFonts w:ascii="Arial" w:cs="Arial" w:eastAsia="Arial" w:hAnsi="Arial"/>
                <w:sz w:val="13"/>
                <w:szCs w:val="13"/>
                <w:color w:val="auto"/>
              </w:rPr>
              <w:t>$16.80 — $19.82</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0.2</w:t>
            </w:r>
          </w:p>
        </w:tc>
        <w:tc>
          <w:tcPr>
            <w:tcW w:w="380" w:type="dxa"/>
            <w:vAlign w:val="bottom"/>
          </w:tcPr>
          <w:p>
            <w:pPr>
              <w:spacing w:after="0"/>
              <w:rPr>
                <w:sz w:val="15"/>
                <w:szCs w:val="15"/>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1.09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17.13</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0.2</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1.09</w:t>
            </w:r>
          </w:p>
        </w:tc>
        <w:tc>
          <w:tcPr>
            <w:tcW w:w="280" w:type="dxa"/>
            <w:vAlign w:val="bottom"/>
          </w:tcPr>
          <w:p>
            <w:pPr>
              <w:jc w:val="right"/>
              <w:ind w:right="141"/>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5"/>
                <w:szCs w:val="15"/>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17.13</w:t>
            </w:r>
          </w:p>
        </w:tc>
        <w:tc>
          <w:tcPr>
            <w:tcW w:w="0" w:type="dxa"/>
            <w:vAlign w:val="bottom"/>
          </w:tcPr>
          <w:p>
            <w:pPr>
              <w:spacing w:after="0"/>
              <w:rPr>
                <w:sz w:val="1"/>
                <w:szCs w:val="1"/>
                <w:color w:val="auto"/>
              </w:rPr>
            </w:pPr>
          </w:p>
        </w:tc>
      </w:tr>
      <w:tr>
        <w:trPr>
          <w:trHeight w:val="157"/>
        </w:trPr>
        <w:tc>
          <w:tcPr>
            <w:tcW w:w="3500" w:type="dxa"/>
            <w:vAlign w:val="bottom"/>
            <w:gridSpan w:val="2"/>
          </w:tcPr>
          <w:p>
            <w:pPr>
              <w:spacing w:after="0"/>
              <w:rPr>
                <w:sz w:val="20"/>
                <w:szCs w:val="20"/>
                <w:color w:val="auto"/>
              </w:rPr>
            </w:pPr>
            <w:r>
              <w:rPr>
                <w:rFonts w:ascii="Arial" w:cs="Arial" w:eastAsia="Arial" w:hAnsi="Arial"/>
                <w:sz w:val="13"/>
                <w:szCs w:val="13"/>
                <w:color w:val="auto"/>
              </w:rPr>
              <w:t>$20.12 — $21.65</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1.0</w:t>
            </w:r>
          </w:p>
        </w:tc>
        <w:tc>
          <w:tcPr>
            <w:tcW w:w="38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5.88</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21.48</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0.4</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2.41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21.20</w:t>
            </w:r>
          </w:p>
        </w:tc>
        <w:tc>
          <w:tcPr>
            <w:tcW w:w="0" w:type="dxa"/>
            <w:vAlign w:val="bottom"/>
          </w:tcPr>
          <w:p>
            <w:pPr>
              <w:spacing w:after="0"/>
              <w:rPr>
                <w:sz w:val="1"/>
                <w:szCs w:val="1"/>
                <w:color w:val="auto"/>
              </w:rPr>
            </w:pPr>
          </w:p>
        </w:tc>
      </w:tr>
      <w:tr>
        <w:trPr>
          <w:trHeight w:val="157"/>
        </w:trPr>
        <w:tc>
          <w:tcPr>
            <w:tcW w:w="3500" w:type="dxa"/>
            <w:vAlign w:val="bottom"/>
            <w:gridSpan w:val="2"/>
          </w:tcPr>
          <w:p>
            <w:pPr>
              <w:spacing w:after="0"/>
              <w:rPr>
                <w:sz w:val="20"/>
                <w:szCs w:val="20"/>
                <w:color w:val="auto"/>
              </w:rPr>
            </w:pPr>
            <w:r>
              <w:rPr>
                <w:rFonts w:ascii="Arial" w:cs="Arial" w:eastAsia="Arial" w:hAnsi="Arial"/>
                <w:sz w:val="13"/>
                <w:szCs w:val="13"/>
                <w:color w:val="auto"/>
              </w:rPr>
              <w:t>$24.45 — $28.72</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0.5</w:t>
            </w:r>
          </w:p>
        </w:tc>
        <w:tc>
          <w:tcPr>
            <w:tcW w:w="38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3.41</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25.70</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0.5</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3.41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25.70</w:t>
            </w:r>
          </w:p>
        </w:tc>
        <w:tc>
          <w:tcPr>
            <w:tcW w:w="0" w:type="dxa"/>
            <w:vAlign w:val="bottom"/>
          </w:tcPr>
          <w:p>
            <w:pPr>
              <w:spacing w:after="0"/>
              <w:rPr>
                <w:sz w:val="1"/>
                <w:szCs w:val="1"/>
                <w:color w:val="auto"/>
              </w:rPr>
            </w:pPr>
          </w:p>
        </w:tc>
      </w:tr>
      <w:tr>
        <w:trPr>
          <w:trHeight w:val="157"/>
        </w:trPr>
        <w:tc>
          <w:tcPr>
            <w:tcW w:w="3500" w:type="dxa"/>
            <w:vAlign w:val="bottom"/>
            <w:gridSpan w:val="2"/>
          </w:tcPr>
          <w:p>
            <w:pPr>
              <w:spacing w:after="0"/>
              <w:rPr>
                <w:sz w:val="20"/>
                <w:szCs w:val="20"/>
                <w:color w:val="auto"/>
              </w:rPr>
            </w:pPr>
            <w:r>
              <w:rPr>
                <w:rFonts w:ascii="Arial" w:cs="Arial" w:eastAsia="Arial" w:hAnsi="Arial"/>
                <w:sz w:val="13"/>
                <w:szCs w:val="13"/>
                <w:color w:val="auto"/>
              </w:rPr>
              <w:t>$29.01 — $31.62</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0.4</w:t>
            </w:r>
          </w:p>
        </w:tc>
        <w:tc>
          <w:tcPr>
            <w:tcW w:w="38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4.30</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29.12</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0.4</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4.21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29.08</w:t>
            </w:r>
          </w:p>
        </w:tc>
        <w:tc>
          <w:tcPr>
            <w:tcW w:w="0" w:type="dxa"/>
            <w:vAlign w:val="bottom"/>
          </w:tcPr>
          <w:p>
            <w:pPr>
              <w:spacing w:after="0"/>
              <w:rPr>
                <w:sz w:val="1"/>
                <w:szCs w:val="1"/>
                <w:color w:val="auto"/>
              </w:rPr>
            </w:pPr>
          </w:p>
        </w:tc>
      </w:tr>
      <w:tr>
        <w:trPr>
          <w:trHeight w:val="157"/>
        </w:trPr>
        <w:tc>
          <w:tcPr>
            <w:tcW w:w="3500" w:type="dxa"/>
            <w:vAlign w:val="bottom"/>
            <w:gridSpan w:val="2"/>
          </w:tcPr>
          <w:p>
            <w:pPr>
              <w:spacing w:after="0"/>
              <w:rPr>
                <w:sz w:val="20"/>
                <w:szCs w:val="20"/>
                <w:color w:val="auto"/>
              </w:rPr>
            </w:pPr>
            <w:r>
              <w:rPr>
                <w:rFonts w:ascii="Arial" w:cs="Arial" w:eastAsia="Arial" w:hAnsi="Arial"/>
                <w:sz w:val="13"/>
                <w:szCs w:val="13"/>
                <w:color w:val="auto"/>
              </w:rPr>
              <w:t>$33.25 — $37.48</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0.5</w:t>
            </w:r>
          </w:p>
        </w:tc>
        <w:tc>
          <w:tcPr>
            <w:tcW w:w="38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5.16</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35.73</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0.5</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5.10</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35.77</w:t>
            </w:r>
          </w:p>
        </w:tc>
        <w:tc>
          <w:tcPr>
            <w:tcW w:w="0" w:type="dxa"/>
            <w:vAlign w:val="bottom"/>
          </w:tcPr>
          <w:p>
            <w:pPr>
              <w:spacing w:after="0"/>
              <w:rPr>
                <w:sz w:val="1"/>
                <w:szCs w:val="1"/>
                <w:color w:val="auto"/>
              </w:rPr>
            </w:pPr>
          </w:p>
        </w:tc>
      </w:tr>
      <w:tr>
        <w:trPr>
          <w:trHeight w:val="157"/>
        </w:trPr>
        <w:tc>
          <w:tcPr>
            <w:tcW w:w="3500" w:type="dxa"/>
            <w:vAlign w:val="bottom"/>
            <w:gridSpan w:val="2"/>
          </w:tcPr>
          <w:p>
            <w:pPr>
              <w:spacing w:after="0"/>
              <w:rPr>
                <w:sz w:val="20"/>
                <w:szCs w:val="20"/>
                <w:color w:val="auto"/>
              </w:rPr>
            </w:pPr>
            <w:r>
              <w:rPr>
                <w:rFonts w:ascii="Arial" w:cs="Arial" w:eastAsia="Arial" w:hAnsi="Arial"/>
                <w:sz w:val="13"/>
                <w:szCs w:val="13"/>
                <w:color w:val="auto"/>
              </w:rPr>
              <w:t>$37.89 — $38.90</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1.3</w:t>
            </w:r>
          </w:p>
        </w:tc>
        <w:tc>
          <w:tcPr>
            <w:tcW w:w="38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6.61</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38.61</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0.6</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6.01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38.58</w:t>
            </w:r>
          </w:p>
        </w:tc>
        <w:tc>
          <w:tcPr>
            <w:tcW w:w="0" w:type="dxa"/>
            <w:vAlign w:val="bottom"/>
          </w:tcPr>
          <w:p>
            <w:pPr>
              <w:spacing w:after="0"/>
              <w:rPr>
                <w:sz w:val="1"/>
                <w:szCs w:val="1"/>
                <w:color w:val="auto"/>
              </w:rPr>
            </w:pPr>
          </w:p>
        </w:tc>
      </w:tr>
      <w:tr>
        <w:trPr>
          <w:trHeight w:val="165"/>
        </w:trPr>
        <w:tc>
          <w:tcPr>
            <w:tcW w:w="3500" w:type="dxa"/>
            <w:vAlign w:val="bottom"/>
            <w:gridSpan w:val="2"/>
          </w:tcPr>
          <w:p>
            <w:pPr>
              <w:spacing w:after="0"/>
              <w:rPr>
                <w:sz w:val="20"/>
                <w:szCs w:val="20"/>
                <w:color w:val="auto"/>
              </w:rPr>
            </w:pPr>
            <w:r>
              <w:rPr>
                <w:rFonts w:ascii="Arial" w:cs="Arial" w:eastAsia="Arial" w:hAnsi="Arial"/>
                <w:sz w:val="13"/>
                <w:szCs w:val="13"/>
                <w:color w:val="auto"/>
              </w:rPr>
              <w:t>$40.81 — $47.90</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0.7</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7.85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42.45</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0.3</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5.95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43.46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31.74</w:t>
            </w: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line="20" w:lineRule="exact"/>
              <w:rPr>
                <w:sz w:val="1"/>
                <w:szCs w:val="1"/>
                <w:color w:val="auto"/>
              </w:rPr>
            </w:pP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2"/>
              </w:rPr>
              <w:t>30.98</w:t>
            </w:r>
          </w:p>
        </w:tc>
        <w:tc>
          <w:tcPr>
            <w:tcW w:w="0" w:type="dxa"/>
            <w:vAlign w:val="bottom"/>
          </w:tcPr>
          <w:p>
            <w:pPr>
              <w:spacing w:after="0" w:line="20" w:lineRule="exact"/>
              <w:rPr>
                <w:sz w:val="1"/>
                <w:szCs w:val="1"/>
                <w:color w:val="auto"/>
              </w:rPr>
            </w:pPr>
          </w:p>
        </w:tc>
      </w:tr>
      <w:tr>
        <w:trPr>
          <w:trHeight w:val="158"/>
        </w:trPr>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5.65</w:t>
            </w:r>
          </w:p>
        </w:tc>
        <w:tc>
          <w:tcPr>
            <w:tcW w:w="3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4.28</w:t>
            </w:r>
          </w:p>
        </w:tc>
        <w:tc>
          <w:tcPr>
            <w:tcW w:w="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00" w:type="dxa"/>
            <w:vAlign w:val="bottom"/>
            <w:gridSpan w:val="12"/>
          </w:tcPr>
          <w:p>
            <w:pPr>
              <w:ind w:left="400"/>
              <w:spacing w:after="0"/>
              <w:rPr>
                <w:sz w:val="20"/>
                <w:szCs w:val="20"/>
                <w:color w:val="auto"/>
              </w:rPr>
            </w:pPr>
            <w:r>
              <w:rPr>
                <w:rFonts w:ascii="Arial" w:cs="Arial" w:eastAsia="Arial" w:hAnsi="Arial"/>
                <w:sz w:val="13"/>
                <w:szCs w:val="13"/>
                <w:color w:val="auto"/>
              </w:rPr>
              <w:t>The intrinsic value of the stock option and SAR awards outstanding and exercisable at September 30 were as follows (in millions):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2010</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00" w:type="dxa"/>
            <w:vAlign w:val="bottom"/>
            <w:gridSpan w:val="2"/>
          </w:tcPr>
          <w:p>
            <w:pPr>
              <w:spacing w:after="0"/>
              <w:rPr>
                <w:sz w:val="20"/>
                <w:szCs w:val="20"/>
                <w:color w:val="auto"/>
              </w:rPr>
            </w:pPr>
            <w:r>
              <w:rPr>
                <w:rFonts w:ascii="Arial" w:cs="Arial" w:eastAsia="Arial" w:hAnsi="Arial"/>
                <w:sz w:val="13"/>
                <w:szCs w:val="13"/>
                <w:color w:val="auto"/>
              </w:rPr>
              <w:t>Outstanding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r>
              <w:rPr>
                <w:rFonts w:ascii="Arial" w:cs="Arial" w:eastAsia="Arial" w:hAnsi="Arial"/>
                <w:sz w:val="13"/>
                <w:szCs w:val="13"/>
                <w:color w:val="auto"/>
              </w:rPr>
              <w:t>91.9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500" w:type="dxa"/>
            <w:vAlign w:val="bottom"/>
            <w:gridSpan w:val="2"/>
          </w:tcPr>
          <w:p>
            <w:pPr>
              <w:spacing w:after="0"/>
              <w:rPr>
                <w:sz w:val="20"/>
                <w:szCs w:val="20"/>
                <w:color w:val="auto"/>
              </w:rPr>
            </w:pPr>
            <w:r>
              <w:rPr>
                <w:rFonts w:ascii="Arial" w:cs="Arial" w:eastAsia="Arial" w:hAnsi="Arial"/>
                <w:sz w:val="13"/>
                <w:szCs w:val="13"/>
                <w:color w:val="auto"/>
              </w:rPr>
              <w:t>Exercisable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3"/>
                <w:szCs w:val="13"/>
                <w:color w:val="auto"/>
              </w:rPr>
              <w:t>59.3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820" w:firstLine="399"/>
        <w:spacing w:after="0" w:line="285" w:lineRule="auto"/>
        <w:rPr>
          <w:sz w:val="20"/>
          <w:szCs w:val="20"/>
          <w:color w:val="auto"/>
        </w:rPr>
      </w:pPr>
      <w:r>
        <w:rPr>
          <w:rFonts w:ascii="Arial" w:cs="Arial" w:eastAsia="Arial" w:hAnsi="Arial"/>
          <w:sz w:val="12"/>
          <w:szCs w:val="12"/>
          <w:color w:val="auto"/>
        </w:rPr>
        <w:t>The grant date fair value of stock option awards are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The weighted average assumptions for awards granted are as follows for the periods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3"/>
              </w:rPr>
              <w:t>Year Ended September 30,</w:t>
            </w:r>
          </w:p>
        </w:tc>
        <w:tc>
          <w:tcPr>
            <w:tcW w:w="68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00" w:type="dxa"/>
            <w:vAlign w:val="bottom"/>
          </w:tcPr>
          <w:p>
            <w:pPr>
              <w:jc w:val="right"/>
              <w:ind w:right="188"/>
              <w:spacing w:after="0" w:line="98" w:lineRule="exact"/>
              <w:rPr>
                <w:sz w:val="20"/>
                <w:szCs w:val="20"/>
                <w:color w:val="auto"/>
              </w:rPr>
            </w:pPr>
            <w:r>
              <w:rPr>
                <w:rFonts w:ascii="Arial" w:cs="Arial" w:eastAsia="Arial" w:hAnsi="Arial"/>
                <w:sz w:val="10"/>
                <w:szCs w:val="10"/>
                <w:b w:val="1"/>
                <w:bCs w:val="1"/>
                <w:color w:val="auto"/>
              </w:rPr>
              <w:t>2010</w:t>
            </w:r>
          </w:p>
        </w:tc>
        <w:tc>
          <w:tcPr>
            <w:tcW w:w="920" w:type="dxa"/>
            <w:vAlign w:val="bottom"/>
            <w:gridSpan w:val="2"/>
          </w:tcPr>
          <w:p>
            <w:pPr>
              <w:jc w:val="right"/>
              <w:ind w:right="220"/>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68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Expected market price volatility</w:t>
            </w:r>
          </w:p>
        </w:tc>
        <w:tc>
          <w:tcPr>
            <w:tcW w:w="41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32.1%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45.3%</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Risk-free interest rates</w:t>
            </w:r>
          </w:p>
        </w:tc>
        <w:tc>
          <w:tcPr>
            <w:tcW w:w="4180" w:type="dxa"/>
            <w:vAlign w:val="bottom"/>
            <w:gridSpan w:val="2"/>
          </w:tcPr>
          <w:p>
            <w:pPr>
              <w:jc w:val="right"/>
              <w:ind w:right="28"/>
              <w:spacing w:after="0"/>
              <w:rPr>
                <w:sz w:val="20"/>
                <w:szCs w:val="20"/>
                <w:color w:val="auto"/>
              </w:rPr>
            </w:pPr>
            <w:r>
              <w:rPr>
                <w:rFonts w:ascii="Arial" w:cs="Arial" w:eastAsia="Arial" w:hAnsi="Arial"/>
                <w:sz w:val="13"/>
                <w:szCs w:val="13"/>
                <w:color w:val="auto"/>
              </w:rPr>
              <w:t>2.8%</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28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41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Expected life of stock options in years</w:t>
            </w:r>
          </w:p>
        </w:tc>
        <w:tc>
          <w:tcPr>
            <w:tcW w:w="4180" w:type="dxa"/>
            <w:vAlign w:val="bottom"/>
            <w:gridSpan w:val="2"/>
          </w:tcPr>
          <w:p>
            <w:pPr>
              <w:jc w:val="right"/>
              <w:ind w:right="148"/>
              <w:spacing w:after="0"/>
              <w:rPr>
                <w:sz w:val="20"/>
                <w:szCs w:val="20"/>
                <w:color w:val="auto"/>
              </w:rPr>
            </w:pPr>
            <w:r>
              <w:rPr>
                <w:rFonts w:ascii="Arial" w:cs="Arial" w:eastAsia="Arial" w:hAnsi="Arial"/>
                <w:sz w:val="13"/>
                <w:szCs w:val="13"/>
                <w:color w:val="auto"/>
              </w:rPr>
              <w:t>6.00</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5.93</w:t>
            </w:r>
          </w:p>
        </w:tc>
        <w:tc>
          <w:tcPr>
            <w:tcW w:w="28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6.19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Estimated weighted-average fair value per stock option</w:t>
            </w:r>
          </w:p>
        </w:tc>
        <w:tc>
          <w:tcPr>
            <w:tcW w:w="41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$12.90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$7.93</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$12.34</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480" w:type="dxa"/>
            <w:vAlign w:val="bottom"/>
          </w:tcPr>
          <w:p>
            <w:pPr>
              <w:jc w:val="right"/>
              <w:ind w:right="2274"/>
              <w:spacing w:after="0"/>
              <w:rPr>
                <w:sz w:val="20"/>
                <w:szCs w:val="20"/>
                <w:color w:val="auto"/>
              </w:rPr>
            </w:pPr>
            <w:r>
              <w:rPr>
                <w:rFonts w:ascii="Arial" w:cs="Arial" w:eastAsia="Arial" w:hAnsi="Arial"/>
                <w:sz w:val="13"/>
                <w:szCs w:val="13"/>
                <w:color w:val="auto"/>
              </w:rPr>
              <w:t>95</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2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Restricted Stock and Performance Shares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Restricted stock and performance share award activity was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9"/>
              </w:rPr>
              <w:t>WTD. Avg.</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No. of</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per Share</w:t>
            </w:r>
          </w:p>
        </w:tc>
        <w:tc>
          <w:tcPr>
            <w:tcW w:w="0" w:type="dxa"/>
            <w:vAlign w:val="bottom"/>
          </w:tcPr>
          <w:p>
            <w:pPr>
              <w:spacing w:after="0"/>
              <w:rPr>
                <w:sz w:val="1"/>
                <w:szCs w:val="1"/>
                <w:color w:val="auto"/>
              </w:rPr>
            </w:pPr>
          </w:p>
        </w:tc>
      </w:tr>
      <w:tr>
        <w:trPr>
          <w:trHeight w:val="29"/>
        </w:trPr>
        <w:tc>
          <w:tcPr>
            <w:tcW w:w="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Awards outstanding at September 30, 2007</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277,080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43.74</w:t>
            </w:r>
          </w:p>
        </w:tc>
        <w:tc>
          <w:tcPr>
            <w:tcW w:w="0" w:type="dxa"/>
            <w:vAlign w:val="bottom"/>
          </w:tcPr>
          <w:p>
            <w:pPr>
              <w:spacing w:after="0"/>
              <w:rPr>
                <w:sz w:val="1"/>
                <w:szCs w:val="1"/>
                <w:color w:val="auto"/>
              </w:rPr>
            </w:pPr>
          </w:p>
        </w:tc>
      </w:tr>
      <w:tr>
        <w:trPr>
          <w:trHeight w:val="157"/>
        </w:trPr>
        <w:tc>
          <w:tcPr>
            <w:tcW w:w="8000" w:type="dxa"/>
            <w:vAlign w:val="bottom"/>
            <w:gridSpan w:val="4"/>
          </w:tcPr>
          <w:p>
            <w:pPr>
              <w:spacing w:after="0"/>
              <w:rPr>
                <w:sz w:val="20"/>
                <w:szCs w:val="20"/>
                <w:color w:val="auto"/>
              </w:rPr>
            </w:pPr>
            <w:r>
              <w:rPr>
                <w:rFonts w:ascii="Arial" w:cs="Arial" w:eastAsia="Arial" w:hAnsi="Arial"/>
                <w:sz w:val="13"/>
                <w:szCs w:val="13"/>
                <w:color w:val="auto"/>
              </w:rPr>
              <w:t>Granted</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187,000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39.99</w:t>
            </w:r>
          </w:p>
        </w:tc>
        <w:tc>
          <w:tcPr>
            <w:tcW w:w="0" w:type="dxa"/>
            <w:vAlign w:val="bottom"/>
          </w:tcPr>
          <w:p>
            <w:pPr>
              <w:spacing w:after="0"/>
              <w:rPr>
                <w:sz w:val="1"/>
                <w:szCs w:val="1"/>
                <w:color w:val="auto"/>
              </w:rPr>
            </w:pPr>
          </w:p>
        </w:tc>
      </w:tr>
      <w:tr>
        <w:trPr>
          <w:trHeight w:val="157"/>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Vested</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(29,215)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34.91</w:t>
            </w:r>
          </w:p>
        </w:tc>
        <w:tc>
          <w:tcPr>
            <w:tcW w:w="0" w:type="dxa"/>
            <w:vAlign w:val="bottom"/>
          </w:tcPr>
          <w:p>
            <w:pPr>
              <w:spacing w:after="0"/>
              <w:rPr>
                <w:sz w:val="1"/>
                <w:szCs w:val="1"/>
                <w:color w:val="auto"/>
              </w:rPr>
            </w:pPr>
          </w:p>
        </w:tc>
      </w:tr>
      <w:tr>
        <w:trPr>
          <w:trHeight w:val="157"/>
        </w:trPr>
        <w:tc>
          <w:tcPr>
            <w:tcW w:w="8000" w:type="dxa"/>
            <w:vAlign w:val="bottom"/>
            <w:gridSpan w:val="4"/>
          </w:tcPr>
          <w:p>
            <w:pPr>
              <w:spacing w:after="0"/>
              <w:rPr>
                <w:sz w:val="20"/>
                <w:szCs w:val="20"/>
                <w:color w:val="auto"/>
              </w:rPr>
            </w:pPr>
            <w:r>
              <w:rPr>
                <w:rFonts w:ascii="Arial" w:cs="Arial" w:eastAsia="Arial" w:hAnsi="Arial"/>
                <w:sz w:val="13"/>
                <w:szCs w:val="13"/>
                <w:color w:val="auto"/>
              </w:rPr>
              <w:t>Forfeited</w:t>
            </w:r>
          </w:p>
        </w:tc>
        <w:tc>
          <w:tcPr>
            <w:tcW w:w="1080" w:type="dxa"/>
            <w:vAlign w:val="bottom"/>
            <w:gridSpan w:val="3"/>
          </w:tcPr>
          <w:p>
            <w:pPr>
              <w:jc w:val="right"/>
              <w:ind w:right="340"/>
              <w:spacing w:after="0"/>
              <w:rPr>
                <w:sz w:val="20"/>
                <w:szCs w:val="20"/>
                <w:color w:val="auto"/>
              </w:rPr>
            </w:pPr>
            <w:r>
              <w:rPr>
                <w:rFonts w:ascii="Arial" w:cs="Arial" w:eastAsia="Arial" w:hAnsi="Arial"/>
                <w:sz w:val="13"/>
                <w:szCs w:val="13"/>
                <w:color w:val="auto"/>
              </w:rPr>
              <w:t>(53,300)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43.23</w:t>
            </w:r>
          </w:p>
        </w:tc>
        <w:tc>
          <w:tcPr>
            <w:tcW w:w="0" w:type="dxa"/>
            <w:vAlign w:val="bottom"/>
          </w:tcPr>
          <w:p>
            <w:pPr>
              <w:spacing w:after="0"/>
              <w:rPr>
                <w:sz w:val="1"/>
                <w:szCs w:val="1"/>
                <w:color w:val="auto"/>
              </w:rPr>
            </w:pPr>
          </w:p>
        </w:tc>
      </w:tr>
      <w:tr>
        <w:trPr>
          <w:trHeight w:val="157"/>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Awards outstanding at September 30, 2008</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381,565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42.65</w:t>
            </w:r>
          </w:p>
        </w:tc>
        <w:tc>
          <w:tcPr>
            <w:tcW w:w="0" w:type="dxa"/>
            <w:vAlign w:val="bottom"/>
          </w:tcPr>
          <w:p>
            <w:pPr>
              <w:spacing w:after="0"/>
              <w:rPr>
                <w:sz w:val="1"/>
                <w:szCs w:val="1"/>
                <w:color w:val="auto"/>
              </w:rPr>
            </w:pPr>
          </w:p>
        </w:tc>
      </w:tr>
      <w:tr>
        <w:trPr>
          <w:trHeight w:val="157"/>
        </w:trPr>
        <w:tc>
          <w:tcPr>
            <w:tcW w:w="8000" w:type="dxa"/>
            <w:vAlign w:val="bottom"/>
            <w:gridSpan w:val="4"/>
          </w:tcPr>
          <w:p>
            <w:pPr>
              <w:spacing w:after="0"/>
              <w:rPr>
                <w:sz w:val="20"/>
                <w:szCs w:val="20"/>
                <w:color w:val="auto"/>
              </w:rPr>
            </w:pPr>
            <w:r>
              <w:rPr>
                <w:rFonts w:ascii="Arial" w:cs="Arial" w:eastAsia="Arial" w:hAnsi="Arial"/>
                <w:sz w:val="13"/>
                <w:szCs w:val="13"/>
                <w:color w:val="auto"/>
              </w:rPr>
              <w:t>Granted</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251,300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22.31</w:t>
            </w:r>
          </w:p>
        </w:tc>
        <w:tc>
          <w:tcPr>
            <w:tcW w:w="0" w:type="dxa"/>
            <w:vAlign w:val="bottom"/>
          </w:tcPr>
          <w:p>
            <w:pPr>
              <w:spacing w:after="0"/>
              <w:rPr>
                <w:sz w:val="1"/>
                <w:szCs w:val="1"/>
                <w:color w:val="auto"/>
              </w:rPr>
            </w:pPr>
          </w:p>
        </w:tc>
      </w:tr>
      <w:tr>
        <w:trPr>
          <w:trHeight w:val="157"/>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Vested</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(113,653)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38.86</w:t>
            </w:r>
          </w:p>
        </w:tc>
        <w:tc>
          <w:tcPr>
            <w:tcW w:w="0" w:type="dxa"/>
            <w:vAlign w:val="bottom"/>
          </w:tcPr>
          <w:p>
            <w:pPr>
              <w:spacing w:after="0"/>
              <w:rPr>
                <w:sz w:val="1"/>
                <w:szCs w:val="1"/>
                <w:color w:val="auto"/>
              </w:rPr>
            </w:pPr>
          </w:p>
        </w:tc>
      </w:tr>
      <w:tr>
        <w:trPr>
          <w:trHeight w:val="157"/>
        </w:trPr>
        <w:tc>
          <w:tcPr>
            <w:tcW w:w="8000" w:type="dxa"/>
            <w:vAlign w:val="bottom"/>
            <w:gridSpan w:val="4"/>
          </w:tcPr>
          <w:p>
            <w:pPr>
              <w:spacing w:after="0"/>
              <w:rPr>
                <w:sz w:val="20"/>
                <w:szCs w:val="20"/>
                <w:color w:val="auto"/>
              </w:rPr>
            </w:pPr>
            <w:r>
              <w:rPr>
                <w:rFonts w:ascii="Arial" w:cs="Arial" w:eastAsia="Arial" w:hAnsi="Arial"/>
                <w:sz w:val="13"/>
                <w:szCs w:val="13"/>
                <w:color w:val="auto"/>
              </w:rPr>
              <w:t>Forfeited</w:t>
            </w:r>
          </w:p>
        </w:tc>
        <w:tc>
          <w:tcPr>
            <w:tcW w:w="1080" w:type="dxa"/>
            <w:vAlign w:val="bottom"/>
            <w:gridSpan w:val="3"/>
          </w:tcPr>
          <w:p>
            <w:pPr>
              <w:jc w:val="right"/>
              <w:ind w:right="340"/>
              <w:spacing w:after="0"/>
              <w:rPr>
                <w:sz w:val="20"/>
                <w:szCs w:val="20"/>
                <w:color w:val="auto"/>
              </w:rPr>
            </w:pPr>
            <w:r>
              <w:rPr>
                <w:rFonts w:ascii="Arial" w:cs="Arial" w:eastAsia="Arial" w:hAnsi="Arial"/>
                <w:sz w:val="13"/>
                <w:szCs w:val="13"/>
                <w:color w:val="auto"/>
              </w:rPr>
              <w:t>(34,962)</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36.35</w:t>
            </w:r>
          </w:p>
        </w:tc>
        <w:tc>
          <w:tcPr>
            <w:tcW w:w="0" w:type="dxa"/>
            <w:vAlign w:val="bottom"/>
          </w:tcPr>
          <w:p>
            <w:pPr>
              <w:spacing w:after="0"/>
              <w:rPr>
                <w:sz w:val="1"/>
                <w:szCs w:val="1"/>
                <w:color w:val="auto"/>
              </w:rPr>
            </w:pPr>
          </w:p>
        </w:tc>
      </w:tr>
      <w:tr>
        <w:trPr>
          <w:trHeight w:val="157"/>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Awards outstanding at September 30, 2009</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484,250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33.44</w:t>
            </w:r>
          </w:p>
        </w:tc>
        <w:tc>
          <w:tcPr>
            <w:tcW w:w="0" w:type="dxa"/>
            <w:vAlign w:val="bottom"/>
          </w:tcPr>
          <w:p>
            <w:pPr>
              <w:spacing w:after="0"/>
              <w:rPr>
                <w:sz w:val="1"/>
                <w:szCs w:val="1"/>
                <w:color w:val="auto"/>
              </w:rPr>
            </w:pPr>
          </w:p>
        </w:tc>
      </w:tr>
      <w:tr>
        <w:trPr>
          <w:trHeight w:val="157"/>
        </w:trPr>
        <w:tc>
          <w:tcPr>
            <w:tcW w:w="8000" w:type="dxa"/>
            <w:vAlign w:val="bottom"/>
            <w:gridSpan w:val="4"/>
          </w:tcPr>
          <w:p>
            <w:pPr>
              <w:spacing w:after="0"/>
              <w:rPr>
                <w:sz w:val="20"/>
                <w:szCs w:val="20"/>
                <w:color w:val="auto"/>
              </w:rPr>
            </w:pPr>
            <w:r>
              <w:rPr>
                <w:rFonts w:ascii="Arial" w:cs="Arial" w:eastAsia="Arial" w:hAnsi="Arial"/>
                <w:sz w:val="13"/>
                <w:szCs w:val="13"/>
                <w:color w:val="auto"/>
              </w:rPr>
              <w:t>Granted</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4,200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48.71</w:t>
            </w:r>
          </w:p>
        </w:tc>
        <w:tc>
          <w:tcPr>
            <w:tcW w:w="0" w:type="dxa"/>
            <w:vAlign w:val="bottom"/>
          </w:tcPr>
          <w:p>
            <w:pPr>
              <w:spacing w:after="0"/>
              <w:rPr>
                <w:sz w:val="1"/>
                <w:szCs w:val="1"/>
                <w:color w:val="auto"/>
              </w:rPr>
            </w:pPr>
          </w:p>
        </w:tc>
      </w:tr>
      <w:tr>
        <w:trPr>
          <w:trHeight w:val="157"/>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Vested</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(129,450)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40.15</w:t>
            </w:r>
          </w:p>
        </w:tc>
        <w:tc>
          <w:tcPr>
            <w:tcW w:w="0" w:type="dxa"/>
            <w:vAlign w:val="bottom"/>
          </w:tcPr>
          <w:p>
            <w:pPr>
              <w:spacing w:after="0"/>
              <w:rPr>
                <w:sz w:val="1"/>
                <w:szCs w:val="1"/>
                <w:color w:val="auto"/>
              </w:rPr>
            </w:pPr>
          </w:p>
        </w:tc>
      </w:tr>
      <w:tr>
        <w:trPr>
          <w:trHeight w:val="157"/>
        </w:trPr>
        <w:tc>
          <w:tcPr>
            <w:tcW w:w="8000" w:type="dxa"/>
            <w:vAlign w:val="bottom"/>
            <w:gridSpan w:val="4"/>
          </w:tcPr>
          <w:p>
            <w:pPr>
              <w:spacing w:after="0"/>
              <w:rPr>
                <w:sz w:val="20"/>
                <w:szCs w:val="20"/>
                <w:color w:val="auto"/>
              </w:rPr>
            </w:pPr>
            <w:r>
              <w:rPr>
                <w:rFonts w:ascii="Arial" w:cs="Arial" w:eastAsia="Arial" w:hAnsi="Arial"/>
                <w:sz w:val="13"/>
                <w:szCs w:val="13"/>
                <w:color w:val="auto"/>
              </w:rPr>
              <w:t>Forfeited</w:t>
            </w:r>
          </w:p>
        </w:tc>
        <w:tc>
          <w:tcPr>
            <w:tcW w:w="1080" w:type="dxa"/>
            <w:vAlign w:val="bottom"/>
            <w:gridSpan w:val="3"/>
          </w:tcPr>
          <w:p>
            <w:pPr>
              <w:jc w:val="right"/>
              <w:ind w:right="340"/>
              <w:spacing w:after="0"/>
              <w:rPr>
                <w:sz w:val="20"/>
                <w:szCs w:val="20"/>
                <w:color w:val="auto"/>
              </w:rPr>
            </w:pPr>
            <w:r>
              <w:rPr>
                <w:rFonts w:ascii="Arial" w:cs="Arial" w:eastAsia="Arial" w:hAnsi="Arial"/>
                <w:sz w:val="13"/>
                <w:szCs w:val="13"/>
                <w:color w:val="auto"/>
              </w:rPr>
              <w:t>(26,000)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27.05</w:t>
            </w:r>
          </w:p>
        </w:tc>
        <w:tc>
          <w:tcPr>
            <w:tcW w:w="0" w:type="dxa"/>
            <w:vAlign w:val="bottom"/>
          </w:tcPr>
          <w:p>
            <w:pPr>
              <w:spacing w:after="0"/>
              <w:rPr>
                <w:sz w:val="1"/>
                <w:szCs w:val="1"/>
                <w:color w:val="auto"/>
              </w:rPr>
            </w:pPr>
          </w:p>
        </w:tc>
      </w:tr>
      <w:tr>
        <w:trPr>
          <w:trHeight w:val="166"/>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Awards outstanding at September 30, 2010</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333,000</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31.52</w:t>
            </w:r>
          </w:p>
        </w:tc>
        <w:tc>
          <w:tcPr>
            <w:tcW w:w="0" w:type="dxa"/>
            <w:vAlign w:val="bottom"/>
          </w:tcPr>
          <w:p>
            <w:pPr>
              <w:spacing w:after="0"/>
              <w:rPr>
                <w:sz w:val="1"/>
                <w:szCs w:val="1"/>
                <w:color w:val="auto"/>
              </w:rPr>
            </w:pPr>
          </w:p>
        </w:tc>
      </w:tr>
      <w:tr>
        <w:trPr>
          <w:trHeight w:val="305"/>
        </w:trPr>
        <w:tc>
          <w:tcPr>
            <w:tcW w:w="200" w:type="dxa"/>
            <w:vAlign w:val="bottom"/>
          </w:tcPr>
          <w:p>
            <w:pPr>
              <w:spacing w:after="0"/>
              <w:rPr>
                <w:sz w:val="24"/>
                <w:szCs w:val="24"/>
                <w:color w:val="auto"/>
              </w:rPr>
            </w:pPr>
          </w:p>
        </w:tc>
        <w:tc>
          <w:tcPr>
            <w:tcW w:w="780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Restricted Stock Units and Deferred Stock Units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0" w:type="dxa"/>
            <w:vAlign w:val="bottom"/>
          </w:tcPr>
          <w:p>
            <w:pPr>
              <w:spacing w:after="0"/>
              <w:rPr>
                <w:sz w:val="22"/>
                <w:szCs w:val="22"/>
                <w:color w:val="auto"/>
              </w:rPr>
            </w:pPr>
          </w:p>
        </w:tc>
        <w:tc>
          <w:tcPr>
            <w:tcW w:w="7800" w:type="dxa"/>
            <w:vAlign w:val="bottom"/>
            <w:gridSpan w:val="3"/>
          </w:tcPr>
          <w:p>
            <w:pPr>
              <w:ind w:left="200"/>
              <w:spacing w:after="0"/>
              <w:rPr>
                <w:sz w:val="20"/>
                <w:szCs w:val="20"/>
                <w:color w:val="auto"/>
              </w:rPr>
            </w:pPr>
            <w:r>
              <w:rPr>
                <w:rFonts w:ascii="Arial" w:cs="Arial" w:eastAsia="Arial" w:hAnsi="Arial"/>
                <w:sz w:val="13"/>
                <w:szCs w:val="13"/>
                <w:color w:val="auto"/>
              </w:rPr>
              <w:t>Restricted and deferred stock unit award activity was as follows:</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9"/>
              </w:rPr>
              <w:t>WTD. Avg.</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No. of</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Units</w:t>
            </w: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per Unit</w:t>
            </w:r>
          </w:p>
        </w:tc>
        <w:tc>
          <w:tcPr>
            <w:tcW w:w="0" w:type="dxa"/>
            <w:vAlign w:val="bottom"/>
          </w:tcPr>
          <w:p>
            <w:pPr>
              <w:spacing w:after="0"/>
              <w:rPr>
                <w:sz w:val="1"/>
                <w:szCs w:val="1"/>
                <w:color w:val="auto"/>
              </w:rPr>
            </w:pPr>
          </w:p>
        </w:tc>
      </w:tr>
      <w:tr>
        <w:trPr>
          <w:trHeight w:val="29"/>
        </w:trPr>
        <w:tc>
          <w:tcPr>
            <w:tcW w:w="200" w:type="dxa"/>
            <w:vAlign w:val="bottom"/>
            <w:tcBorders>
              <w:top w:val="single" w:sz="8" w:color="auto"/>
            </w:tcBorders>
          </w:tcPr>
          <w:p>
            <w:pPr>
              <w:spacing w:after="0"/>
              <w:rPr>
                <w:sz w:val="2"/>
                <w:szCs w:val="2"/>
                <w:color w:val="auto"/>
              </w:rPr>
            </w:pPr>
          </w:p>
        </w:tc>
        <w:tc>
          <w:tcPr>
            <w:tcW w:w="2600" w:type="dxa"/>
            <w:vAlign w:val="bottom"/>
            <w:tcBorders>
              <w:top w:val="single" w:sz="8" w:color="auto"/>
            </w:tcBorders>
          </w:tcPr>
          <w:p>
            <w:pPr>
              <w:spacing w:after="0"/>
              <w:rPr>
                <w:sz w:val="2"/>
                <w:szCs w:val="2"/>
                <w:color w:val="auto"/>
              </w:rPr>
            </w:pPr>
          </w:p>
        </w:tc>
        <w:tc>
          <w:tcPr>
            <w:tcW w:w="5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Awards outstanding at September 30, 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00" w:type="dxa"/>
            <w:vAlign w:val="bottom"/>
            <w:gridSpan w:val="4"/>
          </w:tcPr>
          <w:p>
            <w:pPr>
              <w:spacing w:after="0"/>
              <w:rPr>
                <w:sz w:val="20"/>
                <w:szCs w:val="20"/>
                <w:color w:val="auto"/>
              </w:rPr>
            </w:pPr>
            <w:r>
              <w:rPr>
                <w:rFonts w:ascii="Arial" w:cs="Arial" w:eastAsia="Arial" w:hAnsi="Arial"/>
                <w:sz w:val="13"/>
                <w:szCs w:val="13"/>
                <w:color w:val="auto"/>
              </w:rPr>
              <w:t>Granted</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30,271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38.78</w:t>
            </w:r>
          </w:p>
        </w:tc>
        <w:tc>
          <w:tcPr>
            <w:tcW w:w="0" w:type="dxa"/>
            <w:vAlign w:val="bottom"/>
          </w:tcPr>
          <w:p>
            <w:pPr>
              <w:spacing w:after="0"/>
              <w:rPr>
                <w:sz w:val="1"/>
                <w:szCs w:val="1"/>
                <w:color w:val="auto"/>
              </w:rPr>
            </w:pPr>
          </w:p>
        </w:tc>
      </w:tr>
      <w:tr>
        <w:trPr>
          <w:trHeight w:val="157"/>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Vested</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00" w:type="dxa"/>
            <w:vAlign w:val="bottom"/>
            <w:gridSpan w:val="4"/>
          </w:tcPr>
          <w:p>
            <w:pPr>
              <w:spacing w:after="0"/>
              <w:rPr>
                <w:sz w:val="20"/>
                <w:szCs w:val="20"/>
                <w:color w:val="auto"/>
              </w:rPr>
            </w:pPr>
            <w:r>
              <w:rPr>
                <w:rFonts w:ascii="Arial" w:cs="Arial" w:eastAsia="Arial" w:hAnsi="Arial"/>
                <w:sz w:val="13"/>
                <w:szCs w:val="13"/>
                <w:color w:val="auto"/>
              </w:rPr>
              <w:t>Forfeited</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Awards outstanding at September 30, 2008</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30,271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38.78</w:t>
            </w:r>
          </w:p>
        </w:tc>
        <w:tc>
          <w:tcPr>
            <w:tcW w:w="0" w:type="dxa"/>
            <w:vAlign w:val="bottom"/>
          </w:tcPr>
          <w:p>
            <w:pPr>
              <w:spacing w:after="0"/>
              <w:rPr>
                <w:sz w:val="1"/>
                <w:szCs w:val="1"/>
                <w:color w:val="auto"/>
              </w:rPr>
            </w:pPr>
          </w:p>
        </w:tc>
      </w:tr>
      <w:tr>
        <w:trPr>
          <w:trHeight w:val="157"/>
        </w:trPr>
        <w:tc>
          <w:tcPr>
            <w:tcW w:w="8000" w:type="dxa"/>
            <w:vAlign w:val="bottom"/>
            <w:gridSpan w:val="4"/>
          </w:tcPr>
          <w:p>
            <w:pPr>
              <w:spacing w:after="0"/>
              <w:rPr>
                <w:sz w:val="20"/>
                <w:szCs w:val="20"/>
                <w:color w:val="auto"/>
              </w:rPr>
            </w:pPr>
            <w:r>
              <w:rPr>
                <w:rFonts w:ascii="Arial" w:cs="Arial" w:eastAsia="Arial" w:hAnsi="Arial"/>
                <w:sz w:val="13"/>
                <w:szCs w:val="13"/>
                <w:color w:val="auto"/>
              </w:rPr>
              <w:t>Granted</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232,543</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25.57</w:t>
            </w:r>
          </w:p>
        </w:tc>
        <w:tc>
          <w:tcPr>
            <w:tcW w:w="0" w:type="dxa"/>
            <w:vAlign w:val="bottom"/>
          </w:tcPr>
          <w:p>
            <w:pPr>
              <w:spacing w:after="0"/>
              <w:rPr>
                <w:sz w:val="1"/>
                <w:szCs w:val="1"/>
                <w:color w:val="auto"/>
              </w:rPr>
            </w:pPr>
          </w:p>
        </w:tc>
      </w:tr>
      <w:tr>
        <w:trPr>
          <w:trHeight w:val="157"/>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Vested</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(6,115)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38.74</w:t>
            </w:r>
          </w:p>
        </w:tc>
        <w:tc>
          <w:tcPr>
            <w:tcW w:w="0" w:type="dxa"/>
            <w:vAlign w:val="bottom"/>
          </w:tcPr>
          <w:p>
            <w:pPr>
              <w:spacing w:after="0"/>
              <w:rPr>
                <w:sz w:val="1"/>
                <w:szCs w:val="1"/>
                <w:color w:val="auto"/>
              </w:rPr>
            </w:pPr>
          </w:p>
        </w:tc>
      </w:tr>
      <w:tr>
        <w:trPr>
          <w:trHeight w:val="157"/>
        </w:trPr>
        <w:tc>
          <w:tcPr>
            <w:tcW w:w="8000" w:type="dxa"/>
            <w:vAlign w:val="bottom"/>
            <w:gridSpan w:val="4"/>
          </w:tcPr>
          <w:p>
            <w:pPr>
              <w:spacing w:after="0"/>
              <w:rPr>
                <w:sz w:val="20"/>
                <w:szCs w:val="20"/>
                <w:color w:val="auto"/>
              </w:rPr>
            </w:pPr>
            <w:r>
              <w:rPr>
                <w:rFonts w:ascii="Arial" w:cs="Arial" w:eastAsia="Arial" w:hAnsi="Arial"/>
                <w:sz w:val="13"/>
                <w:szCs w:val="13"/>
                <w:color w:val="auto"/>
              </w:rPr>
              <w:t>Forfeited</w:t>
            </w: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(3,000)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21.65</w:t>
            </w:r>
          </w:p>
        </w:tc>
        <w:tc>
          <w:tcPr>
            <w:tcW w:w="0" w:type="dxa"/>
            <w:vAlign w:val="bottom"/>
          </w:tcPr>
          <w:p>
            <w:pPr>
              <w:spacing w:after="0"/>
              <w:rPr>
                <w:sz w:val="1"/>
                <w:szCs w:val="1"/>
                <w:color w:val="auto"/>
              </w:rPr>
            </w:pPr>
          </w:p>
        </w:tc>
      </w:tr>
      <w:tr>
        <w:trPr>
          <w:trHeight w:val="157"/>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Awards outstanding at September 30, 2009</w:t>
            </w:r>
          </w:p>
        </w:tc>
        <w:tc>
          <w:tcPr>
            <w:tcW w:w="10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253,699</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26.87</w:t>
            </w:r>
          </w:p>
        </w:tc>
        <w:tc>
          <w:tcPr>
            <w:tcW w:w="0" w:type="dxa"/>
            <w:vAlign w:val="bottom"/>
          </w:tcPr>
          <w:p>
            <w:pPr>
              <w:spacing w:after="0"/>
              <w:rPr>
                <w:sz w:val="1"/>
                <w:szCs w:val="1"/>
                <w:color w:val="auto"/>
              </w:rPr>
            </w:pPr>
          </w:p>
        </w:tc>
      </w:tr>
      <w:tr>
        <w:trPr>
          <w:trHeight w:val="157"/>
        </w:trPr>
        <w:tc>
          <w:tcPr>
            <w:tcW w:w="8000" w:type="dxa"/>
            <w:vAlign w:val="bottom"/>
            <w:gridSpan w:val="4"/>
          </w:tcPr>
          <w:p>
            <w:pPr>
              <w:spacing w:after="0"/>
              <w:rPr>
                <w:sz w:val="20"/>
                <w:szCs w:val="20"/>
                <w:color w:val="auto"/>
              </w:rPr>
            </w:pPr>
            <w:r>
              <w:rPr>
                <w:rFonts w:ascii="Arial" w:cs="Arial" w:eastAsia="Arial" w:hAnsi="Arial"/>
                <w:sz w:val="13"/>
                <w:szCs w:val="13"/>
                <w:color w:val="auto"/>
              </w:rPr>
              <w:t>Granted</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288,207</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41.53</w:t>
            </w:r>
          </w:p>
        </w:tc>
        <w:tc>
          <w:tcPr>
            <w:tcW w:w="0" w:type="dxa"/>
            <w:vAlign w:val="bottom"/>
          </w:tcPr>
          <w:p>
            <w:pPr>
              <w:spacing w:after="0"/>
              <w:rPr>
                <w:sz w:val="1"/>
                <w:szCs w:val="1"/>
                <w:color w:val="auto"/>
              </w:rPr>
            </w:pPr>
          </w:p>
        </w:tc>
      </w:tr>
      <w:tr>
        <w:trPr>
          <w:trHeight w:val="157"/>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Vested</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(9,680)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40.87</w:t>
            </w:r>
          </w:p>
        </w:tc>
        <w:tc>
          <w:tcPr>
            <w:tcW w:w="0" w:type="dxa"/>
            <w:vAlign w:val="bottom"/>
          </w:tcPr>
          <w:p>
            <w:pPr>
              <w:spacing w:after="0"/>
              <w:rPr>
                <w:sz w:val="1"/>
                <w:szCs w:val="1"/>
                <w:color w:val="auto"/>
              </w:rPr>
            </w:pPr>
          </w:p>
        </w:tc>
      </w:tr>
      <w:tr>
        <w:trPr>
          <w:trHeight w:val="157"/>
        </w:trPr>
        <w:tc>
          <w:tcPr>
            <w:tcW w:w="8000" w:type="dxa"/>
            <w:vAlign w:val="bottom"/>
            <w:gridSpan w:val="4"/>
          </w:tcPr>
          <w:p>
            <w:pPr>
              <w:spacing w:after="0"/>
              <w:rPr>
                <w:sz w:val="20"/>
                <w:szCs w:val="20"/>
                <w:color w:val="auto"/>
              </w:rPr>
            </w:pPr>
            <w:r>
              <w:rPr>
                <w:rFonts w:ascii="Arial" w:cs="Arial" w:eastAsia="Arial" w:hAnsi="Arial"/>
                <w:sz w:val="13"/>
                <w:szCs w:val="13"/>
                <w:color w:val="auto"/>
              </w:rPr>
              <w:t>Forfeited</w:t>
            </w: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35.59</w:t>
            </w:r>
          </w:p>
        </w:tc>
        <w:tc>
          <w:tcPr>
            <w:tcW w:w="0" w:type="dxa"/>
            <w:vAlign w:val="bottom"/>
          </w:tcPr>
          <w:p>
            <w:pPr>
              <w:spacing w:after="0"/>
              <w:rPr>
                <w:sz w:val="1"/>
                <w:szCs w:val="1"/>
                <w:color w:val="auto"/>
              </w:rPr>
            </w:pPr>
          </w:p>
        </w:tc>
      </w:tr>
      <w:tr>
        <w:trPr>
          <w:trHeight w:val="166"/>
        </w:trPr>
        <w:tc>
          <w:tcPr>
            <w:tcW w:w="80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Awards outstanding at September 30, 2010</w:t>
            </w:r>
          </w:p>
        </w:tc>
        <w:tc>
          <w:tcPr>
            <w:tcW w:w="100" w:type="dxa"/>
            <w:vAlign w:val="bottom"/>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531,626</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of September 30, 2010, total unrecognized compensation cost related to non-vested share-based awards amounted to $11.6 million. This cost is expected to be recognized over a weighted-average period of 1.0 years. Unearned compensation cost is amortized by grant on the straight-line method over the vesting period, with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amortization expense classified as a component of “Selling, general and administrative” expense within the Consolidated Statements of Operations.</w:t>
      </w:r>
    </w:p>
    <w:p>
      <w:pPr>
        <w:spacing w:after="0" w:line="96"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The total intrinsic value of stock options exercised was $25.9 million, $16.1 million and $11.4 million during fiscal 2010, fiscal 2009 and fiscal 2008, respectively. The total fair value of restricted stock vested was $5.2 million, $4.4 million and $1.1 million during fiscal 2010, fiscal 2009 and fiscal 2008, respectively. The total fair value of restricted stock units vested was $0.4 million and $0.2 million during fiscal 2010 and fiscal 2009, respectively.</w:t>
      </w:r>
    </w:p>
    <w:p>
      <w:pPr>
        <w:spacing w:after="0" w:line="67" w:lineRule="exact"/>
        <w:rPr>
          <w:sz w:val="20"/>
          <w:szCs w:val="20"/>
          <w:color w:val="auto"/>
        </w:rPr>
      </w:pPr>
    </w:p>
    <w:p>
      <w:pPr>
        <w:ind w:left="680" w:right="1180" w:firstLine="399"/>
        <w:spacing w:after="0" w:line="276" w:lineRule="auto"/>
        <w:rPr>
          <w:sz w:val="20"/>
          <w:szCs w:val="20"/>
          <w:color w:val="auto"/>
        </w:rPr>
      </w:pPr>
      <w:r>
        <w:rPr>
          <w:rFonts w:ascii="Arial" w:cs="Arial" w:eastAsia="Arial" w:hAnsi="Arial"/>
          <w:sz w:val="13"/>
          <w:szCs w:val="13"/>
          <w:color w:val="auto"/>
        </w:rPr>
        <w:t>Cash received from the exercise of stock options for fiscal 2010 was $22.5 million. The tax benefit realized from the tax deductions associated with the exercise of share-based awards and the vesting of restricted stock totaled $11.0 million for fiscal 2010.</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13.</w:t>
      </w:r>
      <w:r>
        <w:rPr>
          <w:sz w:val="20"/>
          <w:szCs w:val="20"/>
          <w:color w:val="auto"/>
        </w:rPr>
        <w:tab/>
      </w:r>
      <w:r>
        <w:rPr>
          <w:rFonts w:ascii="Arial" w:cs="Arial" w:eastAsia="Arial" w:hAnsi="Arial"/>
          <w:sz w:val="12"/>
          <w:szCs w:val="12"/>
          <w:b w:val="1"/>
          <w:bCs w:val="1"/>
          <w:color w:val="auto"/>
        </w:rPr>
        <w:t>EARNINGS (LOSS) PER COMMON SHARE</w:t>
      </w:r>
    </w:p>
    <w:p>
      <w:pPr>
        <w:spacing w:after="0" w:line="100" w:lineRule="exact"/>
        <w:rPr>
          <w:sz w:val="20"/>
          <w:szCs w:val="20"/>
          <w:color w:val="auto"/>
        </w:rPr>
      </w:pPr>
    </w:p>
    <w:p>
      <w:pPr>
        <w:ind w:left="680" w:right="820" w:firstLine="399"/>
        <w:spacing w:after="0" w:line="312" w:lineRule="auto"/>
        <w:rPr>
          <w:sz w:val="20"/>
          <w:szCs w:val="20"/>
          <w:color w:val="auto"/>
        </w:rPr>
      </w:pPr>
      <w:r>
        <w:rPr>
          <w:rFonts w:ascii="Arial" w:cs="Arial" w:eastAsia="Arial" w:hAnsi="Arial"/>
          <w:sz w:val="11"/>
          <w:szCs w:val="11"/>
          <w:color w:val="auto"/>
        </w:rPr>
        <w:t>The following table (in millions, except per share data) presents information necessary to calculate basic and diluted earnings (loss) per common share. Basic earnings (loss) per common share are computed by dividing income from continuing operations, loss from discontinued operations or net income (loss) by the weighted average number of common shares outstanding. Diluted earnings (loss) per common share are computed by dividing income from continuing operations, loss from discontinued operations or net income (loss) by the weighted average number of common shares outstanding plus all potentially dilutive securities. Stock options with exercise prices greater than the average market price of the underlying common shares are excluded from the computation of diluted earnings (loss) per common share because they are out-of-the-money and the effect of their inclusion would be anti-dilutive. The number of common shares covered by out-of-the-money stock options was 0.2 million, 2.3 million and 4.0 million for the years ended September 30, 2010, 2009 and 2008, respectively.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3"/>
              </w:rPr>
              <w:t>Year Ended September 30,</w:t>
            </w: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2010</w:t>
            </w: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8"/>
              </w:rPr>
              <w:t>millions,</w:t>
            </w: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80"/>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vMerge w:val="continue"/>
          </w:tcPr>
          <w:p>
            <w:pPr>
              <w:spacing w:after="0"/>
              <w:rPr>
                <w:sz w:val="11"/>
                <w:szCs w:val="11"/>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w w:val="87"/>
              </w:rPr>
              <w:t>except per</w:t>
            </w:r>
          </w:p>
        </w:tc>
        <w:tc>
          <w:tcPr>
            <w:tcW w:w="540" w:type="dxa"/>
            <w:vAlign w:val="bottom"/>
            <w:gridSpan w:val="2"/>
          </w:tcPr>
          <w:p>
            <w:pPr>
              <w:jc w:val="right"/>
              <w:spacing w:after="0"/>
              <w:rPr>
                <w:sz w:val="20"/>
                <w:szCs w:val="20"/>
                <w:color w:val="auto"/>
              </w:rPr>
            </w:pPr>
            <w:r>
              <w:rPr>
                <w:rFonts w:ascii="Arial" w:cs="Arial" w:eastAsia="Arial" w:hAnsi="Arial"/>
                <w:sz w:val="10"/>
                <w:szCs w:val="10"/>
                <w:b w:val="1"/>
                <w:bCs w:val="1"/>
                <w:color w:val="auto"/>
                <w:w w:val="93"/>
              </w:rPr>
              <w:t>share data)</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212.4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154.6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0" w:type="dxa"/>
            <w:vAlign w:val="bottom"/>
          </w:tcPr>
          <w:p>
            <w:pPr>
              <w:spacing w:after="0"/>
              <w:rPr>
                <w:sz w:val="20"/>
                <w:szCs w:val="20"/>
                <w:color w:val="auto"/>
              </w:rPr>
            </w:pPr>
            <w:r>
              <w:rPr>
                <w:rFonts w:ascii="Arial" w:cs="Arial" w:eastAsia="Arial" w:hAnsi="Arial"/>
                <w:sz w:val="13"/>
                <w:szCs w:val="13"/>
                <w:color w:val="auto"/>
              </w:rPr>
              <w:t>Loss from discontinued operations</w:t>
            </w:r>
          </w:p>
        </w:tc>
        <w:tc>
          <w:tcPr>
            <w:tcW w:w="12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3"/>
                <w:szCs w:val="13"/>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153.3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600" w:type="dxa"/>
            <w:vAlign w:val="bottom"/>
          </w:tcPr>
          <w:p>
            <w:pPr>
              <w:spacing w:after="0"/>
              <w:rPr>
                <w:sz w:val="20"/>
                <w:szCs w:val="20"/>
                <w:color w:val="auto"/>
              </w:rPr>
            </w:pPr>
            <w:r>
              <w:rPr>
                <w:rFonts w:ascii="Arial" w:cs="Arial" w:eastAsia="Arial" w:hAnsi="Arial"/>
                <w:sz w:val="13"/>
                <w:szCs w:val="13"/>
                <w:color w:val="auto"/>
              </w:rPr>
              <w:t>BASIC EARNINGS (LOSS) PER COMMON SHARE:</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Weighted-average common shares outstanding during the period</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65.0</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Income from continuing operations</w:t>
            </w: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6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3.20</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2.38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0.51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from discontinued operations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(0.12)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(0.02)</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76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3.08</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2.36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(0.17)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(LOSS) PER COMMON SHARE:</w:t>
            </w: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0" w:type="dxa"/>
            <w:vAlign w:val="bottom"/>
          </w:tcPr>
          <w:p>
            <w:pPr>
              <w:ind w:left="140"/>
              <w:spacing w:after="0"/>
              <w:rPr>
                <w:sz w:val="20"/>
                <w:szCs w:val="20"/>
                <w:color w:val="auto"/>
              </w:rPr>
            </w:pPr>
            <w:r>
              <w:rPr>
                <w:rFonts w:ascii="Arial" w:cs="Arial" w:eastAsia="Arial" w:hAnsi="Arial"/>
                <w:sz w:val="13"/>
                <w:szCs w:val="13"/>
                <w:color w:val="auto"/>
              </w:rPr>
              <w:t>Weighted-average common shares outstanding during the period</w:t>
            </w:r>
          </w:p>
        </w:tc>
        <w:tc>
          <w:tcPr>
            <w:tcW w:w="120" w:type="dxa"/>
            <w:vAlign w:val="bottom"/>
          </w:tcPr>
          <w:p>
            <w:pPr>
              <w:spacing w:after="0"/>
              <w:rPr>
                <w:sz w:val="13"/>
                <w:szCs w:val="13"/>
                <w:color w:val="auto"/>
              </w:rPr>
            </w:pP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66.3</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65.0</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64.5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Potential common shares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Weighted-average number of common shares outstanding and dilutive potential common shares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67.6</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66.1</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65.4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2.34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0" w:type="dxa"/>
            <w:vAlign w:val="bottom"/>
          </w:tcPr>
          <w:p>
            <w:pPr>
              <w:ind w:left="140"/>
              <w:spacing w:after="0"/>
              <w:rPr>
                <w:sz w:val="20"/>
                <w:szCs w:val="20"/>
                <w:color w:val="auto"/>
              </w:rPr>
            </w:pPr>
            <w:r>
              <w:rPr>
                <w:rFonts w:ascii="Arial" w:cs="Arial" w:eastAsia="Arial" w:hAnsi="Arial"/>
                <w:sz w:val="13"/>
                <w:szCs w:val="13"/>
                <w:color w:val="auto"/>
              </w:rPr>
              <w:t>Loss from discontinued operations</w:t>
            </w:r>
          </w:p>
        </w:tc>
        <w:tc>
          <w:tcPr>
            <w:tcW w:w="12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(0.12)</w:t>
            </w:r>
          </w:p>
        </w:tc>
        <w:tc>
          <w:tcPr>
            <w:tcW w:w="120" w:type="dxa"/>
            <w:vAlign w:val="bottom"/>
          </w:tcPr>
          <w:p>
            <w:pPr>
              <w:spacing w:after="0"/>
              <w:rPr>
                <w:sz w:val="13"/>
                <w:szCs w:val="13"/>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3"/>
                <w:szCs w:val="13"/>
                <w:color w:val="auto"/>
              </w:rPr>
              <w:t>(0.02)</w:t>
            </w:r>
          </w:p>
        </w:tc>
        <w:tc>
          <w:tcPr>
            <w:tcW w:w="1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(0.67)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2.32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7600" w:type="dxa"/>
            <w:vAlign w:val="bottom"/>
          </w:tcPr>
          <w:p>
            <w:pPr>
              <w:ind w:left="4940"/>
              <w:spacing w:after="0"/>
              <w:rPr>
                <w:sz w:val="20"/>
                <w:szCs w:val="20"/>
                <w:color w:val="auto"/>
              </w:rPr>
            </w:pPr>
            <w:r>
              <w:rPr>
                <w:rFonts w:ascii="Arial" w:cs="Arial" w:eastAsia="Arial" w:hAnsi="Arial"/>
                <w:sz w:val="13"/>
                <w:szCs w:val="13"/>
                <w:color w:val="auto"/>
              </w:rPr>
              <w:t>97</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6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80" w:type="dxa"/>
            <w:vAlign w:val="bottom"/>
          </w:tcPr>
          <w:p>
            <w:pPr>
              <w:spacing w:after="0"/>
              <w:rPr>
                <w:sz w:val="20"/>
                <w:szCs w:val="20"/>
                <w:color w:val="auto"/>
              </w:rPr>
            </w:pPr>
            <w:r>
              <w:rPr>
                <w:rFonts w:ascii="Arial" w:cs="Arial" w:eastAsia="Arial" w:hAnsi="Arial"/>
                <w:sz w:val="13"/>
                <w:szCs w:val="13"/>
                <w:b w:val="1"/>
                <w:bCs w:val="1"/>
                <w:color w:val="auto"/>
              </w:rPr>
              <w:t>NOTE 14.</w:t>
            </w:r>
          </w:p>
        </w:tc>
        <w:tc>
          <w:tcPr>
            <w:tcW w:w="6520" w:type="dxa"/>
            <w:vAlign w:val="bottom"/>
          </w:tcPr>
          <w:p>
            <w:pPr>
              <w:ind w:left="20"/>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600" w:type="dxa"/>
            <w:vAlign w:val="bottom"/>
            <w:gridSpan w:val="2"/>
          </w:tcPr>
          <w:p>
            <w:pPr>
              <w:ind w:left="400"/>
              <w:spacing w:after="0"/>
              <w:rPr>
                <w:sz w:val="20"/>
                <w:szCs w:val="20"/>
                <w:color w:val="auto"/>
              </w:rPr>
            </w:pPr>
            <w:r>
              <w:rPr>
                <w:rFonts w:ascii="Arial" w:cs="Arial" w:eastAsia="Arial" w:hAnsi="Arial"/>
                <w:sz w:val="13"/>
                <w:szCs w:val="13"/>
                <w:color w:val="auto"/>
              </w:rPr>
              <w:t>The provision (benefit) for income taxes allocated to continuing operations consisted of the following (in millions):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6"/>
          </w:tcPr>
          <w:p>
            <w:pPr>
              <w:jc w:val="center"/>
              <w:ind w:left="28"/>
              <w:spacing w:after="0"/>
              <w:rPr>
                <w:sz w:val="20"/>
                <w:szCs w:val="20"/>
                <w:color w:val="auto"/>
              </w:rPr>
            </w:pPr>
            <w:r>
              <w:rPr>
                <w:rFonts w:ascii="Arial" w:cs="Arial" w:eastAsia="Arial" w:hAnsi="Arial"/>
                <w:sz w:val="10"/>
                <w:szCs w:val="10"/>
                <w:b w:val="1"/>
                <w:bCs w:val="1"/>
                <w:color w:val="auto"/>
                <w:w w:val="95"/>
              </w:rPr>
              <w:t>Year Ended September 30,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08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6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80" w:type="dxa"/>
            <w:vAlign w:val="bottom"/>
          </w:tcPr>
          <w:p>
            <w:pPr>
              <w:ind w:left="140"/>
              <w:spacing w:after="0"/>
              <w:rPr>
                <w:sz w:val="20"/>
                <w:szCs w:val="20"/>
                <w:color w:val="auto"/>
              </w:rPr>
            </w:pPr>
            <w:r>
              <w:rPr>
                <w:rFonts w:ascii="Arial" w:cs="Arial" w:eastAsia="Arial" w:hAnsi="Arial"/>
                <w:sz w:val="13"/>
                <w:szCs w:val="13"/>
                <w:color w:val="auto"/>
              </w:rPr>
              <w:t>Federal</w:t>
            </w:r>
          </w:p>
        </w:tc>
        <w:tc>
          <w:tcPr>
            <w:tcW w:w="65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280"/>
              <w:spacing w:after="0"/>
              <w:rPr>
                <w:sz w:val="20"/>
                <w:szCs w:val="20"/>
                <w:color w:val="auto"/>
              </w:rPr>
            </w:pPr>
            <w:r>
              <w:rPr>
                <w:rFonts w:ascii="Arial" w:cs="Arial" w:eastAsia="Arial" w:hAnsi="Arial"/>
                <w:sz w:val="13"/>
                <w:szCs w:val="13"/>
                <w:color w:val="auto"/>
              </w:rPr>
              <w:t>86.7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57"/>
        </w:trPr>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6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1080" w:type="dxa"/>
            <w:vAlign w:val="bottom"/>
          </w:tcPr>
          <w:p>
            <w:pPr>
              <w:ind w:left="140"/>
              <w:spacing w:after="0"/>
              <w:rPr>
                <w:sz w:val="20"/>
                <w:szCs w:val="20"/>
                <w:color w:val="auto"/>
              </w:rPr>
            </w:pPr>
            <w:r>
              <w:rPr>
                <w:rFonts w:ascii="Arial" w:cs="Arial" w:eastAsia="Arial" w:hAnsi="Arial"/>
                <w:sz w:val="13"/>
                <w:szCs w:val="13"/>
                <w:color w:val="auto"/>
              </w:rPr>
              <w:t>Foreign</w:t>
            </w:r>
          </w:p>
        </w:tc>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10.5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w:t>
            </w:r>
          </w:p>
        </w:tc>
        <w:tc>
          <w:tcPr>
            <w:tcW w:w="6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107.7</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157"/>
        </w:trPr>
        <w:tc>
          <w:tcPr>
            <w:tcW w:w="1080" w:type="dxa"/>
            <w:vAlign w:val="bottom"/>
          </w:tcPr>
          <w:p>
            <w:pPr>
              <w:spacing w:after="0"/>
              <w:rPr>
                <w:sz w:val="20"/>
                <w:szCs w:val="20"/>
                <w:color w:val="auto"/>
              </w:rPr>
            </w:pPr>
            <w:r>
              <w:rPr>
                <w:rFonts w:ascii="Arial" w:cs="Arial" w:eastAsia="Arial" w:hAnsi="Arial"/>
                <w:sz w:val="13"/>
                <w:szCs w:val="13"/>
                <w:color w:val="auto"/>
              </w:rPr>
              <w:t>Deferred:</w:t>
            </w:r>
          </w:p>
        </w:tc>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6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57"/>
        </w:trPr>
        <w:tc>
          <w:tcPr>
            <w:tcW w:w="1080" w:type="dxa"/>
            <w:vAlign w:val="bottom"/>
          </w:tcPr>
          <w:p>
            <w:pPr>
              <w:ind w:left="140"/>
              <w:spacing w:after="0"/>
              <w:rPr>
                <w:sz w:val="20"/>
                <w:szCs w:val="20"/>
                <w:color w:val="auto"/>
              </w:rPr>
            </w:pPr>
            <w:r>
              <w:rPr>
                <w:rFonts w:ascii="Arial" w:cs="Arial" w:eastAsia="Arial" w:hAnsi="Arial"/>
                <w:sz w:val="13"/>
                <w:szCs w:val="13"/>
                <w:color w:val="auto"/>
              </w:rPr>
              <w:t>State</w:t>
            </w:r>
          </w:p>
        </w:tc>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6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80"/>
              <w:spacing w:after="0"/>
              <w:rPr>
                <w:sz w:val="20"/>
                <w:szCs w:val="20"/>
                <w:color w:val="auto"/>
              </w:rPr>
            </w:pPr>
            <w:r>
              <w:rPr>
                <w:rFonts w:ascii="Arial" w:cs="Arial" w:eastAsia="Arial" w:hAnsi="Arial"/>
                <w:sz w:val="13"/>
                <w:szCs w:val="13"/>
                <w:color w:val="auto"/>
                <w:w w:val="93"/>
              </w:rPr>
              <w:t>Total Deferred</w:t>
            </w:r>
          </w:p>
        </w:tc>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17.7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254"/>
        </w:trPr>
        <w:tc>
          <w:tcPr>
            <w:tcW w:w="7600" w:type="dxa"/>
            <w:vAlign w:val="bottom"/>
            <w:gridSpan w:val="2"/>
          </w:tcPr>
          <w:p>
            <w:pPr>
              <w:ind w:left="400"/>
              <w:spacing w:after="0"/>
              <w:rPr>
                <w:sz w:val="20"/>
                <w:szCs w:val="20"/>
                <w:color w:val="auto"/>
              </w:rPr>
            </w:pPr>
            <w:r>
              <w:rPr>
                <w:rFonts w:ascii="Arial" w:cs="Arial" w:eastAsia="Arial" w:hAnsi="Arial"/>
                <w:sz w:val="13"/>
                <w:szCs w:val="13"/>
                <w:color w:val="auto"/>
                <w:w w:val="99"/>
              </w:rPr>
              <w:t>The domestic and foreign components of income from continuing operations before income taxes were as follows (in millions):</w:t>
            </w: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0"/>
                <w:szCs w:val="10"/>
                <w:b w:val="1"/>
                <w:bCs w:val="1"/>
                <w:color w:val="auto"/>
                <w:w w:val="93"/>
              </w:rPr>
              <w:t>Year Ended September 30,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08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20" w:type="dxa"/>
            <w:vAlign w:val="bottom"/>
            <w:tcBorders>
              <w:bottom w:val="single" w:sz="8" w:color="auto"/>
            </w:tcBorders>
            <w:gridSpan w:val="3"/>
          </w:tcPr>
          <w:p>
            <w:pPr>
              <w:jc w:val="right"/>
              <w:ind w:right="95"/>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gridSpan w:val="3"/>
          </w:tcPr>
          <w:p>
            <w:pPr>
              <w:jc w:val="right"/>
              <w:ind w:right="75"/>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Domestic</w:t>
            </w:r>
          </w:p>
        </w:tc>
        <w:tc>
          <w:tcPr>
            <w:tcW w:w="65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318.8</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221.6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116.8</w:t>
            </w:r>
          </w:p>
        </w:tc>
        <w:tc>
          <w:tcPr>
            <w:tcW w:w="0" w:type="dxa"/>
            <w:vAlign w:val="bottom"/>
          </w:tcPr>
          <w:p>
            <w:pPr>
              <w:spacing w:after="0"/>
              <w:rPr>
                <w:sz w:val="1"/>
                <w:szCs w:val="1"/>
                <w:color w:val="auto"/>
              </w:rPr>
            </w:pPr>
          </w:p>
        </w:tc>
      </w:tr>
      <w:tr>
        <w:trPr>
          <w:trHeight w:val="157"/>
        </w:trPr>
        <w:tc>
          <w:tcPr>
            <w:tcW w:w="1080" w:type="dxa"/>
            <w:vAlign w:val="bottom"/>
          </w:tcPr>
          <w:p>
            <w:pPr>
              <w:spacing w:after="0"/>
              <w:rPr>
                <w:sz w:val="20"/>
                <w:szCs w:val="20"/>
                <w:color w:val="auto"/>
              </w:rPr>
            </w:pPr>
            <w:r>
              <w:rPr>
                <w:rFonts w:ascii="Arial" w:cs="Arial" w:eastAsia="Arial" w:hAnsi="Arial"/>
                <w:sz w:val="13"/>
                <w:szCs w:val="13"/>
                <w:color w:val="auto"/>
              </w:rPr>
              <w:t>Foreign</w:t>
            </w:r>
          </w:p>
        </w:tc>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from continuing operations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337.8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241.2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federal corporate income tax rate and the effective tax rate on income from continuing operations before income taxes is summarized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Year Ended September 30,</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50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520" w:type="dxa"/>
            <w:vAlign w:val="bottom"/>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Statutory income tax rate</w:t>
            </w:r>
          </w:p>
        </w:tc>
        <w:tc>
          <w:tcPr>
            <w:tcW w:w="456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35.0%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Effect of foreign operations</w:t>
            </w:r>
          </w:p>
        </w:tc>
        <w:tc>
          <w:tcPr>
            <w:tcW w:w="4560" w:type="dxa"/>
            <w:vAlign w:val="bottom"/>
            <w:gridSpan w:val="3"/>
          </w:tcPr>
          <w:p>
            <w:pPr>
              <w:jc w:val="right"/>
              <w:ind w:right="408"/>
              <w:spacing w:after="0"/>
              <w:rPr>
                <w:sz w:val="20"/>
                <w:szCs w:val="20"/>
                <w:color w:val="auto"/>
              </w:rPr>
            </w:pPr>
            <w:r>
              <w:rPr>
                <w:rFonts w:ascii="Arial" w:cs="Arial" w:eastAsia="Arial" w:hAnsi="Arial"/>
                <w:sz w:val="13"/>
                <w:szCs w:val="13"/>
                <w:color w:val="auto"/>
              </w:rPr>
              <w:t>(0.3)</w:t>
            </w: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(0.6)</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State taxes, net of federal benefit</w:t>
            </w:r>
          </w:p>
        </w:tc>
        <w:tc>
          <w:tcPr>
            <w:tcW w:w="4560" w:type="dxa"/>
            <w:vAlign w:val="bottom"/>
            <w:gridSpan w:val="3"/>
            <w:shd w:val="clear" w:color="auto" w:fill="CCEEFF"/>
          </w:tcPr>
          <w:p>
            <w:pPr>
              <w:jc w:val="right"/>
              <w:ind w:right="448"/>
              <w:spacing w:after="0"/>
              <w:rPr>
                <w:sz w:val="20"/>
                <w:szCs w:val="20"/>
                <w:color w:val="auto"/>
              </w:rPr>
            </w:pPr>
            <w:r>
              <w:rPr>
                <w:rFonts w:ascii="Arial" w:cs="Arial" w:eastAsia="Arial" w:hAnsi="Arial"/>
                <w:sz w:val="13"/>
                <w:szCs w:val="13"/>
                <w:color w:val="auto"/>
              </w:rPr>
              <w:t>2.4</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Change in state NOL and credit carryforwards</w:t>
            </w:r>
          </w:p>
        </w:tc>
        <w:tc>
          <w:tcPr>
            <w:tcW w:w="4560" w:type="dxa"/>
            <w:vAlign w:val="bottom"/>
            <w:gridSpan w:val="3"/>
          </w:tcPr>
          <w:p>
            <w:pPr>
              <w:jc w:val="right"/>
              <w:ind w:right="448"/>
              <w:spacing w:after="0"/>
              <w:rPr>
                <w:sz w:val="20"/>
                <w:szCs w:val="20"/>
                <w:color w:val="auto"/>
              </w:rPr>
            </w:pPr>
            <w:r>
              <w:rPr>
                <w:rFonts w:ascii="Arial" w:cs="Arial" w:eastAsia="Arial" w:hAnsi="Arial"/>
                <w:sz w:val="13"/>
                <w:szCs w:val="13"/>
                <w:color w:val="auto"/>
              </w:rPr>
              <w:t>0.1</w:t>
            </w: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(0.3)</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Research &amp; Development tax credit</w:t>
            </w:r>
          </w:p>
        </w:tc>
        <w:tc>
          <w:tcPr>
            <w:tcW w:w="37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(0.4)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Effect of goodwill impairment and other permanent differences</w:t>
            </w:r>
          </w:p>
        </w:tc>
        <w:tc>
          <w:tcPr>
            <w:tcW w:w="4560" w:type="dxa"/>
            <w:vAlign w:val="bottom"/>
            <w:gridSpan w:val="3"/>
          </w:tcPr>
          <w:p>
            <w:pPr>
              <w:jc w:val="right"/>
              <w:ind w:right="408"/>
              <w:spacing w:after="0"/>
              <w:rPr>
                <w:sz w:val="20"/>
                <w:szCs w:val="20"/>
                <w:color w:val="auto"/>
              </w:rPr>
            </w:pPr>
            <w:r>
              <w:rPr>
                <w:rFonts w:ascii="Arial" w:cs="Arial" w:eastAsia="Arial" w:hAnsi="Arial"/>
                <w:sz w:val="13"/>
                <w:szCs w:val="13"/>
                <w:color w:val="auto"/>
              </w:rPr>
              <w:t>(0.6)</w:t>
            </w:r>
          </w:p>
        </w:tc>
        <w:tc>
          <w:tcPr>
            <w:tcW w:w="860" w:type="dxa"/>
            <w:vAlign w:val="bottom"/>
            <w:gridSpan w:val="2"/>
          </w:tcPr>
          <w:p>
            <w:pPr>
              <w:jc w:val="right"/>
              <w:ind w:right="480"/>
              <w:spacing w:after="0"/>
              <w:rPr>
                <w:sz w:val="20"/>
                <w:szCs w:val="20"/>
                <w:color w:val="auto"/>
              </w:rPr>
            </w:pPr>
            <w:r>
              <w:rPr>
                <w:rFonts w:ascii="Arial" w:cs="Arial" w:eastAsia="Arial" w:hAnsi="Arial"/>
                <w:sz w:val="13"/>
                <w:szCs w:val="13"/>
                <w:color w:val="auto"/>
              </w:rPr>
              <w:t>(0.8)</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37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5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0.7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20" w:type="dxa"/>
            <w:vAlign w:val="bottom"/>
            <w:vMerge w:val="restart"/>
          </w:tcPr>
          <w:p>
            <w:pPr>
              <w:spacing w:after="0"/>
              <w:rPr>
                <w:sz w:val="20"/>
                <w:szCs w:val="20"/>
                <w:color w:val="auto"/>
              </w:rPr>
            </w:pPr>
            <w:r>
              <w:rPr>
                <w:rFonts w:ascii="Arial" w:cs="Arial" w:eastAsia="Arial" w:hAnsi="Arial"/>
                <w:sz w:val="13"/>
                <w:szCs w:val="13"/>
                <w:color w:val="auto"/>
              </w:rPr>
              <w:t>Effective income tax rate</w:t>
            </w:r>
          </w:p>
        </w:tc>
        <w:tc>
          <w:tcPr>
            <w:tcW w:w="3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120" w:type="dxa"/>
            <w:vAlign w:val="bottom"/>
            <w:vMerge w:val="continue"/>
          </w:tcPr>
          <w:p>
            <w:pPr>
              <w:spacing w:after="0"/>
              <w:rPr>
                <w:sz w:val="14"/>
                <w:szCs w:val="14"/>
                <w:color w:val="auto"/>
              </w:rPr>
            </w:pPr>
          </w:p>
        </w:tc>
        <w:tc>
          <w:tcPr>
            <w:tcW w:w="3720" w:type="dxa"/>
            <w:vAlign w:val="bottom"/>
          </w:tcPr>
          <w:p>
            <w:pPr>
              <w:spacing w:after="0"/>
              <w:rPr>
                <w:sz w:val="14"/>
                <w:szCs w:val="14"/>
                <w:color w:val="auto"/>
              </w:rPr>
            </w:pPr>
          </w:p>
        </w:tc>
        <w:tc>
          <w:tcPr>
            <w:tcW w:w="840" w:type="dxa"/>
            <w:vAlign w:val="bottom"/>
            <w:gridSpan w:val="2"/>
          </w:tcPr>
          <w:p>
            <w:pPr>
              <w:jc w:val="right"/>
              <w:ind w:right="348"/>
              <w:spacing w:after="0"/>
              <w:rPr>
                <w:sz w:val="20"/>
                <w:szCs w:val="20"/>
                <w:color w:val="auto"/>
              </w:rPr>
            </w:pPr>
            <w:r>
              <w:rPr>
                <w:rFonts w:ascii="Arial" w:cs="Arial" w:eastAsia="Arial" w:hAnsi="Arial"/>
                <w:sz w:val="13"/>
                <w:szCs w:val="13"/>
                <w:color w:val="auto"/>
              </w:rPr>
              <w:t>37.1%</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35.9%</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43.1%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720" w:type="dxa"/>
            <w:vAlign w:val="bottom"/>
          </w:tcPr>
          <w:p>
            <w:pPr>
              <w:jc w:val="right"/>
              <w:ind w:right="2714"/>
              <w:spacing w:after="0"/>
              <w:rPr>
                <w:sz w:val="20"/>
                <w:szCs w:val="20"/>
                <w:color w:val="auto"/>
              </w:rPr>
            </w:pPr>
            <w:r>
              <w:rPr>
                <w:rFonts w:ascii="Arial" w:cs="Arial" w:eastAsia="Arial" w:hAnsi="Arial"/>
                <w:sz w:val="13"/>
                <w:szCs w:val="13"/>
                <w:color w:val="auto"/>
              </w:rPr>
              <w:t>98</w:t>
            </w:r>
          </w:p>
        </w:tc>
        <w:tc>
          <w:tcPr>
            <w:tcW w:w="3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as of September 30, 2010 and 2009 were as follows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0"/>
                <w:szCs w:val="10"/>
                <w:b w:val="1"/>
                <w:bCs w:val="1"/>
                <w:color w:val="auto"/>
              </w:rPr>
              <w:t>September 30,</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600" w:type="dxa"/>
            <w:vAlign w:val="bottom"/>
            <w:tcBorders>
              <w:bottom w:val="single" w:sz="8" w:color="auto"/>
            </w:tcBorders>
            <w:gridSpan w:val="3"/>
          </w:tcPr>
          <w:p>
            <w:pPr>
              <w:ind w:left="200"/>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14.6</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liabilities</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76.5</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Postretirement benefits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47.6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State NOL carryovers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NOL carryovers</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12.9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deferred tax assets</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197.5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214.7</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(42.3)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assets</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155.2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171.6</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plant and equipment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(54.3)</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Intangible assets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(79.1)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(68.6)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140"/>
              <w:spacing w:after="0"/>
              <w:rPr>
                <w:sz w:val="20"/>
                <w:szCs w:val="20"/>
                <w:color w:val="auto"/>
              </w:rPr>
            </w:pPr>
            <w:r>
              <w:rPr>
                <w:rFonts w:ascii="Arial" w:cs="Arial" w:eastAsia="Arial" w:hAnsi="Arial"/>
                <w:sz w:val="13"/>
                <w:szCs w:val="13"/>
                <w:color w:val="auto"/>
              </w:rPr>
              <w:t>Total deferred tax liabilities</w:t>
            </w: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w w:val="87"/>
              </w:rPr>
              <w:t>(139.6)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(117.4)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deferred tax asset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254"/>
        </w:trPr>
        <w:tc>
          <w:tcPr>
            <w:tcW w:w="8300" w:type="dxa"/>
            <w:vAlign w:val="bottom"/>
          </w:tcPr>
          <w:p>
            <w:pPr>
              <w:ind w:left="400"/>
              <w:spacing w:after="0"/>
              <w:rPr>
                <w:sz w:val="20"/>
                <w:szCs w:val="20"/>
                <w:color w:val="auto"/>
              </w:rPr>
            </w:pPr>
            <w:r>
              <w:rPr>
                <w:rFonts w:ascii="Arial" w:cs="Arial" w:eastAsia="Arial" w:hAnsi="Arial"/>
                <w:sz w:val="13"/>
                <w:szCs w:val="13"/>
                <w:color w:val="auto"/>
              </w:rPr>
              <w:t>The net current and non-current components of deferred income taxes recognized in the Consolidated Balance Sheets were (in millions):</w:t>
            </w:r>
          </w:p>
        </w:tc>
        <w:tc>
          <w:tcPr>
            <w:tcW w:w="2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7"/>
          </w:tcPr>
          <w:p>
            <w:pPr>
              <w:jc w:val="right"/>
              <w:ind w:right="460"/>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Net current deferred tax asset (classified with prepaid and other assets)</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78.6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Net non-current deferred tax liability (classified with other liabilities)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15.6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Foreign net operating losses of controlled foreign corporations were $5.0 million as of September 30, 2010, the majority of which have indefinite carryforward periods. State net operating losses were $57.3 million as of September 30, 2010, with carryforward periods ranging from 5 to 20 years. Any losses not utilized within a specific state’s carryforward period will expire. State net operating loss carryforwards included $1.4 million of tax benefits relating to Smith &amp; Hawken. As these losses may only be used against income of Smith &amp; Hawken, and cannot be used to offset income of the consolidated group, a full valuation allowance has been recorded against this tax asset. Tax benefits associated with state tax credits will expire if not utilized and amounted to $0.5 million and $0.4 million at September 30, 2010 and 2009, respectively.</w:t>
      </w:r>
    </w:p>
    <w:p>
      <w:pPr>
        <w:spacing w:after="0" w:line="7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Deferred taxes have not been provided on unremitted earnings approximating $128.0 million of certain foreign subsidiaries and foreign corporate joint ventures as such earnings have been permanently reinvested. The Company has also elected to treat certain foreign entities as disregarded entities for U.S. tax purposes, which results in their net income or loss being recognized currently in the Company’s U.S. tax return. As such, the tax benefit of net operating losses available for foreign statutory tax purposes has already been recognized for U.S. purposes. Accordingly, a full valuation allowance is required on the tax benefit of these net operating losses on global</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consolidation. The foreign net operating losses of these foreign disregarded entities were $138.8 million at September 30, 2010, the majority of which have indefinite carryforward periods.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statutory tax benefit of these net operating loss carryovers amounted to $39.6 million and $40.5 million for the fiscal years ended September 30, 2010 and 2009, respectively.</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67"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 Company had $7.8 million, $6.2 million and $7.2 million of gross unrecognized tax benefits related to uncertain tax positions at September 30, 2010, 2009 and 2008, respectively. Included in the September 30, 2010, 2009 and 2008 balances were $6.4 million, $6.4 million and $6.5 million, respectively, of unrecognized tax benefits that, if recognized, would have an impact on the effective tax rate.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unrecognized tax benefits for fiscal 2010, fiscal 2009 and fiscal 2008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80" w:type="dxa"/>
            <w:vAlign w:val="bottom"/>
          </w:tcPr>
          <w:p>
            <w:pPr>
              <w:spacing w:after="0"/>
              <w:rPr>
                <w:sz w:val="10"/>
                <w:szCs w:val="1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10"/>
                <w:szCs w:val="1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Balance at 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8080" w:type="dxa"/>
            <w:vAlign w:val="bottom"/>
          </w:tcPr>
          <w:p>
            <w:pPr>
              <w:spacing w:after="0"/>
              <w:rPr>
                <w:sz w:val="20"/>
                <w:szCs w:val="20"/>
                <w:color w:val="auto"/>
              </w:rPr>
            </w:pPr>
            <w:r>
              <w:rPr>
                <w:rFonts w:ascii="Arial" w:cs="Arial" w:eastAsia="Arial" w:hAnsi="Arial"/>
                <w:sz w:val="13"/>
                <w:szCs w:val="13"/>
                <w:color w:val="auto"/>
              </w:rPr>
              <w:t>Additions for tax positions of the current year</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years</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8080" w:type="dxa"/>
            <w:vAlign w:val="bottom"/>
          </w:tcPr>
          <w:p>
            <w:pPr>
              <w:spacing w:after="0"/>
              <w:rPr>
                <w:sz w:val="20"/>
                <w:szCs w:val="20"/>
                <w:color w:val="auto"/>
              </w:rPr>
            </w:pPr>
            <w:r>
              <w:rPr>
                <w:rFonts w:ascii="Arial" w:cs="Arial" w:eastAsia="Arial" w:hAnsi="Arial"/>
                <w:sz w:val="13"/>
                <w:szCs w:val="13"/>
                <w:color w:val="auto"/>
              </w:rPr>
              <w:t>Reductions for tax positions of the current year</w:t>
            </w: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w w:val="97"/>
              </w:rPr>
              <w:t>(0.8)</w:t>
            </w:r>
          </w:p>
        </w:tc>
        <w:tc>
          <w:tcPr>
            <w:tcW w:w="100" w:type="dxa"/>
            <w:vAlign w:val="bottom"/>
          </w:tcPr>
          <w:p>
            <w:pPr>
              <w:spacing w:after="0"/>
              <w:rPr>
                <w:sz w:val="13"/>
                <w:szCs w:val="13"/>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3"/>
                <w:szCs w:val="13"/>
                <w:color w:val="auto"/>
                <w:w w:val="89"/>
              </w:rPr>
              <w:t>(0.1)</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Reductions for tax positions of prior years</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7"/>
              </w:rPr>
              <w:t>(1.3)</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89"/>
              </w:rPr>
              <w:t>(0.7)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8080" w:type="dxa"/>
            <w:vAlign w:val="bottom"/>
          </w:tcPr>
          <w:p>
            <w:pPr>
              <w:spacing w:after="0"/>
              <w:rPr>
                <w:sz w:val="20"/>
                <w:szCs w:val="20"/>
                <w:color w:val="auto"/>
              </w:rPr>
            </w:pPr>
            <w:r>
              <w:rPr>
                <w:rFonts w:ascii="Arial" w:cs="Arial" w:eastAsia="Arial" w:hAnsi="Arial"/>
                <w:sz w:val="13"/>
                <w:szCs w:val="13"/>
                <w:color w:val="auto"/>
              </w:rPr>
              <w:t>Settlements with tax authorities</w:t>
            </w:r>
          </w:p>
        </w:tc>
        <w:tc>
          <w:tcPr>
            <w:tcW w:w="80" w:type="dxa"/>
            <w:vAlign w:val="bottom"/>
          </w:tcPr>
          <w:p>
            <w:pPr>
              <w:spacing w:after="0"/>
              <w:rPr>
                <w:sz w:val="13"/>
                <w:szCs w:val="13"/>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3"/>
                <w:szCs w:val="13"/>
                <w:color w:val="auto"/>
                <w:w w:val="89"/>
              </w:rPr>
              <w:t>(0.3)</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Expiration of statutes of limitation</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7"/>
              </w:rPr>
              <w:t>(0.8)</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89"/>
              </w:rPr>
              <w:t>(1.5)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3"/>
                <w:szCs w:val="13"/>
                <w:color w:val="auto"/>
              </w:rPr>
              <w:t>Balance at end of year</w:t>
            </w: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7.8</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30"/>
        </w:trPr>
        <w:tc>
          <w:tcPr>
            <w:tcW w:w="8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Company continues to recognize accrued interest and penalties related to unrecognized tax benefits as a component of the provision for income taxes. As of September 30, 2010, 2009 and 2008, respectively, the Company had $1.3 million, $1.2 million and $1.2 million accrued for the payment of interest that, if recognized, would impact the effective tax rate. As of September 30, 2010, 2009 and 2008, respectively, the Company had $0.7 million, $0.6 million and $0.6 million accrued for the payment of penalties that, if recognized, would impact the effective tax rate. For the year ended September 30, 2010, the Company recognized a $0.4 million detriment related to tax interest and tax penalties in its statement of operations.</w:t>
      </w:r>
    </w:p>
    <w:p>
      <w:pPr>
        <w:spacing w:after="0" w:line="53"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Scotts Miracle-Gro or one of its subsidiaries files income tax returns in the U.S. federal jurisdiction and various state, local and foreign jurisdictions. With few exceptions, the Company is no longer subject to examinations by these tax authorities for fiscal years prior to 2007. The Company is currently under examination by the Internal Revenue Service (the “IRS”) and certain foreign and U.S. state and local tax authorities. The IRS is currently reviewing the fiscal 2008 tax period only. In regard to the local German audit, the tax periods under investigation are limited to fiscal years 2004 through 2008. In regard to the U.S. state and local audits, the tax periods under investigation are limited to fiscal years 2000 through 2008. In addition to these aforementioned audits, certain other tax deficiency notices and refund claims for previous years remain unresolved.</w:t>
      </w:r>
    </w:p>
    <w:p>
      <w:pPr>
        <w:spacing w:after="0" w:line="55"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The Company currently anticipates that few of its open and active audits will be resolved 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560" w:firstLine="399"/>
        <w:spacing w:after="0" w:line="296" w:lineRule="auto"/>
        <w:rPr>
          <w:sz w:val="20"/>
          <w:szCs w:val="20"/>
          <w:color w:val="auto"/>
        </w:rPr>
      </w:pPr>
      <w:r>
        <w:rPr>
          <w:rFonts w:ascii="Arial" w:cs="Arial" w:eastAsia="Arial" w:hAnsi="Arial"/>
          <w:sz w:val="12"/>
          <w:szCs w:val="12"/>
          <w:color w:val="auto"/>
        </w:rPr>
        <w:t>Management judgment is required in determining tax provisions and evaluating tax positions. Management believes its tax positions and related provisions reflected in the consolidated financial statements are fully supportable and appropriate. The Company established reserves for additional income taxes that may become due if the tax positions are challenged and not sustained, and as such, the Company’s tax provision includes the impact of recording reserves and changes thereto.</w:t>
      </w:r>
    </w:p>
    <w:p>
      <w:pPr>
        <w:spacing w:after="0" w:line="12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15.</w:t>
      </w:r>
      <w:r>
        <w:rPr>
          <w:sz w:val="20"/>
          <w:szCs w:val="20"/>
          <w:color w:val="auto"/>
        </w:rPr>
        <w:tab/>
      </w:r>
      <w:r>
        <w:rPr>
          <w:rFonts w:ascii="Arial" w:cs="Arial" w:eastAsia="Arial" w:hAnsi="Arial"/>
          <w:sz w:val="13"/>
          <w:szCs w:val="13"/>
          <w:b w:val="1"/>
          <w:bCs w:val="1"/>
          <w:color w:val="auto"/>
        </w:rPr>
        <w:t>DERIVATIVE INSTRUMENTS AND HEDGING ACTIVITIES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Derivatives and Hedging</w:t>
      </w:r>
    </w:p>
    <w:p>
      <w:pPr>
        <w:spacing w:after="0" w:line="96"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The Company is exposed to market risks, such as changes in interest rates, currency exchange rates and commodity prices. To manage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Company formally designates and documents qualifying instruments as hedges of underlying exposures at inception. The Company formally assesses, both at inception and at least quarterly, whether the financial instruments used in hedging transactions are effective at offsetting changes in either the fair value or cash flows of the related underlying exposure. Fluctuations in the value of these instruments generally are offset by changes in the fair value or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 The amounts recorded in earnings related to ineffectiveness of derivative hedges for the years ended September 30, 2010, 2009 and 2008 were not significant.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Foreign Currency Swap Contracts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Company periodically uses foreign currency swap contracts to manage the exchange rate risk associated with intercompany loans with foreign subsidiaries that are denominated in local currencies. At September 30, 2010, the notional amount of outstanding foreign currency swap contracts was $209.9 million, with a liability position based on a negative fair value of $6.6 million. The fair value of foreign currency swap contracts is determined based on changes in spot rates. The unrealized loss on the foreign currency swap contracts approximates the unrealized gain on the intercompany loans recognized by the Company’s lending subsidiaries.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Interest Rate Swap Agreements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Company enters into interest rate swap agreements as a means to hedge its variable interest rate exposure on debt instruments. The fair values are reflected in the Company’s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loss (“AOCI”) within the Consolidated Balance Sheets. The fair value of the swap agreements is determined based on the present value of the estimated future net cash flows using implied rates in the applicable yield curve as of the valuation date.</w:t>
      </w:r>
    </w:p>
    <w:p>
      <w:pPr>
        <w:spacing w:after="0" w:line="71" w:lineRule="exact"/>
        <w:rPr>
          <w:sz w:val="20"/>
          <w:szCs w:val="20"/>
          <w:color w:val="auto"/>
        </w:rPr>
      </w:pPr>
    </w:p>
    <w:p>
      <w:pPr>
        <w:jc w:val="both"/>
        <w:ind w:left="680" w:right="20" w:firstLine="399"/>
        <w:spacing w:after="0" w:line="334" w:lineRule="auto"/>
        <w:rPr>
          <w:sz w:val="20"/>
          <w:szCs w:val="20"/>
          <w:color w:val="auto"/>
        </w:rPr>
      </w:pPr>
      <w:r>
        <w:rPr>
          <w:rFonts w:ascii="Arial" w:cs="Arial" w:eastAsia="Arial" w:hAnsi="Arial"/>
          <w:sz w:val="11"/>
          <w:szCs w:val="11"/>
          <w:color w:val="auto"/>
        </w:rPr>
        <w:t>At September 30, 2010 and 2009, the Company had outstanding interest rate swap agreements with major financial institutions that effectively converted a portion of the Company’s variable-rate debt to a fixed rate. The swap agreements had a total U.S. dollar equivalent notional amount of $450.0 million and $650.0 million at September 30, 2010 and 2009, respectively. Refer to “NOTE 11. DEBT” for the terms of the swap agreements outstanding at September 30, 2010. Included in the AOCI balance at September 30, 2010 is a pre-tax loss of</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0"/>
        <w:spacing w:after="0" w:line="276" w:lineRule="auto"/>
        <w:rPr>
          <w:sz w:val="20"/>
          <w:szCs w:val="20"/>
          <w:color w:val="auto"/>
        </w:rPr>
      </w:pPr>
      <w:r>
        <w:rPr>
          <w:rFonts w:ascii="Arial" w:cs="Arial" w:eastAsia="Arial" w:hAnsi="Arial"/>
          <w:sz w:val="13"/>
          <w:szCs w:val="13"/>
          <w:color w:val="auto"/>
        </w:rPr>
        <w:t>$12.2 million related to interest rate swap agreements that is expected to be reclassified to earnings during the next 12 months, consistent with the timing of the underlying hedged transactions.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Commodity Hedges</w:t>
      </w:r>
    </w:p>
    <w:p>
      <w:pPr>
        <w:spacing w:after="0" w:line="96" w:lineRule="exact"/>
        <w:rPr>
          <w:sz w:val="20"/>
          <w:szCs w:val="20"/>
          <w:color w:val="auto"/>
        </w:rPr>
      </w:pPr>
    </w:p>
    <w:p>
      <w:pPr>
        <w:ind w:left="680" w:right="840" w:firstLine="399"/>
        <w:spacing w:after="0" w:line="257" w:lineRule="auto"/>
        <w:rPr>
          <w:sz w:val="20"/>
          <w:szCs w:val="20"/>
          <w:color w:val="auto"/>
        </w:rPr>
      </w:pPr>
      <w:r>
        <w:rPr>
          <w:rFonts w:ascii="Arial" w:cs="Arial" w:eastAsia="Arial" w:hAnsi="Arial"/>
          <w:sz w:val="13"/>
          <w:szCs w:val="13"/>
          <w:color w:val="auto"/>
        </w:rPr>
        <w:t>The Company had outstanding hedging arrangements at September 30, 2010 designed to fix the price of a portion of its urea needs.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 inventory, the gain or loss is reclassified to cost of sales. Included in the AOCI balance at September 30, 2010 was a pre-tax gain of $1.4 million related to urea derivatives that is expected to be reclassified to earnings during the next 12 months, consistent with the timing of the underlying hedged transactions.</w:t>
      </w:r>
    </w:p>
    <w:p>
      <w:pPr>
        <w:spacing w:after="0" w:line="72" w:lineRule="exact"/>
        <w:rPr>
          <w:sz w:val="20"/>
          <w:szCs w:val="20"/>
          <w:color w:val="auto"/>
        </w:rPr>
      </w:pPr>
    </w:p>
    <w:p>
      <w:pPr>
        <w:jc w:val="both"/>
        <w:ind w:left="680" w:right="840" w:firstLine="399"/>
        <w:spacing w:after="0" w:line="264" w:lineRule="auto"/>
        <w:rPr>
          <w:sz w:val="20"/>
          <w:szCs w:val="20"/>
          <w:color w:val="auto"/>
        </w:rPr>
      </w:pPr>
      <w:r>
        <w:rPr>
          <w:rFonts w:ascii="Arial" w:cs="Arial" w:eastAsia="Arial" w:hAnsi="Arial"/>
          <w:sz w:val="13"/>
          <w:szCs w:val="13"/>
          <w:color w:val="auto"/>
        </w:rPr>
        <w:t>Periodically, the Company also uses fuel derivatives to partially mitigate the effect of fluctuating diesel and gasoline costs on operating results. Fuel derivatives used by the Company that do not qualify for hedge accounting treatment in accordance with GAAP are marked-to-market, with unrealized gains and losses on open contracts and realized gains or losses on settled contracts recorded as an element of cost of sales.</w:t>
      </w:r>
    </w:p>
    <w:p>
      <w:pPr>
        <w:spacing w:after="0" w:line="65" w:lineRule="exact"/>
        <w:rPr>
          <w:sz w:val="20"/>
          <w:szCs w:val="20"/>
          <w:color w:val="auto"/>
        </w:rPr>
      </w:pPr>
    </w:p>
    <w:p>
      <w:pPr>
        <w:jc w:val="both"/>
        <w:ind w:left="680" w:right="880" w:firstLine="399"/>
        <w:spacing w:after="0" w:line="286" w:lineRule="auto"/>
        <w:rPr>
          <w:sz w:val="20"/>
          <w:szCs w:val="20"/>
          <w:color w:val="auto"/>
        </w:rPr>
      </w:pPr>
      <w:r>
        <w:rPr>
          <w:rFonts w:ascii="Arial" w:cs="Arial" w:eastAsia="Arial" w:hAnsi="Arial"/>
          <w:sz w:val="12"/>
          <w:szCs w:val="12"/>
          <w:color w:val="auto"/>
        </w:rPr>
        <w:t>Beginning in fiscal 2009, the Company entered into fuel derivatives for its Scotts LawnService</w:t>
      </w:r>
      <w:r>
        <w:rPr>
          <w:rFonts w:ascii="Arial" w:cs="Arial" w:eastAsia="Arial" w:hAnsi="Arial"/>
          <w:sz w:val="10"/>
          <w:szCs w:val="10"/>
          <w:color w:val="auto"/>
        </w:rPr>
        <w:t>®</w:t>
      </w:r>
      <w:r>
        <w:rPr>
          <w:rFonts w:ascii="Arial" w:cs="Arial" w:eastAsia="Arial" w:hAnsi="Arial"/>
          <w:sz w:val="12"/>
          <w:szCs w:val="12"/>
          <w:color w:val="auto"/>
        </w:rPr>
        <w:t xml:space="preserve"> business that qualify for hedge accounting treatment. Unrealized gains or losses in the fair value of these contracts are recorded to the AOCI component of shareholders’ equity except for any ineffective portion of the change in fair value, which is immediately recorded in earnings. For the effective portion of the change in fair value, realized gains or losses remain as a component of AOCI until the related fuel is consumed by the Scotts LawnService</w:t>
      </w:r>
      <w:r>
        <w:rPr>
          <w:rFonts w:ascii="Arial" w:cs="Arial" w:eastAsia="Arial" w:hAnsi="Arial"/>
          <w:sz w:val="10"/>
          <w:szCs w:val="10"/>
          <w:color w:val="auto"/>
        </w:rPr>
        <w:t>®</w:t>
      </w:r>
      <w:r>
        <w:rPr>
          <w:rFonts w:ascii="Arial" w:cs="Arial" w:eastAsia="Arial" w:hAnsi="Arial"/>
          <w:sz w:val="12"/>
          <w:szCs w:val="12"/>
          <w:color w:val="auto"/>
        </w:rPr>
        <w:t xml:space="preserve"> service vehicles. Upon consumption of the fuel, the gain or loss is reclassified to cost of sales. Included in the AOCI balance at September 30, 2010 was a pre-tax gain of $0.1 million related to fuel derivatives that is expected to be reclassified to earnings during the next 12 months, consistent with the timing of the underlying hedged transactions.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September 30, 2010, the Company had the following outstanding commodity contracts that were entered into to hedge forecasted purchases: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Commodity</w:t>
            </w:r>
          </w:p>
        </w:tc>
        <w:tc>
          <w:tcPr>
            <w:tcW w:w="55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Volume</w:t>
            </w:r>
          </w:p>
        </w:tc>
        <w:tc>
          <w:tcPr>
            <w:tcW w:w="800" w:type="dxa"/>
            <w:vAlign w:val="bottom"/>
          </w:tcPr>
          <w:p>
            <w:pPr>
              <w:spacing w:after="0"/>
              <w:rPr>
                <w:sz w:val="10"/>
                <w:szCs w:val="10"/>
                <w:color w:val="auto"/>
              </w:rPr>
            </w:pPr>
          </w:p>
        </w:tc>
      </w:tr>
      <w:tr>
        <w:trPr>
          <w:trHeight w:val="178"/>
        </w:trPr>
        <w:tc>
          <w:tcPr>
            <w:tcW w:w="68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Arial" w:cs="Arial" w:eastAsia="Arial" w:hAnsi="Arial"/>
                <w:sz w:val="13"/>
                <w:szCs w:val="13"/>
                <w:color w:val="auto"/>
              </w:rPr>
              <w:t>Urea</w:t>
            </w:r>
          </w:p>
        </w:tc>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62,000 tons</w:t>
            </w:r>
          </w:p>
        </w:tc>
        <w:tc>
          <w:tcPr>
            <w:tcW w:w="800" w:type="dxa"/>
            <w:vAlign w:val="bottom"/>
          </w:tcPr>
          <w:p>
            <w:pPr>
              <w:spacing w:after="0"/>
              <w:rPr>
                <w:sz w:val="15"/>
                <w:szCs w:val="15"/>
                <w:color w:val="auto"/>
              </w:rPr>
            </w:pPr>
          </w:p>
        </w:tc>
      </w:tr>
      <w:tr>
        <w:trPr>
          <w:trHeight w:val="165"/>
        </w:trPr>
        <w:tc>
          <w:tcPr>
            <w:tcW w:w="68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3"/>
                <w:szCs w:val="13"/>
                <w:color w:val="auto"/>
              </w:rPr>
              <w:t>Diesel</w:t>
            </w:r>
          </w:p>
        </w:tc>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420,000 gallons</w:t>
            </w:r>
          </w:p>
        </w:tc>
        <w:tc>
          <w:tcPr>
            <w:tcW w:w="80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580" w:type="dxa"/>
            <w:vAlign w:val="bottom"/>
          </w:tcPr>
          <w:p>
            <w:pPr>
              <w:jc w:val="right"/>
              <w:ind w:right="3134"/>
              <w:spacing w:after="0"/>
              <w:rPr>
                <w:sz w:val="20"/>
                <w:szCs w:val="20"/>
                <w:color w:val="auto"/>
              </w:rPr>
            </w:pPr>
            <w:r>
              <w:rPr>
                <w:rFonts w:ascii="Arial" w:cs="Arial" w:eastAsia="Arial" w:hAnsi="Arial"/>
                <w:sz w:val="13"/>
                <w:szCs w:val="13"/>
                <w:color w:val="auto"/>
              </w:rPr>
              <w:t>102</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55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Fair Values of Derivative Instruments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values of the Company’s derivative instruments were as follows for the fiscal years ended September 30,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Derivatives Designated as</w:t>
            </w:r>
          </w:p>
        </w:tc>
        <w:tc>
          <w:tcPr>
            <w:tcW w:w="16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Assets/(Liabilities)</w:t>
            </w:r>
          </w:p>
        </w:tc>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700" w:type="dxa"/>
            <w:vAlign w:val="bottom"/>
            <w:gridSpan w:val="2"/>
            <w:vMerge w:val="continue"/>
          </w:tcPr>
          <w:p>
            <w:pPr>
              <w:spacing w:after="0"/>
              <w:rPr>
                <w:sz w:val="7"/>
                <w:szCs w:val="7"/>
                <w:color w:val="auto"/>
              </w:rPr>
            </w:pPr>
          </w:p>
        </w:tc>
        <w:tc>
          <w:tcPr>
            <w:tcW w:w="1680" w:type="dxa"/>
            <w:vAlign w:val="bottom"/>
            <w:vMerge w:val="restart"/>
          </w:tcPr>
          <w:p>
            <w:pPr>
              <w:ind w:left="640"/>
              <w:spacing w:after="0"/>
              <w:rPr>
                <w:sz w:val="20"/>
                <w:szCs w:val="20"/>
                <w:color w:val="auto"/>
              </w:rPr>
            </w:pPr>
            <w:r>
              <w:rPr>
                <w:rFonts w:ascii="Arial" w:cs="Arial" w:eastAsia="Arial" w:hAnsi="Arial"/>
                <w:sz w:val="10"/>
                <w:szCs w:val="10"/>
                <w:b w:val="1"/>
                <w:bCs w:val="1"/>
                <w:color w:val="auto"/>
                <w:w w:val="90"/>
              </w:rPr>
              <w:t>Balance Sheet Location</w:t>
            </w:r>
          </w:p>
        </w:tc>
        <w:tc>
          <w:tcPr>
            <w:tcW w:w="1520" w:type="dxa"/>
            <w:vAlign w:val="bottom"/>
            <w:gridSpan w:val="3"/>
          </w:tcPr>
          <w:p>
            <w:pPr>
              <w:jc w:val="right"/>
              <w:ind w:right="128"/>
              <w:spacing w:after="0" w:line="81" w:lineRule="exact"/>
              <w:rPr>
                <w:sz w:val="20"/>
                <w:szCs w:val="20"/>
                <w:color w:val="auto"/>
              </w:rPr>
            </w:pPr>
            <w:r>
              <w:rPr>
                <w:rFonts w:ascii="Arial" w:cs="Arial" w:eastAsia="Arial" w:hAnsi="Arial"/>
                <w:sz w:val="9"/>
                <w:szCs w:val="9"/>
                <w:b w:val="1"/>
                <w:bCs w:val="1"/>
                <w:color w:val="auto"/>
              </w:rPr>
              <w:t>2010</w:t>
            </w:r>
          </w:p>
        </w:tc>
        <w:tc>
          <w:tcPr>
            <w:tcW w:w="980" w:type="dxa"/>
            <w:vAlign w:val="bottom"/>
            <w:gridSpan w:val="2"/>
          </w:tcPr>
          <w:p>
            <w:pPr>
              <w:jc w:val="right"/>
              <w:ind w:right="128"/>
              <w:spacing w:after="0" w:line="81" w:lineRule="exact"/>
              <w:rPr>
                <w:sz w:val="20"/>
                <w:szCs w:val="20"/>
                <w:color w:val="auto"/>
              </w:rPr>
            </w:pPr>
            <w:r>
              <w:rPr>
                <w:rFonts w:ascii="Arial" w:cs="Arial" w:eastAsia="Arial" w:hAnsi="Arial"/>
                <w:sz w:val="9"/>
                <w:szCs w:val="9"/>
                <w:b w:val="1"/>
                <w:bCs w:val="1"/>
                <w:color w:val="auto"/>
              </w:rPr>
              <w:t>2009</w:t>
            </w:r>
          </w:p>
        </w:tc>
        <w:tc>
          <w:tcPr>
            <w:tcW w:w="0" w:type="dxa"/>
            <w:vAlign w:val="bottom"/>
          </w:tcPr>
          <w:p>
            <w:pPr>
              <w:spacing w:after="0"/>
              <w:rPr>
                <w:sz w:val="1"/>
                <w:szCs w:val="1"/>
                <w:color w:val="auto"/>
              </w:rPr>
            </w:pPr>
          </w:p>
        </w:tc>
      </w:tr>
      <w:tr>
        <w:trPr>
          <w:trHeight w:val="125"/>
        </w:trPr>
        <w:tc>
          <w:tcPr>
            <w:tcW w:w="5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Hedging Instruments</w:t>
            </w:r>
          </w:p>
        </w:tc>
        <w:tc>
          <w:tcPr>
            <w:tcW w:w="100" w:type="dxa"/>
            <w:vAlign w:val="bottom"/>
          </w:tcPr>
          <w:p>
            <w:pPr>
              <w:spacing w:after="0"/>
              <w:rPr>
                <w:sz w:val="10"/>
                <w:szCs w:val="10"/>
                <w:color w:val="auto"/>
              </w:rPr>
            </w:pPr>
          </w:p>
        </w:tc>
        <w:tc>
          <w:tcPr>
            <w:tcW w:w="168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Fair Value</w:t>
            </w:r>
          </w:p>
        </w:tc>
        <w:tc>
          <w:tcPr>
            <w:tcW w:w="40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rate swap agreements</w:t>
            </w:r>
          </w:p>
        </w:tc>
        <w:tc>
          <w:tcPr>
            <w:tcW w:w="2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current liabilities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720" w:type="dxa"/>
            <w:vAlign w:val="bottom"/>
          </w:tcPr>
          <w:p>
            <w:pPr>
              <w:ind w:left="100"/>
              <w:spacing w:after="0"/>
              <w:rPr>
                <w:sz w:val="20"/>
                <w:szCs w:val="20"/>
                <w:color w:val="auto"/>
              </w:rPr>
            </w:pPr>
            <w:r>
              <w:rPr>
                <w:rFonts w:ascii="Arial" w:cs="Arial" w:eastAsia="Arial" w:hAnsi="Arial"/>
                <w:sz w:val="13"/>
                <w:szCs w:val="13"/>
                <w:color w:val="auto"/>
              </w:rPr>
              <w:t>Other liabilities</w:t>
            </w:r>
          </w:p>
        </w:tc>
        <w:tc>
          <w:tcPr>
            <w:tcW w:w="18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(12.5)</w:t>
            </w:r>
          </w:p>
        </w:tc>
        <w:tc>
          <w:tcPr>
            <w:tcW w:w="1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Commodity hedging instruments</w:t>
            </w:r>
          </w:p>
        </w:tc>
        <w:tc>
          <w:tcPr>
            <w:tcW w:w="2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Prepaid and other assets</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3"/>
                <w:szCs w:val="13"/>
                <w:color w:val="auto"/>
              </w:rPr>
              <w:t>Total derivatives designated as hedging instruments</w:t>
            </w:r>
          </w:p>
        </w:tc>
        <w:tc>
          <w:tcPr>
            <w:tcW w:w="2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gridSpan w:val="2"/>
            <w:vMerge w:val="continue"/>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(22.7)</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67"/>
        </w:trPr>
        <w:tc>
          <w:tcPr>
            <w:tcW w:w="13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5600" w:type="dxa"/>
            <w:vAlign w:val="bottom"/>
            <w:gridSpan w:val="2"/>
          </w:tcPr>
          <w:p>
            <w:pPr>
              <w:spacing w:after="0"/>
              <w:rPr>
                <w:sz w:val="20"/>
                <w:szCs w:val="20"/>
                <w:color w:val="auto"/>
              </w:rPr>
            </w:pPr>
            <w:r>
              <w:rPr>
                <w:rFonts w:ascii="Arial" w:cs="Arial" w:eastAsia="Arial" w:hAnsi="Arial"/>
                <w:sz w:val="10"/>
                <w:szCs w:val="10"/>
                <w:b w:val="1"/>
                <w:bCs w:val="1"/>
                <w:color w:val="auto"/>
              </w:rPr>
              <w:t>Derivatives not Designated as</w:t>
            </w:r>
          </w:p>
        </w:tc>
        <w:tc>
          <w:tcPr>
            <w:tcW w:w="2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Hedging Instruments(1)</w:t>
            </w:r>
          </w:p>
        </w:tc>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currency swap contracts</w:t>
            </w:r>
          </w:p>
        </w:tc>
        <w:tc>
          <w:tcPr>
            <w:tcW w:w="2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current liabilities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(6.6)</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5600" w:type="dxa"/>
            <w:vAlign w:val="bottom"/>
            <w:gridSpan w:val="2"/>
          </w:tcPr>
          <w:p>
            <w:pPr>
              <w:spacing w:after="0"/>
              <w:rPr>
                <w:sz w:val="20"/>
                <w:szCs w:val="20"/>
                <w:color w:val="auto"/>
              </w:rPr>
            </w:pPr>
            <w:r>
              <w:rPr>
                <w:rFonts w:ascii="Arial" w:cs="Arial" w:eastAsia="Arial" w:hAnsi="Arial"/>
                <w:sz w:val="13"/>
                <w:szCs w:val="13"/>
                <w:color w:val="auto"/>
              </w:rPr>
              <w:t>Commodity hedging instruments</w:t>
            </w:r>
          </w:p>
        </w:tc>
        <w:tc>
          <w:tcPr>
            <w:tcW w:w="2720" w:type="dxa"/>
            <w:vAlign w:val="bottom"/>
          </w:tcPr>
          <w:p>
            <w:pPr>
              <w:ind w:left="100"/>
              <w:spacing w:after="0"/>
              <w:rPr>
                <w:sz w:val="20"/>
                <w:szCs w:val="20"/>
                <w:color w:val="auto"/>
              </w:rPr>
            </w:pPr>
            <w:r>
              <w:rPr>
                <w:rFonts w:ascii="Arial" w:cs="Arial" w:eastAsia="Arial" w:hAnsi="Arial"/>
                <w:sz w:val="13"/>
                <w:szCs w:val="13"/>
                <w:color w:val="auto"/>
              </w:rPr>
              <w:t>Prepaid and other assets</w:t>
            </w:r>
          </w:p>
        </w:tc>
        <w:tc>
          <w:tcPr>
            <w:tcW w:w="1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2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current liabilities</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3"/>
                <w:szCs w:val="13"/>
                <w:color w:val="auto"/>
              </w:rPr>
              <w:t>Total derivatives not designated as hedging instruments(1)</w:t>
            </w:r>
          </w:p>
        </w:tc>
        <w:tc>
          <w:tcPr>
            <w:tcW w:w="2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gridSpan w:val="2"/>
            <w:vMerge w:val="continue"/>
          </w:tcPr>
          <w:p>
            <w:pPr>
              <w:spacing w:after="0"/>
              <w:rPr>
                <w:sz w:val="13"/>
                <w:szCs w:val="13"/>
                <w:color w:val="auto"/>
              </w:rPr>
            </w:pPr>
          </w:p>
        </w:tc>
        <w:tc>
          <w:tcPr>
            <w:tcW w:w="272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(6.6)</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derivatives</w:t>
            </w:r>
          </w:p>
        </w:tc>
        <w:tc>
          <w:tcPr>
            <w:tcW w:w="27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(29.3)</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920" w:hanging="259"/>
        <w:spacing w:after="0" w:line="276" w:lineRule="auto"/>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See discussion above for additional information regarding the Company’s purpose for entering into derivatives not designated as hedging instruments and its overall risk management strategy.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16. FAIR VALUE MEASUREMENTS” for the Company’s fair value measurements of derivative instruments as they relate to the valuation hierarchy.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effect of derivative instruments on AOCI and the Consolidated Statements of Operations for the years ended September 30, 2010 and 2009 was as follows (in millions):</w:t>
      </w:r>
    </w:p>
    <w:p>
      <w:pPr>
        <w:spacing w:after="0" w:line="98" w:lineRule="exact"/>
        <w:rPr>
          <w:sz w:val="20"/>
          <w:szCs w:val="20"/>
          <w:color w:val="auto"/>
        </w:rPr>
      </w:pPr>
    </w:p>
    <w:p>
      <w:pPr>
        <w:jc w:val="center"/>
        <w:ind w:left="7680"/>
        <w:spacing w:after="0"/>
        <w:rPr>
          <w:sz w:val="20"/>
          <w:szCs w:val="20"/>
          <w:color w:val="auto"/>
        </w:rPr>
      </w:pPr>
      <w:r>
        <w:rPr>
          <w:rFonts w:ascii="Arial" w:cs="Arial" w:eastAsia="Arial" w:hAnsi="Arial"/>
          <w:sz w:val="10"/>
          <w:szCs w:val="10"/>
          <w:b w:val="1"/>
          <w:bCs w:val="1"/>
          <w:color w:val="auto"/>
        </w:rPr>
        <w:t>Amount of Gain/(Loss)</w:t>
      </w:r>
    </w:p>
    <w:p>
      <w:pPr>
        <w:spacing w:after="0" w:line="3" w:lineRule="exact"/>
        <w:rPr>
          <w:sz w:val="20"/>
          <w:szCs w:val="20"/>
          <w:color w:val="auto"/>
        </w:rPr>
      </w:pPr>
    </w:p>
    <w:p>
      <w:pPr>
        <w:jc w:val="center"/>
        <w:ind w:left="7680"/>
        <w:spacing w:after="0"/>
        <w:rPr>
          <w:sz w:val="20"/>
          <w:szCs w:val="20"/>
          <w:color w:val="auto"/>
        </w:rPr>
      </w:pPr>
      <w:r>
        <w:rPr>
          <w:rFonts w:ascii="Arial" w:cs="Arial" w:eastAsia="Arial" w:hAnsi="Arial"/>
          <w:sz w:val="10"/>
          <w:szCs w:val="10"/>
          <w:b w:val="1"/>
          <w:bCs w:val="1"/>
          <w:color w:val="auto"/>
        </w:rPr>
        <w:t>Recognized in AOCI</w:t>
      </w:r>
    </w:p>
    <w:tbl>
      <w:tblPr>
        <w:tblLayout w:type="fixed"/>
        <w:tblInd w:w="680" w:type="dxa"/>
        <w:tblCellMar>
          <w:top w:w="0" w:type="dxa"/>
          <w:left w:w="0" w:type="dxa"/>
          <w:bottom w:w="0" w:type="dxa"/>
          <w:right w:w="0" w:type="dxa"/>
        </w:tblCellMar>
      </w:tblPr>
      <w:tr>
        <w:trPr>
          <w:trHeight w:val="98"/>
        </w:trPr>
        <w:tc>
          <w:tcPr>
            <w:tcW w:w="7700" w:type="dxa"/>
            <w:vAlign w:val="bottom"/>
            <w:vMerge w:val="restart"/>
          </w:tcPr>
          <w:p>
            <w:pPr>
              <w:spacing w:after="0"/>
              <w:rPr>
                <w:sz w:val="20"/>
                <w:szCs w:val="20"/>
                <w:color w:val="auto"/>
              </w:rPr>
            </w:pPr>
            <w:r>
              <w:rPr>
                <w:rFonts w:ascii="Arial" w:cs="Arial" w:eastAsia="Arial" w:hAnsi="Arial"/>
                <w:sz w:val="10"/>
                <w:szCs w:val="10"/>
                <w:b w:val="1"/>
                <w:bCs w:val="1"/>
                <w:color w:val="auto"/>
              </w:rPr>
              <w:t>Derivatives in Cash Flow Hedging Relationships</w:t>
            </w:r>
          </w:p>
        </w:tc>
        <w:tc>
          <w:tcPr>
            <w:tcW w:w="200" w:type="dxa"/>
            <w:vAlign w:val="bottom"/>
            <w:vMerge w:val="restart"/>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480" w:type="dxa"/>
            <w:vAlign w:val="bottom"/>
            <w:tcBorders>
              <w:top w:val="single" w:sz="8" w:color="auto"/>
              <w:bottom w:val="single" w:sz="8" w:color="auto"/>
            </w:tcBorders>
            <w:gridSpan w:val="2"/>
          </w:tcPr>
          <w:p>
            <w:pPr>
              <w:jc w:val="right"/>
              <w:ind w:right="668"/>
              <w:spacing w:after="0" w:line="98" w:lineRule="exact"/>
              <w:rPr>
                <w:sz w:val="20"/>
                <w:szCs w:val="20"/>
                <w:color w:val="auto"/>
              </w:rPr>
            </w:pPr>
            <w:r>
              <w:rPr>
                <w:rFonts w:ascii="Arial" w:cs="Arial" w:eastAsia="Arial" w:hAnsi="Arial"/>
                <w:sz w:val="10"/>
                <w:szCs w:val="10"/>
                <w:b w:val="1"/>
                <w:bCs w:val="1"/>
                <w:color w:val="auto"/>
              </w:rPr>
              <w:t>Year Ended</w:t>
            </w:r>
          </w:p>
        </w:tc>
        <w:tc>
          <w:tcPr>
            <w:tcW w:w="0" w:type="dxa"/>
            <w:vAlign w:val="bottom"/>
          </w:tcPr>
          <w:p>
            <w:pPr>
              <w:spacing w:after="0"/>
              <w:rPr>
                <w:sz w:val="1"/>
                <w:szCs w:val="1"/>
                <w:color w:val="auto"/>
              </w:rPr>
            </w:pPr>
          </w:p>
        </w:tc>
      </w:tr>
      <w:tr>
        <w:trPr>
          <w:trHeight w:val="98"/>
        </w:trPr>
        <w:tc>
          <w:tcPr>
            <w:tcW w:w="77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500" w:type="dxa"/>
            <w:vAlign w:val="bottom"/>
            <w:tcBorders>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2010</w:t>
            </w:r>
          </w:p>
        </w:tc>
        <w:tc>
          <w:tcPr>
            <w:tcW w:w="1000" w:type="dxa"/>
            <w:vAlign w:val="bottom"/>
          </w:tcPr>
          <w:p>
            <w:pPr>
              <w:spacing w:after="0"/>
              <w:rPr>
                <w:sz w:val="8"/>
                <w:szCs w:val="8"/>
                <w:color w:val="auto"/>
              </w:rPr>
            </w:pPr>
          </w:p>
        </w:tc>
        <w:tc>
          <w:tcPr>
            <w:tcW w:w="480" w:type="dxa"/>
            <w:vAlign w:val="bottom"/>
            <w:tcBorders>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2009</w:t>
            </w: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rate swap agreements</w:t>
            </w:r>
          </w:p>
        </w:tc>
        <w:tc>
          <w:tcPr>
            <w:tcW w:w="2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(17.6)</w:t>
            </w:r>
          </w:p>
        </w:tc>
        <w:tc>
          <w:tcPr>
            <w:tcW w:w="3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tcPr>
          <w:p>
            <w:pPr>
              <w:spacing w:after="0"/>
              <w:rPr>
                <w:sz w:val="20"/>
                <w:szCs w:val="20"/>
                <w:color w:val="auto"/>
              </w:rPr>
            </w:pPr>
            <w:r>
              <w:rPr>
                <w:rFonts w:ascii="Arial" w:cs="Arial" w:eastAsia="Arial" w:hAnsi="Arial"/>
                <w:sz w:val="13"/>
                <w:szCs w:val="13"/>
                <w:color w:val="auto"/>
              </w:rPr>
              <w:t>Commodity hedging instruments</w:t>
            </w:r>
          </w:p>
        </w:tc>
        <w:tc>
          <w:tcPr>
            <w:tcW w:w="2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3"/>
                <w:szCs w:val="13"/>
                <w:color w:val="auto"/>
              </w:rPr>
              <w:t>2.8</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(6.7)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(14.8)</w:t>
            </w:r>
          </w:p>
        </w:tc>
        <w:tc>
          <w:tcPr>
            <w:tcW w:w="3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(27.2)</w:t>
            </w:r>
          </w:p>
        </w:tc>
        <w:tc>
          <w:tcPr>
            <w:tcW w:w="800" w:type="dxa"/>
            <w:vAlign w:val="bottom"/>
          </w:tcPr>
          <w:p>
            <w:pPr>
              <w:spacing w:after="0"/>
              <w:rPr>
                <w:sz w:val="13"/>
                <w:szCs w:val="13"/>
                <w:color w:val="auto"/>
              </w:rPr>
            </w:pPr>
          </w:p>
        </w:tc>
      </w:tr>
      <w:tr>
        <w:trPr>
          <w:trHeight w:val="29"/>
        </w:trPr>
        <w:tc>
          <w:tcPr>
            <w:tcW w:w="6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8"/>
        </w:trPr>
        <w:tc>
          <w:tcPr>
            <w:tcW w:w="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tcPr>
          <w:p>
            <w:pPr>
              <w:jc w:val="center"/>
              <w:spacing w:after="0"/>
              <w:rPr>
                <w:sz w:val="20"/>
                <w:szCs w:val="20"/>
                <w:color w:val="auto"/>
              </w:rPr>
            </w:pPr>
            <w:r>
              <w:rPr>
                <w:rFonts w:ascii="Arial" w:cs="Arial" w:eastAsia="Arial" w:hAnsi="Arial"/>
                <w:sz w:val="10"/>
                <w:szCs w:val="10"/>
                <w:b w:val="1"/>
                <w:bCs w:val="1"/>
                <w:color w:val="auto"/>
                <w:w w:val="94"/>
              </w:rPr>
              <w:t>Amount of (Loss)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5"/>
        </w:trPr>
        <w:tc>
          <w:tcPr>
            <w:tcW w:w="6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2"/>
              </w:rPr>
              <w:t>Location of (Loss)</w:t>
            </w:r>
          </w:p>
        </w:tc>
        <w:tc>
          <w:tcPr>
            <w:tcW w:w="2320" w:type="dxa"/>
            <w:vAlign w:val="bottom"/>
            <w:tcBorders>
              <w:bottom w:val="single" w:sz="8" w:color="auto"/>
            </w:tcBorders>
            <w:gridSpan w:val="8"/>
          </w:tcPr>
          <w:p>
            <w:pPr>
              <w:jc w:val="center"/>
              <w:ind w:left="286"/>
              <w:spacing w:after="0"/>
              <w:rPr>
                <w:sz w:val="20"/>
                <w:szCs w:val="20"/>
                <w:color w:val="auto"/>
              </w:rPr>
            </w:pPr>
            <w:r>
              <w:rPr>
                <w:rFonts w:ascii="Arial" w:cs="Arial" w:eastAsia="Arial" w:hAnsi="Arial"/>
                <w:sz w:val="10"/>
                <w:szCs w:val="10"/>
                <w:b w:val="1"/>
                <w:bCs w:val="1"/>
                <w:color w:val="auto"/>
                <w:w w:val="96"/>
              </w:rPr>
              <w:t>Reclassified From AOCI Into Earnings</w:t>
            </w: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00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Derivatives in Cash Flow</w:t>
            </w:r>
          </w:p>
        </w:tc>
        <w:tc>
          <w:tcPr>
            <w:tcW w:w="3220" w:type="dxa"/>
            <w:vAlign w:val="bottom"/>
            <w:gridSpan w:val="2"/>
          </w:tcPr>
          <w:p>
            <w:pPr>
              <w:jc w:val="center"/>
              <w:ind w:right="300"/>
              <w:spacing w:after="0" w:line="98" w:lineRule="exact"/>
              <w:rPr>
                <w:sz w:val="20"/>
                <w:szCs w:val="20"/>
                <w:color w:val="auto"/>
              </w:rPr>
            </w:pPr>
            <w:r>
              <w:rPr>
                <w:rFonts w:ascii="Arial" w:cs="Arial" w:eastAsia="Arial" w:hAnsi="Arial"/>
                <w:sz w:val="10"/>
                <w:szCs w:val="10"/>
                <w:b w:val="1"/>
                <w:bCs w:val="1"/>
                <w:color w:val="auto"/>
                <w:w w:val="97"/>
              </w:rPr>
              <w:t>Reclassified From AOCI Into Earnings</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4"/>
          </w:tcPr>
          <w:p>
            <w:pPr>
              <w:jc w:val="center"/>
              <w:spacing w:after="0" w:line="98" w:lineRule="exact"/>
              <w:rPr>
                <w:sz w:val="20"/>
                <w:szCs w:val="20"/>
                <w:color w:val="auto"/>
              </w:rPr>
            </w:pPr>
            <w:r>
              <w:rPr>
                <w:rFonts w:ascii="Arial" w:cs="Arial" w:eastAsia="Arial" w:hAnsi="Arial"/>
                <w:sz w:val="10"/>
                <w:szCs w:val="10"/>
                <w:b w:val="1"/>
                <w:bCs w:val="1"/>
                <w:color w:val="auto"/>
                <w:w w:val="98"/>
              </w:rPr>
              <w:t>Year Ended</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8"/>
        </w:trPr>
        <w:tc>
          <w:tcPr>
            <w:tcW w:w="680" w:type="dxa"/>
            <w:vAlign w:val="bottom"/>
          </w:tcPr>
          <w:p>
            <w:pPr>
              <w:spacing w:after="0"/>
              <w:rPr>
                <w:sz w:val="8"/>
                <w:szCs w:val="8"/>
                <w:color w:val="auto"/>
              </w:rPr>
            </w:pPr>
          </w:p>
        </w:tc>
        <w:tc>
          <w:tcPr>
            <w:tcW w:w="400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Hedging Relationships</w:t>
            </w:r>
          </w:p>
        </w:tc>
        <w:tc>
          <w:tcPr>
            <w:tcW w:w="29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2009</w:t>
            </w: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rate swap agreements</w:t>
            </w:r>
          </w:p>
        </w:tc>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680" w:type="dxa"/>
            <w:vAlign w:val="bottom"/>
            <w:shd w:val="clear" w:color="auto" w:fill="CCEEFF"/>
          </w:tcPr>
          <w:p>
            <w:pPr>
              <w:jc w:val="right"/>
              <w:ind w:right="566"/>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4"/>
              </w:rPr>
              <w:t>(17.1)</w:t>
            </w: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tcPr>
          <w:p>
            <w:pPr>
              <w:spacing w:after="0"/>
              <w:rPr>
                <w:sz w:val="20"/>
                <w:szCs w:val="20"/>
                <w:color w:val="auto"/>
              </w:rPr>
            </w:pPr>
            <w:r>
              <w:rPr>
                <w:rFonts w:ascii="Arial" w:cs="Arial" w:eastAsia="Arial" w:hAnsi="Arial"/>
                <w:sz w:val="13"/>
                <w:szCs w:val="13"/>
                <w:color w:val="auto"/>
              </w:rPr>
              <w:t>Commodity hedging instruments</w:t>
            </w:r>
          </w:p>
        </w:tc>
        <w:tc>
          <w:tcPr>
            <w:tcW w:w="3220" w:type="dxa"/>
            <w:vAlign w:val="bottom"/>
            <w:gridSpan w:val="2"/>
          </w:tcPr>
          <w:p>
            <w:pPr>
              <w:spacing w:after="0"/>
              <w:rPr>
                <w:sz w:val="20"/>
                <w:szCs w:val="20"/>
                <w:color w:val="auto"/>
              </w:rPr>
            </w:pPr>
            <w:r>
              <w:rPr>
                <w:rFonts w:ascii="Arial" w:cs="Arial" w:eastAsia="Arial" w:hAnsi="Arial"/>
                <w:sz w:val="13"/>
                <w:szCs w:val="13"/>
                <w:color w:val="auto"/>
              </w:rPr>
              <w:t>Cost of sales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(2.3)</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(8.0)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66"/>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4"/>
              </w:rPr>
              <w:t>(19.4)</w:t>
            </w: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(24.1)</w:t>
            </w:r>
          </w:p>
        </w:tc>
        <w:tc>
          <w:tcPr>
            <w:tcW w:w="800" w:type="dxa"/>
            <w:vAlign w:val="bottom"/>
          </w:tcPr>
          <w:p>
            <w:pPr>
              <w:spacing w:after="0"/>
              <w:rPr>
                <w:sz w:val="14"/>
                <w:szCs w:val="14"/>
                <w:color w:val="auto"/>
              </w:rPr>
            </w:pPr>
          </w:p>
        </w:tc>
      </w:tr>
      <w:tr>
        <w:trPr>
          <w:trHeight w:val="539"/>
        </w:trPr>
        <w:tc>
          <w:tcPr>
            <w:tcW w:w="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jc w:val="right"/>
              <w:ind w:right="1740"/>
              <w:spacing w:after="0"/>
              <w:rPr>
                <w:sz w:val="20"/>
                <w:szCs w:val="20"/>
                <w:color w:val="auto"/>
              </w:rPr>
            </w:pPr>
            <w:r>
              <w:rPr>
                <w:rFonts w:ascii="Arial" w:cs="Arial" w:eastAsia="Arial" w:hAnsi="Arial"/>
                <w:sz w:val="13"/>
                <w:szCs w:val="13"/>
                <w:color w:val="auto"/>
              </w:rPr>
              <w:t>103</w:t>
            </w: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9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0"/>
                <w:szCs w:val="10"/>
                <w:b w:val="1"/>
                <w:bCs w:val="1"/>
                <w:color w:val="auto"/>
                <w:w w:val="94"/>
              </w:rPr>
              <w:t>Amount of (Loss)</w:t>
            </w:r>
          </w:p>
        </w:tc>
      </w:tr>
      <w:tr>
        <w:trPr>
          <w:trHeight w:val="125"/>
        </w:trPr>
        <w:tc>
          <w:tcPr>
            <w:tcW w:w="6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Location of (Loss)</w:t>
            </w:r>
          </w:p>
        </w:tc>
        <w:tc>
          <w:tcPr>
            <w:tcW w:w="17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3"/>
              </w:rPr>
              <w:t>Recognized in Earnings</w:t>
            </w:r>
          </w:p>
        </w:tc>
      </w:tr>
      <w:tr>
        <w:trPr>
          <w:trHeight w:val="98"/>
        </w:trPr>
        <w:tc>
          <w:tcPr>
            <w:tcW w:w="630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Derivatives not Designated As</w:t>
            </w:r>
          </w:p>
        </w:tc>
        <w:tc>
          <w:tcPr>
            <w:tcW w:w="1900" w:type="dxa"/>
            <w:vAlign w:val="bottom"/>
            <w:gridSpan w:val="2"/>
          </w:tcPr>
          <w:p>
            <w:pPr>
              <w:jc w:val="center"/>
              <w:ind w:right="280"/>
              <w:spacing w:after="0" w:line="98" w:lineRule="exact"/>
              <w:rPr>
                <w:sz w:val="20"/>
                <w:szCs w:val="20"/>
                <w:color w:val="auto"/>
              </w:rPr>
            </w:pPr>
            <w:r>
              <w:rPr>
                <w:rFonts w:ascii="Arial" w:cs="Arial" w:eastAsia="Arial" w:hAnsi="Arial"/>
                <w:sz w:val="10"/>
                <w:szCs w:val="10"/>
                <w:b w:val="1"/>
                <w:bCs w:val="1"/>
                <w:color w:val="auto"/>
                <w:w w:val="92"/>
              </w:rPr>
              <w:t>Recognized in Income</w:t>
            </w:r>
          </w:p>
        </w:tc>
        <w:tc>
          <w:tcPr>
            <w:tcW w:w="4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2"/>
          </w:tcPr>
          <w:p>
            <w:pPr>
              <w:jc w:val="center"/>
              <w:ind w:right="440"/>
              <w:spacing w:after="0" w:line="98" w:lineRule="exact"/>
              <w:rPr>
                <w:sz w:val="20"/>
                <w:szCs w:val="20"/>
                <w:color w:val="auto"/>
              </w:rPr>
            </w:pPr>
            <w:r>
              <w:rPr>
                <w:rFonts w:ascii="Arial" w:cs="Arial" w:eastAsia="Arial" w:hAnsi="Arial"/>
                <w:sz w:val="10"/>
                <w:szCs w:val="10"/>
                <w:b w:val="1"/>
                <w:bCs w:val="1"/>
                <w:color w:val="auto"/>
                <w:w w:val="94"/>
              </w:rPr>
              <w:t>Year Ended</w:t>
            </w:r>
          </w:p>
        </w:tc>
        <w:tc>
          <w:tcPr>
            <w:tcW w:w="100" w:type="dxa"/>
            <w:vAlign w:val="bottom"/>
          </w:tcPr>
          <w:p>
            <w:pPr>
              <w:spacing w:after="0"/>
              <w:rPr>
                <w:sz w:val="8"/>
                <w:szCs w:val="8"/>
                <w:color w:val="auto"/>
              </w:rPr>
            </w:pPr>
          </w:p>
        </w:tc>
      </w:tr>
      <w:tr>
        <w:trPr>
          <w:trHeight w:val="98"/>
        </w:trPr>
        <w:tc>
          <w:tcPr>
            <w:tcW w:w="630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Hedging Instruments</w:t>
            </w:r>
          </w:p>
        </w:tc>
        <w:tc>
          <w:tcPr>
            <w:tcW w:w="16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top w:val="single" w:sz="8" w:color="auto"/>
            </w:tcBorders>
          </w:tcPr>
          <w:p>
            <w:pPr>
              <w:jc w:val="right"/>
              <w:ind w:right="40"/>
              <w:spacing w:after="0" w:line="98" w:lineRule="exact"/>
              <w:rPr>
                <w:sz w:val="20"/>
                <w:szCs w:val="20"/>
                <w:color w:val="auto"/>
              </w:rPr>
            </w:pPr>
            <w:r>
              <w:rPr>
                <w:rFonts w:ascii="Arial" w:cs="Arial" w:eastAsia="Arial" w:hAnsi="Arial"/>
                <w:sz w:val="10"/>
                <w:szCs w:val="10"/>
                <w:b w:val="1"/>
                <w:bCs w:val="1"/>
                <w:color w:val="auto"/>
              </w:rPr>
              <w:t>2010</w:t>
            </w:r>
          </w:p>
        </w:tc>
        <w:tc>
          <w:tcPr>
            <w:tcW w:w="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29"/>
        </w:trPr>
        <w:tc>
          <w:tcPr>
            <w:tcW w:w="6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currency swap contracts</w:t>
            </w:r>
          </w:p>
        </w:tc>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 (14.4)</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 (10.2)</w:t>
            </w:r>
          </w:p>
        </w:tc>
      </w:tr>
      <w:tr>
        <w:trPr>
          <w:trHeight w:val="157"/>
        </w:trPr>
        <w:tc>
          <w:tcPr>
            <w:tcW w:w="6300" w:type="dxa"/>
            <w:vAlign w:val="bottom"/>
            <w:gridSpan w:val="2"/>
          </w:tcPr>
          <w:p>
            <w:pPr>
              <w:spacing w:after="0"/>
              <w:rPr>
                <w:sz w:val="20"/>
                <w:szCs w:val="20"/>
                <w:color w:val="auto"/>
              </w:rPr>
            </w:pPr>
            <w:r>
              <w:rPr>
                <w:rFonts w:ascii="Arial" w:cs="Arial" w:eastAsia="Arial" w:hAnsi="Arial"/>
                <w:sz w:val="13"/>
                <w:szCs w:val="13"/>
                <w:color w:val="auto"/>
              </w:rPr>
              <w:t>Commodity hedging instruments</w:t>
            </w:r>
          </w:p>
        </w:tc>
        <w:tc>
          <w:tcPr>
            <w:tcW w:w="1900" w:type="dxa"/>
            <w:vAlign w:val="bottom"/>
            <w:gridSpan w:val="2"/>
          </w:tcPr>
          <w:p>
            <w:pPr>
              <w:spacing w:after="0"/>
              <w:rPr>
                <w:sz w:val="20"/>
                <w:szCs w:val="20"/>
                <w:color w:val="auto"/>
              </w:rPr>
            </w:pPr>
            <w:r>
              <w:rPr>
                <w:rFonts w:ascii="Arial" w:cs="Arial" w:eastAsia="Arial" w:hAnsi="Arial"/>
                <w:sz w:val="13"/>
                <w:szCs w:val="13"/>
                <w:color w:val="auto"/>
              </w:rPr>
              <w:t>Cost of sales</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(0.7)</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color w:val="auto"/>
              </w:rPr>
              <w:t>(0.7)</w:t>
            </w: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 (15.1)</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 (10.9)</w:t>
            </w:r>
          </w:p>
        </w:tc>
      </w:tr>
      <w:tr>
        <w:trPr>
          <w:trHeight w:val="29"/>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16.</w:t>
      </w:r>
      <w:r>
        <w:rPr>
          <w:sz w:val="20"/>
          <w:szCs w:val="20"/>
          <w:color w:val="auto"/>
        </w:rPr>
        <w:tab/>
      </w: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Company adopted new accounting guidance for all financial assets and liabilities accounted for at fair value on a recurring basis effective October 1, 2008. The Company adopted new accounting guidance for all non-financial assets and liabilities accounted for at fair value on a non-recurring basis effective October 1, 2009. The guidance defines fair value, establishes a framework for measuring fair value, and expands disclosures about fair value measurements. It defines fair value as the exchange price that would be received for an asset or paid to transfer a liability (an exit price) in the principal or the most advantageous market for the asset or liability in an orderly transaction between market participants at the measurement date. GAAP establishes a three-level fair value hierarchy that prioritizes the inputs used to measure fair value. The hierarchy requires entities to maximize the use of observable inputs and minimize the use of unobservable inputs. The three levels of inputs used to measure fair value are as follows: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Quoted prices in active markets for identical assets or liabilities.</w:t>
      </w:r>
    </w:p>
    <w:p>
      <w:pPr>
        <w:spacing w:after="0" w:line="96" w:lineRule="exact"/>
        <w:rPr>
          <w:sz w:val="20"/>
          <w:szCs w:val="20"/>
          <w:color w:val="auto"/>
        </w:rPr>
      </w:pPr>
    </w:p>
    <w:p>
      <w:pPr>
        <w:ind w:left="1080" w:right="200" w:firstLine="383"/>
        <w:spacing w:after="0" w:line="276"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 Observable inputs other than quoted prices included in Level 1, such as quoted prices for similar assets and liabilities in active markets; quoted prices for similar</w:t>
      </w:r>
      <w:r>
        <w:rPr>
          <w:rFonts w:ascii="Arial" w:cs="Arial" w:eastAsia="Arial" w:hAnsi="Arial"/>
          <w:sz w:val="13"/>
          <w:szCs w:val="13"/>
          <w:i w:val="1"/>
          <w:iCs w:val="1"/>
          <w:color w:val="auto"/>
        </w:rPr>
        <w:t xml:space="preserve"> </w:t>
      </w:r>
      <w:r>
        <w:rPr>
          <w:rFonts w:ascii="Arial" w:cs="Arial" w:eastAsia="Arial" w:hAnsi="Arial"/>
          <w:sz w:val="13"/>
          <w:szCs w:val="13"/>
          <w:color w:val="auto"/>
        </w:rPr>
        <w:t>assets and liabilities in markets that are not active; or other inputs that are observable or can be corroborated by observable market data.</w:t>
      </w:r>
    </w:p>
    <w:p>
      <w:pPr>
        <w:spacing w:after="0" w:line="59" w:lineRule="exact"/>
        <w:rPr>
          <w:sz w:val="20"/>
          <w:szCs w:val="20"/>
          <w:color w:val="auto"/>
        </w:rPr>
      </w:pPr>
    </w:p>
    <w:p>
      <w:pPr>
        <w:ind w:left="1080" w:right="400" w:firstLine="383"/>
        <w:spacing w:after="0" w:line="276" w:lineRule="auto"/>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Unobservable inputs that are supported by little or no market activity and that are significant to the fair value of the assets or liabilities. This includes pricing</w:t>
      </w:r>
      <w:r>
        <w:rPr>
          <w:rFonts w:ascii="Arial" w:cs="Arial" w:eastAsia="Arial" w:hAnsi="Arial"/>
          <w:sz w:val="13"/>
          <w:szCs w:val="13"/>
          <w:i w:val="1"/>
          <w:iCs w:val="1"/>
          <w:color w:val="auto"/>
        </w:rPr>
        <w:t xml:space="preserve"> </w:t>
      </w:r>
      <w:r>
        <w:rPr>
          <w:rFonts w:ascii="Arial" w:cs="Arial" w:eastAsia="Arial" w:hAnsi="Arial"/>
          <w:sz w:val="13"/>
          <w:szCs w:val="13"/>
          <w:color w:val="auto"/>
        </w:rPr>
        <w:t>models, discounted cash flow methodologies and similar techniques that use significant unobservable inputs.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describes the valuation methodologies used for financial assets and liabilities measured at fair value, as well as the general classification within the valuation hierarchy.</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Derivatives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Derivatives consist of foreign currency, interest rate and commodity derivative instruments. The Company uses foreign currency swap contracts to manage the exchange rate risk associated with intercompany loans with foreign subsidiaries that are denominated in U.S. dollars. These contracts are valued using observable forward rates in commonly quoted intervals for the full term of the contracts.</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Interest rate derivatives consist of interest rate swap agreements. The Company enters into interest rate swap agreements as a means to hedge its variable interest rate exposure on debt instruments. The fair value of the swap agreements is determined based on the present value of the estimated future net cash flows using implied rates in the applicable yield curve as of the valuation date.</w:t>
      </w:r>
    </w:p>
    <w:p>
      <w:pPr>
        <w:spacing w:after="0" w:line="67" w:lineRule="exact"/>
        <w:rPr>
          <w:sz w:val="20"/>
          <w:szCs w:val="20"/>
          <w:color w:val="auto"/>
        </w:rPr>
      </w:pPr>
    </w:p>
    <w:p>
      <w:pPr>
        <w:ind w:left="680" w:right="480" w:firstLine="399"/>
        <w:spacing w:after="0" w:line="320" w:lineRule="auto"/>
        <w:rPr>
          <w:sz w:val="20"/>
          <w:szCs w:val="20"/>
          <w:color w:val="auto"/>
        </w:rPr>
      </w:pPr>
      <w:r>
        <w:rPr>
          <w:rFonts w:ascii="Arial" w:cs="Arial" w:eastAsia="Arial" w:hAnsi="Arial"/>
          <w:sz w:val="12"/>
          <w:szCs w:val="12"/>
          <w:color w:val="auto"/>
        </w:rPr>
        <w:t>The Company has hedging arrangements designed to fix the price of a portion of its urea and fuel needs. The objective of the hedges is to mitigate the earnings and cash flow volatility attributable to the risk of changing prices. These contracts are measured using observable commodity exchange prices in active markets.</w:t>
      </w:r>
    </w:p>
    <w:p>
      <w:pPr>
        <w:spacing w:after="0" w:line="35"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These derivative instruments are classified within Level 2 of the valuation hierarchy and are included within other assets and other liabilities in our Consolidated Balance Sheets, except for derivative instruments expected to be settled within the next 12 months, which are included within prepaid and other assets and other current liabilities.</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further information on the Company’s derivative instruments, refer to “NOTE 15. DERIVATIVE INSTRUMENTS AND HEDGING ACTIVITIES.”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Other</w:t>
      </w:r>
    </w:p>
    <w:p>
      <w:pPr>
        <w:spacing w:after="0" w:line="96"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Other financial assets consist of investment securities in non-qualified retirement plan assets. These securities are valued using observable market prices in active markets. These investment securities are classified within Level 1 of the valuation hierarchy and are included within other assets in our Consolidated Balance Sheets.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Company’s financial assets and liabilities measured at fair value on a recurring basis at September 30, 2010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540" w:type="dxa"/>
            <w:vAlign w:val="bottom"/>
          </w:tcPr>
          <w:p>
            <w:pPr>
              <w:jc w:val="center"/>
              <w:ind w:left="189"/>
              <w:spacing w:after="0"/>
              <w:rPr>
                <w:sz w:val="20"/>
                <w:szCs w:val="20"/>
                <w:color w:val="auto"/>
              </w:rPr>
            </w:pPr>
            <w:r>
              <w:rPr>
                <w:rFonts w:ascii="Arial" w:cs="Arial" w:eastAsia="Arial" w:hAnsi="Arial"/>
                <w:sz w:val="10"/>
                <w:szCs w:val="10"/>
                <w:b w:val="1"/>
                <w:bCs w:val="1"/>
                <w:color w:val="auto"/>
                <w:w w:val="94"/>
              </w:rPr>
              <w:t>Quoted Prices in Active</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center"/>
              <w:ind w:left="220"/>
              <w:spacing w:after="0"/>
              <w:rPr>
                <w:sz w:val="20"/>
                <w:szCs w:val="20"/>
                <w:color w:val="auto"/>
              </w:rPr>
            </w:pPr>
            <w:r>
              <w:rPr>
                <w:rFonts w:ascii="Arial" w:cs="Arial" w:eastAsia="Arial" w:hAnsi="Arial"/>
                <w:sz w:val="10"/>
                <w:szCs w:val="10"/>
                <w:b w:val="1"/>
                <w:bCs w:val="1"/>
                <w:color w:val="auto"/>
                <w:w w:val="94"/>
              </w:rPr>
              <w:t>Significant Other</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vMerge w:val="restart"/>
          </w:tcPr>
          <w:p>
            <w:pPr>
              <w:jc w:val="center"/>
              <w:ind w:left="120"/>
              <w:spacing w:after="0"/>
              <w:rPr>
                <w:sz w:val="20"/>
                <w:szCs w:val="20"/>
                <w:color w:val="auto"/>
              </w:rPr>
            </w:pPr>
            <w:r>
              <w:rPr>
                <w:rFonts w:ascii="Arial" w:cs="Arial" w:eastAsia="Arial" w:hAnsi="Arial"/>
                <w:sz w:val="10"/>
                <w:szCs w:val="10"/>
                <w:b w:val="1"/>
                <w:bCs w:val="1"/>
                <w:color w:val="auto"/>
                <w:w w:val="93"/>
              </w:rPr>
              <w:t>Unobservable</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540" w:type="dxa"/>
            <w:vAlign w:val="bottom"/>
          </w:tcPr>
          <w:p>
            <w:pPr>
              <w:jc w:val="center"/>
              <w:ind w:left="209"/>
              <w:spacing w:after="0" w:line="108" w:lineRule="exact"/>
              <w:rPr>
                <w:sz w:val="20"/>
                <w:szCs w:val="20"/>
                <w:color w:val="auto"/>
              </w:rPr>
            </w:pPr>
            <w:r>
              <w:rPr>
                <w:rFonts w:ascii="Arial" w:cs="Arial" w:eastAsia="Arial" w:hAnsi="Arial"/>
                <w:sz w:val="10"/>
                <w:szCs w:val="10"/>
                <w:b w:val="1"/>
                <w:bCs w:val="1"/>
                <w:color w:val="auto"/>
                <w:w w:val="98"/>
              </w:rPr>
              <w:t>Markets for Identical</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540" w:type="dxa"/>
            <w:vAlign w:val="bottom"/>
          </w:tcPr>
          <w:p>
            <w:pPr>
              <w:jc w:val="center"/>
              <w:ind w:left="209"/>
              <w:spacing w:after="0" w:line="108" w:lineRule="exact"/>
              <w:rPr>
                <w:sz w:val="20"/>
                <w:szCs w:val="20"/>
                <w:color w:val="auto"/>
              </w:rPr>
            </w:pPr>
            <w:r>
              <w:rPr>
                <w:rFonts w:ascii="Arial" w:cs="Arial" w:eastAsia="Arial" w:hAnsi="Arial"/>
                <w:sz w:val="10"/>
                <w:szCs w:val="10"/>
                <w:b w:val="1"/>
                <w:bCs w:val="1"/>
                <w:color w:val="auto"/>
                <w:w w:val="85"/>
              </w:rPr>
              <w:t>Assets</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jc w:val="center"/>
              <w:ind w:left="220"/>
              <w:spacing w:after="0" w:line="108" w:lineRule="exact"/>
              <w:rPr>
                <w:sz w:val="20"/>
                <w:szCs w:val="20"/>
                <w:color w:val="auto"/>
              </w:rPr>
            </w:pPr>
            <w:r>
              <w:rPr>
                <w:rFonts w:ascii="Arial" w:cs="Arial" w:eastAsia="Arial" w:hAnsi="Arial"/>
                <w:sz w:val="10"/>
                <w:szCs w:val="10"/>
                <w:b w:val="1"/>
                <w:bCs w:val="1"/>
                <w:color w:val="auto"/>
                <w:w w:val="96"/>
              </w:rPr>
              <w:t>Observable Inputs</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jc w:val="center"/>
              <w:ind w:left="100"/>
              <w:spacing w:after="0" w:line="108" w:lineRule="exact"/>
              <w:rPr>
                <w:sz w:val="20"/>
                <w:szCs w:val="20"/>
                <w:color w:val="auto"/>
              </w:rPr>
            </w:pPr>
            <w:r>
              <w:rPr>
                <w:rFonts w:ascii="Arial" w:cs="Arial" w:eastAsia="Arial" w:hAnsi="Arial"/>
                <w:sz w:val="10"/>
                <w:szCs w:val="10"/>
                <w:b w:val="1"/>
                <w:bCs w:val="1"/>
                <w:color w:val="auto"/>
                <w:w w:val="93"/>
              </w:rPr>
              <w:t>Inputs</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1540" w:type="dxa"/>
            <w:vAlign w:val="bottom"/>
          </w:tcPr>
          <w:p>
            <w:pPr>
              <w:jc w:val="center"/>
              <w:ind w:left="209"/>
              <w:spacing w:after="0"/>
              <w:rPr>
                <w:sz w:val="20"/>
                <w:szCs w:val="20"/>
                <w:color w:val="auto"/>
              </w:rPr>
            </w:pPr>
            <w:r>
              <w:rPr>
                <w:rFonts w:ascii="Arial" w:cs="Arial" w:eastAsia="Arial" w:hAnsi="Arial"/>
                <w:sz w:val="10"/>
                <w:szCs w:val="10"/>
                <w:b w:val="1"/>
                <w:bCs w:val="1"/>
                <w:color w:val="auto"/>
                <w:w w:val="98"/>
              </w:rPr>
              <w:t>(Level 1)</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left="220"/>
              <w:spacing w:after="0"/>
              <w:rPr>
                <w:sz w:val="20"/>
                <w:szCs w:val="20"/>
                <w:color w:val="auto"/>
              </w:rPr>
            </w:pPr>
            <w:r>
              <w:rPr>
                <w:rFonts w:ascii="Arial" w:cs="Arial" w:eastAsia="Arial" w:hAnsi="Arial"/>
                <w:sz w:val="10"/>
                <w:szCs w:val="10"/>
                <w:b w:val="1"/>
                <w:bCs w:val="1"/>
                <w:color w:val="auto"/>
                <w:w w:val="98"/>
              </w:rPr>
              <w:t>(Level 2)</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center"/>
              <w:ind w:left="100"/>
              <w:spacing w:after="0"/>
              <w:rPr>
                <w:sz w:val="20"/>
                <w:szCs w:val="20"/>
                <w:color w:val="auto"/>
              </w:rPr>
            </w:pPr>
            <w:r>
              <w:rPr>
                <w:rFonts w:ascii="Arial" w:cs="Arial" w:eastAsia="Arial" w:hAnsi="Arial"/>
                <w:sz w:val="10"/>
                <w:szCs w:val="10"/>
                <w:b w:val="1"/>
                <w:bCs w:val="1"/>
                <w:color w:val="auto"/>
                <w:w w:val="98"/>
              </w:rPr>
              <w:t>(Level 3)</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color w:val="auto"/>
              </w:rPr>
              <w:t>Derivatives</w:t>
            </w: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Commodity hedging instruments</w:t>
            </w:r>
          </w:p>
        </w:tc>
        <w:tc>
          <w:tcPr>
            <w:tcW w:w="1540" w:type="dxa"/>
            <w:vAlign w:val="bottom"/>
            <w:shd w:val="clear" w:color="auto" w:fill="CCEEFF"/>
          </w:tcPr>
          <w:p>
            <w:pPr>
              <w:jc w:val="right"/>
              <w:ind w:right="14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color w:val="auto"/>
              </w:rPr>
              <w:t>Other</w:t>
            </w:r>
          </w:p>
        </w:tc>
        <w:tc>
          <w:tcPr>
            <w:tcW w:w="15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6.5</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540" w:type="dxa"/>
            <w:vAlign w:val="bottom"/>
            <w:shd w:val="clear" w:color="auto" w:fill="CCEEFF"/>
          </w:tcPr>
          <w:p>
            <w:pPr>
              <w:jc w:val="right"/>
              <w:ind w:right="1429"/>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15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Derivatives</w:t>
            </w:r>
          </w:p>
        </w:tc>
        <w:tc>
          <w:tcPr>
            <w:tcW w:w="1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Interest rate swap agreements</w:t>
            </w:r>
          </w:p>
        </w:tc>
        <w:tc>
          <w:tcPr>
            <w:tcW w:w="1540" w:type="dxa"/>
            <w:vAlign w:val="bottom"/>
          </w:tcPr>
          <w:p>
            <w:pPr>
              <w:jc w:val="right"/>
              <w:ind w:right="14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80"/>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w w:val="88"/>
              </w:rPr>
              <w:t>(24.6)</w:t>
            </w:r>
          </w:p>
        </w:tc>
        <w:tc>
          <w:tcPr>
            <w:tcW w:w="840" w:type="dxa"/>
            <w:vAlign w:val="bottom"/>
          </w:tcPr>
          <w:p>
            <w:pPr>
              <w:jc w:val="right"/>
              <w:ind w:right="700"/>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swap contracts</w:t>
            </w:r>
          </w:p>
        </w:tc>
        <w:tc>
          <w:tcPr>
            <w:tcW w:w="15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(6.6)</w:t>
            </w:r>
          </w:p>
        </w:tc>
        <w:tc>
          <w:tcPr>
            <w:tcW w:w="8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vMerge w:val="continue"/>
          </w:tcPr>
          <w:p>
            <w:pPr>
              <w:spacing w:after="0"/>
              <w:rPr>
                <w:sz w:val="13"/>
                <w:szCs w:val="13"/>
                <w:color w:val="auto"/>
              </w:rPr>
            </w:pPr>
          </w:p>
        </w:tc>
        <w:tc>
          <w:tcPr>
            <w:tcW w:w="1540" w:type="dxa"/>
            <w:vAlign w:val="bottom"/>
          </w:tcPr>
          <w:p>
            <w:pPr>
              <w:jc w:val="right"/>
              <w:ind w:right="14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80"/>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w w:val="88"/>
              </w:rPr>
              <w:t>(31.2)</w:t>
            </w:r>
          </w:p>
        </w:tc>
        <w:tc>
          <w:tcPr>
            <w:tcW w:w="840" w:type="dxa"/>
            <w:vAlign w:val="bottom"/>
          </w:tcPr>
          <w:p>
            <w:pPr>
              <w:jc w:val="right"/>
              <w:ind w:right="700"/>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30"/>
        </w:trPr>
        <w:tc>
          <w:tcPr>
            <w:tcW w:w="43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The following presents the Company’s non-financial assets and liabilities measured at fair value on a non-recurring basis at September 30, 2010 (in millions) and describes the valuation methodologies used for non-financial assets and liabilities measured at fair value, as well as the general classification within the valuation hierarchy:</w:t>
      </w:r>
    </w:p>
    <w:p>
      <w:pPr>
        <w:spacing w:after="0" w:line="3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1900" w:type="dxa"/>
            <w:vAlign w:val="bottom"/>
          </w:tcPr>
          <w:p>
            <w:pPr>
              <w:jc w:val="center"/>
              <w:spacing w:after="0"/>
              <w:rPr>
                <w:sz w:val="20"/>
                <w:szCs w:val="20"/>
                <w:color w:val="auto"/>
              </w:rPr>
            </w:pPr>
            <w:r>
              <w:rPr>
                <w:rFonts w:ascii="Arial" w:cs="Arial" w:eastAsia="Arial" w:hAnsi="Arial"/>
                <w:sz w:val="10"/>
                <w:szCs w:val="10"/>
                <w:b w:val="1"/>
                <w:bCs w:val="1"/>
                <w:color w:val="auto"/>
                <w:w w:val="94"/>
              </w:rPr>
              <w:t>Quoted Prices in Active</w:t>
            </w:r>
          </w:p>
        </w:tc>
        <w:tc>
          <w:tcPr>
            <w:tcW w:w="1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Significant Other</w:t>
            </w:r>
          </w:p>
        </w:tc>
        <w:tc>
          <w:tcPr>
            <w:tcW w:w="180" w:type="dxa"/>
            <w:vAlign w:val="bottom"/>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Unobservable</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1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Markets for Identical</w:t>
            </w:r>
          </w:p>
        </w:tc>
        <w:tc>
          <w:tcPr>
            <w:tcW w:w="1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1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79"/>
              </w:rPr>
              <w:t>Assets</w:t>
            </w:r>
          </w:p>
        </w:tc>
        <w:tc>
          <w:tcPr>
            <w:tcW w:w="180" w:type="dxa"/>
            <w:vAlign w:val="bottom"/>
          </w:tcPr>
          <w:p>
            <w:pPr>
              <w:spacing w:after="0"/>
              <w:rPr>
                <w:sz w:val="9"/>
                <w:szCs w:val="9"/>
                <w:color w:val="auto"/>
              </w:rPr>
            </w:pPr>
          </w:p>
        </w:tc>
        <w:tc>
          <w:tcPr>
            <w:tcW w:w="15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Observable Inputs</w:t>
            </w:r>
          </w:p>
        </w:tc>
        <w:tc>
          <w:tcPr>
            <w:tcW w:w="180" w:type="dxa"/>
            <w:vAlign w:val="bottom"/>
          </w:tcPr>
          <w:p>
            <w:pPr>
              <w:spacing w:after="0"/>
              <w:rPr>
                <w:sz w:val="9"/>
                <w:szCs w:val="9"/>
                <w:color w:val="auto"/>
              </w:rPr>
            </w:pPr>
          </w:p>
        </w:tc>
        <w:tc>
          <w:tcPr>
            <w:tcW w:w="12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Inputs</w:t>
            </w:r>
          </w:p>
        </w:tc>
        <w:tc>
          <w:tcPr>
            <w:tcW w:w="2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140" w:type="dxa"/>
            <w:vAlign w:val="bottom"/>
          </w:tcPr>
          <w:p>
            <w:pPr>
              <w:spacing w:after="0"/>
              <w:rPr>
                <w:sz w:val="10"/>
                <w:szCs w:val="1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1)</w:t>
            </w:r>
          </w:p>
        </w:tc>
        <w:tc>
          <w:tcPr>
            <w:tcW w:w="180" w:type="dxa"/>
            <w:vAlign w:val="bottom"/>
          </w:tcPr>
          <w:p>
            <w:pPr>
              <w:spacing w:after="0"/>
              <w:rPr>
                <w:sz w:val="10"/>
                <w:szCs w:val="1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2)</w:t>
            </w:r>
          </w:p>
        </w:tc>
        <w:tc>
          <w:tcPr>
            <w:tcW w:w="180" w:type="dxa"/>
            <w:vAlign w:val="bottom"/>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3)</w:t>
            </w:r>
          </w:p>
        </w:tc>
        <w:tc>
          <w:tcPr>
            <w:tcW w:w="200" w:type="dxa"/>
            <w:vAlign w:val="bottom"/>
          </w:tcPr>
          <w:p>
            <w:pPr>
              <w:spacing w:after="0"/>
              <w:rPr>
                <w:sz w:val="10"/>
                <w:szCs w:val="10"/>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rPr>
              <w:t>Losses</w:t>
            </w:r>
          </w:p>
        </w:tc>
        <w:tc>
          <w:tcPr>
            <w:tcW w:w="0" w:type="dxa"/>
            <w:vAlign w:val="bottom"/>
          </w:tcPr>
          <w:p>
            <w:pPr>
              <w:spacing w:after="0"/>
              <w:rPr>
                <w:sz w:val="1"/>
                <w:szCs w:val="1"/>
                <w:color w:val="auto"/>
              </w:rPr>
            </w:pPr>
          </w:p>
        </w:tc>
      </w:tr>
      <w:tr>
        <w:trPr>
          <w:trHeight w:val="185"/>
        </w:trPr>
        <w:tc>
          <w:tcPr>
            <w:tcW w:w="4140" w:type="dxa"/>
            <w:vAlign w:val="bottom"/>
          </w:tcPr>
          <w:p>
            <w:pPr>
              <w:spacing w:after="0"/>
              <w:rPr>
                <w:sz w:val="20"/>
                <w:szCs w:val="20"/>
                <w:color w:val="auto"/>
              </w:rPr>
            </w:pPr>
            <w:r>
              <w:rPr>
                <w:rFonts w:ascii="Arial" w:cs="Arial" w:eastAsia="Arial" w:hAnsi="Arial"/>
                <w:sz w:val="13"/>
                <w:szCs w:val="13"/>
                <w:color w:val="auto"/>
              </w:rPr>
              <w:t>Tradenames</w:t>
            </w:r>
          </w:p>
        </w:tc>
        <w:tc>
          <w:tcPr>
            <w:tcW w:w="1900" w:type="dxa"/>
            <w:vAlign w:val="bottom"/>
          </w:tcPr>
          <w:p>
            <w:pPr>
              <w:ind w:left="8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500" w:type="dxa"/>
            <w:vAlign w:val="bottom"/>
          </w:tcPr>
          <w:p>
            <w:pPr>
              <w:ind w:left="62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428"/>
              <w:spacing w:after="0"/>
              <w:rPr>
                <w:sz w:val="20"/>
                <w:szCs w:val="20"/>
                <w:color w:val="auto"/>
              </w:rPr>
            </w:pPr>
            <w:r>
              <w:rPr>
                <w:rFonts w:ascii="Arial" w:cs="Arial" w:eastAsia="Arial" w:hAnsi="Arial"/>
                <w:sz w:val="13"/>
                <w:szCs w:val="13"/>
                <w:color w:val="auto"/>
              </w:rPr>
              <w:t>$257.2</w:t>
            </w:r>
          </w:p>
        </w:tc>
        <w:tc>
          <w:tcPr>
            <w:tcW w:w="820" w:type="dxa"/>
            <w:vAlign w:val="bottom"/>
            <w:gridSpan w:val="2"/>
          </w:tcPr>
          <w:p>
            <w:pPr>
              <w:jc w:val="right"/>
              <w:ind w:right="148"/>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Certain intangible assets held and used were written down to their fair value, resulting in an impairment charge of $18.5 million, which was included in earnings for the period. The value of the indefinite-lived tradenames was determined using a royalty savings methodology similar to that employed when the associated businesses were acquired but using updated estimates of sales, cash flow and profitability. For further information on the Company’s intangible assets, refer to “NOTE 4. IMPAIRMENT, RESTRUCTURING AND OTHER CHARGES” and “NOTE 5. GOODWILL AND INTANGIBLE ASSETS, NET.”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Company’s financial assets and liabilities measured at fair value on a recurring basis at September 30, 2009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540" w:type="dxa"/>
            <w:vAlign w:val="bottom"/>
          </w:tcPr>
          <w:p>
            <w:pPr>
              <w:jc w:val="center"/>
              <w:ind w:left="189"/>
              <w:spacing w:after="0"/>
              <w:rPr>
                <w:sz w:val="20"/>
                <w:szCs w:val="20"/>
                <w:color w:val="auto"/>
              </w:rPr>
            </w:pPr>
            <w:r>
              <w:rPr>
                <w:rFonts w:ascii="Arial" w:cs="Arial" w:eastAsia="Arial" w:hAnsi="Arial"/>
                <w:sz w:val="10"/>
                <w:szCs w:val="10"/>
                <w:b w:val="1"/>
                <w:bCs w:val="1"/>
                <w:color w:val="auto"/>
                <w:w w:val="94"/>
              </w:rPr>
              <w:t>Quoted Prices in Active</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center"/>
              <w:ind w:left="220"/>
              <w:spacing w:after="0"/>
              <w:rPr>
                <w:sz w:val="20"/>
                <w:szCs w:val="20"/>
                <w:color w:val="auto"/>
              </w:rPr>
            </w:pPr>
            <w:r>
              <w:rPr>
                <w:rFonts w:ascii="Arial" w:cs="Arial" w:eastAsia="Arial" w:hAnsi="Arial"/>
                <w:sz w:val="10"/>
                <w:szCs w:val="10"/>
                <w:b w:val="1"/>
                <w:bCs w:val="1"/>
                <w:color w:val="auto"/>
                <w:w w:val="94"/>
              </w:rPr>
              <w:t>Significant Other</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vMerge w:val="restart"/>
          </w:tcPr>
          <w:p>
            <w:pPr>
              <w:jc w:val="center"/>
              <w:ind w:left="120"/>
              <w:spacing w:after="0"/>
              <w:rPr>
                <w:sz w:val="20"/>
                <w:szCs w:val="20"/>
                <w:color w:val="auto"/>
              </w:rPr>
            </w:pPr>
            <w:r>
              <w:rPr>
                <w:rFonts w:ascii="Arial" w:cs="Arial" w:eastAsia="Arial" w:hAnsi="Arial"/>
                <w:sz w:val="10"/>
                <w:szCs w:val="10"/>
                <w:b w:val="1"/>
                <w:bCs w:val="1"/>
                <w:color w:val="auto"/>
                <w:w w:val="93"/>
              </w:rPr>
              <w:t>Unobservable</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540" w:type="dxa"/>
            <w:vAlign w:val="bottom"/>
          </w:tcPr>
          <w:p>
            <w:pPr>
              <w:jc w:val="center"/>
              <w:ind w:left="209"/>
              <w:spacing w:after="0" w:line="108" w:lineRule="exact"/>
              <w:rPr>
                <w:sz w:val="20"/>
                <w:szCs w:val="20"/>
                <w:color w:val="auto"/>
              </w:rPr>
            </w:pPr>
            <w:r>
              <w:rPr>
                <w:rFonts w:ascii="Arial" w:cs="Arial" w:eastAsia="Arial" w:hAnsi="Arial"/>
                <w:sz w:val="10"/>
                <w:szCs w:val="10"/>
                <w:b w:val="1"/>
                <w:bCs w:val="1"/>
                <w:color w:val="auto"/>
                <w:w w:val="98"/>
              </w:rPr>
              <w:t>Markets for Identical</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540" w:type="dxa"/>
            <w:vAlign w:val="bottom"/>
          </w:tcPr>
          <w:p>
            <w:pPr>
              <w:jc w:val="center"/>
              <w:ind w:left="209"/>
              <w:spacing w:after="0" w:line="108" w:lineRule="exact"/>
              <w:rPr>
                <w:sz w:val="20"/>
                <w:szCs w:val="20"/>
                <w:color w:val="auto"/>
              </w:rPr>
            </w:pPr>
            <w:r>
              <w:rPr>
                <w:rFonts w:ascii="Arial" w:cs="Arial" w:eastAsia="Arial" w:hAnsi="Arial"/>
                <w:sz w:val="10"/>
                <w:szCs w:val="10"/>
                <w:b w:val="1"/>
                <w:bCs w:val="1"/>
                <w:color w:val="auto"/>
                <w:w w:val="85"/>
              </w:rPr>
              <w:t>Assets</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jc w:val="center"/>
              <w:ind w:left="220"/>
              <w:spacing w:after="0" w:line="108" w:lineRule="exact"/>
              <w:rPr>
                <w:sz w:val="20"/>
                <w:szCs w:val="20"/>
                <w:color w:val="auto"/>
              </w:rPr>
            </w:pPr>
            <w:r>
              <w:rPr>
                <w:rFonts w:ascii="Arial" w:cs="Arial" w:eastAsia="Arial" w:hAnsi="Arial"/>
                <w:sz w:val="10"/>
                <w:szCs w:val="10"/>
                <w:b w:val="1"/>
                <w:bCs w:val="1"/>
                <w:color w:val="auto"/>
                <w:w w:val="96"/>
              </w:rPr>
              <w:t>Observable Inputs</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jc w:val="center"/>
              <w:ind w:left="100"/>
              <w:spacing w:after="0" w:line="108" w:lineRule="exact"/>
              <w:rPr>
                <w:sz w:val="20"/>
                <w:szCs w:val="20"/>
                <w:color w:val="auto"/>
              </w:rPr>
            </w:pPr>
            <w:r>
              <w:rPr>
                <w:rFonts w:ascii="Arial" w:cs="Arial" w:eastAsia="Arial" w:hAnsi="Arial"/>
                <w:sz w:val="10"/>
                <w:szCs w:val="10"/>
                <w:b w:val="1"/>
                <w:bCs w:val="1"/>
                <w:color w:val="auto"/>
                <w:w w:val="93"/>
              </w:rPr>
              <w:t>Inputs</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1540" w:type="dxa"/>
            <w:vAlign w:val="bottom"/>
          </w:tcPr>
          <w:p>
            <w:pPr>
              <w:jc w:val="center"/>
              <w:ind w:left="209"/>
              <w:spacing w:after="0"/>
              <w:rPr>
                <w:sz w:val="20"/>
                <w:szCs w:val="20"/>
                <w:color w:val="auto"/>
              </w:rPr>
            </w:pPr>
            <w:r>
              <w:rPr>
                <w:rFonts w:ascii="Arial" w:cs="Arial" w:eastAsia="Arial" w:hAnsi="Arial"/>
                <w:sz w:val="10"/>
                <w:szCs w:val="10"/>
                <w:b w:val="1"/>
                <w:bCs w:val="1"/>
                <w:color w:val="auto"/>
                <w:w w:val="98"/>
              </w:rPr>
              <w:t>(Level 1)</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left="220"/>
              <w:spacing w:after="0"/>
              <w:rPr>
                <w:sz w:val="20"/>
                <w:szCs w:val="20"/>
                <w:color w:val="auto"/>
              </w:rPr>
            </w:pPr>
            <w:r>
              <w:rPr>
                <w:rFonts w:ascii="Arial" w:cs="Arial" w:eastAsia="Arial" w:hAnsi="Arial"/>
                <w:sz w:val="10"/>
                <w:szCs w:val="10"/>
                <w:b w:val="1"/>
                <w:bCs w:val="1"/>
                <w:color w:val="auto"/>
                <w:w w:val="98"/>
              </w:rPr>
              <w:t>(Level 2)</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center"/>
              <w:ind w:left="100"/>
              <w:spacing w:after="0"/>
              <w:rPr>
                <w:sz w:val="20"/>
                <w:szCs w:val="20"/>
                <w:color w:val="auto"/>
              </w:rPr>
            </w:pPr>
            <w:r>
              <w:rPr>
                <w:rFonts w:ascii="Arial" w:cs="Arial" w:eastAsia="Arial" w:hAnsi="Arial"/>
                <w:sz w:val="10"/>
                <w:szCs w:val="10"/>
                <w:b w:val="1"/>
                <w:bCs w:val="1"/>
                <w:color w:val="auto"/>
                <w:w w:val="98"/>
              </w:rPr>
              <w:t>(Level 3)</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color w:val="auto"/>
              </w:rPr>
              <w:t>Derivatives</w:t>
            </w: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Commodity hedging instruments</w:t>
            </w:r>
          </w:p>
        </w:tc>
        <w:tc>
          <w:tcPr>
            <w:tcW w:w="1540" w:type="dxa"/>
            <w:vAlign w:val="bottom"/>
            <w:shd w:val="clear" w:color="auto" w:fill="CCEEFF"/>
          </w:tcPr>
          <w:p>
            <w:pPr>
              <w:jc w:val="right"/>
              <w:ind w:right="14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0.2</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color w:val="auto"/>
              </w:rPr>
              <w:t>Other</w:t>
            </w:r>
          </w:p>
        </w:tc>
        <w:tc>
          <w:tcPr>
            <w:tcW w:w="1540" w:type="dxa"/>
            <w:vAlign w:val="bottom"/>
          </w:tcPr>
          <w:p>
            <w:pPr>
              <w:spacing w:after="0"/>
              <w:rPr>
                <w:sz w:val="13"/>
                <w:szCs w:val="13"/>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5.7</w:t>
            </w:r>
          </w:p>
        </w:tc>
        <w:tc>
          <w:tcPr>
            <w:tcW w:w="1120" w:type="dxa"/>
            <w:vAlign w:val="bottom"/>
          </w:tcPr>
          <w:p>
            <w:pPr>
              <w:spacing w:after="0"/>
              <w:rPr>
                <w:sz w:val="13"/>
                <w:szCs w:val="13"/>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540" w:type="dxa"/>
            <w:vAlign w:val="bottom"/>
            <w:shd w:val="clear" w:color="auto" w:fill="CCEEFF"/>
          </w:tcPr>
          <w:p>
            <w:pPr>
              <w:jc w:val="right"/>
              <w:ind w:right="14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5.7</w:t>
            </w: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0.2</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15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Derivatives</w:t>
            </w:r>
          </w:p>
        </w:tc>
        <w:tc>
          <w:tcPr>
            <w:tcW w:w="1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Interest rate swap agreements</w:t>
            </w:r>
          </w:p>
        </w:tc>
        <w:tc>
          <w:tcPr>
            <w:tcW w:w="1540" w:type="dxa"/>
            <w:vAlign w:val="bottom"/>
          </w:tcPr>
          <w:p>
            <w:pPr>
              <w:jc w:val="right"/>
              <w:ind w:right="14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80"/>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w w:val="88"/>
              </w:rPr>
              <w:t>(23.7)</w:t>
            </w:r>
          </w:p>
        </w:tc>
        <w:tc>
          <w:tcPr>
            <w:tcW w:w="840" w:type="dxa"/>
            <w:vAlign w:val="bottom"/>
          </w:tcPr>
          <w:p>
            <w:pPr>
              <w:jc w:val="right"/>
              <w:ind w:right="700"/>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swap contracts</w:t>
            </w:r>
          </w:p>
        </w:tc>
        <w:tc>
          <w:tcPr>
            <w:tcW w:w="15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(3.9)</w:t>
            </w:r>
          </w:p>
        </w:tc>
        <w:tc>
          <w:tcPr>
            <w:tcW w:w="8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4320" w:type="dxa"/>
            <w:vAlign w:val="bottom"/>
          </w:tcPr>
          <w:p>
            <w:pPr>
              <w:ind w:left="140"/>
              <w:spacing w:after="0"/>
              <w:rPr>
                <w:sz w:val="20"/>
                <w:szCs w:val="20"/>
                <w:color w:val="auto"/>
              </w:rPr>
            </w:pPr>
            <w:r>
              <w:rPr>
                <w:rFonts w:ascii="Arial" w:cs="Arial" w:eastAsia="Arial" w:hAnsi="Arial"/>
                <w:sz w:val="13"/>
                <w:szCs w:val="13"/>
                <w:color w:val="auto"/>
              </w:rPr>
              <w:t>Commodity hedging instruments</w:t>
            </w:r>
          </w:p>
        </w:tc>
        <w:tc>
          <w:tcPr>
            <w:tcW w:w="1540" w:type="dxa"/>
            <w:vAlign w:val="bottom"/>
          </w:tcPr>
          <w:p>
            <w:pPr>
              <w:spacing w:after="0"/>
              <w:rPr>
                <w:sz w:val="13"/>
                <w:szCs w:val="13"/>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(0.1)</w:t>
            </w:r>
          </w:p>
        </w:tc>
        <w:tc>
          <w:tcPr>
            <w:tcW w:w="84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540" w:type="dxa"/>
            <w:vAlign w:val="bottom"/>
            <w:shd w:val="clear" w:color="auto" w:fill="CCEEFF"/>
          </w:tcPr>
          <w:p>
            <w:pPr>
              <w:jc w:val="right"/>
              <w:ind w:right="14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8"/>
              </w:rPr>
              <w:t>(27.7)</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17.</w:t>
      </w:r>
      <w:r>
        <w:rPr>
          <w:sz w:val="20"/>
          <w:szCs w:val="20"/>
          <w:color w:val="auto"/>
        </w:rPr>
        <w:tab/>
      </w:r>
      <w:r>
        <w:rPr>
          <w:rFonts w:ascii="Arial" w:cs="Arial" w:eastAsia="Arial" w:hAnsi="Arial"/>
          <w:sz w:val="12"/>
          <w:szCs w:val="12"/>
          <w:b w:val="1"/>
          <w:bCs w:val="1"/>
          <w:color w:val="auto"/>
        </w:rPr>
        <w:t>OPERATING LEASES</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Company leases certain property and equipment from third parties under various non-cancelable operating lease agreements. Certain lease agreements contain renewal and purchase options. The lease agreements generally require that the Company pay taxes, insurance and maintenance expenses related to the leased assets. Future minimum lease payments for non-cancelable operating leases at September 30, 2010, were as follows (in millions):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36.5</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19.4</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15.9</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Total future minimum lease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163.5</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2010, the Company’s residual value guarantee would have approximated $5.1 million.</w:t>
      </w: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residual value guarantee amounts that apply at the conclusion of non-cancelable lease terms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4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280" w:type="dxa"/>
            <w:vAlign w:val="bottom"/>
          </w:tcPr>
          <w:p>
            <w:pPr>
              <w:spacing w:after="0"/>
              <w:rPr>
                <w:sz w:val="10"/>
                <w:szCs w:val="10"/>
                <w:color w:val="auto"/>
              </w:rPr>
            </w:pPr>
          </w:p>
        </w:tc>
        <w:tc>
          <w:tcPr>
            <w:tcW w:w="1420" w:type="dxa"/>
            <w:vAlign w:val="bottom"/>
          </w:tcPr>
          <w:p>
            <w:pPr>
              <w:jc w:val="center"/>
              <w:spacing w:after="0"/>
              <w:rPr>
                <w:sz w:val="20"/>
                <w:szCs w:val="20"/>
                <w:color w:val="auto"/>
              </w:rPr>
            </w:pPr>
            <w:r>
              <w:rPr>
                <w:rFonts w:ascii="Arial" w:cs="Arial" w:eastAsia="Arial" w:hAnsi="Arial"/>
                <w:sz w:val="10"/>
                <w:szCs w:val="10"/>
                <w:b w:val="1"/>
                <w:bCs w:val="1"/>
                <w:color w:val="auto"/>
                <w:w w:val="91"/>
              </w:rPr>
              <w:t>Lease</w:t>
            </w:r>
          </w:p>
        </w:tc>
      </w:tr>
      <w:tr>
        <w:trPr>
          <w:trHeight w:val="125"/>
        </w:trPr>
        <w:tc>
          <w:tcPr>
            <w:tcW w:w="6540" w:type="dxa"/>
            <w:vAlign w:val="bottom"/>
          </w:tcPr>
          <w:p>
            <w:pPr>
              <w:spacing w:after="0"/>
              <w:rPr>
                <w:sz w:val="10"/>
                <w:szCs w:val="1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Guarantee</w:t>
            </w:r>
          </w:p>
        </w:tc>
        <w:tc>
          <w:tcPr>
            <w:tcW w:w="280" w:type="dxa"/>
            <w:vAlign w:val="bottom"/>
          </w:tcPr>
          <w:p>
            <w:pPr>
              <w:spacing w:after="0"/>
              <w:rPr>
                <w:sz w:val="10"/>
                <w:szCs w:val="1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Termination Date</w:t>
            </w:r>
          </w:p>
        </w:tc>
      </w:tr>
      <w:tr>
        <w:trPr>
          <w:trHeight w:val="178"/>
        </w:trPr>
        <w:tc>
          <w:tcPr>
            <w:tcW w:w="6540" w:type="dxa"/>
            <w:vAlign w:val="bottom"/>
          </w:tcPr>
          <w:p>
            <w:pPr>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r>
              <w:rPr>
                <w:rFonts w:ascii="Arial" w:cs="Arial" w:eastAsia="Arial" w:hAnsi="Arial"/>
                <w:sz w:val="13"/>
                <w:szCs w:val="13"/>
                <w:color w:val="auto"/>
              </w:rPr>
              <w:t xml:space="preserve"> vehicles</w:t>
            </w:r>
          </w:p>
        </w:tc>
        <w:tc>
          <w:tcPr>
            <w:tcW w:w="1740" w:type="dxa"/>
            <w:vAlign w:val="bottom"/>
          </w:tcPr>
          <w:p>
            <w:pPr>
              <w:ind w:left="480"/>
              <w:spacing w:after="0"/>
              <w:rPr>
                <w:sz w:val="20"/>
                <w:szCs w:val="20"/>
                <w:color w:val="auto"/>
              </w:rPr>
            </w:pPr>
            <w:r>
              <w:rPr>
                <w:rFonts w:ascii="Arial" w:cs="Arial" w:eastAsia="Arial" w:hAnsi="Arial"/>
                <w:sz w:val="13"/>
                <w:szCs w:val="13"/>
                <w:color w:val="auto"/>
              </w:rPr>
              <w:t>$16.0 million</w:t>
            </w:r>
          </w:p>
        </w:tc>
        <w:tc>
          <w:tcPr>
            <w:tcW w:w="1700" w:type="dxa"/>
            <w:vAlign w:val="bottom"/>
            <w:gridSpan w:val="2"/>
          </w:tcPr>
          <w:p>
            <w:pPr>
              <w:jc w:val="center"/>
              <w:ind w:left="214"/>
              <w:spacing w:after="0"/>
              <w:rPr>
                <w:sz w:val="20"/>
                <w:szCs w:val="20"/>
                <w:color w:val="auto"/>
              </w:rPr>
            </w:pPr>
            <w:r>
              <w:rPr>
                <w:rFonts w:ascii="Arial" w:cs="Arial" w:eastAsia="Arial" w:hAnsi="Arial"/>
                <w:sz w:val="13"/>
                <w:szCs w:val="13"/>
                <w:color w:val="auto"/>
                <w:w w:val="89"/>
              </w:rPr>
              <w:t>2013</w:t>
            </w:r>
          </w:p>
        </w:tc>
      </w:tr>
      <w:tr>
        <w:trPr>
          <w:trHeight w:val="165"/>
        </w:trPr>
        <w:tc>
          <w:tcPr>
            <w:tcW w:w="6540" w:type="dxa"/>
            <w:vAlign w:val="bottom"/>
          </w:tcPr>
          <w:p>
            <w:pPr>
              <w:spacing w:after="0"/>
              <w:rPr>
                <w:sz w:val="20"/>
                <w:szCs w:val="20"/>
                <w:color w:val="auto"/>
              </w:rPr>
            </w:pPr>
            <w:r>
              <w:rPr>
                <w:rFonts w:ascii="Arial" w:cs="Arial" w:eastAsia="Arial" w:hAnsi="Arial"/>
                <w:sz w:val="13"/>
                <w:szCs w:val="13"/>
                <w:color w:val="auto"/>
              </w:rPr>
              <w:t>Corporate aircraft</w:t>
            </w:r>
          </w:p>
        </w:tc>
        <w:tc>
          <w:tcPr>
            <w:tcW w:w="1740" w:type="dxa"/>
            <w:vAlign w:val="bottom"/>
          </w:tcPr>
          <w:p>
            <w:pPr>
              <w:jc w:val="center"/>
              <w:spacing w:after="0"/>
              <w:rPr>
                <w:sz w:val="20"/>
                <w:szCs w:val="20"/>
                <w:color w:val="auto"/>
              </w:rPr>
            </w:pPr>
            <w:r>
              <w:rPr>
                <w:rFonts w:ascii="Arial" w:cs="Arial" w:eastAsia="Arial" w:hAnsi="Arial"/>
                <w:sz w:val="13"/>
                <w:szCs w:val="13"/>
                <w:color w:val="auto"/>
                <w:w w:val="97"/>
              </w:rPr>
              <w:t>12.8 million</w:t>
            </w:r>
          </w:p>
        </w:tc>
        <w:tc>
          <w:tcPr>
            <w:tcW w:w="1700" w:type="dxa"/>
            <w:vAlign w:val="bottom"/>
            <w:gridSpan w:val="2"/>
          </w:tcPr>
          <w:p>
            <w:pPr>
              <w:jc w:val="center"/>
              <w:ind w:left="214"/>
              <w:spacing w:after="0"/>
              <w:rPr>
                <w:sz w:val="20"/>
                <w:szCs w:val="20"/>
                <w:color w:val="auto"/>
              </w:rPr>
            </w:pPr>
            <w:r>
              <w:rPr>
                <w:rFonts w:ascii="Arial" w:cs="Arial" w:eastAsia="Arial" w:hAnsi="Arial"/>
                <w:sz w:val="13"/>
                <w:szCs w:val="13"/>
                <w:color w:val="auto"/>
                <w:w w:val="89"/>
              </w:rPr>
              <w:t>2012</w:t>
            </w: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 expense for fiscal 2010, fiscal 2009 and fiscal 2008 totaled $68.1 million, $65.2 million and $67.5 million, respectively.</w:t>
      </w:r>
    </w:p>
    <w:p>
      <w:pPr>
        <w:spacing w:after="0" w:line="171"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18.</w:t>
      </w:r>
      <w:r>
        <w:rPr>
          <w:sz w:val="20"/>
          <w:szCs w:val="20"/>
          <w:color w:val="auto"/>
        </w:rPr>
        <w:tab/>
      </w:r>
      <w:r>
        <w:rPr>
          <w:rFonts w:ascii="Arial" w:cs="Arial" w:eastAsia="Arial" w:hAnsi="Arial"/>
          <w:sz w:val="13"/>
          <w:szCs w:val="13"/>
          <w:b w:val="1"/>
          <w:bCs w:val="1"/>
          <w:color w:val="auto"/>
        </w:rPr>
        <w:t>COMMITMENTS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Company has the following unconditional purchase obligations due during each of the next five fiscal years that have not been recognized on the Consolidated Balance Sheet at</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30, 2010 (in millions):</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178.2</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84.5</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58.5</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11.7</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340.4</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Purchase obligations primarily represent commitments for materials used in the Company’s manufacturing processes, as well as commitments for warehouse services, grass seed and out-sourced information services.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addition, the Company leases certain property and equipment from third parties under various non-cancelable operating lease agreements. Future minimum lease payments for non-cancelable operating leases not included above are included in “NOTE 17. OPERATING LEASES.”</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19.</w:t>
      </w:r>
      <w:r>
        <w:rPr>
          <w:sz w:val="20"/>
          <w:szCs w:val="20"/>
          <w:color w:val="auto"/>
        </w:rPr>
        <w:tab/>
      </w:r>
      <w:r>
        <w:rPr>
          <w:rFonts w:ascii="Arial" w:cs="Arial" w:eastAsia="Arial" w:hAnsi="Arial"/>
          <w:sz w:val="13"/>
          <w:szCs w:val="13"/>
          <w:b w:val="1"/>
          <w:bCs w:val="1"/>
          <w:color w:val="auto"/>
        </w:rPr>
        <w:t>CONTINGENCIES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Management regularly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for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final resolution of these matters will not have a material adverse effect on the Company’s financial condition, results of operations or cash flows. The following are the more significant of the Company’s identified contingencies: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FIFRA Compliance and the Corresponding Governmental Investigations</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For a description of the Company’s ongoing FIFRA compliance efforts and the corresponding governmental investigations, see “NOTE 3. PRODUCT REGISTRATION AND RECALL MATTERS.”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Other Regulatory Matters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At September 30, 2010, $2.6 million was accrued for other regulatory matters in the “Other liabilities” line in the Consolidated Balance Sheet. The amounts accrued are believed to be adequate to cover such known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environmental exposures based on current facts and estimates of likely outcomes. However, if facts and circumstances change significantly, they could result in a material adverse effect on the Company’s financial condition, results of operations or cash flows.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Other</w:t>
      </w:r>
    </w:p>
    <w:p>
      <w:pPr>
        <w:spacing w:after="0" w:line="96"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these cases and, accordingly, no accrual or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4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On April 27, 2007, the Company received a proposed Order On Consent from the New York State Department of Environmental Conservation (the “Proposed Order”) alleging that, during calendar year 2003, the Company and James Hagedorn, individually and as Chairman of the Board and Chief Executive Officer of the Company, unlawfully donated to a Port Washington, New York youth sports organization forty bags of Scotts</w:t>
      </w:r>
      <w:r>
        <w:rPr>
          <w:rFonts w:ascii="Arial" w:cs="Arial" w:eastAsia="Arial" w:hAnsi="Arial"/>
          <w:sz w:val="11"/>
          <w:szCs w:val="11"/>
          <w:color w:val="auto"/>
        </w:rPr>
        <w:t>®</w:t>
      </w:r>
      <w:r>
        <w:rPr>
          <w:rFonts w:ascii="Arial" w:cs="Arial" w:eastAsia="Arial" w:hAnsi="Arial"/>
          <w:sz w:val="13"/>
          <w:szCs w:val="13"/>
          <w:color w:val="auto"/>
        </w:rPr>
        <w:t xml:space="preserve"> LawnPro Annual Program Step 3 Insect Control Plus Fertilizer which, while federally registered, was allegedly not registered in the state of New York. The Proposed Order requests penalties totaling $695,000. The Company has responded in writing to the New York State Department of Environmental Conservation with respect to the Proposed Order and is awaiting a response.</w:t>
      </w:r>
    </w:p>
    <w:p>
      <w:pPr>
        <w:spacing w:after="0" w:line="71"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Company is involved in other lawsuits and claims which arise in the normal course of business. These claims individually and in the aggregate are not expected to result in a material adverse effect on the Company’s financial condition, results of operations or cash flows.</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20.</w:t>
      </w:r>
      <w:r>
        <w:rPr>
          <w:sz w:val="20"/>
          <w:szCs w:val="20"/>
          <w:color w:val="auto"/>
        </w:rPr>
        <w:tab/>
      </w:r>
      <w:r>
        <w:rPr>
          <w:rFonts w:ascii="Arial" w:cs="Arial" w:eastAsia="Arial" w:hAnsi="Arial"/>
          <w:sz w:val="13"/>
          <w:szCs w:val="13"/>
          <w:b w:val="1"/>
          <w:bCs w:val="1"/>
          <w:color w:val="auto"/>
        </w:rPr>
        <w:t>CONCENTRATIONS OF CREDIT RISK</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Financial instruments which potentially subject the Company to concentration of credit risk consist principally of trade accounts receivable. The Company sells its consumer products to a wide variety of retailers, including home centers, mass merchandisers, warehouse clubs, large hardware chains, independent hardware stores, nurseries, garden centers, food and drug stores, commercial nurseries and greenhouses and specialty crop growers. Concentrations of accounts receivable at September 30, net of accounts receivable pledged ($17.0 million for 2009) under the terms of the 2009 MARP Agreement whereby the purchaser has assumed the risk associated with the debtor’s financial inability to pay, were as follows: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960" w:type="dxa"/>
            <w:vAlign w:val="bottom"/>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2010</w:t>
            </w:r>
          </w:p>
        </w:tc>
        <w:tc>
          <w:tcPr>
            <w:tcW w:w="420" w:type="dxa"/>
            <w:vAlign w:val="bottom"/>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2009</w:t>
            </w:r>
          </w:p>
        </w:tc>
        <w:tc>
          <w:tcPr>
            <w:tcW w:w="120" w:type="dxa"/>
            <w:vAlign w:val="bottom"/>
          </w:tcPr>
          <w:p>
            <w:pPr>
              <w:spacing w:after="0"/>
              <w:rPr>
                <w:sz w:val="10"/>
                <w:szCs w:val="10"/>
                <w:color w:val="auto"/>
              </w:rPr>
            </w:pPr>
          </w:p>
        </w:tc>
      </w:tr>
      <w:tr>
        <w:trPr>
          <w:trHeight w:val="29"/>
        </w:trPr>
        <w:tc>
          <w:tcPr>
            <w:tcW w:w="8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960" w:type="dxa"/>
            <w:vAlign w:val="bottom"/>
            <w:shd w:val="clear" w:color="auto" w:fill="CCEEFF"/>
          </w:tcPr>
          <w:p>
            <w:pPr>
              <w:spacing w:after="0"/>
              <w:rPr>
                <w:sz w:val="20"/>
                <w:szCs w:val="20"/>
                <w:color w:val="auto"/>
              </w:rPr>
            </w:pPr>
            <w:r>
              <w:rPr>
                <w:rFonts w:ascii="Arial" w:cs="Arial" w:eastAsia="Arial" w:hAnsi="Arial"/>
                <w:sz w:val="13"/>
                <w:szCs w:val="13"/>
                <w:color w:val="auto"/>
              </w:rPr>
              <w:t>Due from customers geographically located in North America</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157"/>
        </w:trPr>
        <w:tc>
          <w:tcPr>
            <w:tcW w:w="8960" w:type="dxa"/>
            <w:vAlign w:val="bottom"/>
          </w:tcPr>
          <w:p>
            <w:pPr>
              <w:ind w:left="140"/>
              <w:spacing w:after="0"/>
              <w:rPr>
                <w:sz w:val="20"/>
                <w:szCs w:val="20"/>
                <w:color w:val="auto"/>
              </w:rPr>
            </w:pPr>
            <w:r>
              <w:rPr>
                <w:rFonts w:ascii="Arial" w:cs="Arial" w:eastAsia="Arial" w:hAnsi="Arial"/>
                <w:sz w:val="13"/>
                <w:szCs w:val="13"/>
                <w:color w:val="auto"/>
              </w:rPr>
              <w:t>Applicable to the consumer business</w:t>
            </w: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85%</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84%</w:t>
            </w:r>
          </w:p>
        </w:tc>
      </w:tr>
      <w:tr>
        <w:trPr>
          <w:trHeight w:val="157"/>
        </w:trPr>
        <w:tc>
          <w:tcPr>
            <w:tcW w:w="8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Applicable primarily to Scotts LawnService</w:t>
            </w:r>
            <w:r>
              <w:rPr>
                <w:rFonts w:ascii="Arial" w:cs="Arial" w:eastAsia="Arial" w:hAnsi="Arial"/>
                <w:sz w:val="11"/>
                <w:szCs w:val="11"/>
                <w:color w:val="auto"/>
              </w:rPr>
              <w:t>®</w:t>
            </w:r>
            <w:r>
              <w:rPr>
                <w:rFonts w:ascii="Arial" w:cs="Arial" w:eastAsia="Arial" w:hAnsi="Arial"/>
                <w:sz w:val="13"/>
                <w:szCs w:val="13"/>
                <w:color w:val="auto"/>
              </w:rPr>
              <w:t xml:space="preserve"> and the professional businesses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5"/>
        </w:trPr>
        <w:tc>
          <w:tcPr>
            <w:tcW w:w="8960" w:type="dxa"/>
            <w:vAlign w:val="bottom"/>
          </w:tcPr>
          <w:p>
            <w:pPr>
              <w:spacing w:after="0"/>
              <w:rPr>
                <w:sz w:val="20"/>
                <w:szCs w:val="20"/>
                <w:color w:val="auto"/>
              </w:rPr>
            </w:pPr>
            <w:r>
              <w:rPr>
                <w:rFonts w:ascii="Arial" w:cs="Arial" w:eastAsia="Arial" w:hAnsi="Arial"/>
                <w:sz w:val="13"/>
                <w:szCs w:val="13"/>
                <w:color w:val="auto"/>
              </w:rPr>
              <w:t>Top 3 customers as a percent of total North America Consumer accounts receivable</w:t>
            </w: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73%</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63%</w:t>
            </w:r>
          </w:p>
        </w:tc>
      </w:tr>
    </w:tbl>
    <w:p>
      <w:pPr>
        <w:spacing w:after="0" w:line="7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remainder of the Company’s accounts receivable at September 30, 2010 and 2009 were generated from customers located outside of North America, primarily retailers, distributors, nurseries and growers in Europe. No concentrations of customers or individual customers within this group accounted for more than 10% of the Company’s accounts receivable at either balance sheet date.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The Company’s three largest customers are reported within the Global Consumer segment and are the only customers that individually represent more than 10% of reported consolidated net sales for each of the last three fiscal years. These three customers accounted for the following percentages of consolidated net sales for the fiscal years ended September 30:</w:t>
      </w:r>
    </w:p>
    <w:p>
      <w:pPr>
        <w:spacing w:after="0" w:line="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40" w:type="dxa"/>
            <w:vAlign w:val="bottom"/>
          </w:tcPr>
          <w:p>
            <w:pPr>
              <w:spacing w:after="0"/>
              <w:rPr>
                <w:sz w:val="10"/>
                <w:szCs w:val="10"/>
                <w:color w:val="auto"/>
              </w:rPr>
            </w:pPr>
          </w:p>
        </w:tc>
        <w:tc>
          <w:tcPr>
            <w:tcW w:w="820" w:type="dxa"/>
            <w:vAlign w:val="bottom"/>
          </w:tcPr>
          <w:p>
            <w:pPr>
              <w:jc w:val="right"/>
              <w:ind w:right="180"/>
              <w:spacing w:after="0"/>
              <w:rPr>
                <w:sz w:val="20"/>
                <w:szCs w:val="20"/>
                <w:color w:val="auto"/>
              </w:rPr>
            </w:pPr>
            <w:r>
              <w:rPr>
                <w:rFonts w:ascii="Arial" w:cs="Arial" w:eastAsia="Arial" w:hAnsi="Arial"/>
                <w:sz w:val="10"/>
                <w:szCs w:val="10"/>
                <w:b w:val="1"/>
                <w:bCs w:val="1"/>
                <w:color w:val="auto"/>
              </w:rPr>
              <w:t>Largest</w:t>
            </w:r>
          </w:p>
        </w:tc>
        <w:tc>
          <w:tcPr>
            <w:tcW w:w="300" w:type="dxa"/>
            <w:vAlign w:val="bottom"/>
          </w:tcPr>
          <w:p>
            <w:pPr>
              <w:spacing w:after="0"/>
              <w:rPr>
                <w:sz w:val="10"/>
                <w:szCs w:val="10"/>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b w:val="1"/>
                <w:bCs w:val="1"/>
                <w:color w:val="auto"/>
              </w:rPr>
              <w:t>2nd Largest</w:t>
            </w:r>
          </w:p>
        </w:tc>
        <w:tc>
          <w:tcPr>
            <w:tcW w:w="280" w:type="dxa"/>
            <w:vAlign w:val="bottom"/>
          </w:tcPr>
          <w:p>
            <w:pPr>
              <w:spacing w:after="0"/>
              <w:rPr>
                <w:sz w:val="10"/>
                <w:szCs w:val="10"/>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b w:val="1"/>
                <w:bCs w:val="1"/>
                <w:color w:val="auto"/>
              </w:rPr>
              <w:t>3rd Largest</w:t>
            </w:r>
          </w:p>
        </w:tc>
      </w:tr>
      <w:tr>
        <w:trPr>
          <w:trHeight w:val="125"/>
        </w:trPr>
        <w:tc>
          <w:tcPr>
            <w:tcW w:w="6540" w:type="dxa"/>
            <w:vAlign w:val="bottom"/>
          </w:tcPr>
          <w:p>
            <w:pPr>
              <w:spacing w:after="0"/>
              <w:rPr>
                <w:sz w:val="10"/>
                <w:szCs w:val="10"/>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Customer</w:t>
            </w:r>
          </w:p>
        </w:tc>
        <w:tc>
          <w:tcPr>
            <w:tcW w:w="300" w:type="dxa"/>
            <w:vAlign w:val="bottom"/>
          </w:tcPr>
          <w:p>
            <w:pPr>
              <w:spacing w:after="0"/>
              <w:rPr>
                <w:sz w:val="10"/>
                <w:szCs w:val="10"/>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Customer</w:t>
            </w:r>
          </w:p>
        </w:tc>
        <w:tc>
          <w:tcPr>
            <w:tcW w:w="280" w:type="dxa"/>
            <w:vAlign w:val="bottom"/>
          </w:tcPr>
          <w:p>
            <w:pPr>
              <w:spacing w:after="0"/>
              <w:rPr>
                <w:sz w:val="10"/>
                <w:szCs w:val="10"/>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Customer</w:t>
            </w:r>
          </w:p>
        </w:tc>
      </w:tr>
      <w:tr>
        <w:trPr>
          <w:trHeight w:val="29"/>
        </w:trPr>
        <w:tc>
          <w:tcPr>
            <w:tcW w:w="6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7"/>
        </w:trPr>
        <w:tc>
          <w:tcPr>
            <w:tcW w:w="6540" w:type="dxa"/>
            <w:vAlign w:val="bottom"/>
            <w:shd w:val="clear" w:color="auto" w:fill="CCEEFF"/>
          </w:tcPr>
          <w:p>
            <w:pPr>
              <w:jc w:val="right"/>
              <w:ind w:right="6194"/>
              <w:spacing w:after="0"/>
              <w:rPr>
                <w:sz w:val="20"/>
                <w:szCs w:val="20"/>
                <w:color w:val="auto"/>
              </w:rPr>
            </w:pPr>
            <w:r>
              <w:rPr>
                <w:rFonts w:ascii="Arial" w:cs="Arial" w:eastAsia="Arial" w:hAnsi="Arial"/>
                <w:sz w:val="13"/>
                <w:szCs w:val="13"/>
                <w:color w:val="auto"/>
                <w:w w:val="89"/>
              </w:rPr>
              <w:t>2010</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27.6%</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16.6%</w:t>
            </w:r>
          </w:p>
        </w:tc>
        <w:tc>
          <w:tcPr>
            <w:tcW w:w="13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14.6%</w:t>
            </w:r>
          </w:p>
        </w:tc>
      </w:tr>
      <w:tr>
        <w:trPr>
          <w:trHeight w:val="157"/>
        </w:trPr>
        <w:tc>
          <w:tcPr>
            <w:tcW w:w="6540" w:type="dxa"/>
            <w:vAlign w:val="bottom"/>
          </w:tcPr>
          <w:p>
            <w:pPr>
              <w:jc w:val="right"/>
              <w:ind w:right="6194"/>
              <w:spacing w:after="0"/>
              <w:rPr>
                <w:sz w:val="20"/>
                <w:szCs w:val="20"/>
                <w:color w:val="auto"/>
              </w:rPr>
            </w:pPr>
            <w:r>
              <w:rPr>
                <w:rFonts w:ascii="Arial" w:cs="Arial" w:eastAsia="Arial" w:hAnsi="Arial"/>
                <w:sz w:val="13"/>
                <w:szCs w:val="13"/>
                <w:color w:val="auto"/>
                <w:w w:val="89"/>
              </w:rPr>
              <w:t>2009</w:t>
            </w:r>
          </w:p>
        </w:tc>
        <w:tc>
          <w:tcPr>
            <w:tcW w:w="820" w:type="dxa"/>
            <w:vAlign w:val="bottom"/>
          </w:tcPr>
          <w:p>
            <w:pPr>
              <w:jc w:val="right"/>
              <w:ind w:right="120"/>
              <w:spacing w:after="0"/>
              <w:rPr>
                <w:sz w:val="20"/>
                <w:szCs w:val="20"/>
                <w:color w:val="auto"/>
              </w:rPr>
            </w:pPr>
            <w:r>
              <w:rPr>
                <w:rFonts w:ascii="Arial" w:cs="Arial" w:eastAsia="Arial" w:hAnsi="Arial"/>
                <w:sz w:val="13"/>
                <w:szCs w:val="13"/>
                <w:color w:val="auto"/>
              </w:rPr>
              <w:t>27.1%</w:t>
            </w:r>
          </w:p>
        </w:tc>
        <w:tc>
          <w:tcPr>
            <w:tcW w:w="1320" w:type="dxa"/>
            <w:vAlign w:val="bottom"/>
            <w:gridSpan w:val="2"/>
          </w:tcPr>
          <w:p>
            <w:pPr>
              <w:jc w:val="right"/>
              <w:ind w:right="228"/>
              <w:spacing w:after="0"/>
              <w:rPr>
                <w:sz w:val="20"/>
                <w:szCs w:val="20"/>
                <w:color w:val="auto"/>
              </w:rPr>
            </w:pPr>
            <w:r>
              <w:rPr>
                <w:rFonts w:ascii="Arial" w:cs="Arial" w:eastAsia="Arial" w:hAnsi="Arial"/>
                <w:sz w:val="13"/>
                <w:szCs w:val="13"/>
                <w:color w:val="auto"/>
              </w:rPr>
              <w:t>15.6%</w:t>
            </w:r>
          </w:p>
        </w:tc>
        <w:tc>
          <w:tcPr>
            <w:tcW w:w="1300" w:type="dxa"/>
            <w:vAlign w:val="bottom"/>
            <w:gridSpan w:val="2"/>
          </w:tcPr>
          <w:p>
            <w:pPr>
              <w:jc w:val="right"/>
              <w:ind w:right="228"/>
              <w:spacing w:after="0"/>
              <w:rPr>
                <w:sz w:val="20"/>
                <w:szCs w:val="20"/>
                <w:color w:val="auto"/>
              </w:rPr>
            </w:pPr>
            <w:r>
              <w:rPr>
                <w:rFonts w:ascii="Arial" w:cs="Arial" w:eastAsia="Arial" w:hAnsi="Arial"/>
                <w:sz w:val="13"/>
                <w:szCs w:val="13"/>
                <w:color w:val="auto"/>
              </w:rPr>
              <w:t>15.0%</w:t>
            </w:r>
          </w:p>
        </w:tc>
      </w:tr>
      <w:tr>
        <w:trPr>
          <w:trHeight w:val="157"/>
        </w:trPr>
        <w:tc>
          <w:tcPr>
            <w:tcW w:w="6540" w:type="dxa"/>
            <w:vAlign w:val="bottom"/>
            <w:shd w:val="clear" w:color="auto" w:fill="CCEEFF"/>
          </w:tcPr>
          <w:p>
            <w:pPr>
              <w:jc w:val="right"/>
              <w:ind w:right="6194"/>
              <w:spacing w:after="0"/>
              <w:rPr>
                <w:sz w:val="20"/>
                <w:szCs w:val="20"/>
                <w:color w:val="auto"/>
              </w:rPr>
            </w:pPr>
            <w:r>
              <w:rPr>
                <w:rFonts w:ascii="Arial" w:cs="Arial" w:eastAsia="Arial" w:hAnsi="Arial"/>
                <w:sz w:val="13"/>
                <w:szCs w:val="13"/>
                <w:color w:val="auto"/>
                <w:w w:val="89"/>
              </w:rPr>
              <w:t>2008</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22.2%</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14.3%</w:t>
            </w:r>
          </w:p>
        </w:tc>
        <w:tc>
          <w:tcPr>
            <w:tcW w:w="13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14.1%</w:t>
            </w:r>
          </w:p>
        </w:tc>
      </w:tr>
    </w:tbl>
    <w:p>
      <w:pPr>
        <w:spacing w:after="0" w:line="1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80" w:type="dxa"/>
            <w:vAlign w:val="bottom"/>
          </w:tcPr>
          <w:p>
            <w:pPr>
              <w:spacing w:after="0"/>
              <w:rPr>
                <w:sz w:val="20"/>
                <w:szCs w:val="20"/>
                <w:color w:val="auto"/>
              </w:rPr>
            </w:pPr>
            <w:r>
              <w:rPr>
                <w:rFonts w:ascii="Arial" w:cs="Arial" w:eastAsia="Arial" w:hAnsi="Arial"/>
                <w:sz w:val="13"/>
                <w:szCs w:val="13"/>
                <w:b w:val="1"/>
                <w:bCs w:val="1"/>
                <w:color w:val="auto"/>
              </w:rPr>
              <w:t>NOTE 21.</w:t>
            </w:r>
          </w:p>
        </w:tc>
        <w:tc>
          <w:tcPr>
            <w:tcW w:w="7080" w:type="dxa"/>
            <w:vAlign w:val="bottom"/>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160" w:type="dxa"/>
            <w:vAlign w:val="bottom"/>
            <w:gridSpan w:val="2"/>
          </w:tcPr>
          <w:p>
            <w:pPr>
              <w:ind w:left="400"/>
              <w:spacing w:after="0"/>
              <w:rPr>
                <w:sz w:val="20"/>
                <w:szCs w:val="20"/>
                <w:color w:val="auto"/>
              </w:rPr>
            </w:pPr>
            <w:r>
              <w:rPr>
                <w:rFonts w:ascii="Arial" w:cs="Arial" w:eastAsia="Arial" w:hAnsi="Arial"/>
                <w:sz w:val="13"/>
                <w:szCs w:val="13"/>
                <w:color w:val="auto"/>
              </w:rPr>
              <w:t>Other (income) expense consisted of the following for the fiscal years ended September 30 (in millions):</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w w:val="92"/>
              </w:rPr>
              <w:t>Royalty income, net</w:t>
            </w:r>
          </w:p>
        </w:tc>
        <w:tc>
          <w:tcPr>
            <w:tcW w:w="70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0"/>
              </w:rPr>
              <w:t>$ (4.5)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89"/>
              </w:rPr>
              <w:t>(4.1)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0"/>
              </w:rPr>
              <w:t>$ (9.6)</w:t>
            </w:r>
          </w:p>
        </w:tc>
        <w:tc>
          <w:tcPr>
            <w:tcW w:w="0" w:type="dxa"/>
            <w:vAlign w:val="bottom"/>
          </w:tcPr>
          <w:p>
            <w:pPr>
              <w:spacing w:after="0"/>
              <w:rPr>
                <w:sz w:val="1"/>
                <w:szCs w:val="1"/>
                <w:color w:val="auto"/>
              </w:rPr>
            </w:pPr>
          </w:p>
        </w:tc>
      </w:tr>
      <w:tr>
        <w:trPr>
          <w:trHeight w:val="157"/>
        </w:trPr>
        <w:tc>
          <w:tcPr>
            <w:tcW w:w="8160" w:type="dxa"/>
            <w:vAlign w:val="bottom"/>
            <w:gridSpan w:val="2"/>
          </w:tcPr>
          <w:p>
            <w:pPr>
              <w:spacing w:after="0"/>
              <w:rPr>
                <w:sz w:val="20"/>
                <w:szCs w:val="20"/>
                <w:color w:val="auto"/>
              </w:rPr>
            </w:pPr>
            <w:r>
              <w:rPr>
                <w:rFonts w:ascii="Arial" w:cs="Arial" w:eastAsia="Arial" w:hAnsi="Arial"/>
                <w:sz w:val="13"/>
                <w:szCs w:val="13"/>
                <w:color w:val="auto"/>
              </w:rPr>
              <w:t>Gain from peat transaction</w:t>
            </w: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3"/>
                <w:szCs w:val="13"/>
                <w:color w:val="auto"/>
                <w:w w:val="89"/>
              </w:rPr>
              <w:t>(1.0)</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Franchise fees</w:t>
            </w:r>
          </w:p>
        </w:tc>
        <w:tc>
          <w:tcPr>
            <w:tcW w:w="70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89"/>
              </w:rPr>
              <w:t>(0.6)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8160" w:type="dxa"/>
            <w:vAlign w:val="bottom"/>
            <w:gridSpan w:val="2"/>
          </w:tcPr>
          <w:p>
            <w:pPr>
              <w:spacing w:after="0"/>
              <w:rPr>
                <w:sz w:val="20"/>
                <w:szCs w:val="20"/>
                <w:color w:val="auto"/>
              </w:rPr>
            </w:pPr>
            <w:r>
              <w:rPr>
                <w:rFonts w:ascii="Arial" w:cs="Arial" w:eastAsia="Arial" w:hAnsi="Arial"/>
                <w:sz w:val="13"/>
                <w:szCs w:val="13"/>
                <w:color w:val="auto"/>
              </w:rPr>
              <w:t>Foreign currency losses</w:t>
            </w:r>
          </w:p>
        </w:tc>
        <w:tc>
          <w:tcPr>
            <w:tcW w:w="300" w:type="dxa"/>
            <w:vAlign w:val="bottom"/>
          </w:tcPr>
          <w:p>
            <w:pPr>
              <w:jc w:val="right"/>
              <w:spacing w:after="0"/>
              <w:rPr>
                <w:sz w:val="20"/>
                <w:szCs w:val="20"/>
                <w:color w:val="auto"/>
              </w:rPr>
            </w:pPr>
            <w:r>
              <w:rPr>
                <w:rFonts w:ascii="Arial" w:cs="Arial" w:eastAsia="Arial" w:hAnsi="Arial"/>
                <w:sz w:val="13"/>
                <w:szCs w:val="13"/>
                <w:color w:val="auto"/>
              </w:rPr>
              <w:t>0.3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0.1</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7"/>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70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7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70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w w:val="90"/>
              </w:rPr>
              <w:t>$ (8.2)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0.3</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w w:val="90"/>
              </w:rPr>
              <w:t>$ (7.7)</w:t>
            </w:r>
          </w:p>
        </w:tc>
        <w:tc>
          <w:tcPr>
            <w:tcW w:w="0" w:type="dxa"/>
            <w:vAlign w:val="bottom"/>
          </w:tcPr>
          <w:p>
            <w:pPr>
              <w:spacing w:after="0"/>
              <w:rPr>
                <w:sz w:val="1"/>
                <w:szCs w:val="1"/>
                <w:color w:val="auto"/>
              </w:rPr>
            </w:pPr>
          </w:p>
        </w:tc>
      </w:tr>
      <w:tr>
        <w:trPr>
          <w:trHeight w:val="30"/>
        </w:trPr>
        <w:tc>
          <w:tcPr>
            <w:tcW w:w="10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22.</w:t>
      </w:r>
      <w:r>
        <w:rPr>
          <w:sz w:val="20"/>
          <w:szCs w:val="20"/>
          <w:color w:val="auto"/>
        </w:rPr>
        <w:tab/>
      </w:r>
      <w:r>
        <w:rPr>
          <w:rFonts w:ascii="Arial" w:cs="Arial" w:eastAsia="Arial" w:hAnsi="Arial"/>
          <w:sz w:val="13"/>
          <w:szCs w:val="13"/>
          <w:b w:val="1"/>
          <w:bCs w:val="1"/>
          <w:color w:val="auto"/>
        </w:rPr>
        <w:t>SEGMENT INFORMATION</w:t>
      </w:r>
    </w:p>
    <w:p>
      <w:pPr>
        <w:spacing w:after="0" w:line="98"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color w:val="auto"/>
        </w:rPr>
        <w:t>The Company divides its business into the following segments — Global Consumer, Global Professional and Scotts LawnService</w:t>
      </w:r>
      <w:r>
        <w:rPr>
          <w:rFonts w:ascii="Arial" w:cs="Arial" w:eastAsia="Arial" w:hAnsi="Arial"/>
          <w:sz w:val="10"/>
          <w:szCs w:val="10"/>
          <w:color w:val="auto"/>
        </w:rPr>
        <w:t>®</w:t>
      </w:r>
      <w:r>
        <w:rPr>
          <w:rFonts w:ascii="Arial" w:cs="Arial" w:eastAsia="Arial" w:hAnsi="Arial"/>
          <w:sz w:val="12"/>
          <w:szCs w:val="12"/>
          <w:color w:val="auto"/>
        </w:rPr>
        <w:t>. For the first three quarters of fiscal 2010, the Company included Corporate &amp; Other as a separate reportable segment. That segment included the Smith &amp; Hawken business until the first quarter of fiscal 2010, at which time substantially all operational activities of Smith &amp; Hawken were discontinued and the Company classified Smith &amp; Hawken as discontinued operations. As a result, Corporate activity is no longer presented as part of a segment. This division of reportable segments is consistent with how the segments report to and are managed by senior management of the Company.</w:t>
      </w:r>
    </w:p>
    <w:p>
      <w:pPr>
        <w:spacing w:after="0" w:line="53"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Certain reclassifications were made to the Global Consumer and Global Professional prior period amounts to reflect changes in the structure of the Company’s organization effective in fiscal 2010. For fiscal 2010, the Company’s consumer businesses in Australia, Latin America and Italy were reported as part of its Global Consumer segment. Previously, these businesses were reported as part of the Company’s Global Professional segment.</w:t>
      </w:r>
    </w:p>
    <w:p>
      <w:pPr>
        <w:spacing w:after="0" w:line="67"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1"/>
          <w:szCs w:val="11"/>
          <w:color w:val="auto"/>
        </w:rPr>
        <w:t>The Global Consumer segment consists of the U.S.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wild bird food, pesticide and rodenticide products. Products are marketed to mass merchandisers, home centers, large hardware chains, warehouse clubs, distributors, garden centers and grocers in the United States, Canada, Europe, Latin America, and Australia.</w:t>
      </w:r>
    </w:p>
    <w:p>
      <w:pPr>
        <w:spacing w:after="0" w:line="3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Global Professional segment is focused on a full line of horticultural products including controlled-release and water-soluble fertilizers and plant protection products, wetting agents, grass seed products, spreaders and customer application services. Products are sold to commercial nurseries and greenhouses and specialty crop growers, primarily in North America and Europe. On August 10, 2010, the Company indicated it is actively exploring strategic alternatives for its Global Professional business segment. These strategic alternatives include the potential divestiture of that segment, consistent with the Company’s previously stated intent to focus on its core Global Consumer business segment.</w:t>
      </w: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840" w:firstLine="399"/>
        <w:spacing w:after="0" w:line="280" w:lineRule="auto"/>
        <w:rPr>
          <w:sz w:val="20"/>
          <w:szCs w:val="20"/>
          <w:color w:val="auto"/>
        </w:rPr>
      </w:pPr>
      <w:r>
        <w:rPr>
          <w:rFonts w:ascii="Arial" w:cs="Arial" w:eastAsia="Arial" w:hAnsi="Arial"/>
          <w:sz w:val="13"/>
          <w:szCs w:val="13"/>
          <w:color w:val="auto"/>
        </w:rPr>
        <w:t>The Scotts LawnService</w:t>
      </w:r>
      <w:r>
        <w:rPr>
          <w:rFonts w:ascii="Arial" w:cs="Arial" w:eastAsia="Arial" w:hAnsi="Arial"/>
          <w:sz w:val="11"/>
          <w:szCs w:val="11"/>
          <w:color w:val="auto"/>
        </w:rPr>
        <w:t>®</w:t>
      </w:r>
      <w:r>
        <w:rPr>
          <w:rFonts w:ascii="Arial" w:cs="Arial" w:eastAsia="Arial" w:hAnsi="Arial"/>
          <w:sz w:val="13"/>
          <w:szCs w:val="13"/>
          <w:color w:val="auto"/>
        </w:rPr>
        <w:t xml:space="preserve"> segment provides residential and commercial lawn fertilization, disease and insect control and other related services such as tree and shrub fertilization and limited pest control services through Company-owned branches and franchises in the United States.</w:t>
      </w:r>
    </w:p>
    <w:p>
      <w:pPr>
        <w:spacing w:after="0" w:line="56" w:lineRule="exact"/>
        <w:rPr>
          <w:sz w:val="20"/>
          <w:szCs w:val="20"/>
          <w:color w:val="auto"/>
        </w:rPr>
      </w:pPr>
    </w:p>
    <w:p>
      <w:pPr>
        <w:ind w:left="680" w:right="900" w:firstLine="399"/>
        <w:spacing w:after="0" w:line="322" w:lineRule="auto"/>
        <w:rPr>
          <w:sz w:val="20"/>
          <w:szCs w:val="20"/>
          <w:color w:val="auto"/>
        </w:rPr>
      </w:pPr>
      <w:r>
        <w:rPr>
          <w:rFonts w:ascii="Arial" w:cs="Arial" w:eastAsia="Arial" w:hAnsi="Arial"/>
          <w:sz w:val="11"/>
          <w:szCs w:val="11"/>
          <w:color w:val="auto"/>
        </w:rPr>
        <w:t>The accounting policies of the segments are the same as those described in the “NOTE 1. SUMMARY OF SIGNIFICANT ACCOUNTING POLICIES.” The Company evaluates segment performance based on several factors, including income from operations before amortization, product registration and recall costs, and impairment, restructuring and other charges. Management uses this measure of operating profit to gauge segment performance because the Company believes this metric is the most indicative of performance trends and the overall earnings potential of each segment. Total assets reported for the Company’s operating segments include the intangible assets for the acquired businesses within those segments.</w:t>
      </w:r>
    </w:p>
    <w:p>
      <w:pPr>
        <w:spacing w:after="0" w:line="39"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Corporate consists primarily of unallocated corporate general and administrative expenses and certain other income/expense items not allocated to the business segments. Corporate assets primarily include deferred financing and debt issuance costs and corporate intangible assets, as well as deferred tax assets. For capital expenditures and total assets, Corporate also includes Smith &amp; Hawken, which is classified as discontinued operations on the Consolidated Statements of Operations.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summarized financial information concerning the Company’s reportable segments for fiscal years ended September 30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Global Consumer</w:t>
            </w:r>
          </w:p>
        </w:tc>
        <w:tc>
          <w:tcPr>
            <w:tcW w:w="336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2,649.7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2,485.3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2,282.5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Global Professional</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266.9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265.4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224.1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231.1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247.4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Segment total</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3,140.7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2,981.8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2,846.3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Roundup</w:t>
            </w:r>
            <w:r>
              <w:rPr>
                <w:rFonts w:ascii="Arial" w:cs="Arial" w:eastAsia="Arial" w:hAnsi="Arial"/>
                <w:sz w:val="11"/>
                <w:szCs w:val="11"/>
                <w:color w:val="auto"/>
              </w:rPr>
              <w:t>®</w:t>
            </w:r>
            <w:r>
              <w:rPr>
                <w:rFonts w:ascii="Arial" w:cs="Arial" w:eastAsia="Arial" w:hAnsi="Arial"/>
                <w:sz w:val="13"/>
                <w:szCs w:val="13"/>
                <w:color w:val="auto"/>
              </w:rPr>
              <w:t xml:space="preserve"> amortization</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(0.8)</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(0.8)</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registration and recall matters — returns</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3,139.9</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2,980.</w:t>
            </w:r>
            <w:r>
              <w:rPr>
                <w:rFonts w:ascii="Arial" w:cs="Arial" w:eastAsia="Arial" w:hAnsi="Arial"/>
                <w:sz w:val="13"/>
                <w:szCs w:val="13"/>
                <w:u w:val="single" w:color="auto"/>
                <w:color w:val="auto"/>
              </w:rPr>
              <w:t>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2,823.2</w:t>
            </w: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3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Global Consumer</w:t>
            </w:r>
          </w:p>
        </w:tc>
        <w:tc>
          <w:tcPr>
            <w:tcW w:w="336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504.1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430.1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346.5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Global Professional</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19.0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Segment total</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467.7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389.5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Corporate</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(117.8)</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(129.0)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Roundup</w:t>
            </w:r>
            <w:r>
              <w:rPr>
                <w:rFonts w:ascii="Arial" w:cs="Arial" w:eastAsia="Arial" w:hAnsi="Arial"/>
                <w:sz w:val="11"/>
                <w:szCs w:val="11"/>
                <w:color w:val="auto"/>
              </w:rPr>
              <w:t>®</w:t>
            </w:r>
            <w:r>
              <w:rPr>
                <w:rFonts w:ascii="Arial" w:cs="Arial" w:eastAsia="Arial" w:hAnsi="Arial"/>
                <w:sz w:val="13"/>
                <w:szCs w:val="13"/>
                <w:color w:val="auto"/>
              </w:rPr>
              <w:t xml:space="preserve"> amortization</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Amortization</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(10.1)</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(11.7)</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(15.1)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registration and recall matters</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Impairment of assets</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(18.5)</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(111.1)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384.6</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0" w:type="dxa"/>
            <w:vAlign w:val="bottom"/>
          </w:tcPr>
          <w:p>
            <w:pPr>
              <w:jc w:val="right"/>
              <w:ind w:right="1834"/>
              <w:spacing w:after="0"/>
              <w:rPr>
                <w:sz w:val="20"/>
                <w:szCs w:val="20"/>
                <w:color w:val="auto"/>
              </w:rPr>
            </w:pPr>
            <w:r>
              <w:rPr>
                <w:rFonts w:ascii="Arial" w:cs="Arial" w:eastAsia="Arial" w:hAnsi="Arial"/>
                <w:sz w:val="13"/>
                <w:szCs w:val="13"/>
                <w:color w:val="auto"/>
              </w:rPr>
              <w:t>110</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&amp; amortization:</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Global Consumer</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41.0</w:t>
            </w:r>
          </w:p>
        </w:tc>
        <w:tc>
          <w:tcPr>
            <w:tcW w:w="140" w:type="dxa"/>
            <w:vAlign w:val="bottom"/>
          </w:tcPr>
          <w:p>
            <w:pPr>
              <w:jc w:val="right"/>
              <w:ind w:right="3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39.7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42.2</w:t>
            </w: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Global Professional</w:t>
            </w:r>
          </w:p>
        </w:tc>
        <w:tc>
          <w:tcPr>
            <w:tcW w:w="16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5.2</w:t>
            </w: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4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00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59.4</w:t>
            </w:r>
          </w:p>
        </w:tc>
        <w:tc>
          <w:tcPr>
            <w:tcW w:w="400" w:type="dxa"/>
            <w:vAlign w:val="bottom"/>
          </w:tcPr>
          <w:p>
            <w:pPr>
              <w:spacing w:after="0"/>
              <w:rPr>
                <w:sz w:val="14"/>
                <w:szCs w:val="14"/>
                <w:color w:val="auto"/>
              </w:rPr>
            </w:pPr>
          </w:p>
        </w:tc>
        <w:tc>
          <w:tcPr>
            <w:tcW w:w="140" w:type="dxa"/>
            <w:vAlign w:val="bottom"/>
          </w:tcPr>
          <w:p>
            <w:pPr>
              <w:jc w:val="right"/>
              <w:ind w:right="3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60.4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70.3</w:t>
            </w:r>
          </w:p>
        </w:tc>
      </w:tr>
      <w:tr>
        <w:trPr>
          <w:trHeight w:val="165"/>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Global Consumer</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72.2</w:t>
            </w:r>
          </w:p>
        </w:tc>
        <w:tc>
          <w:tcPr>
            <w:tcW w:w="140" w:type="dxa"/>
            <w:vAlign w:val="bottom"/>
          </w:tcPr>
          <w:p>
            <w:pPr>
              <w:jc w:val="right"/>
              <w:ind w:right="3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62.6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50.2</w:t>
            </w: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Global Professional</w:t>
            </w:r>
          </w:p>
        </w:tc>
        <w:tc>
          <w:tcPr>
            <w:tcW w:w="16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00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83.4</w:t>
            </w:r>
          </w:p>
        </w:tc>
        <w:tc>
          <w:tcPr>
            <w:tcW w:w="400" w:type="dxa"/>
            <w:vAlign w:val="bottom"/>
          </w:tcPr>
          <w:p>
            <w:pPr>
              <w:spacing w:after="0"/>
              <w:rPr>
                <w:sz w:val="14"/>
                <w:szCs w:val="14"/>
                <w:color w:val="auto"/>
              </w:rPr>
            </w:pPr>
          </w:p>
        </w:tc>
        <w:tc>
          <w:tcPr>
            <w:tcW w:w="140" w:type="dxa"/>
            <w:vAlign w:val="bottom"/>
          </w:tcPr>
          <w:p>
            <w:pPr>
              <w:jc w:val="right"/>
              <w:ind w:right="3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75.4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60.2</w:t>
            </w:r>
          </w:p>
        </w:tc>
      </w:tr>
      <w:tr>
        <w:trPr>
          <w:trHeight w:val="295"/>
        </w:trPr>
        <w:tc>
          <w:tcPr>
            <w:tcW w:w="70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24"/>
                <w:szCs w:val="24"/>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Global Consumer</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jc w:val="right"/>
              <w:ind w:right="58"/>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1,457.4</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1,504.5</w:t>
            </w: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Global Professional</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334.1</w:t>
            </w: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Scotts LawnService</w:t>
            </w: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177.7</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176.1</w:t>
            </w: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206.7</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205.4</w:t>
            </w:r>
          </w:p>
        </w:tc>
      </w:tr>
      <w:tr>
        <w:trPr>
          <w:trHeight w:val="20"/>
        </w:trPr>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jc w:val="right"/>
              <w:ind w:right="58"/>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2,164.0</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2,220.1</w:t>
            </w:r>
          </w:p>
        </w:tc>
      </w:tr>
      <w:tr>
        <w:trPr>
          <w:trHeight w:val="30"/>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The following table presents net sales and long-lived assets (property, plant and equipment and finite-lived intangibles) by geographic area for fiscal 2010, fiscal 2009 and fiscal 2008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4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42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2,479.6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2,367.3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2,121.6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International</w:t>
            </w:r>
          </w:p>
        </w:tc>
        <w:tc>
          <w:tcPr>
            <w:tcW w:w="4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613.4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701.6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3,139.9</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2,980.7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2,823.2</w:t>
            </w: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Long-lived assets:</w:t>
            </w:r>
          </w:p>
        </w:tc>
        <w:tc>
          <w:tcPr>
            <w:tcW w:w="40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294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42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407.8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358.3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338.1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International</w:t>
            </w:r>
          </w:p>
        </w:tc>
        <w:tc>
          <w:tcPr>
            <w:tcW w:w="4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491.5</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454.5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432.7</w:t>
            </w:r>
          </w:p>
        </w:tc>
        <w:tc>
          <w:tcPr>
            <w:tcW w:w="800" w:type="dxa"/>
            <w:vAlign w:val="bottom"/>
          </w:tcPr>
          <w:p>
            <w:pPr>
              <w:spacing w:after="0"/>
              <w:rPr>
                <w:sz w:val="14"/>
                <w:szCs w:val="14"/>
                <w:color w:val="auto"/>
              </w:rPr>
            </w:pPr>
          </w:p>
        </w:tc>
      </w:tr>
      <w:tr>
        <w:trPr>
          <w:trHeight w:val="303"/>
        </w:trPr>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60" w:type="dxa"/>
            <w:vAlign w:val="bottom"/>
          </w:tcPr>
          <w:p>
            <w:pPr>
              <w:jc w:val="right"/>
              <w:ind w:right="1834"/>
              <w:spacing w:after="0"/>
              <w:rPr>
                <w:sz w:val="20"/>
                <w:szCs w:val="20"/>
                <w:color w:val="auto"/>
              </w:rPr>
            </w:pPr>
            <w:r>
              <w:rPr>
                <w:rFonts w:ascii="Arial" w:cs="Arial" w:eastAsia="Arial" w:hAnsi="Arial"/>
                <w:sz w:val="13"/>
                <w:szCs w:val="13"/>
                <w:color w:val="auto"/>
              </w:rPr>
              <w:t>111</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40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23.</w:t>
      </w:r>
      <w:r>
        <w:rPr>
          <w:sz w:val="20"/>
          <w:szCs w:val="20"/>
          <w:color w:val="auto"/>
        </w:rPr>
        <w:tab/>
      </w:r>
      <w:r>
        <w:rPr>
          <w:rFonts w:ascii="Arial" w:cs="Arial" w:eastAsia="Arial" w:hAnsi="Arial"/>
          <w:sz w:val="13"/>
          <w:szCs w:val="13"/>
          <w:b w:val="1"/>
          <w:bCs w:val="1"/>
          <w:color w:val="auto"/>
        </w:rPr>
        <w:t>QUARTERLY CONSOLIDATED FINANCIAL INFORMATION (UNAUDITED)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the unaudited quarterly results of operations for fiscal 2010 and fiscal 2009 (in millions, except per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First</w:t>
            </w:r>
          </w:p>
        </w:tc>
        <w:tc>
          <w:tcPr>
            <w:tcW w:w="120" w:type="dxa"/>
            <w:vAlign w:val="bottom"/>
          </w:tcPr>
          <w:p>
            <w:pPr>
              <w:spacing w:after="0"/>
              <w:rPr>
                <w:sz w:val="10"/>
                <w:szCs w:val="10"/>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9"/>
              </w:rPr>
              <w:t>Second</w:t>
            </w:r>
          </w:p>
        </w:tc>
        <w:tc>
          <w:tcPr>
            <w:tcW w:w="120" w:type="dxa"/>
            <w:vAlign w:val="bottom"/>
          </w:tcPr>
          <w:p>
            <w:pPr>
              <w:spacing w:after="0"/>
              <w:rPr>
                <w:sz w:val="10"/>
                <w:szCs w:val="10"/>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Third</w:t>
            </w:r>
          </w:p>
        </w:tc>
        <w:tc>
          <w:tcPr>
            <w:tcW w:w="60" w:type="dxa"/>
            <w:vAlign w:val="bottom"/>
          </w:tcPr>
          <w:p>
            <w:pPr>
              <w:spacing w:after="0"/>
              <w:rPr>
                <w:sz w:val="10"/>
                <w:szCs w:val="10"/>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Fourth</w:t>
            </w:r>
          </w:p>
        </w:tc>
        <w:tc>
          <w:tcPr>
            <w:tcW w:w="100" w:type="dxa"/>
            <w:vAlign w:val="bottom"/>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Full Year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3"/>
              </w:rPr>
              <w:t>Quarter</w:t>
            </w:r>
          </w:p>
        </w:tc>
        <w:tc>
          <w:tcPr>
            <w:tcW w:w="120" w:type="dxa"/>
            <w:vAlign w:val="bottom"/>
          </w:tcPr>
          <w:p>
            <w:pPr>
              <w:spacing w:after="0"/>
              <w:rPr>
                <w:sz w:val="10"/>
                <w:szCs w:val="10"/>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120" w:type="dxa"/>
            <w:vAlign w:val="bottom"/>
          </w:tcPr>
          <w:p>
            <w:pPr>
              <w:spacing w:after="0"/>
              <w:rPr>
                <w:sz w:val="10"/>
                <w:szCs w:val="1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78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rPr>
              <w:t>Quarter</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FISCAL 2010</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Net sales</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302.2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1,123.1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1,238.9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475.7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3,139.9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65.1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436.0</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504.8</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141.4</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Income (loss) from continuing operations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(49.8)</w:t>
            </w: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119.9</w:t>
            </w:r>
          </w:p>
        </w:tc>
        <w:tc>
          <w:tcPr>
            <w:tcW w:w="12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175.9</w:t>
            </w:r>
          </w:p>
        </w:tc>
        <w:tc>
          <w:tcPr>
            <w:tcW w:w="6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212.4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discontinued operations, net of tax</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Net income (loss)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(57.7)</w:t>
            </w: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118.5</w:t>
            </w:r>
          </w:p>
        </w:tc>
        <w:tc>
          <w:tcPr>
            <w:tcW w:w="12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175.9</w:t>
            </w:r>
          </w:p>
        </w:tc>
        <w:tc>
          <w:tcPr>
            <w:tcW w:w="6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204.1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(loss) per common share:</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ind w:left="140"/>
              <w:spacing w:after="0"/>
              <w:rPr>
                <w:sz w:val="20"/>
                <w:szCs w:val="20"/>
                <w:color w:val="auto"/>
              </w:rPr>
            </w:pPr>
            <w:r>
              <w:rPr>
                <w:rFonts w:ascii="Arial" w:cs="Arial" w:eastAsia="Arial" w:hAnsi="Arial"/>
                <w:sz w:val="13"/>
                <w:szCs w:val="13"/>
                <w:color w:val="auto"/>
              </w:rPr>
              <w:t>Income (loss) from continuing operations</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(0.76)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1.81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2.65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(0.51)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(loss) from discontinued operations, net of tax</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(0.12)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(0.02)</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20" w:type="dxa"/>
            <w:vAlign w:val="bottom"/>
            <w:vMerge w:val="restart"/>
          </w:tcPr>
          <w:p>
            <w:pPr>
              <w:ind w:left="140"/>
              <w:spacing w:after="0"/>
              <w:rPr>
                <w:sz w:val="20"/>
                <w:szCs w:val="20"/>
                <w:color w:val="auto"/>
              </w:rPr>
            </w:pPr>
            <w:r>
              <w:rPr>
                <w:rFonts w:ascii="Arial" w:cs="Arial" w:eastAsia="Arial" w:hAnsi="Arial"/>
                <w:sz w:val="13"/>
                <w:szCs w:val="13"/>
                <w:color w:val="auto"/>
              </w:rPr>
              <w:t>Net income (loss)</w:t>
            </w: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2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(0.88)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1.79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2.65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(0.49)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Common shares used in basic EPS calculation</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65.9</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66.2</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66.5</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66.5</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Diluted earnings (loss) per common share:</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(loss) from continuing operations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(0.76)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ind w:left="140"/>
              <w:spacing w:after="0"/>
              <w:rPr>
                <w:sz w:val="20"/>
                <w:szCs w:val="20"/>
                <w:color w:val="auto"/>
              </w:rPr>
            </w:pPr>
            <w:r>
              <w:rPr>
                <w:rFonts w:ascii="Arial" w:cs="Arial" w:eastAsia="Arial" w:hAnsi="Arial"/>
                <w:sz w:val="13"/>
                <w:szCs w:val="13"/>
                <w:color w:val="auto"/>
              </w:rPr>
              <w:t>Income (loss) from discontinued operations, net of tax</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(0.12)</w:t>
            </w:r>
          </w:p>
        </w:tc>
        <w:tc>
          <w:tcPr>
            <w:tcW w:w="12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(0.02)</w:t>
            </w:r>
          </w:p>
        </w:tc>
        <w:tc>
          <w:tcPr>
            <w:tcW w:w="12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(0.12)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(0.88)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20" w:type="dxa"/>
            <w:vAlign w:val="bottom"/>
            <w:vMerge w:val="restart"/>
          </w:tcPr>
          <w:p>
            <w:pPr>
              <w:spacing w:after="0"/>
              <w:rPr>
                <w:sz w:val="20"/>
                <w:szCs w:val="20"/>
                <w:color w:val="auto"/>
              </w:rPr>
            </w:pPr>
            <w:r>
              <w:rPr>
                <w:rFonts w:ascii="Arial" w:cs="Arial" w:eastAsia="Arial" w:hAnsi="Arial"/>
                <w:sz w:val="13"/>
                <w:szCs w:val="13"/>
                <w:color w:val="auto"/>
                <w:w w:val="94"/>
              </w:rPr>
              <w:t>Common shares and dilutive potential common shares used in diluted EPS calculation</w:t>
            </w: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65.9</w:t>
            </w: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67.4</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67.9</w:t>
            </w:r>
          </w:p>
        </w:tc>
        <w:tc>
          <w:tcPr>
            <w:tcW w:w="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66.5</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FISCAL 2009</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Net sales</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286.1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940.7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1,231.4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522.5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2,980.7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77.3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356.3</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475.7</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148.3</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Income (loss) from continuing operations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(52.9)</w:t>
            </w: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84.1</w:t>
            </w:r>
          </w:p>
        </w:tc>
        <w:tc>
          <w:tcPr>
            <w:tcW w:w="12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150.7</w:t>
            </w:r>
          </w:p>
        </w:tc>
        <w:tc>
          <w:tcPr>
            <w:tcW w:w="6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154.6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discontinued operations, net of tax</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(2.9)</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Net income (loss)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77.4</w:t>
            </w:r>
          </w:p>
        </w:tc>
        <w:tc>
          <w:tcPr>
            <w:tcW w:w="12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147.8</w:t>
            </w:r>
          </w:p>
        </w:tc>
        <w:tc>
          <w:tcPr>
            <w:tcW w:w="6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153.3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(loss) per common share:</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ind w:left="140"/>
              <w:spacing w:after="0"/>
              <w:rPr>
                <w:sz w:val="20"/>
                <w:szCs w:val="20"/>
                <w:color w:val="auto"/>
              </w:rPr>
            </w:pPr>
            <w:r>
              <w:rPr>
                <w:rFonts w:ascii="Arial" w:cs="Arial" w:eastAsia="Arial" w:hAnsi="Arial"/>
                <w:sz w:val="13"/>
                <w:szCs w:val="13"/>
                <w:color w:val="auto"/>
              </w:rPr>
              <w:t>Income (loss) from continuing operations</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(0.82)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1.29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2.32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(0.42)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(loss) from discontinued operations, net of tax</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(0.10)</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(0.05)</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0.19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20" w:type="dxa"/>
            <w:vAlign w:val="bottom"/>
            <w:vMerge w:val="restart"/>
          </w:tcPr>
          <w:p>
            <w:pPr>
              <w:ind w:left="140"/>
              <w:spacing w:after="0"/>
              <w:rPr>
                <w:sz w:val="20"/>
                <w:szCs w:val="20"/>
                <w:color w:val="auto"/>
              </w:rPr>
            </w:pPr>
            <w:r>
              <w:rPr>
                <w:rFonts w:ascii="Arial" w:cs="Arial" w:eastAsia="Arial" w:hAnsi="Arial"/>
                <w:sz w:val="13"/>
                <w:szCs w:val="13"/>
                <w:color w:val="auto"/>
              </w:rPr>
              <w:t>Net income (loss)</w:t>
            </w: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2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(0.88)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1.19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2.27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(0.23)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Common shares used in basic EPS calculation</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64.7</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64.9</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65.0</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65.3</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Diluted earnings (loss) per common share:</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(loss) from continuing operations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tcPr>
          <w:p>
            <w:pPr>
              <w:ind w:left="140"/>
              <w:spacing w:after="0"/>
              <w:rPr>
                <w:sz w:val="20"/>
                <w:szCs w:val="20"/>
                <w:color w:val="auto"/>
              </w:rPr>
            </w:pPr>
            <w:r>
              <w:rPr>
                <w:rFonts w:ascii="Arial" w:cs="Arial" w:eastAsia="Arial" w:hAnsi="Arial"/>
                <w:sz w:val="13"/>
                <w:szCs w:val="13"/>
                <w:color w:val="auto"/>
              </w:rPr>
              <w:t>Income (loss) from discontinued operations, net of tax</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(0.06)</w:t>
            </w:r>
          </w:p>
        </w:tc>
        <w:tc>
          <w:tcPr>
            <w:tcW w:w="12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(0.10)</w:t>
            </w:r>
          </w:p>
        </w:tc>
        <w:tc>
          <w:tcPr>
            <w:tcW w:w="12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(0.05)</w:t>
            </w:r>
          </w:p>
        </w:tc>
        <w:tc>
          <w:tcPr>
            <w:tcW w:w="6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0.19</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(0.88)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20" w:type="dxa"/>
            <w:vAlign w:val="bottom"/>
            <w:vMerge w:val="restart"/>
          </w:tcPr>
          <w:p>
            <w:pPr>
              <w:spacing w:after="0"/>
              <w:rPr>
                <w:sz w:val="20"/>
                <w:szCs w:val="20"/>
                <w:color w:val="auto"/>
              </w:rPr>
            </w:pPr>
            <w:r>
              <w:rPr>
                <w:rFonts w:ascii="Arial" w:cs="Arial" w:eastAsia="Arial" w:hAnsi="Arial"/>
                <w:sz w:val="13"/>
                <w:szCs w:val="13"/>
                <w:color w:val="auto"/>
                <w:w w:val="94"/>
              </w:rPr>
              <w:t>Common shares and dilutive potential common shares used in diluted EPS calculation</w:t>
            </w: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64.7</w:t>
            </w: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65.8</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66.1</w:t>
            </w:r>
          </w:p>
        </w:tc>
        <w:tc>
          <w:tcPr>
            <w:tcW w:w="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66.1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880" w:type="dxa"/>
            <w:vAlign w:val="bottom"/>
          </w:tcPr>
          <w:p>
            <w:pPr>
              <w:jc w:val="right"/>
              <w:ind w:right="434"/>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Common share equivalents, such as share-based awards, are excluded from the diluted loss per common share calculation in periods where there is a loss from continuing operations because the effect of their inclusion would be anti-dilutive.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business is highly seasonal, with 70% to 75% of net sales occurring in the second and third fiscal quarters.</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Unusual items during fiscal 2010 consisted of impairment and product registration and recall charges. These items are reflected in the quarterly financial information as follows: first quarter product registration and recall charges of $2.6 million; second quarter product registration and recall charges of $1.7 million; third quarter product registration and recall charges of $1.5 million; and fourth quarter impairment charges of $18.5 million and product registration and recall charges of $2.9 million. Unusual items in discontinued operations consisted of Smith &amp; Hawken restructuring and other charges of $17.1 million in the first quarter, offset by a gain of approximately $18 million from the sale of Smith &amp; Hawken intellectual property; restructuring and other charges of $1.9 million in the second quarter; restructuring and other charges of $0.3 million in the third quarter; and restructuring and other charges of $(1.0) million in the fourth quarter.</w:t>
      </w:r>
    </w:p>
    <w:p>
      <w:pPr>
        <w:spacing w:after="0" w:line="72" w:lineRule="exact"/>
        <w:rPr>
          <w:sz w:val="20"/>
          <w:szCs w:val="20"/>
          <w:color w:val="auto"/>
        </w:rPr>
      </w:pPr>
    </w:p>
    <w:p>
      <w:pPr>
        <w:jc w:val="both"/>
        <w:ind w:left="680" w:right="60" w:firstLine="399"/>
        <w:spacing w:after="0" w:line="289" w:lineRule="auto"/>
        <w:rPr>
          <w:sz w:val="20"/>
          <w:szCs w:val="20"/>
          <w:color w:val="auto"/>
        </w:rPr>
      </w:pPr>
      <w:r>
        <w:rPr>
          <w:rFonts w:ascii="Arial" w:cs="Arial" w:eastAsia="Arial" w:hAnsi="Arial"/>
          <w:sz w:val="12"/>
          <w:szCs w:val="12"/>
          <w:color w:val="auto"/>
        </w:rPr>
        <w:t>Unusual items during fiscal 2009 consisted of product registration and recall charges. These items are reflected in the quarterly financial information as follows: first quarter product registration and recall charges of $7.6 million; second quarter product registration and recall charges of $8.0 million; third quarter product registration and recall charges of $6.4 million; and fourth quarter product registration and recall charges of $6.6 million. Unusual items in discontinued operations consisted of Smith &amp; Hawken restructuring and other charges of $2.7 million in the third quarter and $12.0 million in the fourth quarter, as well as an $18.4 million reduction in deferred tax asset valuation allowances for Smith &amp; Hawken in the fourth quarter.</w:t>
      </w:r>
    </w:p>
    <w:p>
      <w:pPr>
        <w:spacing w:after="0" w:line="128"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24.</w:t>
      </w:r>
      <w:r>
        <w:rPr>
          <w:sz w:val="20"/>
          <w:szCs w:val="20"/>
          <w:color w:val="auto"/>
        </w:rPr>
        <w:tab/>
      </w:r>
      <w:r>
        <w:rPr>
          <w:rFonts w:ascii="Arial" w:cs="Arial" w:eastAsia="Arial" w:hAnsi="Arial"/>
          <w:sz w:val="13"/>
          <w:szCs w:val="13"/>
          <w:b w:val="1"/>
          <w:bCs w:val="1"/>
          <w:color w:val="auto"/>
        </w:rPr>
        <w:t>FINANCIAL INFORMATION FOR SUBSIDIARY GUARANTORS AND NON-GUARANTORS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Senior Notes issued by Scotts Miracle-Gro on January 14, 2010 are guaranteed by certain of its domestic subsidiaries and, therefore, the Company has disclosed condensed,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consolidating financial information in accordance with SEC Regulation S-X Rule 3-10, </w:t>
      </w:r>
      <w:r>
        <w:rPr>
          <w:rFonts w:ascii="Arial" w:cs="Arial" w:eastAsia="Arial" w:hAnsi="Arial"/>
          <w:sz w:val="12"/>
          <w:szCs w:val="12"/>
          <w:i w:val="1"/>
          <w:iCs w:val="1"/>
          <w:color w:val="auto"/>
        </w:rPr>
        <w:t>Financial Statements of Guarantors and Issuers of Guaranteed Securities Registered or Being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Registered</w:t>
      </w:r>
      <w:r>
        <w:rPr>
          <w:rFonts w:ascii="Arial" w:cs="Arial" w:eastAsia="Arial" w:hAnsi="Arial"/>
          <w:sz w:val="12"/>
          <w:szCs w:val="12"/>
          <w:color w:val="auto"/>
        </w:rPr>
        <w:t>. The following 100% directly or indirectly owned subsidiaries fully and unconditionally guarantee the Senior Notes on a joint and several basis: EG Systems, Inc., dba Scotts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LawnService</w:t>
      </w:r>
      <w:r>
        <w:rPr>
          <w:rFonts w:ascii="Arial" w:cs="Arial" w:eastAsia="Arial" w:hAnsi="Arial"/>
          <w:sz w:val="10"/>
          <w:szCs w:val="10"/>
          <w:color w:val="auto"/>
        </w:rPr>
        <w:t>®</w:t>
      </w:r>
      <w:r>
        <w:rPr>
          <w:rFonts w:ascii="Arial" w:cs="Arial" w:eastAsia="Arial" w:hAnsi="Arial"/>
          <w:sz w:val="12"/>
          <w:szCs w:val="12"/>
          <w:color w:val="auto"/>
        </w:rPr>
        <w:t>; Gutwein &amp; Co., Inc.; Hyponex Corporation; Miracle-Gro Lawn Products, Inc.; OMS Investments, Inc.; Rod McLellan Company; Sanford Scientific, Inc.; Scotts Temecula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Operations, LLC; Scotts Manufacturing Company; Scotts Products Co.; Scotts Professional Products Co.; Scotts-Sierra Crop Protection Company; Scotts-Sierra Horticultural Products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Company; Scotts-Sierra Investments, Inc.; SMG Growing Media, Inc.; Swiss Farms Products, Inc.; and The Scotts Company LLC (collectively, the “Guarantors”). Teak 2, Ltd., f/k/a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Smith &amp; Hawken, Ltd., was released from its guarantee under the Senior Notes on March 18, 2010. Accordingly, Teak 2, Ltd. has been classified as a Non-Guarantor for all periods presented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condensed, consolidating financial information accompanying this Note 24.</w:t>
      </w:r>
    </w:p>
    <w:p>
      <w:pPr>
        <w:spacing w:after="0" w:line="8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following information presents condensed, consolidating Statements of Operations and Statements of Cash Flows for each of the three years in the period ended September 30, 2010, and condensed, consolidating Balance Sheets as of September 30, 2010 and 2009. The condensed, consolidating financial information presents, in separate columns, financial information for: Scotts Miracle-Gro on a Parent-only basis, carrying its investment in subsidiaries under the equity method; Guarantors on a combined basis, carrying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senior secured five-year revolving</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160"/>
        <w:spacing w:after="0" w:line="276" w:lineRule="auto"/>
        <w:rPr>
          <w:sz w:val="20"/>
          <w:szCs w:val="20"/>
          <w:color w:val="auto"/>
        </w:rPr>
      </w:pPr>
      <w:r>
        <w:rPr>
          <w:rFonts w:ascii="Arial" w:cs="Arial" w:eastAsia="Arial" w:hAnsi="Arial"/>
          <w:sz w:val="13"/>
          <w:szCs w:val="13"/>
          <w:color w:val="auto"/>
        </w:rPr>
        <w:t>loan facility, the borrowings and related interest expense for the revolving loans outstanding of the Guarantors and Non-Guarantors are also presented in the accompanying Parent-only financial information, and are then eliminated.</w:t>
      </w:r>
    </w:p>
    <w:p>
      <w:pPr>
        <w:spacing w:after="0" w:line="212"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Condensed, Consolidating Statement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fiscal year ended September 30, 2010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ind w:right="35"/>
              <w:spacing w:after="0"/>
              <w:rPr>
                <w:sz w:val="20"/>
                <w:szCs w:val="20"/>
                <w:color w:val="auto"/>
              </w:rPr>
            </w:pPr>
            <w:r>
              <w:rPr>
                <w:rFonts w:ascii="Arial" w:cs="Arial" w:eastAsia="Arial" w:hAnsi="Arial"/>
                <w:sz w:val="10"/>
                <w:szCs w:val="10"/>
                <w:b w:val="1"/>
                <w:bCs w:val="1"/>
                <w:color w:val="auto"/>
              </w:rPr>
              <w:t>Parent</w:t>
            </w:r>
          </w:p>
        </w:tc>
        <w:tc>
          <w:tcPr>
            <w:tcW w:w="4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Subsidiary</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6"/>
              </w:rPr>
              <w:t>Non-</w:t>
            </w:r>
          </w:p>
        </w:tc>
        <w:tc>
          <w:tcPr>
            <w:tcW w:w="100" w:type="dxa"/>
            <w:vAlign w:val="bottom"/>
          </w:tcPr>
          <w:p>
            <w:pPr>
              <w:spacing w:after="0"/>
              <w:rPr>
                <w:sz w:val="10"/>
                <w:szCs w:val="10"/>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0"/>
                <w:szCs w:val="10"/>
                <w:b w:val="1"/>
                <w:bCs w:val="1"/>
                <w:color w:val="auto"/>
                <w:w w:val="94"/>
              </w:rPr>
              <w:t>Eliminations</w:t>
            </w:r>
          </w:p>
        </w:tc>
        <w:tc>
          <w:tcPr>
            <w:tcW w:w="3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Consolidated</w:t>
            </w:r>
          </w:p>
        </w:tc>
        <w:tc>
          <w:tcPr>
            <w:tcW w:w="100" w:type="dxa"/>
            <w:vAlign w:val="bottom"/>
            <w:vMerge w:val="restart"/>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Guarantors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6"/>
              </w:rPr>
              <w:t>Guarantors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2,498.3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3,139.9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Cost of sales</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1,550.5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439.1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1,989.6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 of sales — product registration and recall matters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Gross profit</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944.8</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202.5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1,147.3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596.0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150.7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Impairment, restructuring and other charges</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Product registration and recall matters</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income, net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329.9</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54.7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384.6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Equity income in subsidiaries</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(212.5)</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244.5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Other non-operating income</w:t>
            </w:r>
          </w:p>
        </w:tc>
        <w:tc>
          <w:tcPr>
            <w:tcW w:w="8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(24.0)</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before taxes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198.9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333.2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50.2</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(244.5)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from continuing operations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204.1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212.0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(244.5)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discontinued operations, net of tax</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204.1</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212.0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(244.5)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204.1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w w:val="92"/>
              </w:rPr>
              <w:t>114</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Condensed, Consolidating Statement of Cash Flows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fiscal year ended September 30,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ind w:right="35"/>
              <w:spacing w:after="0"/>
              <w:rPr>
                <w:sz w:val="20"/>
                <w:szCs w:val="20"/>
                <w:color w:val="auto"/>
              </w:rPr>
            </w:pPr>
            <w:r>
              <w:rPr>
                <w:rFonts w:ascii="Arial" w:cs="Arial" w:eastAsia="Arial" w:hAnsi="Arial"/>
                <w:sz w:val="10"/>
                <w:szCs w:val="10"/>
                <w:b w:val="1"/>
                <w:bCs w:val="1"/>
                <w:color w:val="auto"/>
              </w:rPr>
              <w:t>Parent</w:t>
            </w:r>
          </w:p>
        </w:tc>
        <w:tc>
          <w:tcPr>
            <w:tcW w:w="4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Subsidiary</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6"/>
              </w:rPr>
              <w:t>Non-</w:t>
            </w:r>
          </w:p>
        </w:tc>
        <w:tc>
          <w:tcPr>
            <w:tcW w:w="10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Eliminations</w:t>
            </w:r>
          </w:p>
        </w:tc>
        <w:tc>
          <w:tcPr>
            <w:tcW w:w="3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Consolidated</w:t>
            </w:r>
          </w:p>
        </w:tc>
        <w:tc>
          <w:tcPr>
            <w:tcW w:w="100" w:type="dxa"/>
            <w:vAlign w:val="bottom"/>
            <w:vMerge w:val="restart"/>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Guarantors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6"/>
              </w:rPr>
              <w:t>Guarantors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INVESTING ACTIVITIES</w:t>
            </w: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 of long-lived assets</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Investments in property, plant and equipment</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(77.1)</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intellectual property</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Investments in acquired businesses, net of cash acquired</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(71.7)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FINANCING ACTIVITIES</w:t>
            </w: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Borrowings under revolving and bank lines of credit and term loans</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593.4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428.0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Repayments under revolving and bank lines of credit and term loans</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(851.6)</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(539.8)</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(1,391.4)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issuance of 7.25% Senior Notes, net of discount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198.5</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Financing and issuance fees</w:t>
            </w:r>
          </w:p>
        </w:tc>
        <w:tc>
          <w:tcPr>
            <w:tcW w:w="8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paid</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(42.6)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Payments on sellers notes</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 of common shares</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Excess tax benefits from share-based payment arrangements</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received from exercise of stock options</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Intercompany financing</w:t>
            </w:r>
          </w:p>
        </w:tc>
        <w:tc>
          <w:tcPr>
            <w:tcW w:w="8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(143.7)</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52.5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91.2</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(199.9)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Effect of exchange rate changes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and cash equivalents, beginning of year</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64.6</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w w:val="92"/>
              </w:rPr>
              <w:t>115</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Condensed, Consolidating Balance Sheet</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As of September 30,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6"/>
              </w:rPr>
              <w:t>Parent</w:t>
            </w:r>
          </w:p>
        </w:tc>
        <w:tc>
          <w:tcPr>
            <w:tcW w:w="80" w:type="dxa"/>
            <w:vAlign w:val="bottom"/>
          </w:tcPr>
          <w:p>
            <w:pPr>
              <w:spacing w:after="0"/>
              <w:rPr>
                <w:sz w:val="10"/>
                <w:szCs w:val="1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7"/>
              </w:rPr>
              <w:t>Subsidiary</w:t>
            </w:r>
          </w:p>
        </w:tc>
        <w:tc>
          <w:tcPr>
            <w:tcW w:w="80" w:type="dxa"/>
            <w:vAlign w:val="bottom"/>
          </w:tcPr>
          <w:p>
            <w:pPr>
              <w:spacing w:after="0"/>
              <w:rPr>
                <w:sz w:val="10"/>
                <w:szCs w:val="10"/>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6"/>
              </w:rPr>
              <w:t>Guarantors</w:t>
            </w:r>
          </w:p>
        </w:tc>
        <w:tc>
          <w:tcPr>
            <w:tcW w:w="80" w:type="dxa"/>
            <w:vAlign w:val="bottom"/>
          </w:tcPr>
          <w:p>
            <w:pPr>
              <w:spacing w:after="0"/>
              <w:rPr>
                <w:sz w:val="10"/>
                <w:szCs w:val="1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2"/>
              </w:rPr>
              <w:t>Guarantors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42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Current assets: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284.5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123.9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408.4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 net</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Prepaid and other assets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99.0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693.6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338.2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394.8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Intangible assets, net</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275.2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Equity investment in subsidiaries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773.7</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(773.7)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Intercompany receivables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(496.1)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1,283.7</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1,628.2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567.1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(1,315.0)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2,164.0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3840" w:type="dxa"/>
            <w:vAlign w:val="bottom"/>
            <w:gridSpan w:val="7"/>
            <w:shd w:val="clear" w:color="auto" w:fill="CCEEFF"/>
          </w:tcPr>
          <w:p>
            <w:pPr>
              <w:jc w:val="center"/>
              <w:ind w:left="134"/>
              <w:spacing w:after="0"/>
              <w:rPr>
                <w:sz w:val="20"/>
                <w:szCs w:val="20"/>
                <w:color w:val="auto"/>
              </w:rPr>
            </w:pPr>
            <w:r>
              <w:rPr>
                <w:rFonts w:ascii="Arial" w:cs="Arial" w:eastAsia="Arial" w:hAnsi="Arial"/>
                <w:sz w:val="13"/>
                <w:szCs w:val="13"/>
                <w:b w:val="1"/>
                <w:bCs w:val="1"/>
                <w:color w:val="auto"/>
              </w:rPr>
              <w:t>LIABILITIES AND SHAREHOLDERS’ EQUITY</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Current liabilities: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debt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193.2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94.6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liabilities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251.7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vMerge w:val="restart"/>
          </w:tcPr>
          <w:p>
            <w:pPr>
              <w:ind w:left="280"/>
              <w:spacing w:after="0"/>
              <w:rPr>
                <w:sz w:val="20"/>
                <w:szCs w:val="20"/>
                <w:color w:val="auto"/>
              </w:rPr>
            </w:pPr>
            <w:r>
              <w:rPr>
                <w:rFonts w:ascii="Arial" w:cs="Arial" w:eastAsia="Arial" w:hAnsi="Arial"/>
                <w:sz w:val="13"/>
                <w:szCs w:val="13"/>
                <w:color w:val="auto"/>
              </w:rPr>
              <w:t>Total current liabilities</w:t>
            </w: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196.8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348.1</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179.0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723.9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Other liabilities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205.9</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74.6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Equity investment in subsidiaries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(63.6)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Intercompany payables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210.0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276.4</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(486.4)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853.1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632.1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(604.9)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Shareholders’ equity</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764.5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775.1</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(65.0)</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(710.1)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764.5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1,283.7</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(1,315.0)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center"/>
              <w:ind w:right="75"/>
              <w:spacing w:after="0"/>
              <w:rPr>
                <w:sz w:val="20"/>
                <w:szCs w:val="20"/>
                <w:color w:val="auto"/>
              </w:rPr>
            </w:pPr>
            <w:r>
              <w:rPr>
                <w:rFonts w:ascii="Arial" w:cs="Arial" w:eastAsia="Arial" w:hAnsi="Arial"/>
                <w:sz w:val="13"/>
                <w:szCs w:val="13"/>
                <w:color w:val="auto"/>
                <w:w w:val="92"/>
              </w:rPr>
              <w:t>116</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Condensed, Consolidating Statement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fiscal year ended September 30,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ind w:right="35"/>
              <w:spacing w:after="0"/>
              <w:rPr>
                <w:sz w:val="20"/>
                <w:szCs w:val="20"/>
                <w:color w:val="auto"/>
              </w:rPr>
            </w:pPr>
            <w:r>
              <w:rPr>
                <w:rFonts w:ascii="Arial" w:cs="Arial" w:eastAsia="Arial" w:hAnsi="Arial"/>
                <w:sz w:val="10"/>
                <w:szCs w:val="10"/>
                <w:b w:val="1"/>
                <w:bCs w:val="1"/>
                <w:color w:val="auto"/>
              </w:rPr>
              <w:t>Parent</w:t>
            </w:r>
          </w:p>
        </w:tc>
        <w:tc>
          <w:tcPr>
            <w:tcW w:w="4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Subsidiary</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6"/>
              </w:rPr>
              <w:t>Non-</w:t>
            </w:r>
          </w:p>
        </w:tc>
        <w:tc>
          <w:tcPr>
            <w:tcW w:w="100" w:type="dxa"/>
            <w:vAlign w:val="bottom"/>
          </w:tcPr>
          <w:p>
            <w:pPr>
              <w:spacing w:after="0"/>
              <w:rPr>
                <w:sz w:val="10"/>
                <w:szCs w:val="10"/>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0"/>
                <w:szCs w:val="10"/>
                <w:b w:val="1"/>
                <w:bCs w:val="1"/>
                <w:color w:val="auto"/>
                <w:w w:val="94"/>
              </w:rPr>
              <w:t>Eliminations</w:t>
            </w:r>
          </w:p>
        </w:tc>
        <w:tc>
          <w:tcPr>
            <w:tcW w:w="3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Consolidated</w:t>
            </w:r>
          </w:p>
        </w:tc>
        <w:tc>
          <w:tcPr>
            <w:tcW w:w="100" w:type="dxa"/>
            <w:vAlign w:val="bottom"/>
            <w:vMerge w:val="restart"/>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Guarantors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6"/>
              </w:rPr>
              <w:t>Guarantors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Cost of sales</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1,503.5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407.9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 of sales — product registration and recall matters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Gross profit</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867.5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190.1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1,057.6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577.6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165.3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742.9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registration and recall matters</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(income) expense, net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Equity income in subsidiaries</w:t>
            </w:r>
          </w:p>
        </w:tc>
        <w:tc>
          <w:tcPr>
            <w:tcW w:w="8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(155.1)</w:t>
            </w:r>
          </w:p>
        </w:tc>
        <w:tc>
          <w:tcPr>
            <w:tcW w:w="8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162.3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non-operating income</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Interest expense</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43.1</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taxes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(162.3)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Income tax expense (benefit)</w:t>
            </w:r>
          </w:p>
        </w:tc>
        <w:tc>
          <w:tcPr>
            <w:tcW w:w="8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79.7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(162.3)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Loss from discontinued operations, net of tax</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153.3</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(162.3)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w w:val="92"/>
              </w:rPr>
              <w:t>117</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Condensed, Consolidating Statement of Cash Flows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fiscal year ended September 30,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Parent</w:t>
            </w:r>
          </w:p>
        </w:tc>
        <w:tc>
          <w:tcPr>
            <w:tcW w:w="4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Subsidiary</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6"/>
              </w:rPr>
              <w:t>Non-</w:t>
            </w:r>
          </w:p>
        </w:tc>
        <w:tc>
          <w:tcPr>
            <w:tcW w:w="10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Eliminations</w:t>
            </w:r>
          </w:p>
        </w:tc>
        <w:tc>
          <w:tcPr>
            <w:tcW w:w="3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Consolidated</w:t>
            </w:r>
          </w:p>
        </w:tc>
        <w:tc>
          <w:tcPr>
            <w:tcW w:w="100" w:type="dxa"/>
            <w:vAlign w:val="bottom"/>
            <w:vMerge w:val="restart"/>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Borders>
              <w:bottom w:val="single" w:sz="8" w:color="auto"/>
            </w:tcBorders>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6"/>
              </w:rPr>
              <w:t>Guarantors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6"/>
              </w:rPr>
              <w:t>Guarantors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INVESTING ACTIVITIES</w:t>
            </w:r>
          </w:p>
        </w:tc>
        <w:tc>
          <w:tcPr>
            <w:tcW w:w="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 of long-lived assets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Investments in property, plant and equipment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(54.3)</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intellectual property</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Investments in acquired businesses, net of cash acquired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used in investing activities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(56.3)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FINANCING ACTIVITIES</w:t>
            </w:r>
          </w:p>
        </w:tc>
        <w:tc>
          <w:tcPr>
            <w:tcW w:w="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Borrowings under revolving and bank lines of credit and term loans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1,181.5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376.5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Repayments under revolving and bank lines of credit and term loans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(1,314.9)</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(421.1)</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(1,736.0)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Financing and issuance fees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Dividends paid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(33.4)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 on sellers notes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Excess tax benefits from share-based payment arrangements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received from exercise of stock options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Intercompany financing</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21.0</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(47.8)</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provided by (used in) financing activities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(178.6)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3"/>
                <w:szCs w:val="13"/>
                <w:color w:val="auto"/>
              </w:rPr>
              <w:t>Effect of exchange rate changes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30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Cash and cash equivalents, beginning of year</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80.2</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end of year</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1"/>
        </w:trPr>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20" w:type="dxa"/>
            <w:vAlign w:val="bottom"/>
            <w:gridSpan w:val="3"/>
          </w:tcPr>
          <w:p>
            <w:pPr>
              <w:ind w:left="600"/>
              <w:spacing w:after="0"/>
              <w:rPr>
                <w:sz w:val="20"/>
                <w:szCs w:val="20"/>
                <w:color w:val="auto"/>
              </w:rPr>
            </w:pPr>
            <w:r>
              <w:rPr>
                <w:rFonts w:ascii="Arial" w:cs="Arial" w:eastAsia="Arial" w:hAnsi="Arial"/>
                <w:sz w:val="13"/>
                <w:szCs w:val="13"/>
                <w:color w:val="auto"/>
              </w:rPr>
              <w:t>118</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Condensed, Consolidating Balance Sheet</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As of September 30,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6"/>
              </w:rPr>
              <w:t>Parent</w:t>
            </w:r>
          </w:p>
        </w:tc>
        <w:tc>
          <w:tcPr>
            <w:tcW w:w="80" w:type="dxa"/>
            <w:vAlign w:val="bottom"/>
          </w:tcPr>
          <w:p>
            <w:pPr>
              <w:spacing w:after="0"/>
              <w:rPr>
                <w:sz w:val="10"/>
                <w:szCs w:val="1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7"/>
              </w:rPr>
              <w:t>Subsidiary</w:t>
            </w:r>
          </w:p>
        </w:tc>
        <w:tc>
          <w:tcPr>
            <w:tcW w:w="80" w:type="dxa"/>
            <w:vAlign w:val="bottom"/>
          </w:tcPr>
          <w:p>
            <w:pPr>
              <w:spacing w:after="0"/>
              <w:rPr>
                <w:sz w:val="10"/>
                <w:szCs w:val="10"/>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6"/>
              </w:rPr>
              <w:t>Guarantors</w:t>
            </w:r>
          </w:p>
        </w:tc>
        <w:tc>
          <w:tcPr>
            <w:tcW w:w="80" w:type="dxa"/>
            <w:vAlign w:val="bottom"/>
          </w:tcPr>
          <w:p>
            <w:pPr>
              <w:spacing w:after="0"/>
              <w:rPr>
                <w:sz w:val="10"/>
                <w:szCs w:val="1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2"/>
              </w:rPr>
              <w:t>Guarantors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42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Current assets: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269.1</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115.2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384.3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pledged</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Inventories, net</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328.9</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130.0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458.9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and other assets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734.4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356.5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1,090.9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306.1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Goodwill</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305.1</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70.1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net</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Other assets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14.4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(48.1)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Equity investment in subsidiaries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579.4</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(579.4)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Intercompany receivables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798.7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(798.7)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(1,426.2)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40" w:type="dxa"/>
            <w:vAlign w:val="bottom"/>
            <w:gridSpan w:val="7"/>
          </w:tcPr>
          <w:p>
            <w:pPr>
              <w:jc w:val="center"/>
              <w:ind w:left="134"/>
              <w:spacing w:after="0"/>
              <w:rPr>
                <w:sz w:val="20"/>
                <w:szCs w:val="20"/>
                <w:color w:val="auto"/>
              </w:rPr>
            </w:pPr>
            <w:r>
              <w:rPr>
                <w:rFonts w:ascii="Arial" w:cs="Arial" w:eastAsia="Arial" w:hAnsi="Arial"/>
                <w:sz w:val="13"/>
                <w:szCs w:val="13"/>
                <w:b w:val="1"/>
                <w:bCs w:val="1"/>
                <w:color w:val="auto"/>
              </w:rPr>
              <w:t>LIABILITIES AND SHAREHOLDERS’ EQUITY</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Current portion of debt</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154.0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Other current liabilities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263.1</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141.8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406.4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394.3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Long-term debt</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632.8</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125.7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221.6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(330.4)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649.7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192.8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(48.1)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Equity investment in subsidiaries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82.9</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(82.9)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Intercompany payables</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282.6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(468.3)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806.1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1,078.3</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680.9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(929.7)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1,635.6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Shareholders’ equity</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580.9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(84.4)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(496.5)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8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1,390.6</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1,659.2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596.5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(1,426.2)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2,220.1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center"/>
              <w:ind w:right="75"/>
              <w:spacing w:after="0"/>
              <w:rPr>
                <w:sz w:val="20"/>
                <w:szCs w:val="20"/>
                <w:color w:val="auto"/>
              </w:rPr>
            </w:pPr>
            <w:r>
              <w:rPr>
                <w:rFonts w:ascii="Arial" w:cs="Arial" w:eastAsia="Arial" w:hAnsi="Arial"/>
                <w:sz w:val="13"/>
                <w:szCs w:val="13"/>
                <w:color w:val="auto"/>
                <w:w w:val="92"/>
              </w:rPr>
              <w:t>119</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Condensed, Consolidating Statement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fiscal year ended September 30,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Parent</w:t>
            </w:r>
          </w:p>
        </w:tc>
        <w:tc>
          <w:tcPr>
            <w:tcW w:w="4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Subsidiary</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6"/>
              </w:rPr>
              <w:t>Non-</w:t>
            </w:r>
          </w:p>
        </w:tc>
        <w:tc>
          <w:tcPr>
            <w:tcW w:w="100" w:type="dxa"/>
            <w:vAlign w:val="bottom"/>
          </w:tcPr>
          <w:p>
            <w:pPr>
              <w:spacing w:after="0"/>
              <w:rPr>
                <w:sz w:val="10"/>
                <w:szCs w:val="10"/>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0"/>
                <w:szCs w:val="10"/>
                <w:b w:val="1"/>
                <w:bCs w:val="1"/>
                <w:color w:val="auto"/>
                <w:w w:val="94"/>
              </w:rPr>
              <w:t>Eliminations</w:t>
            </w:r>
          </w:p>
        </w:tc>
        <w:tc>
          <w:tcPr>
            <w:tcW w:w="3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Consolidated</w:t>
            </w:r>
          </w:p>
        </w:tc>
        <w:tc>
          <w:tcPr>
            <w:tcW w:w="100" w:type="dxa"/>
            <w:vAlign w:val="bottom"/>
            <w:vMerge w:val="restart"/>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Borders>
              <w:bottom w:val="single" w:sz="8" w:color="auto"/>
            </w:tcBorders>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6"/>
              </w:rPr>
              <w:t>Guarantors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6"/>
              </w:rPr>
              <w:t>Guarantors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Cost of sales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1,418.2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464.8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1,883.0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Cost of sales — impairment, restructuring and other charges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Cost of sales — product registration and recall matters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27.2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694.7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Operating expenses: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469.0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ind w:left="140"/>
              <w:spacing w:after="0"/>
              <w:rPr>
                <w:sz w:val="20"/>
                <w:szCs w:val="20"/>
                <w:color w:val="auto"/>
              </w:rPr>
            </w:pPr>
            <w:r>
              <w:rPr>
                <w:rFonts w:ascii="Arial" w:cs="Arial" w:eastAsia="Arial" w:hAnsi="Arial"/>
                <w:sz w:val="13"/>
                <w:szCs w:val="13"/>
                <w:color w:val="auto"/>
              </w:rPr>
              <w:t>Impairment, restructuring and other charges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68.1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registration and recall matters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ind w:left="140"/>
              <w:spacing w:after="0"/>
              <w:rPr>
                <w:sz w:val="20"/>
                <w:szCs w:val="20"/>
                <w:color w:val="auto"/>
              </w:rPr>
            </w:pPr>
            <w:r>
              <w:rPr>
                <w:rFonts w:ascii="Arial" w:cs="Arial" w:eastAsia="Arial" w:hAnsi="Arial"/>
                <w:sz w:val="13"/>
                <w:szCs w:val="13"/>
                <w:color w:val="auto"/>
              </w:rPr>
              <w:t>Other (income) expense, net</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Equity loss in subsidiaries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9.1</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84.6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(93.7)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Other non-operating income</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(46.5)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Interest expense</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49.2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57.3</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(46.5)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taxes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(11.8)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Income tax expense (benefit)</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45.4</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continuing operations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(10.9)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Loss from discontinued operations, net of tax</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(43.7)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(10.9)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1"/>
        </w:trPr>
        <w:tc>
          <w:tcPr>
            <w:tcW w:w="6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80" w:type="dxa"/>
            <w:vAlign w:val="bottom"/>
            <w:gridSpan w:val="3"/>
          </w:tcPr>
          <w:p>
            <w:pPr>
              <w:ind w:left="860"/>
              <w:spacing w:after="0"/>
              <w:rPr>
                <w:sz w:val="20"/>
                <w:szCs w:val="20"/>
                <w:color w:val="auto"/>
              </w:rPr>
            </w:pPr>
            <w:r>
              <w:rPr>
                <w:rFonts w:ascii="Arial" w:cs="Arial" w:eastAsia="Arial" w:hAnsi="Arial"/>
                <w:sz w:val="13"/>
                <w:szCs w:val="13"/>
                <w:color w:val="auto"/>
              </w:rPr>
              <w:t>120</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Condensed, Consolidating Statement of Cash Flows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fiscal year ended September 30,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Parent</w:t>
            </w:r>
          </w:p>
        </w:tc>
        <w:tc>
          <w:tcPr>
            <w:tcW w:w="4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Subsidiary</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6"/>
              </w:rPr>
              <w:t>Non-</w:t>
            </w:r>
          </w:p>
        </w:tc>
        <w:tc>
          <w:tcPr>
            <w:tcW w:w="10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Eliminations</w:t>
            </w:r>
          </w:p>
        </w:tc>
        <w:tc>
          <w:tcPr>
            <w:tcW w:w="3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Consolidated</w:t>
            </w:r>
          </w:p>
        </w:tc>
        <w:tc>
          <w:tcPr>
            <w:tcW w:w="100" w:type="dxa"/>
            <w:vAlign w:val="bottom"/>
            <w:vMerge w:val="restart"/>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Borders>
              <w:bottom w:val="single" w:sz="8" w:color="auto"/>
            </w:tcBorders>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6"/>
              </w:rPr>
              <w:t>Guarantors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6"/>
              </w:rPr>
              <w:t>Guarantors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INVESTING ACTIVITIES</w:t>
            </w:r>
          </w:p>
        </w:tc>
        <w:tc>
          <w:tcPr>
            <w:tcW w:w="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 of long-lived assets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Investments in property, plant and equipment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(45.1)</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intellectual property</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vMerge w:val="restart"/>
          </w:tcPr>
          <w:p>
            <w:pPr>
              <w:ind w:left="280"/>
              <w:spacing w:after="0"/>
              <w:rPr>
                <w:sz w:val="20"/>
                <w:szCs w:val="20"/>
                <w:color w:val="auto"/>
              </w:rPr>
            </w:pPr>
            <w:r>
              <w:rPr>
                <w:rFonts w:ascii="Arial" w:cs="Arial" w:eastAsia="Arial" w:hAnsi="Arial"/>
                <w:sz w:val="13"/>
                <w:szCs w:val="13"/>
                <w:color w:val="auto"/>
              </w:rPr>
              <w:t>Net cash used in investing activities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(48.1)</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FINANCING ACTIVITIES</w:t>
            </w:r>
          </w:p>
        </w:tc>
        <w:tc>
          <w:tcPr>
            <w:tcW w:w="6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Borrowings under revolving and bank lines of credit and term loans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689.3</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252.8</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942.1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Repayments under revolving and bank lines of credit and term loans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(821.4)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(220.6)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Dividends paid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(32.5)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 on sellers notes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Excess tax benefits from share-based payment arrangements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received from exercise of stock options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Intercompany financing</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25.5</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(40.8)</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provided by (used in) financing activities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(172.7)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3"/>
                <w:szCs w:val="13"/>
                <w:color w:val="auto"/>
              </w:rPr>
              <w:t>Effect of exchange rate changes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30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cash</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Cash and cash equivalents, beginning of year</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65.5</w:t>
            </w:r>
          </w:p>
        </w:tc>
        <w:tc>
          <w:tcPr>
            <w:tcW w:w="10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end of year</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1"/>
        </w:trPr>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20" w:type="dxa"/>
            <w:vAlign w:val="bottom"/>
            <w:gridSpan w:val="3"/>
          </w:tcPr>
          <w:p>
            <w:pPr>
              <w:ind w:left="600"/>
              <w:spacing w:after="0"/>
              <w:rPr>
                <w:sz w:val="20"/>
                <w:szCs w:val="20"/>
                <w:color w:val="auto"/>
              </w:rPr>
            </w:pPr>
            <w:r>
              <w:rPr>
                <w:rFonts w:ascii="Arial" w:cs="Arial" w:eastAsia="Arial" w:hAnsi="Arial"/>
                <w:sz w:val="13"/>
                <w:szCs w:val="13"/>
                <w:color w:val="auto"/>
              </w:rPr>
              <w:t>121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The Scotts Miracle-Gro Company</w:t>
      </w:r>
    </w:p>
    <w:p>
      <w:pPr>
        <w:spacing w:after="0" w:line="96" w:lineRule="exact"/>
        <w:rPr>
          <w:sz w:val="20"/>
          <w:szCs w:val="20"/>
          <w:color w:val="auto"/>
        </w:rPr>
      </w:pPr>
    </w:p>
    <w:p>
      <w:pPr>
        <w:ind w:left="42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fiscal year ended September 30, 2010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Column A</w:t>
            </w:r>
          </w:p>
        </w:tc>
        <w:tc>
          <w:tcPr>
            <w:tcW w:w="19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7"/>
              </w:rPr>
              <w:t>Column B</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7"/>
              </w:rPr>
              <w:t>Column C</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Column D</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Column E</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Column 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Balance</w:t>
            </w: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Additions</w:t>
            </w: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Deductions</w:t>
            </w: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8"/>
              </w:rPr>
              <w:t>Balance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89"/>
              </w:rPr>
              <w:t>at</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85"/>
              </w:rPr>
              <w:t>Reserves</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Charged</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Credited</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740" w:type="dxa"/>
            <w:vAlign w:val="bottom"/>
            <w:vMerge w:val="restart"/>
          </w:tcPr>
          <w:p>
            <w:pPr>
              <w:spacing w:after="0"/>
              <w:rPr>
                <w:sz w:val="20"/>
                <w:szCs w:val="20"/>
                <w:color w:val="auto"/>
              </w:rPr>
            </w:pPr>
            <w:r>
              <w:rPr>
                <w:rFonts w:ascii="Arial" w:cs="Arial" w:eastAsia="Arial" w:hAnsi="Arial"/>
                <w:sz w:val="10"/>
                <w:szCs w:val="10"/>
                <w:b w:val="1"/>
                <w:bCs w:val="1"/>
                <w:color w:val="auto"/>
              </w:rPr>
              <w:t>Classification</w:t>
            </w:r>
          </w:p>
        </w:tc>
        <w:tc>
          <w:tcPr>
            <w:tcW w:w="1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3"/>
              </w:rPr>
              <w:t>Beginning</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4"/>
              </w:rPr>
              <w:t>to</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and</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at End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74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6"/>
              </w:rPr>
              <w:t>of Period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6"/>
              </w:rPr>
              <w:t>Acquired</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Expense</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Write-Offs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(In millions)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720" w:type="dxa"/>
            <w:vAlign w:val="bottom"/>
            <w:gridSpan w:val="7"/>
            <w:shd w:val="clear" w:color="auto" w:fill="CCEEFF"/>
          </w:tcPr>
          <w:p>
            <w:pPr>
              <w:spacing w:after="0"/>
              <w:rPr>
                <w:sz w:val="20"/>
                <w:szCs w:val="20"/>
                <w:color w:val="auto"/>
              </w:rPr>
            </w:pPr>
            <w:r>
              <w:rPr>
                <w:rFonts w:ascii="Arial" w:cs="Arial" w:eastAsia="Arial" w:hAnsi="Arial"/>
                <w:sz w:val="13"/>
                <w:szCs w:val="13"/>
                <w:color w:val="auto"/>
              </w:rPr>
              <w:t>Valuation and qualifying accounts deducted from the assets to which they apply:</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Inventory reserve</w:t>
            </w:r>
          </w:p>
        </w:tc>
        <w:tc>
          <w:tcPr>
            <w:tcW w:w="2960" w:type="dxa"/>
            <w:vAlign w:val="bottom"/>
            <w:gridSpan w:val="5"/>
          </w:tcPr>
          <w:p>
            <w:pPr>
              <w:jc w:val="right"/>
              <w:ind w:right="208"/>
              <w:spacing w:after="0"/>
              <w:rPr>
                <w:sz w:val="20"/>
                <w:szCs w:val="20"/>
                <w:color w:val="auto"/>
              </w:rPr>
            </w:pPr>
            <w:r>
              <w:rPr>
                <w:rFonts w:ascii="Arial" w:cs="Arial" w:eastAsia="Arial" w:hAnsi="Arial"/>
                <w:sz w:val="13"/>
                <w:szCs w:val="13"/>
                <w:color w:val="auto"/>
              </w:rPr>
              <w:t>$24.7</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28"/>
              <w:spacing w:after="0"/>
              <w:rPr>
                <w:sz w:val="20"/>
                <w:szCs w:val="20"/>
                <w:color w:val="auto"/>
              </w:rPr>
            </w:pPr>
            <w:r>
              <w:rPr>
                <w:rFonts w:ascii="Arial" w:cs="Arial" w:eastAsia="Arial" w:hAnsi="Arial"/>
                <w:sz w:val="13"/>
                <w:szCs w:val="13"/>
                <w:color w:val="auto"/>
              </w:rPr>
              <w:t>$9.0</w:t>
            </w:r>
          </w:p>
        </w:tc>
        <w:tc>
          <w:tcPr>
            <w:tcW w:w="1140" w:type="dxa"/>
            <w:vAlign w:val="bottom"/>
            <w:gridSpan w:val="4"/>
          </w:tcPr>
          <w:p>
            <w:pPr>
              <w:jc w:val="right"/>
              <w:ind w:right="189"/>
              <w:spacing w:after="0"/>
              <w:rPr>
                <w:sz w:val="20"/>
                <w:szCs w:val="20"/>
                <w:color w:val="auto"/>
              </w:rPr>
            </w:pPr>
            <w:r>
              <w:rPr>
                <w:rFonts w:ascii="Arial" w:cs="Arial" w:eastAsia="Arial" w:hAnsi="Arial"/>
                <w:sz w:val="13"/>
                <w:szCs w:val="13"/>
                <w:color w:val="auto"/>
              </w:rPr>
              <w:t>$(16.1)</w:t>
            </w:r>
          </w:p>
        </w:tc>
        <w:tc>
          <w:tcPr>
            <w:tcW w:w="1100" w:type="dxa"/>
            <w:vAlign w:val="bottom"/>
            <w:gridSpan w:val="4"/>
          </w:tcPr>
          <w:p>
            <w:pPr>
              <w:jc w:val="right"/>
              <w:ind w:right="228"/>
              <w:spacing w:after="0"/>
              <w:rPr>
                <w:sz w:val="20"/>
                <w:szCs w:val="20"/>
                <w:color w:val="auto"/>
              </w:rPr>
            </w:pPr>
            <w:r>
              <w:rPr>
                <w:rFonts w:ascii="Arial" w:cs="Arial" w:eastAsia="Arial" w:hAnsi="Arial"/>
                <w:sz w:val="13"/>
                <w:szCs w:val="13"/>
                <w:color w:val="auto"/>
              </w:rPr>
              <w:t>$17.6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 — product recalls</w:t>
            </w:r>
          </w:p>
        </w:tc>
        <w:tc>
          <w:tcPr>
            <w:tcW w:w="2960" w:type="dxa"/>
            <w:vAlign w:val="bottom"/>
            <w:gridSpan w:val="5"/>
            <w:shd w:val="clear" w:color="auto" w:fill="CCEEFF"/>
          </w:tcPr>
          <w:p>
            <w:pPr>
              <w:jc w:val="right"/>
              <w:ind w:right="208"/>
              <w:spacing w:after="0"/>
              <w:rPr>
                <w:sz w:val="20"/>
                <w:szCs w:val="20"/>
                <w:color w:val="auto"/>
              </w:rPr>
            </w:pPr>
            <w:r>
              <w:rPr>
                <w:rFonts w:ascii="Arial" w:cs="Arial" w:eastAsia="Arial" w:hAnsi="Arial"/>
                <w:sz w:val="13"/>
                <w:szCs w:val="13"/>
                <w:color w:val="auto"/>
              </w:rPr>
              <w:t>8.3</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228"/>
              <w:spacing w:after="0"/>
              <w:rPr>
                <w:sz w:val="20"/>
                <w:szCs w:val="20"/>
                <w:color w:val="auto"/>
              </w:rPr>
            </w:pPr>
            <w:r>
              <w:rPr>
                <w:rFonts w:ascii="Arial" w:cs="Arial" w:eastAsia="Arial" w:hAnsi="Arial"/>
                <w:sz w:val="13"/>
                <w:szCs w:val="13"/>
                <w:color w:val="auto"/>
              </w:rPr>
              <w:t>0.8</w:t>
            </w:r>
          </w:p>
        </w:tc>
        <w:tc>
          <w:tcPr>
            <w:tcW w:w="1140" w:type="dxa"/>
            <w:vAlign w:val="bottom"/>
            <w:gridSpan w:val="4"/>
            <w:shd w:val="clear" w:color="auto" w:fill="CCEEFF"/>
          </w:tcPr>
          <w:p>
            <w:pPr>
              <w:jc w:val="right"/>
              <w:ind w:right="189"/>
              <w:spacing w:after="0"/>
              <w:rPr>
                <w:sz w:val="20"/>
                <w:szCs w:val="20"/>
                <w:color w:val="auto"/>
              </w:rPr>
            </w:pPr>
            <w:r>
              <w:rPr>
                <w:rFonts w:ascii="Arial" w:cs="Arial" w:eastAsia="Arial" w:hAnsi="Arial"/>
                <w:sz w:val="13"/>
                <w:szCs w:val="13"/>
                <w:color w:val="auto"/>
              </w:rPr>
              <w:t>(5.6)</w:t>
            </w:r>
          </w:p>
        </w:tc>
        <w:tc>
          <w:tcPr>
            <w:tcW w:w="1100" w:type="dxa"/>
            <w:vAlign w:val="bottom"/>
            <w:gridSpan w:val="4"/>
            <w:shd w:val="clear" w:color="auto" w:fill="CCEEFF"/>
          </w:tcPr>
          <w:p>
            <w:pPr>
              <w:jc w:val="right"/>
              <w:ind w:right="228"/>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Allowance for doubtful accounts</w:t>
            </w:r>
          </w:p>
        </w:tc>
        <w:tc>
          <w:tcPr>
            <w:tcW w:w="2960" w:type="dxa"/>
            <w:vAlign w:val="bottom"/>
            <w:gridSpan w:val="5"/>
          </w:tcPr>
          <w:p>
            <w:pPr>
              <w:jc w:val="right"/>
              <w:ind w:right="208"/>
              <w:spacing w:after="0"/>
              <w:rPr>
                <w:sz w:val="20"/>
                <w:szCs w:val="20"/>
                <w:color w:val="auto"/>
              </w:rPr>
            </w:pPr>
            <w:r>
              <w:rPr>
                <w:rFonts w:ascii="Arial" w:cs="Arial" w:eastAsia="Arial" w:hAnsi="Arial"/>
                <w:sz w:val="13"/>
                <w:szCs w:val="13"/>
                <w:color w:val="auto"/>
              </w:rPr>
              <w:t>11.1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28"/>
              <w:spacing w:after="0"/>
              <w:rPr>
                <w:sz w:val="20"/>
                <w:szCs w:val="20"/>
                <w:color w:val="auto"/>
              </w:rPr>
            </w:pPr>
            <w:r>
              <w:rPr>
                <w:rFonts w:ascii="Arial" w:cs="Arial" w:eastAsia="Arial" w:hAnsi="Arial"/>
                <w:sz w:val="13"/>
                <w:szCs w:val="13"/>
                <w:color w:val="auto"/>
              </w:rPr>
              <w:t>4.4</w:t>
            </w:r>
          </w:p>
        </w:tc>
        <w:tc>
          <w:tcPr>
            <w:tcW w:w="1140" w:type="dxa"/>
            <w:vAlign w:val="bottom"/>
            <w:gridSpan w:val="4"/>
          </w:tcPr>
          <w:p>
            <w:pPr>
              <w:jc w:val="right"/>
              <w:ind w:right="189"/>
              <w:spacing w:after="0"/>
              <w:rPr>
                <w:sz w:val="20"/>
                <w:szCs w:val="20"/>
                <w:color w:val="auto"/>
              </w:rPr>
            </w:pPr>
            <w:r>
              <w:rPr>
                <w:rFonts w:ascii="Arial" w:cs="Arial" w:eastAsia="Arial" w:hAnsi="Arial"/>
                <w:sz w:val="13"/>
                <w:szCs w:val="13"/>
                <w:color w:val="auto"/>
              </w:rPr>
              <w:t>(5.3)</w:t>
            </w:r>
          </w:p>
        </w:tc>
        <w:tc>
          <w:tcPr>
            <w:tcW w:w="1100" w:type="dxa"/>
            <w:vAlign w:val="bottom"/>
            <w:gridSpan w:val="4"/>
          </w:tcPr>
          <w:p>
            <w:pPr>
              <w:jc w:val="right"/>
              <w:ind w:right="228"/>
              <w:spacing w:after="0"/>
              <w:rPr>
                <w:sz w:val="20"/>
                <w:szCs w:val="20"/>
                <w:color w:val="auto"/>
              </w:rPr>
            </w:pPr>
            <w:r>
              <w:rPr>
                <w:rFonts w:ascii="Arial" w:cs="Arial" w:eastAsia="Arial" w:hAnsi="Arial"/>
                <w:sz w:val="13"/>
                <w:szCs w:val="13"/>
                <w:color w:val="auto"/>
              </w:rPr>
              <w:t>10.2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Income tax valuation allowance</w:t>
            </w:r>
          </w:p>
        </w:tc>
        <w:tc>
          <w:tcPr>
            <w:tcW w:w="2960" w:type="dxa"/>
            <w:vAlign w:val="bottom"/>
            <w:gridSpan w:val="5"/>
            <w:shd w:val="clear" w:color="auto" w:fill="CCEEFF"/>
          </w:tcPr>
          <w:p>
            <w:pPr>
              <w:jc w:val="right"/>
              <w:ind w:right="208"/>
              <w:spacing w:after="0"/>
              <w:rPr>
                <w:sz w:val="20"/>
                <w:szCs w:val="20"/>
                <w:color w:val="auto"/>
              </w:rPr>
            </w:pPr>
            <w:r>
              <w:rPr>
                <w:rFonts w:ascii="Arial" w:cs="Arial" w:eastAsia="Arial" w:hAnsi="Arial"/>
                <w:sz w:val="13"/>
                <w:szCs w:val="13"/>
                <w:color w:val="auto"/>
              </w:rPr>
              <w:t>43.1</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228"/>
              <w:spacing w:after="0"/>
              <w:rPr>
                <w:sz w:val="20"/>
                <w:szCs w:val="20"/>
                <w:color w:val="auto"/>
              </w:rPr>
            </w:pPr>
            <w:r>
              <w:rPr>
                <w:rFonts w:ascii="Arial" w:cs="Arial" w:eastAsia="Arial" w:hAnsi="Arial"/>
                <w:sz w:val="13"/>
                <w:szCs w:val="13"/>
                <w:color w:val="auto"/>
              </w:rPr>
              <w:t>0.5</w:t>
            </w:r>
          </w:p>
        </w:tc>
        <w:tc>
          <w:tcPr>
            <w:tcW w:w="1140" w:type="dxa"/>
            <w:vAlign w:val="bottom"/>
            <w:gridSpan w:val="4"/>
            <w:shd w:val="clear" w:color="auto" w:fill="CCEEFF"/>
          </w:tcPr>
          <w:p>
            <w:pPr>
              <w:jc w:val="right"/>
              <w:ind w:right="189"/>
              <w:spacing w:after="0"/>
              <w:rPr>
                <w:sz w:val="20"/>
                <w:szCs w:val="20"/>
                <w:color w:val="auto"/>
              </w:rPr>
            </w:pPr>
            <w:r>
              <w:rPr>
                <w:rFonts w:ascii="Arial" w:cs="Arial" w:eastAsia="Arial" w:hAnsi="Arial"/>
                <w:sz w:val="13"/>
                <w:szCs w:val="13"/>
                <w:color w:val="auto"/>
              </w:rPr>
              <w:t>(1.3)</w:t>
            </w:r>
          </w:p>
        </w:tc>
        <w:tc>
          <w:tcPr>
            <w:tcW w:w="1100" w:type="dxa"/>
            <w:vAlign w:val="bottom"/>
            <w:gridSpan w:val="4"/>
            <w:shd w:val="clear" w:color="auto" w:fill="CCEEFF"/>
          </w:tcPr>
          <w:p>
            <w:pPr>
              <w:jc w:val="right"/>
              <w:ind w:right="228"/>
              <w:spacing w:after="0"/>
              <w:rPr>
                <w:sz w:val="20"/>
                <w:szCs w:val="20"/>
                <w:color w:val="auto"/>
              </w:rPr>
            </w:pPr>
            <w:r>
              <w:rPr>
                <w:rFonts w:ascii="Arial" w:cs="Arial" w:eastAsia="Arial" w:hAnsi="Arial"/>
                <w:sz w:val="13"/>
                <w:szCs w:val="13"/>
                <w:color w:val="auto"/>
              </w:rPr>
              <w:t>42.3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0"/>
        </w:trPr>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980" w:type="dxa"/>
            <w:vAlign w:val="bottom"/>
            <w:gridSpan w:val="10"/>
          </w:tcPr>
          <w:p>
            <w:pPr>
              <w:jc w:val="center"/>
              <w:ind w:left="474"/>
              <w:spacing w:after="0"/>
              <w:rPr>
                <w:sz w:val="20"/>
                <w:szCs w:val="20"/>
                <w:color w:val="auto"/>
              </w:rPr>
            </w:pPr>
            <w:r>
              <w:rPr>
                <w:rFonts w:ascii="Arial" w:cs="Arial" w:eastAsia="Arial" w:hAnsi="Arial"/>
                <w:sz w:val="13"/>
                <w:szCs w:val="13"/>
                <w:b w:val="1"/>
                <w:bCs w:val="1"/>
                <w:color w:val="auto"/>
                <w:w w:val="92"/>
              </w:rPr>
              <w:t>Schedule II — Valuation and Qualifying Accounts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980" w:type="dxa"/>
            <w:vAlign w:val="bottom"/>
            <w:gridSpan w:val="10"/>
          </w:tcPr>
          <w:p>
            <w:pPr>
              <w:jc w:val="center"/>
              <w:ind w:left="474"/>
              <w:spacing w:after="0"/>
              <w:rPr>
                <w:sz w:val="20"/>
                <w:szCs w:val="20"/>
                <w:color w:val="auto"/>
              </w:rPr>
            </w:pPr>
            <w:r>
              <w:rPr>
                <w:rFonts w:ascii="Arial" w:cs="Arial" w:eastAsia="Arial" w:hAnsi="Arial"/>
                <w:sz w:val="13"/>
                <w:szCs w:val="13"/>
                <w:b w:val="1"/>
                <w:bCs w:val="1"/>
                <w:color w:val="auto"/>
                <w:w w:val="90"/>
              </w:rPr>
              <w:t>for the fiscal year ended September 30, 2009</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0"/>
                <w:szCs w:val="10"/>
                <w:b w:val="1"/>
                <w:bCs w:val="1"/>
                <w:color w:val="auto"/>
              </w:rPr>
              <w:t>Column A</w:t>
            </w: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Column B</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Column C</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rPr>
              <w:t>Column 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8"/>
              </w:rPr>
              <w:t>Column 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5"/>
              </w:rPr>
              <w:t>Column F</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2740" w:type="dxa"/>
            <w:vAlign w:val="bottom"/>
            <w:tcBorders>
              <w:top w:val="single" w:sz="8" w:color="auto"/>
            </w:tcBorders>
          </w:tcPr>
          <w:p>
            <w:pPr>
              <w:spacing w:after="0"/>
              <w:rPr>
                <w:sz w:val="7"/>
                <w:szCs w:val="7"/>
                <w:color w:val="auto"/>
              </w:rPr>
            </w:pPr>
          </w:p>
        </w:tc>
        <w:tc>
          <w:tcPr>
            <w:tcW w:w="19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Balance</w:t>
            </w: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Additions</w:t>
            </w:r>
          </w:p>
        </w:tc>
        <w:tc>
          <w:tcPr>
            <w:tcW w:w="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Deductions</w:t>
            </w:r>
          </w:p>
        </w:tc>
        <w:tc>
          <w:tcPr>
            <w:tcW w:w="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3"/>
              </w:rPr>
              <w:t>Balance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89"/>
              </w:rPr>
              <w:t>at</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5"/>
              </w:rPr>
              <w:t>Reserves</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Charged</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Credited</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740" w:type="dxa"/>
            <w:vAlign w:val="bottom"/>
            <w:vMerge w:val="restart"/>
          </w:tcPr>
          <w:p>
            <w:pPr>
              <w:spacing w:after="0"/>
              <w:rPr>
                <w:sz w:val="20"/>
                <w:szCs w:val="20"/>
                <w:color w:val="auto"/>
              </w:rPr>
            </w:pPr>
            <w:r>
              <w:rPr>
                <w:rFonts w:ascii="Arial" w:cs="Arial" w:eastAsia="Arial" w:hAnsi="Arial"/>
                <w:sz w:val="10"/>
                <w:szCs w:val="10"/>
                <w:b w:val="1"/>
                <w:bCs w:val="1"/>
                <w:color w:val="auto"/>
              </w:rPr>
              <w:t>Classification</w:t>
            </w:r>
          </w:p>
        </w:tc>
        <w:tc>
          <w:tcPr>
            <w:tcW w:w="1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auto"/>
                <w:w w:val="93"/>
              </w:rPr>
              <w:t>Beginning</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4"/>
              </w:rPr>
              <w:t>to</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and</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at End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2"/>
              </w:rPr>
              <w:t>of Period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6"/>
              </w:rPr>
              <w:t>Acquired</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87"/>
              </w:rPr>
              <w:t>Expense</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Write-Offs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274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 millions)</w:t>
            </w:r>
          </w:p>
        </w:tc>
        <w:tc>
          <w:tcPr>
            <w:tcW w:w="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720" w:type="dxa"/>
            <w:vAlign w:val="bottom"/>
            <w:gridSpan w:val="7"/>
            <w:shd w:val="clear" w:color="auto" w:fill="CCEEFF"/>
          </w:tcPr>
          <w:p>
            <w:pPr>
              <w:spacing w:after="0"/>
              <w:rPr>
                <w:sz w:val="20"/>
                <w:szCs w:val="20"/>
                <w:color w:val="auto"/>
              </w:rPr>
            </w:pPr>
            <w:r>
              <w:rPr>
                <w:rFonts w:ascii="Arial" w:cs="Arial" w:eastAsia="Arial" w:hAnsi="Arial"/>
                <w:sz w:val="13"/>
                <w:szCs w:val="13"/>
                <w:color w:val="auto"/>
              </w:rPr>
              <w:t>Valuation and qualifying accounts deducted from the assets to which they apply:</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Inventory reserve</w:t>
            </w:r>
          </w:p>
        </w:tc>
        <w:tc>
          <w:tcPr>
            <w:tcW w:w="2960" w:type="dxa"/>
            <w:vAlign w:val="bottom"/>
            <w:gridSpan w:val="5"/>
          </w:tcPr>
          <w:p>
            <w:pPr>
              <w:jc w:val="right"/>
              <w:ind w:right="228"/>
              <w:spacing w:after="0"/>
              <w:rPr>
                <w:sz w:val="20"/>
                <w:szCs w:val="20"/>
                <w:color w:val="auto"/>
              </w:rPr>
            </w:pPr>
            <w:r>
              <w:rPr>
                <w:rFonts w:ascii="Arial" w:cs="Arial" w:eastAsia="Arial" w:hAnsi="Arial"/>
                <w:sz w:val="13"/>
                <w:szCs w:val="13"/>
                <w:color w:val="auto"/>
              </w:rPr>
              <w:t>$17.5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08"/>
              <w:spacing w:after="0"/>
              <w:rPr>
                <w:sz w:val="20"/>
                <w:szCs w:val="20"/>
                <w:color w:val="auto"/>
              </w:rPr>
            </w:pPr>
            <w:r>
              <w:rPr>
                <w:rFonts w:ascii="Arial" w:cs="Arial" w:eastAsia="Arial" w:hAnsi="Arial"/>
                <w:sz w:val="13"/>
                <w:szCs w:val="13"/>
                <w:color w:val="auto"/>
              </w:rPr>
              <w:t>$14.1</w:t>
            </w:r>
          </w:p>
        </w:tc>
        <w:tc>
          <w:tcPr>
            <w:tcW w:w="1140" w:type="dxa"/>
            <w:vAlign w:val="bottom"/>
            <w:gridSpan w:val="4"/>
          </w:tcPr>
          <w:p>
            <w:pPr>
              <w:jc w:val="right"/>
              <w:ind w:right="169"/>
              <w:spacing w:after="0"/>
              <w:rPr>
                <w:sz w:val="20"/>
                <w:szCs w:val="20"/>
                <w:color w:val="auto"/>
              </w:rPr>
            </w:pPr>
            <w:r>
              <w:rPr>
                <w:rFonts w:ascii="Arial" w:cs="Arial" w:eastAsia="Arial" w:hAnsi="Arial"/>
                <w:sz w:val="13"/>
                <w:szCs w:val="13"/>
                <w:color w:val="auto"/>
              </w:rPr>
              <w:t>$ (6.9)</w:t>
            </w:r>
          </w:p>
        </w:tc>
        <w:tc>
          <w:tcPr>
            <w:tcW w:w="1100" w:type="dxa"/>
            <w:vAlign w:val="bottom"/>
            <w:gridSpan w:val="4"/>
          </w:tcPr>
          <w:p>
            <w:pPr>
              <w:jc w:val="right"/>
              <w:ind w:right="228"/>
              <w:spacing w:after="0"/>
              <w:rPr>
                <w:sz w:val="20"/>
                <w:szCs w:val="20"/>
                <w:color w:val="auto"/>
              </w:rPr>
            </w:pPr>
            <w:r>
              <w:rPr>
                <w:rFonts w:ascii="Arial" w:cs="Arial" w:eastAsia="Arial" w:hAnsi="Arial"/>
                <w:sz w:val="13"/>
                <w:szCs w:val="13"/>
                <w:color w:val="auto"/>
              </w:rPr>
              <w:t>$24.7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 — product recalls</w:t>
            </w:r>
          </w:p>
        </w:tc>
        <w:tc>
          <w:tcPr>
            <w:tcW w:w="2960" w:type="dxa"/>
            <w:vAlign w:val="bottom"/>
            <w:gridSpan w:val="5"/>
            <w:shd w:val="clear" w:color="auto" w:fill="CCEEFF"/>
          </w:tcPr>
          <w:p>
            <w:pPr>
              <w:jc w:val="right"/>
              <w:ind w:right="228"/>
              <w:spacing w:after="0"/>
              <w:rPr>
                <w:sz w:val="20"/>
                <w:szCs w:val="20"/>
                <w:color w:val="auto"/>
              </w:rPr>
            </w:pPr>
            <w:r>
              <w:rPr>
                <w:rFonts w:ascii="Arial" w:cs="Arial" w:eastAsia="Arial" w:hAnsi="Arial"/>
                <w:sz w:val="13"/>
                <w:szCs w:val="13"/>
                <w:color w:val="auto"/>
              </w:rPr>
              <w:t>8.7</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2.9</w:t>
            </w:r>
          </w:p>
        </w:tc>
        <w:tc>
          <w:tcPr>
            <w:tcW w:w="1140" w:type="dxa"/>
            <w:vAlign w:val="bottom"/>
            <w:gridSpan w:val="4"/>
            <w:shd w:val="clear" w:color="auto" w:fill="CCEEFF"/>
          </w:tcPr>
          <w:p>
            <w:pPr>
              <w:jc w:val="right"/>
              <w:ind w:right="169"/>
              <w:spacing w:after="0"/>
              <w:rPr>
                <w:sz w:val="20"/>
                <w:szCs w:val="20"/>
                <w:color w:val="auto"/>
              </w:rPr>
            </w:pPr>
            <w:r>
              <w:rPr>
                <w:rFonts w:ascii="Arial" w:cs="Arial" w:eastAsia="Arial" w:hAnsi="Arial"/>
                <w:sz w:val="13"/>
                <w:szCs w:val="13"/>
                <w:color w:val="auto"/>
              </w:rPr>
              <w:t>(3.3)</w:t>
            </w:r>
          </w:p>
        </w:tc>
        <w:tc>
          <w:tcPr>
            <w:tcW w:w="1100" w:type="dxa"/>
            <w:vAlign w:val="bottom"/>
            <w:gridSpan w:val="4"/>
            <w:shd w:val="clear" w:color="auto" w:fill="CCEEFF"/>
          </w:tcPr>
          <w:p>
            <w:pPr>
              <w:jc w:val="right"/>
              <w:ind w:right="228"/>
              <w:spacing w:after="0"/>
              <w:rPr>
                <w:sz w:val="20"/>
                <w:szCs w:val="20"/>
                <w:color w:val="auto"/>
              </w:rPr>
            </w:pPr>
            <w:r>
              <w:rPr>
                <w:rFonts w:ascii="Arial" w:cs="Arial" w:eastAsia="Arial" w:hAnsi="Arial"/>
                <w:sz w:val="13"/>
                <w:szCs w:val="13"/>
                <w:color w:val="auto"/>
              </w:rPr>
              <w:t>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Allowance for doubtful accounts</w:t>
            </w:r>
          </w:p>
        </w:tc>
        <w:tc>
          <w:tcPr>
            <w:tcW w:w="2960" w:type="dxa"/>
            <w:vAlign w:val="bottom"/>
            <w:gridSpan w:val="5"/>
          </w:tcPr>
          <w:p>
            <w:pPr>
              <w:jc w:val="right"/>
              <w:ind w:right="228"/>
              <w:spacing w:after="0"/>
              <w:rPr>
                <w:sz w:val="20"/>
                <w:szCs w:val="20"/>
                <w:color w:val="auto"/>
              </w:rPr>
            </w:pPr>
            <w:r>
              <w:rPr>
                <w:rFonts w:ascii="Arial" w:cs="Arial" w:eastAsia="Arial" w:hAnsi="Arial"/>
                <w:sz w:val="13"/>
                <w:szCs w:val="13"/>
                <w:color w:val="auto"/>
              </w:rPr>
              <w:t>10.6</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08"/>
              <w:spacing w:after="0"/>
              <w:rPr>
                <w:sz w:val="20"/>
                <w:szCs w:val="20"/>
                <w:color w:val="auto"/>
              </w:rPr>
            </w:pPr>
            <w:r>
              <w:rPr>
                <w:rFonts w:ascii="Arial" w:cs="Arial" w:eastAsia="Arial" w:hAnsi="Arial"/>
                <w:sz w:val="13"/>
                <w:szCs w:val="13"/>
                <w:color w:val="auto"/>
              </w:rPr>
              <w:t>6.2</w:t>
            </w:r>
          </w:p>
        </w:tc>
        <w:tc>
          <w:tcPr>
            <w:tcW w:w="1140" w:type="dxa"/>
            <w:vAlign w:val="bottom"/>
            <w:gridSpan w:val="4"/>
          </w:tcPr>
          <w:p>
            <w:pPr>
              <w:jc w:val="right"/>
              <w:ind w:right="169"/>
              <w:spacing w:after="0"/>
              <w:rPr>
                <w:sz w:val="20"/>
                <w:szCs w:val="20"/>
                <w:color w:val="auto"/>
              </w:rPr>
            </w:pPr>
            <w:r>
              <w:rPr>
                <w:rFonts w:ascii="Arial" w:cs="Arial" w:eastAsia="Arial" w:hAnsi="Arial"/>
                <w:sz w:val="13"/>
                <w:szCs w:val="13"/>
                <w:color w:val="auto"/>
              </w:rPr>
              <w:t>(5.7)</w:t>
            </w:r>
          </w:p>
        </w:tc>
        <w:tc>
          <w:tcPr>
            <w:tcW w:w="1100" w:type="dxa"/>
            <w:vAlign w:val="bottom"/>
            <w:gridSpan w:val="4"/>
          </w:tcPr>
          <w:p>
            <w:pPr>
              <w:jc w:val="right"/>
              <w:ind w:right="228"/>
              <w:spacing w:after="0"/>
              <w:rPr>
                <w:sz w:val="20"/>
                <w:szCs w:val="20"/>
                <w:color w:val="auto"/>
              </w:rPr>
            </w:pPr>
            <w:r>
              <w:rPr>
                <w:rFonts w:ascii="Arial" w:cs="Arial" w:eastAsia="Arial" w:hAnsi="Arial"/>
                <w:sz w:val="13"/>
                <w:szCs w:val="13"/>
                <w:color w:val="auto"/>
              </w:rPr>
              <w:t>11.1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Income tax valuation allowance</w:t>
            </w:r>
          </w:p>
        </w:tc>
        <w:tc>
          <w:tcPr>
            <w:tcW w:w="2960" w:type="dxa"/>
            <w:vAlign w:val="bottom"/>
            <w:gridSpan w:val="5"/>
            <w:shd w:val="clear" w:color="auto" w:fill="CCEEFF"/>
          </w:tcPr>
          <w:p>
            <w:pPr>
              <w:jc w:val="right"/>
              <w:ind w:right="228"/>
              <w:spacing w:after="0"/>
              <w:rPr>
                <w:sz w:val="20"/>
                <w:szCs w:val="20"/>
                <w:color w:val="auto"/>
              </w:rPr>
            </w:pPr>
            <w:r>
              <w:rPr>
                <w:rFonts w:ascii="Arial" w:cs="Arial" w:eastAsia="Arial" w:hAnsi="Arial"/>
                <w:sz w:val="13"/>
                <w:szCs w:val="13"/>
                <w:color w:val="auto"/>
              </w:rPr>
              <w:t>65.8</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1.8</w:t>
            </w:r>
          </w:p>
        </w:tc>
        <w:tc>
          <w:tcPr>
            <w:tcW w:w="1140" w:type="dxa"/>
            <w:vAlign w:val="bottom"/>
            <w:gridSpan w:val="4"/>
            <w:shd w:val="clear" w:color="auto" w:fill="CCEEFF"/>
          </w:tcPr>
          <w:p>
            <w:pPr>
              <w:jc w:val="right"/>
              <w:ind w:right="169"/>
              <w:spacing w:after="0"/>
              <w:rPr>
                <w:sz w:val="20"/>
                <w:szCs w:val="20"/>
                <w:color w:val="auto"/>
              </w:rPr>
            </w:pPr>
            <w:r>
              <w:rPr>
                <w:rFonts w:ascii="Arial" w:cs="Arial" w:eastAsia="Arial" w:hAnsi="Arial"/>
                <w:sz w:val="13"/>
                <w:szCs w:val="13"/>
                <w:color w:val="auto"/>
              </w:rPr>
              <w:t>(24.5)</w:t>
            </w:r>
          </w:p>
        </w:tc>
        <w:tc>
          <w:tcPr>
            <w:tcW w:w="1100" w:type="dxa"/>
            <w:vAlign w:val="bottom"/>
            <w:gridSpan w:val="4"/>
            <w:shd w:val="clear" w:color="auto" w:fill="CCEEFF"/>
          </w:tcPr>
          <w:p>
            <w:pPr>
              <w:jc w:val="right"/>
              <w:ind w:right="228"/>
              <w:spacing w:after="0"/>
              <w:rPr>
                <w:sz w:val="20"/>
                <w:szCs w:val="20"/>
                <w:color w:val="auto"/>
              </w:rPr>
            </w:pPr>
            <w:r>
              <w:rPr>
                <w:rFonts w:ascii="Arial" w:cs="Arial" w:eastAsia="Arial" w:hAnsi="Arial"/>
                <w:sz w:val="13"/>
                <w:szCs w:val="13"/>
                <w:color w:val="auto"/>
              </w:rPr>
              <w:t>43.1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0"/>
        </w:trPr>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980" w:type="dxa"/>
            <w:vAlign w:val="bottom"/>
            <w:gridSpan w:val="10"/>
          </w:tcPr>
          <w:p>
            <w:pPr>
              <w:jc w:val="center"/>
              <w:ind w:left="474"/>
              <w:spacing w:after="0"/>
              <w:rPr>
                <w:sz w:val="20"/>
                <w:szCs w:val="20"/>
                <w:color w:val="auto"/>
              </w:rPr>
            </w:pPr>
            <w:r>
              <w:rPr>
                <w:rFonts w:ascii="Arial" w:cs="Arial" w:eastAsia="Arial" w:hAnsi="Arial"/>
                <w:sz w:val="13"/>
                <w:szCs w:val="13"/>
                <w:b w:val="1"/>
                <w:bCs w:val="1"/>
                <w:color w:val="auto"/>
                <w:w w:val="92"/>
              </w:rPr>
              <w:t>Schedule II — Valuation and Qualifying Accounts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980" w:type="dxa"/>
            <w:vAlign w:val="bottom"/>
            <w:gridSpan w:val="10"/>
          </w:tcPr>
          <w:p>
            <w:pPr>
              <w:jc w:val="center"/>
              <w:ind w:left="474"/>
              <w:spacing w:after="0"/>
              <w:rPr>
                <w:sz w:val="20"/>
                <w:szCs w:val="20"/>
                <w:color w:val="auto"/>
              </w:rPr>
            </w:pPr>
            <w:r>
              <w:rPr>
                <w:rFonts w:ascii="Arial" w:cs="Arial" w:eastAsia="Arial" w:hAnsi="Arial"/>
                <w:sz w:val="13"/>
                <w:szCs w:val="13"/>
                <w:b w:val="1"/>
                <w:bCs w:val="1"/>
                <w:color w:val="auto"/>
                <w:w w:val="90"/>
              </w:rPr>
              <w:t>for the fiscal year ended September 30, 2008</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0"/>
                <w:szCs w:val="10"/>
                <w:b w:val="1"/>
                <w:bCs w:val="1"/>
                <w:color w:val="auto"/>
              </w:rPr>
              <w:t>Column A</w:t>
            </w: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Column B</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Column C</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rPr>
              <w:t>Column 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8"/>
              </w:rPr>
              <w:t>Column 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5"/>
              </w:rPr>
              <w:t>Column F</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2740" w:type="dxa"/>
            <w:vAlign w:val="bottom"/>
            <w:tcBorders>
              <w:top w:val="single" w:sz="8" w:color="auto"/>
            </w:tcBorders>
          </w:tcPr>
          <w:p>
            <w:pPr>
              <w:spacing w:after="0"/>
              <w:rPr>
                <w:sz w:val="7"/>
                <w:szCs w:val="7"/>
                <w:color w:val="auto"/>
              </w:rPr>
            </w:pPr>
          </w:p>
        </w:tc>
        <w:tc>
          <w:tcPr>
            <w:tcW w:w="19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Balance</w:t>
            </w: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Additions</w:t>
            </w:r>
          </w:p>
        </w:tc>
        <w:tc>
          <w:tcPr>
            <w:tcW w:w="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Deductions</w:t>
            </w:r>
          </w:p>
        </w:tc>
        <w:tc>
          <w:tcPr>
            <w:tcW w:w="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3"/>
              </w:rPr>
              <w:t>Balance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89"/>
              </w:rPr>
              <w:t>at</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5"/>
              </w:rPr>
              <w:t>Reserves</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Charged</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Credited</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740" w:type="dxa"/>
            <w:vAlign w:val="bottom"/>
            <w:vMerge w:val="restart"/>
          </w:tcPr>
          <w:p>
            <w:pPr>
              <w:spacing w:after="0"/>
              <w:rPr>
                <w:sz w:val="20"/>
                <w:szCs w:val="20"/>
                <w:color w:val="auto"/>
              </w:rPr>
            </w:pPr>
            <w:r>
              <w:rPr>
                <w:rFonts w:ascii="Arial" w:cs="Arial" w:eastAsia="Arial" w:hAnsi="Arial"/>
                <w:sz w:val="10"/>
                <w:szCs w:val="10"/>
                <w:b w:val="1"/>
                <w:bCs w:val="1"/>
                <w:color w:val="auto"/>
              </w:rPr>
              <w:t>Classification</w:t>
            </w:r>
          </w:p>
        </w:tc>
        <w:tc>
          <w:tcPr>
            <w:tcW w:w="1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auto"/>
                <w:w w:val="93"/>
              </w:rPr>
              <w:t>Beginning</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4"/>
              </w:rPr>
              <w:t>to</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and</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at End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2"/>
              </w:rPr>
              <w:t>of Period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6"/>
              </w:rPr>
              <w:t>Acquired</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87"/>
              </w:rPr>
              <w:t>Expense</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Write-Offs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274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 millions)</w:t>
            </w:r>
          </w:p>
        </w:tc>
        <w:tc>
          <w:tcPr>
            <w:tcW w:w="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720" w:type="dxa"/>
            <w:vAlign w:val="bottom"/>
            <w:gridSpan w:val="7"/>
            <w:shd w:val="clear" w:color="auto" w:fill="CCEEFF"/>
          </w:tcPr>
          <w:p>
            <w:pPr>
              <w:spacing w:after="0"/>
              <w:rPr>
                <w:sz w:val="20"/>
                <w:szCs w:val="20"/>
                <w:color w:val="auto"/>
              </w:rPr>
            </w:pPr>
            <w:r>
              <w:rPr>
                <w:rFonts w:ascii="Arial" w:cs="Arial" w:eastAsia="Arial" w:hAnsi="Arial"/>
                <w:sz w:val="13"/>
                <w:szCs w:val="13"/>
                <w:color w:val="auto"/>
              </w:rPr>
              <w:t>Valuation and qualifying accounts deducted from the assets to which they apply:</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Inventory reserve</w:t>
            </w:r>
          </w:p>
        </w:tc>
        <w:tc>
          <w:tcPr>
            <w:tcW w:w="2960" w:type="dxa"/>
            <w:vAlign w:val="bottom"/>
            <w:gridSpan w:val="5"/>
          </w:tcPr>
          <w:p>
            <w:pPr>
              <w:jc w:val="right"/>
              <w:ind w:right="228"/>
              <w:spacing w:after="0"/>
              <w:rPr>
                <w:sz w:val="20"/>
                <w:szCs w:val="20"/>
                <w:color w:val="auto"/>
              </w:rPr>
            </w:pPr>
            <w:r>
              <w:rPr>
                <w:rFonts w:ascii="Arial" w:cs="Arial" w:eastAsia="Arial" w:hAnsi="Arial"/>
                <w:sz w:val="13"/>
                <w:szCs w:val="13"/>
                <w:color w:val="auto"/>
              </w:rPr>
              <w:t>$15.6</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08"/>
              <w:spacing w:after="0"/>
              <w:rPr>
                <w:sz w:val="20"/>
                <w:szCs w:val="20"/>
                <w:color w:val="auto"/>
              </w:rPr>
            </w:pPr>
            <w:r>
              <w:rPr>
                <w:rFonts w:ascii="Arial" w:cs="Arial" w:eastAsia="Arial" w:hAnsi="Arial"/>
                <w:sz w:val="13"/>
                <w:szCs w:val="13"/>
                <w:color w:val="auto"/>
              </w:rPr>
              <w:t>$13.3</w:t>
            </w:r>
          </w:p>
        </w:tc>
        <w:tc>
          <w:tcPr>
            <w:tcW w:w="1140" w:type="dxa"/>
            <w:vAlign w:val="bottom"/>
            <w:gridSpan w:val="4"/>
          </w:tcPr>
          <w:p>
            <w:pPr>
              <w:jc w:val="right"/>
              <w:ind w:right="169"/>
              <w:spacing w:after="0"/>
              <w:rPr>
                <w:sz w:val="20"/>
                <w:szCs w:val="20"/>
                <w:color w:val="auto"/>
              </w:rPr>
            </w:pPr>
            <w:r>
              <w:rPr>
                <w:rFonts w:ascii="Arial" w:cs="Arial" w:eastAsia="Arial" w:hAnsi="Arial"/>
                <w:sz w:val="13"/>
                <w:szCs w:val="13"/>
                <w:color w:val="auto"/>
              </w:rPr>
              <w:t>$(11.4)</w:t>
            </w:r>
          </w:p>
        </w:tc>
        <w:tc>
          <w:tcPr>
            <w:tcW w:w="1100" w:type="dxa"/>
            <w:vAlign w:val="bottom"/>
            <w:gridSpan w:val="4"/>
          </w:tcPr>
          <w:p>
            <w:pPr>
              <w:jc w:val="right"/>
              <w:ind w:right="228"/>
              <w:spacing w:after="0"/>
              <w:rPr>
                <w:sz w:val="20"/>
                <w:szCs w:val="20"/>
                <w:color w:val="auto"/>
              </w:rPr>
            </w:pPr>
            <w:r>
              <w:rPr>
                <w:rFonts w:ascii="Arial" w:cs="Arial" w:eastAsia="Arial" w:hAnsi="Arial"/>
                <w:sz w:val="13"/>
                <w:szCs w:val="13"/>
                <w:color w:val="auto"/>
              </w:rPr>
              <w:t>$17.5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 — product recalls</w:t>
            </w:r>
          </w:p>
        </w:tc>
        <w:tc>
          <w:tcPr>
            <w:tcW w:w="1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16.7</w:t>
            </w:r>
          </w:p>
        </w:tc>
        <w:tc>
          <w:tcPr>
            <w:tcW w:w="1140" w:type="dxa"/>
            <w:vAlign w:val="bottom"/>
            <w:gridSpan w:val="4"/>
            <w:shd w:val="clear" w:color="auto" w:fill="CCEEFF"/>
          </w:tcPr>
          <w:p>
            <w:pPr>
              <w:jc w:val="right"/>
              <w:ind w:right="169"/>
              <w:spacing w:after="0"/>
              <w:rPr>
                <w:sz w:val="20"/>
                <w:szCs w:val="20"/>
                <w:color w:val="auto"/>
              </w:rPr>
            </w:pPr>
            <w:r>
              <w:rPr>
                <w:rFonts w:ascii="Arial" w:cs="Arial" w:eastAsia="Arial" w:hAnsi="Arial"/>
                <w:sz w:val="13"/>
                <w:szCs w:val="13"/>
                <w:color w:val="auto"/>
              </w:rPr>
              <w:t>(8.0)</w:t>
            </w:r>
          </w:p>
        </w:tc>
        <w:tc>
          <w:tcPr>
            <w:tcW w:w="1100" w:type="dxa"/>
            <w:vAlign w:val="bottom"/>
            <w:gridSpan w:val="4"/>
            <w:shd w:val="clear" w:color="auto" w:fill="CCEEFF"/>
          </w:tcPr>
          <w:p>
            <w:pPr>
              <w:jc w:val="right"/>
              <w:ind w:right="228"/>
              <w:spacing w:after="0"/>
              <w:rPr>
                <w:sz w:val="20"/>
                <w:szCs w:val="20"/>
                <w:color w:val="auto"/>
              </w:rPr>
            </w:pPr>
            <w:r>
              <w:rPr>
                <w:rFonts w:ascii="Arial" w:cs="Arial" w:eastAsia="Arial" w:hAnsi="Arial"/>
                <w:sz w:val="13"/>
                <w:szCs w:val="13"/>
                <w:color w:val="auto"/>
              </w:rPr>
              <w:t>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Allowance for doubtful accounts</w:t>
            </w:r>
          </w:p>
        </w:tc>
        <w:tc>
          <w:tcPr>
            <w:tcW w:w="2960" w:type="dxa"/>
            <w:vAlign w:val="bottom"/>
            <w:gridSpan w:val="5"/>
          </w:tcPr>
          <w:p>
            <w:pPr>
              <w:jc w:val="right"/>
              <w:ind w:right="228"/>
              <w:spacing w:after="0"/>
              <w:rPr>
                <w:sz w:val="20"/>
                <w:szCs w:val="20"/>
                <w:color w:val="auto"/>
              </w:rPr>
            </w:pPr>
            <w:r>
              <w:rPr>
                <w:rFonts w:ascii="Arial" w:cs="Arial" w:eastAsia="Arial" w:hAnsi="Arial"/>
                <w:sz w:val="13"/>
                <w:szCs w:val="13"/>
                <w:color w:val="auto"/>
              </w:rPr>
              <w:t>11.4</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08"/>
              <w:spacing w:after="0"/>
              <w:rPr>
                <w:sz w:val="20"/>
                <w:szCs w:val="20"/>
                <w:color w:val="auto"/>
              </w:rPr>
            </w:pPr>
            <w:r>
              <w:rPr>
                <w:rFonts w:ascii="Arial" w:cs="Arial" w:eastAsia="Arial" w:hAnsi="Arial"/>
                <w:sz w:val="13"/>
                <w:szCs w:val="13"/>
                <w:color w:val="auto"/>
              </w:rPr>
              <w:t>4.7</w:t>
            </w:r>
          </w:p>
        </w:tc>
        <w:tc>
          <w:tcPr>
            <w:tcW w:w="1140" w:type="dxa"/>
            <w:vAlign w:val="bottom"/>
            <w:gridSpan w:val="4"/>
          </w:tcPr>
          <w:p>
            <w:pPr>
              <w:jc w:val="right"/>
              <w:ind w:right="169"/>
              <w:spacing w:after="0"/>
              <w:rPr>
                <w:sz w:val="20"/>
                <w:szCs w:val="20"/>
                <w:color w:val="auto"/>
              </w:rPr>
            </w:pPr>
            <w:r>
              <w:rPr>
                <w:rFonts w:ascii="Arial" w:cs="Arial" w:eastAsia="Arial" w:hAnsi="Arial"/>
                <w:sz w:val="13"/>
                <w:szCs w:val="13"/>
                <w:color w:val="auto"/>
              </w:rPr>
              <w:t>(5.5)</w:t>
            </w:r>
          </w:p>
        </w:tc>
        <w:tc>
          <w:tcPr>
            <w:tcW w:w="1100" w:type="dxa"/>
            <w:vAlign w:val="bottom"/>
            <w:gridSpan w:val="4"/>
          </w:tcPr>
          <w:p>
            <w:pPr>
              <w:jc w:val="right"/>
              <w:ind w:right="228"/>
              <w:spacing w:after="0"/>
              <w:rPr>
                <w:sz w:val="20"/>
                <w:szCs w:val="20"/>
                <w:color w:val="auto"/>
              </w:rPr>
            </w:pPr>
            <w:r>
              <w:rPr>
                <w:rFonts w:ascii="Arial" w:cs="Arial" w:eastAsia="Arial" w:hAnsi="Arial"/>
                <w:sz w:val="13"/>
                <w:szCs w:val="13"/>
                <w:color w:val="auto"/>
              </w:rPr>
              <w:t>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Income tax valuation allowance</w:t>
            </w:r>
          </w:p>
        </w:tc>
        <w:tc>
          <w:tcPr>
            <w:tcW w:w="2960" w:type="dxa"/>
            <w:vAlign w:val="bottom"/>
            <w:gridSpan w:val="5"/>
            <w:shd w:val="clear" w:color="auto" w:fill="CCEEFF"/>
          </w:tcPr>
          <w:p>
            <w:pPr>
              <w:jc w:val="right"/>
              <w:ind w:right="228"/>
              <w:spacing w:after="0"/>
              <w:rPr>
                <w:sz w:val="20"/>
                <w:szCs w:val="20"/>
                <w:color w:val="auto"/>
              </w:rPr>
            </w:pPr>
            <w:r>
              <w:rPr>
                <w:rFonts w:ascii="Arial" w:cs="Arial" w:eastAsia="Arial" w:hAnsi="Arial"/>
                <w:sz w:val="13"/>
                <w:szCs w:val="13"/>
                <w:color w:val="auto"/>
              </w:rPr>
              <w:t>41.0</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27.0</w:t>
            </w:r>
          </w:p>
        </w:tc>
        <w:tc>
          <w:tcPr>
            <w:tcW w:w="1140" w:type="dxa"/>
            <w:vAlign w:val="bottom"/>
            <w:gridSpan w:val="4"/>
            <w:shd w:val="clear" w:color="auto" w:fill="CCEEFF"/>
          </w:tcPr>
          <w:p>
            <w:pPr>
              <w:jc w:val="right"/>
              <w:ind w:right="169"/>
              <w:spacing w:after="0"/>
              <w:rPr>
                <w:sz w:val="20"/>
                <w:szCs w:val="20"/>
                <w:color w:val="auto"/>
              </w:rPr>
            </w:pPr>
            <w:r>
              <w:rPr>
                <w:rFonts w:ascii="Arial" w:cs="Arial" w:eastAsia="Arial" w:hAnsi="Arial"/>
                <w:sz w:val="13"/>
                <w:szCs w:val="13"/>
                <w:color w:val="auto"/>
              </w:rPr>
              <w:t>(2.2)</w:t>
            </w:r>
          </w:p>
        </w:tc>
        <w:tc>
          <w:tcPr>
            <w:tcW w:w="1100" w:type="dxa"/>
            <w:vAlign w:val="bottom"/>
            <w:gridSpan w:val="4"/>
            <w:shd w:val="clear" w:color="auto" w:fill="CCEEFF"/>
          </w:tcPr>
          <w:p>
            <w:pPr>
              <w:jc w:val="right"/>
              <w:ind w:right="228"/>
              <w:spacing w:after="0"/>
              <w:rPr>
                <w:sz w:val="20"/>
                <w:szCs w:val="20"/>
                <w:color w:val="auto"/>
              </w:rPr>
            </w:pPr>
            <w:r>
              <w:rPr>
                <w:rFonts w:ascii="Arial" w:cs="Arial" w:eastAsia="Arial" w:hAnsi="Arial"/>
                <w:sz w:val="13"/>
                <w:szCs w:val="13"/>
                <w:color w:val="auto"/>
              </w:rPr>
              <w:t>65.8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60" w:type="dxa"/>
            <w:vAlign w:val="bottom"/>
            <w:gridSpan w:val="5"/>
          </w:tcPr>
          <w:p>
            <w:pPr>
              <w:jc w:val="center"/>
              <w:ind w:left="1494"/>
              <w:spacing w:after="0"/>
              <w:rPr>
                <w:sz w:val="20"/>
                <w:szCs w:val="20"/>
                <w:color w:val="auto"/>
              </w:rPr>
            </w:pPr>
            <w:r>
              <w:rPr>
                <w:rFonts w:ascii="Arial" w:cs="Arial" w:eastAsia="Arial" w:hAnsi="Arial"/>
                <w:sz w:val="13"/>
                <w:szCs w:val="13"/>
                <w:color w:val="auto"/>
                <w:w w:val="92"/>
              </w:rPr>
              <w:t>122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740" w:type="dxa"/>
            <w:vAlign w:val="bottom"/>
            <w:tcBorders>
              <w:bottom w:val="single" w:sz="8" w:color="808080"/>
            </w:tcBorders>
          </w:tcPr>
          <w:p>
            <w:pPr>
              <w:spacing w:after="0"/>
              <w:rPr>
                <w:sz w:val="14"/>
                <w:szCs w:val="14"/>
                <w:color w:val="auto"/>
              </w:rPr>
            </w:pPr>
          </w:p>
        </w:tc>
        <w:tc>
          <w:tcPr>
            <w:tcW w:w="19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4" w:name="page125"/>
    <w:bookmarkEnd w:id="124"/>
    <w:p>
      <w:pPr>
        <w:spacing w:after="0"/>
        <w:rPr>
          <w:rFonts w:ascii="Arial" w:cs="Arial" w:eastAsia="Arial" w:hAnsi="Arial"/>
          <w:sz w:val="11"/>
          <w:szCs w:val="11"/>
          <w:b w:val="1"/>
          <w:bCs w:val="1"/>
          <w:u w:val="single" w:color="auto"/>
          <w:color w:val="0000EE"/>
        </w:rPr>
      </w:pPr>
      <w:hyperlink w:anchor="page2">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660"/>
          </w:cols>
          <w:pgMar w:left="220" w:top="343" w:right="1019" w:bottom="1440" w:gutter="0" w:footer="0" w:header="0"/>
        </w:sectPr>
      </w:pPr>
    </w:p>
    <w:p>
      <w:pPr>
        <w:spacing w:after="0" w:line="247"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80" w:type="dxa"/>
            <w:vAlign w:val="bottom"/>
          </w:tcPr>
          <w:p>
            <w:pPr>
              <w:ind w:left="2620"/>
              <w:spacing w:after="0"/>
              <w:rPr>
                <w:sz w:val="20"/>
                <w:szCs w:val="20"/>
                <w:color w:val="auto"/>
              </w:rPr>
            </w:pPr>
            <w:r>
              <w:rPr>
                <w:rFonts w:ascii="Arial" w:cs="Arial" w:eastAsia="Arial" w:hAnsi="Arial"/>
                <w:sz w:val="13"/>
                <w:szCs w:val="13"/>
                <w:b w:val="1"/>
                <w:bCs w:val="1"/>
                <w:color w:val="auto"/>
              </w:rPr>
              <w:t>The Scotts Miracle-Gro Company</w:t>
            </w:r>
          </w:p>
        </w:tc>
        <w:tc>
          <w:tcPr>
            <w:tcW w:w="0" w:type="dxa"/>
            <w:vAlign w:val="bottom"/>
          </w:tcPr>
          <w:p>
            <w:pPr>
              <w:spacing w:after="0"/>
              <w:rPr>
                <w:sz w:val="1"/>
                <w:szCs w:val="1"/>
                <w:color w:val="auto"/>
              </w:rPr>
            </w:pPr>
          </w:p>
        </w:tc>
      </w:tr>
      <w:tr>
        <w:trPr>
          <w:trHeight w:val="246"/>
        </w:trPr>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80" w:type="dxa"/>
            <w:vAlign w:val="bottom"/>
          </w:tcPr>
          <w:p>
            <w:pPr>
              <w:ind w:left="3100"/>
              <w:spacing w:after="0"/>
              <w:rPr>
                <w:sz w:val="20"/>
                <w:szCs w:val="20"/>
                <w:color w:val="auto"/>
              </w:rPr>
            </w:pPr>
            <w:r>
              <w:rPr>
                <w:rFonts w:ascii="Arial" w:cs="Arial" w:eastAsia="Arial" w:hAnsi="Arial"/>
                <w:sz w:val="13"/>
                <w:szCs w:val="13"/>
                <w:b w:val="1"/>
                <w:bCs w:val="1"/>
                <w:color w:val="auto"/>
              </w:rPr>
              <w:t>Index to Exhibits</w:t>
            </w:r>
          </w:p>
        </w:tc>
        <w:tc>
          <w:tcPr>
            <w:tcW w:w="0" w:type="dxa"/>
            <w:vAlign w:val="bottom"/>
          </w:tcPr>
          <w:p>
            <w:pPr>
              <w:spacing w:after="0"/>
              <w:rPr>
                <w:sz w:val="1"/>
                <w:szCs w:val="1"/>
                <w:color w:val="auto"/>
              </w:rPr>
            </w:pPr>
          </w:p>
        </w:tc>
      </w:tr>
      <w:tr>
        <w:trPr>
          <w:trHeight w:val="191"/>
        </w:trPr>
        <w:tc>
          <w:tcPr>
            <w:tcW w:w="1320" w:type="dxa"/>
            <w:vAlign w:val="bottom"/>
          </w:tcPr>
          <w:p>
            <w:pPr>
              <w:jc w:val="right"/>
              <w:ind w:right="442"/>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6"/>
                <w:szCs w:val="16"/>
                <w:color w:val="auto"/>
              </w:rPr>
            </w:pPr>
          </w:p>
        </w:tc>
        <w:tc>
          <w:tcPr>
            <w:tcW w:w="5680" w:type="dxa"/>
            <w:vAlign w:val="bottom"/>
            <w:vMerge w:val="restart"/>
          </w:tcPr>
          <w:p>
            <w:pPr>
              <w:ind w:left="25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32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jc w:val="right"/>
              <w:ind w:right="322"/>
              <w:spacing w:after="0"/>
              <w:rPr>
                <w:sz w:val="20"/>
                <w:szCs w:val="20"/>
                <w:color w:val="auto"/>
              </w:rPr>
            </w:pPr>
            <w:r>
              <w:rPr>
                <w:rFonts w:ascii="Arial" w:cs="Arial" w:eastAsia="Arial" w:hAnsi="Arial"/>
                <w:sz w:val="12"/>
                <w:szCs w:val="12"/>
                <w:color w:val="auto"/>
              </w:rPr>
              <w:t>3.1(a)</w:t>
            </w:r>
          </w:p>
        </w:tc>
        <w:tc>
          <w:tcPr>
            <w:tcW w:w="1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7"/>
              </w:rPr>
              <w:t>Initial Articles of Incorporation of The Scotts Miracle-Gro Company as filed with the Ohio Secretary of State on</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November 22, 2004</w:t>
            </w:r>
          </w:p>
        </w:tc>
        <w:tc>
          <w:tcPr>
            <w:tcW w:w="0" w:type="dxa"/>
            <w:vAlign w:val="bottom"/>
          </w:tcPr>
          <w:p>
            <w:pPr>
              <w:spacing w:after="0"/>
              <w:rPr>
                <w:sz w:val="1"/>
                <w:szCs w:val="1"/>
                <w:color w:val="auto"/>
              </w:rPr>
            </w:pPr>
          </w:p>
        </w:tc>
      </w:tr>
      <w:tr>
        <w:trPr>
          <w:trHeight w:val="441"/>
        </w:trPr>
        <w:tc>
          <w:tcPr>
            <w:tcW w:w="1320" w:type="dxa"/>
            <w:vAlign w:val="bottom"/>
          </w:tcPr>
          <w:p>
            <w:pPr>
              <w:jc w:val="right"/>
              <w:ind w:right="302"/>
              <w:spacing w:after="0"/>
              <w:rPr>
                <w:sz w:val="20"/>
                <w:szCs w:val="20"/>
                <w:color w:val="auto"/>
              </w:rPr>
            </w:pPr>
            <w:r>
              <w:rPr>
                <w:rFonts w:ascii="Arial" w:cs="Arial" w:eastAsia="Arial" w:hAnsi="Arial"/>
                <w:sz w:val="12"/>
                <w:szCs w:val="12"/>
                <w:color w:val="auto"/>
              </w:rPr>
              <w:t>3.1(b)</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Certificate of Amendment by Shareholders to Articles of Incorporation of The Scotts Miracle-Gro Company as filed</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with the Ohio Secretary of State on March 18, 2005</w:t>
            </w:r>
          </w:p>
        </w:tc>
        <w:tc>
          <w:tcPr>
            <w:tcW w:w="0" w:type="dxa"/>
            <w:vAlign w:val="bottom"/>
          </w:tcPr>
          <w:p>
            <w:pPr>
              <w:spacing w:after="0"/>
              <w:rPr>
                <w:sz w:val="1"/>
                <w:szCs w:val="1"/>
                <w:color w:val="auto"/>
              </w:rPr>
            </w:pPr>
          </w:p>
        </w:tc>
      </w:tr>
      <w:tr>
        <w:trPr>
          <w:trHeight w:val="295"/>
        </w:trPr>
        <w:tc>
          <w:tcPr>
            <w:tcW w:w="1320" w:type="dxa"/>
            <w:vAlign w:val="bottom"/>
          </w:tcPr>
          <w:p>
            <w:pPr>
              <w:jc w:val="right"/>
              <w:ind w:right="442"/>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Code of Regulations of The Scotts Miracle-Gro Company</w:t>
            </w:r>
          </w:p>
        </w:tc>
        <w:tc>
          <w:tcPr>
            <w:tcW w:w="0" w:type="dxa"/>
            <w:vAlign w:val="bottom"/>
          </w:tcPr>
          <w:p>
            <w:pPr>
              <w:spacing w:after="0"/>
              <w:rPr>
                <w:sz w:val="1"/>
                <w:szCs w:val="1"/>
                <w:color w:val="auto"/>
              </w:rPr>
            </w:pPr>
          </w:p>
        </w:tc>
      </w:tr>
      <w:tr>
        <w:trPr>
          <w:trHeight w:val="441"/>
        </w:trPr>
        <w:tc>
          <w:tcPr>
            <w:tcW w:w="1320" w:type="dxa"/>
            <w:vAlign w:val="bottom"/>
          </w:tcPr>
          <w:p>
            <w:pPr>
              <w:jc w:val="right"/>
              <w:ind w:right="442"/>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Indenture, dated as of January 14, 2010, among The Scotts Miracle-Gro Company, the guarantors from time to time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party thereto and U.S. Bank National Association, as trustee</w:t>
            </w:r>
          </w:p>
        </w:tc>
        <w:tc>
          <w:tcPr>
            <w:tcW w:w="0" w:type="dxa"/>
            <w:vAlign w:val="bottom"/>
          </w:tcPr>
          <w:p>
            <w:pPr>
              <w:spacing w:after="0"/>
              <w:rPr>
                <w:sz w:val="1"/>
                <w:szCs w:val="1"/>
                <w:color w:val="auto"/>
              </w:rPr>
            </w:pPr>
          </w:p>
        </w:tc>
      </w:tr>
      <w:tr>
        <w:trPr>
          <w:trHeight w:val="293"/>
        </w:trPr>
        <w:tc>
          <w:tcPr>
            <w:tcW w:w="1320" w:type="dxa"/>
            <w:vAlign w:val="bottom"/>
          </w:tcPr>
          <w:p>
            <w:pPr>
              <w:jc w:val="right"/>
              <w:ind w:right="442"/>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First Supplemental Indenture, dated as of January 14, 2010, among The Scotts Miracle-Gro Company, the guarantors</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named therein and U.S. Bank National Association, as trustee</w:t>
            </w:r>
          </w:p>
        </w:tc>
        <w:tc>
          <w:tcPr>
            <w:tcW w:w="0" w:type="dxa"/>
            <w:vAlign w:val="bottom"/>
          </w:tcPr>
          <w:p>
            <w:pPr>
              <w:spacing w:after="0"/>
              <w:rPr>
                <w:sz w:val="1"/>
                <w:szCs w:val="1"/>
                <w:color w:val="auto"/>
              </w:rPr>
            </w:pPr>
          </w:p>
        </w:tc>
      </w:tr>
      <w:tr>
        <w:trPr>
          <w:trHeight w:val="295"/>
        </w:trPr>
        <w:tc>
          <w:tcPr>
            <w:tcW w:w="1320" w:type="dxa"/>
            <w:vAlign w:val="bottom"/>
          </w:tcPr>
          <w:p>
            <w:pPr>
              <w:jc w:val="right"/>
              <w:ind w:right="442"/>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Form of 7.25% Senior Notes due 2018</w:t>
            </w:r>
          </w:p>
        </w:tc>
        <w:tc>
          <w:tcPr>
            <w:tcW w:w="0" w:type="dxa"/>
            <w:vAlign w:val="bottom"/>
          </w:tcPr>
          <w:p>
            <w:pPr>
              <w:spacing w:after="0"/>
              <w:rPr>
                <w:sz w:val="1"/>
                <w:szCs w:val="1"/>
                <w:color w:val="auto"/>
              </w:rPr>
            </w:pPr>
          </w:p>
        </w:tc>
      </w:tr>
      <w:tr>
        <w:trPr>
          <w:trHeight w:val="441"/>
        </w:trPr>
        <w:tc>
          <w:tcPr>
            <w:tcW w:w="1320" w:type="dxa"/>
            <w:vAlign w:val="bottom"/>
          </w:tcPr>
          <w:p>
            <w:pPr>
              <w:jc w:val="right"/>
              <w:ind w:right="442"/>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Agreement to furnish copies of instruments and agreements defining rights of holders of long-term debt</w:t>
            </w:r>
          </w:p>
        </w:tc>
        <w:tc>
          <w:tcPr>
            <w:tcW w:w="0" w:type="dxa"/>
            <w:vAlign w:val="bottom"/>
          </w:tcPr>
          <w:p>
            <w:pPr>
              <w:spacing w:after="0"/>
              <w:rPr>
                <w:sz w:val="1"/>
                <w:szCs w:val="1"/>
                <w:color w:val="auto"/>
              </w:rPr>
            </w:pPr>
          </w:p>
        </w:tc>
      </w:tr>
      <w:tr>
        <w:trPr>
          <w:trHeight w:val="147"/>
        </w:trPr>
        <w:tc>
          <w:tcPr>
            <w:tcW w:w="1320" w:type="dxa"/>
            <w:vAlign w:val="bottom"/>
          </w:tcPr>
          <w:p>
            <w:pPr>
              <w:jc w:val="right"/>
              <w:ind w:right="322"/>
              <w:spacing w:after="0"/>
              <w:rPr>
                <w:sz w:val="20"/>
                <w:szCs w:val="20"/>
                <w:color w:val="auto"/>
              </w:rPr>
            </w:pPr>
            <w:r>
              <w:rPr>
                <w:rFonts w:ascii="Arial" w:cs="Arial" w:eastAsia="Arial" w:hAnsi="Arial"/>
                <w:sz w:val="12"/>
                <w:szCs w:val="12"/>
                <w:color w:val="auto"/>
              </w:rPr>
              <w:t>10.1(a)</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8"/>
              </w:rPr>
              <w:t>Amended and Restated Agreement and Plan of Merger, dated as of May 19, 1995, among Stern’s Miracle-Gro Products,</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Inc., Stern’s Nurseries, Inc., Miracle-Gro Lawn Products Inc., Miracle-Gro Products Limited, Hagedorn Partnership,</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L.P., the general partners of Hagedorn Partnership, L.P., Horace Hagedorn, Community Funds, Inc., and John Kenlon,</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The Scotts Company and ZYX Corporation</w:t>
            </w:r>
          </w:p>
        </w:tc>
        <w:tc>
          <w:tcPr>
            <w:tcW w:w="0" w:type="dxa"/>
            <w:vAlign w:val="bottom"/>
          </w:tcPr>
          <w:p>
            <w:pPr>
              <w:spacing w:after="0"/>
              <w:rPr>
                <w:sz w:val="1"/>
                <w:szCs w:val="1"/>
                <w:color w:val="auto"/>
              </w:rPr>
            </w:pPr>
          </w:p>
        </w:tc>
      </w:tr>
      <w:tr>
        <w:trPr>
          <w:trHeight w:val="147"/>
        </w:trPr>
        <w:tc>
          <w:tcPr>
            <w:tcW w:w="1320" w:type="dxa"/>
            <w:vAlign w:val="bottom"/>
          </w:tcPr>
          <w:p>
            <w:pPr>
              <w:jc w:val="right"/>
              <w:ind w:right="302"/>
              <w:spacing w:after="0"/>
              <w:rPr>
                <w:sz w:val="20"/>
                <w:szCs w:val="20"/>
                <w:color w:val="auto"/>
              </w:rPr>
            </w:pPr>
            <w:r>
              <w:rPr>
                <w:rFonts w:ascii="Arial" w:cs="Arial" w:eastAsia="Arial" w:hAnsi="Arial"/>
                <w:sz w:val="12"/>
                <w:szCs w:val="12"/>
                <w:color w:val="auto"/>
              </w:rPr>
              <w:t>10.1(b)</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First Amendment to Amended and Restated Agreement and Plan of Merger, made and entered into as of October 1,</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1999, among The Scotts Company, Scotts’ Miracle-Gro Products, Inc. (as successor to ZYX Corporation and Stern’s</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Miracle-Gro Products, Inc.), Miracle-Gro Lawn Products Inc., Miracle-Gro Products Limited, Hagedorn Partnership,</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L.P., Community Funds, Inc., Horace Hagedorn and John Kenlon, and James Hagedorn, Katherine Hagedorn Littlefield,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Paul Hagedorn, Peter Hagedorn, Robert Hagedorn and Susan Hagedorn</w:t>
            </w:r>
          </w:p>
        </w:tc>
        <w:tc>
          <w:tcPr>
            <w:tcW w:w="0" w:type="dxa"/>
            <w:vAlign w:val="bottom"/>
          </w:tcPr>
          <w:p>
            <w:pPr>
              <w:spacing w:after="0"/>
              <w:rPr>
                <w:sz w:val="1"/>
                <w:szCs w:val="1"/>
                <w:color w:val="auto"/>
              </w:rPr>
            </w:pPr>
          </w:p>
        </w:tc>
      </w:tr>
      <w:tr>
        <w:trPr>
          <w:trHeight w:val="147"/>
        </w:trPr>
        <w:tc>
          <w:tcPr>
            <w:tcW w:w="1320" w:type="dxa"/>
            <w:vAlign w:val="bottom"/>
          </w:tcPr>
          <w:p>
            <w:pPr>
              <w:jc w:val="right"/>
              <w:ind w:right="322"/>
              <w:spacing w:after="0"/>
              <w:rPr>
                <w:sz w:val="20"/>
                <w:szCs w:val="20"/>
                <w:color w:val="auto"/>
              </w:rPr>
            </w:pPr>
            <w:r>
              <w:rPr>
                <w:rFonts w:ascii="Arial" w:cs="Arial" w:eastAsia="Arial" w:hAnsi="Arial"/>
                <w:sz w:val="12"/>
                <w:szCs w:val="12"/>
                <w:color w:val="auto"/>
              </w:rPr>
              <w:t>10.2(a)</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The Scotts Company LLC Excess Benefit Plan for Grandfathered Associates as of January 1, 2005 (executed as of</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September 30, 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77292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72920" cy="6350"/>
                    </a:xfrm>
                    <a:prstGeom prst="rect">
                      <a:avLst/>
                    </a:prstGeom>
                    <a:noFill/>
                  </pic:spPr>
                </pic:pic>
              </a:graphicData>
            </a:graphic>
          </wp:anchor>
        </w:drawing>
      </w:r>
    </w:p>
    <w:p>
      <w:pPr>
        <w:spacing w:after="0" w:line="32"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Incorporated herein by reference to the Current Report on Form 8-K of The Scotts Miracle-Gro Company (the “Registrant”) filed March 24, 2005 (File No. 1-11593) [Exhibit 3.1]</w:t>
      </w:r>
    </w:p>
    <w:p>
      <w:pPr>
        <w:ind w:right="16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March 24, 2005 (File No. 1-11593) [Exhibit 3.2]</w:t>
      </w:r>
    </w:p>
    <w:p>
      <w:pPr>
        <w:spacing w:after="0" w:line="1" w:lineRule="exact"/>
        <w:rPr>
          <w:sz w:val="20"/>
          <w:szCs w:val="20"/>
          <w:color w:val="auto"/>
        </w:rPr>
      </w:pPr>
    </w:p>
    <w:p>
      <w:pPr>
        <w:ind w:right="16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March 24, 2005 (File No. 1-11593) [Exhibit 3.3]</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January 14, 2010 (File No. 1-11593) [Exhibit 4.1]</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January 14, 2010 (File No. 1-11593) [Exhibit 4.2]</w:t>
      </w:r>
    </w:p>
    <w:p>
      <w:pPr>
        <w:spacing w:after="0" w:line="1" w:lineRule="exact"/>
        <w:rPr>
          <w:sz w:val="20"/>
          <w:szCs w:val="20"/>
          <w:color w:val="auto"/>
        </w:rPr>
      </w:pPr>
    </w:p>
    <w:p>
      <w:pPr>
        <w:ind w:right="100"/>
        <w:spacing w:after="0" w:line="279" w:lineRule="auto"/>
        <w:rPr>
          <w:sz w:val="20"/>
          <w:szCs w:val="20"/>
          <w:color w:val="auto"/>
        </w:rPr>
      </w:pPr>
      <w:r>
        <w:rPr>
          <w:rFonts w:ascii="Arial" w:cs="Arial" w:eastAsia="Arial" w:hAnsi="Arial"/>
          <w:sz w:val="11"/>
          <w:szCs w:val="11"/>
          <w:color w:val="auto"/>
        </w:rPr>
        <w:t>Incorporated herein by reference to the Registrant’s Current Report on Form 8-K filed January 14, 2010 (File No. 1-11593) [Included in Exhibit 4.2]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9"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Incorporated herein by reference to the Current Report on Form 8-K of The Scotts Company, a Delaware corporation, filed June 2, 1995 (File No. 0-19768) [Exhibit 2(b)]</w:t>
      </w:r>
    </w:p>
    <w:p>
      <w:pPr>
        <w:spacing w:after="0" w:line="1" w:lineRule="exact"/>
        <w:rPr>
          <w:sz w:val="20"/>
          <w:szCs w:val="20"/>
          <w:color w:val="auto"/>
        </w:rPr>
      </w:pPr>
    </w:p>
    <w:p>
      <w:pPr>
        <w:ind w:right="60"/>
        <w:spacing w:after="0" w:line="392" w:lineRule="auto"/>
        <w:rPr>
          <w:sz w:val="20"/>
          <w:szCs w:val="20"/>
          <w:color w:val="auto"/>
        </w:rPr>
      </w:pPr>
      <w:r>
        <w:rPr>
          <w:rFonts w:ascii="Arial" w:cs="Arial" w:eastAsia="Arial" w:hAnsi="Arial"/>
          <w:sz w:val="9"/>
          <w:szCs w:val="9"/>
          <w:color w:val="auto"/>
        </w:rPr>
        <w:t>Incorporated herein by reference to the Current Report on Form 8-K of The Scotts Company, an Ohio corporation, filed October 5, 1999 (File No. 1-13292) [Exhibit 2]</w:t>
      </w:r>
    </w:p>
    <w:p>
      <w:pPr>
        <w:spacing w:after="0" w:line="228" w:lineRule="exact"/>
        <w:rPr>
          <w:sz w:val="20"/>
          <w:szCs w:val="20"/>
          <w:color w:val="auto"/>
        </w:rPr>
      </w:pPr>
    </w:p>
    <w:p>
      <w:pPr>
        <w:ind w:right="100"/>
        <w:spacing w:after="0" w:line="394"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2008 (File No. 1-11593) [Exhibit 10.1(a)]</w:t>
      </w:r>
    </w:p>
    <w:p>
      <w:pPr>
        <w:spacing w:after="0" w:line="200" w:lineRule="exact"/>
        <w:rPr>
          <w:sz w:val="20"/>
          <w:szCs w:val="20"/>
          <w:color w:val="auto"/>
        </w:rPr>
      </w:pPr>
    </w:p>
    <w:p>
      <w:pPr>
        <w:sectPr>
          <w:pgSz w:w="11900" w:h="16838" w:orient="portrait"/>
          <w:cols w:equalWidth="0" w:num="2">
            <w:col w:w="7780" w:space="100"/>
            <w:col w:w="2780"/>
          </w:cols>
          <w:pgMar w:left="220" w:top="343" w:right="1019" w:bottom="1440" w:gutter="0" w:footer="0" w:header="0"/>
          <w:type w:val="continuous"/>
        </w:sectPr>
      </w:pPr>
    </w:p>
    <w:p>
      <w:pPr>
        <w:spacing w:after="0" w:line="26"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25" w:name="page126"/>
    <w:bookmarkEnd w:id="125"/>
    <w:p>
      <w:pPr>
        <w:spacing w:after="0"/>
        <w:rPr>
          <w:rFonts w:ascii="Arial" w:cs="Arial" w:eastAsia="Arial" w:hAnsi="Arial"/>
          <w:sz w:val="11"/>
          <w:szCs w:val="11"/>
          <w:b w:val="1"/>
          <w:bCs w:val="1"/>
          <w:u w:val="single" w:color="auto"/>
          <w:color w:val="0000EE"/>
        </w:rPr>
      </w:pPr>
      <w:hyperlink w:anchor="page2">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620"/>
          </w:cols>
          <w:pgMar w:left="220" w:top="343" w:right="1059" w:bottom="1440" w:gutter="0" w:footer="0" w:header="0"/>
        </w:sectPr>
      </w:pP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20" w:type="dxa"/>
            <w:vAlign w:val="bottom"/>
          </w:tcPr>
          <w:p>
            <w:pPr>
              <w:ind w:left="5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680" w:type="dxa"/>
            <w:vAlign w:val="bottom"/>
            <w:vMerge w:val="restart"/>
          </w:tcPr>
          <w:p>
            <w:pPr>
              <w:ind w:left="25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600"/>
              <w:spacing w:after="0"/>
              <w:rPr>
                <w:sz w:val="20"/>
                <w:szCs w:val="20"/>
                <w:color w:val="auto"/>
              </w:rPr>
            </w:pPr>
            <w:r>
              <w:rPr>
                <w:rFonts w:ascii="Arial" w:cs="Arial" w:eastAsia="Arial" w:hAnsi="Arial"/>
                <w:sz w:val="12"/>
                <w:szCs w:val="12"/>
                <w:color w:val="auto"/>
              </w:rPr>
              <w:t>10.2(b)</w:t>
            </w:r>
          </w:p>
        </w:tc>
        <w:tc>
          <w:tcPr>
            <w:tcW w:w="1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8"/>
              </w:rPr>
              <w:t>The Scotts Company LLC Excess Benefit Plan for Non Grandfathered Associates as of January 1, 2005 (executed as of</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November 20, 2008)</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10.3(a)</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5"/>
              </w:rPr>
              <w:t>Amended and Restated Credit Agreement, dated as of February 7, 2007, by and among The Scotts Miracle-Gro</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Company as the “Borrower”; the Subsidiary Borrowers (as defined in the Amended and Restated Credit Agreement);</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6"/>
              </w:rPr>
              <w:t>the several banks and other financial institutions from time to time parties to the Amended and Restated Credit</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4"/>
              </w:rPr>
              <w:t>Agreement; Bank of America, N.A., as Syndication Agent; The Bank of Tokyo-Mitsubushi UFJ. Ltd, BNP Paribas,</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CoBank, ACB, BMO Capital Markets Financing, Inc., LaSalle Bank N.A., Cooperatieve Centrale Raiffeisen</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Boerenleenbank, B.A. “Rabobank Nederland,” New York Branch, Citicorp North America, Inc. and The Bank of Nova</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Scotia, as Documentation Agents; and JPMorgan Chase Bank, N.A., as Administrative Agent</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10.3(b)</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First Amendment, dated as of April 10, 2007, to the Amended and Restated Credit Agreement, dated as of February 7,</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2007, by and among The Scotts Miracle-Gro Company as the “Borrower”; the Subsidiary Borrowers (as defined in the</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Amended and Restated Credit Agreement); the several banks and other financial institutions from time to time parties to</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the Amended and Restated Credit Agreement; the Syndication Agent and the Documentation Agents named in the</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Amended and Restated Credit Agreement; and JPMorgan Chase Bank, N.A., as Administrative Agent</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4"/>
              </w:rPr>
              <w:t>Amended and Restated Guarantee and Collateral Agreement, dated as of February 7, 2007, made by The Scotts</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Miracle-Gro Company and each Domestic Subsidiary Borrower (and certain of the Subsidiary Borrowers’ domestic</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7"/>
              </w:rPr>
              <w:t>subsidiaries) under the Amended and Restated Credit Agreement in favor of JPMorgan Chase Bank, N.A., as</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Administrative Agent</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Foreign Pledge Agreement Acknowledgement and Confirmation, dated as of March 30, 2007, entered into by Scotts</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Sierra Investments, Inc. and OMS Investments, Inc. in favor of JPMorgan Chase Bank, N.A., as Administrative Agent</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10.6(a)(i)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The Scotts Company LLC Amended and Restated Executive/Management Incentive Plan (approved on November 7,</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2007 and effective as of October 30, 2007)</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10.6(a)(ii)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Amendment to The Scotts Company LLC Amended and Restated Executive/Management Incentive Plan (effective as</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6"/>
              </w:rPr>
              <w:t>of November 5, 2008) [amended the name of the plan to be The Scotts Company LLC Amended and Restated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Executive Incentive Plan]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10.6(b)(i)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Specimen form of Employee Confidentiality, Noncompetition, Nonsolicitation Agreement for employees participating</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in The Scotts Company Executive/Management Incentive Plan (now known as The Scotts Company LLC Amended and</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Restated Executive Incentive Plan) [2005 version]</w:t>
            </w:r>
          </w:p>
        </w:tc>
        <w:tc>
          <w:tcPr>
            <w:tcW w:w="0" w:type="dxa"/>
            <w:vAlign w:val="bottom"/>
          </w:tcPr>
          <w:p>
            <w:pPr>
              <w:spacing w:after="0"/>
              <w:rPr>
                <w:sz w:val="1"/>
                <w:szCs w:val="1"/>
                <w:color w:val="auto"/>
              </w:rPr>
            </w:pPr>
          </w:p>
        </w:tc>
      </w:tr>
      <w:tr>
        <w:trPr>
          <w:trHeight w:val="446"/>
        </w:trPr>
        <w:tc>
          <w:tcPr>
            <w:tcW w:w="1320" w:type="dxa"/>
            <w:vAlign w:val="bottom"/>
          </w:tcPr>
          <w:p>
            <w:pPr>
              <w:spacing w:after="0"/>
              <w:rPr>
                <w:sz w:val="24"/>
                <w:szCs w:val="24"/>
                <w:color w:val="auto"/>
              </w:rPr>
            </w:pPr>
          </w:p>
        </w:tc>
        <w:tc>
          <w:tcPr>
            <w:tcW w:w="5780" w:type="dxa"/>
            <w:vAlign w:val="bottom"/>
            <w:gridSpan w:val="2"/>
          </w:tcPr>
          <w:p>
            <w:pPr>
              <w:jc w:val="right"/>
              <w:ind w:right="1941"/>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120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77292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72920" cy="6350"/>
                    </a:xfrm>
                    <a:prstGeom prst="rect">
                      <a:avLst/>
                    </a:prstGeom>
                    <a:noFill/>
                  </pic:spPr>
                </pic:pic>
              </a:graphicData>
            </a:graphic>
          </wp:anchor>
        </w:drawing>
      </w:r>
    </w:p>
    <w:p>
      <w:pPr>
        <w:spacing w:after="0" w:line="32" w:lineRule="exact"/>
        <w:rPr>
          <w:sz w:val="20"/>
          <w:szCs w:val="20"/>
          <w:color w:val="auto"/>
        </w:rPr>
      </w:pPr>
    </w:p>
    <w:p>
      <w:pPr>
        <w:ind w:right="60"/>
        <w:spacing w:after="0" w:line="368"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2008 (File No. 1-11593) [Exhibit 10.1(b)] Incorporated herein by reference to the Registrant’s Quarterly Report on Form 10-Q for the quarterly period ended March 31, 2007 (File No. 1-11593) [Exhibit 4(a)]</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00"/>
        <w:spacing w:after="0" w:line="394"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March 31, 2007 (File No. 1-11593) [Exhibit 4(b)]</w:t>
      </w:r>
    </w:p>
    <w:p>
      <w:pPr>
        <w:spacing w:after="0" w:line="228" w:lineRule="exact"/>
        <w:rPr>
          <w:sz w:val="20"/>
          <w:szCs w:val="20"/>
          <w:color w:val="auto"/>
        </w:rPr>
      </w:pPr>
    </w:p>
    <w:p>
      <w:pPr>
        <w:ind w:right="100"/>
        <w:spacing w:after="0" w:line="394"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March 31, 2007 (File No. 1-11593) [Exhibit 4(c)]</w:t>
      </w:r>
    </w:p>
    <w:p>
      <w:pPr>
        <w:spacing w:after="0" w:line="80"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Incorporated herein by reference to the Registrant’s Quarterly Report on Form 10-Q for the quarterly period ended March 31, 2007 (File No. 1-11593) [Exhibit 4(d)] Incorporated herein by reference to the Registrant’s Annual Report on Form 10-K for the fiscal year ended September 30, 2007 (File No. 1-11593) [Exhibit 10(b)(2)] Incorporated herein by reference to the Registrant’s Current Report on Form 8-K filed November 12, 2008 (File No. 1-11593) [Exhibit 10.2]</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10.2(b) (i)]</w:t>
      </w:r>
    </w:p>
    <w:p>
      <w:pPr>
        <w:sectPr>
          <w:pgSz w:w="11900" w:h="16838" w:orient="portrait"/>
          <w:cols w:equalWidth="0" w:num="2">
            <w:col w:w="7780" w:space="100"/>
            <w:col w:w="2740"/>
          </w:cols>
          <w:pgMar w:left="220" w:top="343" w:right="1059" w:bottom="1440" w:gutter="0" w:footer="0" w:header="0"/>
          <w:type w:val="continuous"/>
        </w:sectPr>
      </w:pPr>
    </w:p>
    <w:bookmarkStart w:id="126" w:name="page127"/>
    <w:bookmarkEnd w:id="1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20" w:type="dxa"/>
            <w:vAlign w:val="bottom"/>
          </w:tcPr>
          <w:p>
            <w:pPr>
              <w:ind w:left="5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680" w:type="dxa"/>
            <w:vAlign w:val="bottom"/>
            <w:vMerge w:val="restart"/>
          </w:tcPr>
          <w:p>
            <w:pPr>
              <w:ind w:left="25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600"/>
              <w:spacing w:after="0"/>
              <w:rPr>
                <w:sz w:val="20"/>
                <w:szCs w:val="20"/>
                <w:color w:val="auto"/>
              </w:rPr>
            </w:pPr>
            <w:r>
              <w:rPr>
                <w:rFonts w:ascii="Arial" w:cs="Arial" w:eastAsia="Arial" w:hAnsi="Arial"/>
                <w:sz w:val="12"/>
                <w:szCs w:val="12"/>
                <w:color w:val="auto"/>
              </w:rPr>
              <w:t>10.6(b)(ii)</w:t>
            </w:r>
          </w:p>
        </w:tc>
        <w:tc>
          <w:tcPr>
            <w:tcW w:w="1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Specimen form of Employee Confidentiality, Noncompetition, Nonsolicitation Agreement for employees participating</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7"/>
              </w:rPr>
              <w:t>in The Scotts Company LLC Executive/Management Incentive Plan (now known as The Scotts Company LLC</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Amended and Restated Executive Incentive Plan) [post-2005 version]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10.6(c)</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9"/>
              </w:rPr>
              <w:t>Executive Officers of The Scotts Miracle-Gro Company who are parties to form of Employee Confidentiality,</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Noncompetition, Nonsolicitation Agreement for employees participating in The Scotts Company LLC Amended and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Restated Executive Incentive Plan (as of September 30, 2010)</w:t>
            </w:r>
          </w:p>
        </w:tc>
        <w:tc>
          <w:tcPr>
            <w:tcW w:w="0" w:type="dxa"/>
            <w:vAlign w:val="bottom"/>
          </w:tcPr>
          <w:p>
            <w:pPr>
              <w:spacing w:after="0"/>
              <w:rPr>
                <w:sz w:val="1"/>
                <w:szCs w:val="1"/>
                <w:color w:val="auto"/>
              </w:rPr>
            </w:pPr>
          </w:p>
        </w:tc>
      </w:tr>
      <w:tr>
        <w:trPr>
          <w:trHeight w:val="149"/>
        </w:trPr>
        <w:tc>
          <w:tcPr>
            <w:tcW w:w="1320" w:type="dxa"/>
            <w:vAlign w:val="bottom"/>
          </w:tcPr>
          <w:p>
            <w:pPr>
              <w:ind w:left="600"/>
              <w:spacing w:after="0"/>
              <w:rPr>
                <w:sz w:val="20"/>
                <w:szCs w:val="20"/>
                <w:color w:val="auto"/>
              </w:rPr>
            </w:pPr>
            <w:r>
              <w:rPr>
                <w:rFonts w:ascii="Arial" w:cs="Arial" w:eastAsia="Arial" w:hAnsi="Arial"/>
                <w:sz w:val="12"/>
                <w:szCs w:val="12"/>
                <w:color w:val="auto"/>
              </w:rPr>
              <w:t>10.7(a)</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The Scotts Miracle-Gro Company Amended and Restated 1996 Stock Option Plan (effective as of October 30, 2007)</w:t>
            </w:r>
          </w:p>
        </w:tc>
        <w:tc>
          <w:tcPr>
            <w:tcW w:w="0" w:type="dxa"/>
            <w:vAlign w:val="bottom"/>
          </w:tcPr>
          <w:p>
            <w:pPr>
              <w:spacing w:after="0"/>
              <w:rPr>
                <w:sz w:val="1"/>
                <w:szCs w:val="1"/>
                <w:color w:val="auto"/>
              </w:rPr>
            </w:pPr>
          </w:p>
        </w:tc>
      </w:tr>
      <w:tr>
        <w:trPr>
          <w:trHeight w:val="441"/>
        </w:trPr>
        <w:tc>
          <w:tcPr>
            <w:tcW w:w="1320" w:type="dxa"/>
            <w:vAlign w:val="bottom"/>
          </w:tcPr>
          <w:p>
            <w:pPr>
              <w:ind w:left="600"/>
              <w:spacing w:after="0"/>
              <w:rPr>
                <w:sz w:val="20"/>
                <w:szCs w:val="20"/>
                <w:color w:val="auto"/>
              </w:rPr>
            </w:pPr>
            <w:r>
              <w:rPr>
                <w:rFonts w:ascii="Arial" w:cs="Arial" w:eastAsia="Arial" w:hAnsi="Arial"/>
                <w:sz w:val="12"/>
                <w:szCs w:val="12"/>
                <w:color w:val="auto"/>
              </w:rPr>
              <w:t>10.7(b)</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Specimen form of Stock Option Agreement for Non-Qualified Stock Options granted to employees under The Scotts</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Company 1996 Stock Option Plan (now known as The Scotts Miracle-Gro Company Amended and Restated 1996</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Stock Option Plan)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10.8(a)</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The Scotts Company LLC Executive Retirement Plan, As Amended and Restated as of January 1, 2005 (executed</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December 30, 2008)</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10.8(b)(i)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Trust Agreement between The Scotts Company and Fidelity Management Trust Company for The Scotts Company</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Nonqualified Deferred Compensation Trust established to assist in discharging obligations under The Scotts Company</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4"/>
              </w:rPr>
              <w:t>Nonqualified Deferred Compensation Plan (now known as The Scotts Company LLC Executive Retirement Plan),</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dated as of January 1, 1998</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10.8(b)(ii)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First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regard to The Scotts Company Nonqualified Deferred Compensation Plan (now known as The Scotts Company LLC</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Executive Retirement Plan), dated as of March 24, 1998</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10.8(b)(iii)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Second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regard to The Scotts Company Nonqualified Deferred Compensation Plan (now known as The Scotts Company LLC</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Executive Retirement Plan) [dated as of January 15, 1999]</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10.8(b)(iv)</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Third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regard to The Scotts Company Nonqualified Deferred Compensation Plan (now known as The Scotts Company LLC</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Executive Retirement Plan) [dated as of July 1, 1999]</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10.8(b)(v)</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Fourth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6"/>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Retirement Plan) [dated as of August 1, 1999]</w:t>
            </w:r>
          </w:p>
        </w:tc>
        <w:tc>
          <w:tcPr>
            <w:tcW w:w="0" w:type="dxa"/>
            <w:vAlign w:val="bottom"/>
          </w:tcPr>
          <w:p>
            <w:pPr>
              <w:spacing w:after="0"/>
              <w:rPr>
                <w:sz w:val="1"/>
                <w:szCs w:val="1"/>
                <w:color w:val="auto"/>
              </w:rPr>
            </w:pPr>
          </w:p>
        </w:tc>
      </w:tr>
      <w:tr>
        <w:trPr>
          <w:trHeight w:val="446"/>
        </w:trPr>
        <w:tc>
          <w:tcPr>
            <w:tcW w:w="1320" w:type="dxa"/>
            <w:vAlign w:val="bottom"/>
          </w:tcPr>
          <w:p>
            <w:pPr>
              <w:spacing w:after="0"/>
              <w:rPr>
                <w:sz w:val="24"/>
                <w:szCs w:val="24"/>
                <w:color w:val="auto"/>
              </w:rPr>
            </w:pPr>
          </w:p>
        </w:tc>
        <w:tc>
          <w:tcPr>
            <w:tcW w:w="5780" w:type="dxa"/>
            <w:vAlign w:val="bottom"/>
            <w:gridSpan w:val="2"/>
          </w:tcPr>
          <w:p>
            <w:pPr>
              <w:jc w:val="right"/>
              <w:ind w:right="1941"/>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77292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72920" cy="6350"/>
                    </a:xfrm>
                    <a:prstGeom prst="rect">
                      <a:avLst/>
                    </a:prstGeom>
                    <a:noFill/>
                  </pic:spPr>
                </pic:pic>
              </a:graphicData>
            </a:graphic>
          </wp:anchor>
        </w:drawing>
      </w:r>
    </w:p>
    <w:p>
      <w:pPr>
        <w:spacing w:after="0" w:line="32" w:lineRule="exact"/>
        <w:rPr>
          <w:sz w:val="20"/>
          <w:szCs w:val="20"/>
          <w:color w:val="auto"/>
        </w:rPr>
      </w:pPr>
    </w:p>
    <w:p>
      <w:pPr>
        <w:ind w:right="160"/>
        <w:spacing w:after="0" w:line="343"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July 1, 2006 (File No. 1-11593) [Exhibit 10.1]</w:t>
      </w:r>
    </w:p>
    <w:p>
      <w:pPr>
        <w:jc w:val="center"/>
        <w:spacing w:after="0"/>
        <w:rPr>
          <w:sz w:val="20"/>
          <w:szCs w:val="20"/>
          <w:color w:val="auto"/>
        </w:rPr>
      </w:pPr>
      <w:r>
        <w:rPr>
          <w:rFonts w:ascii="Arial" w:cs="Arial" w:eastAsia="Arial" w:hAnsi="Arial"/>
          <w:sz w:val="12"/>
          <w:szCs w:val="12"/>
          <w:color w:val="auto"/>
        </w:rPr>
        <w:t>*</w:t>
      </w:r>
    </w:p>
    <w:p>
      <w:pPr>
        <w:spacing w:after="0" w:line="303"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10(d)(4)] Incorporated herein by reference to the Current Report on Form 8-K of The Scotts Company, an Ohio corporation, filed November 19, 2004 (File No. 1-11593) [Exhibit 10.7] Incorporated herein by reference to the Registrant’s Current Report on Form 8-K filed January 6, 2009 (File No. 1-11593) [Exhibit 10.1]</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10.5(b) (i)]</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10.5(b) (ii)]</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10.5(b) (iii)]</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10.5(b) (iv)]</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10.5(b) (v)]</w:t>
      </w:r>
    </w:p>
    <w:p>
      <w:pPr>
        <w:sectPr>
          <w:pgSz w:w="11900" w:h="16838" w:orient="portrait"/>
          <w:cols w:equalWidth="0" w:num="2">
            <w:col w:w="7780" w:space="100"/>
            <w:col w:w="2780"/>
          </w:cols>
          <w:pgMar w:left="220" w:top="343" w:right="1019" w:bottom="1440" w:gutter="0" w:footer="0" w:header="0"/>
        </w:sectPr>
      </w:pPr>
    </w:p>
    <w:bookmarkStart w:id="127" w:name="page128"/>
    <w:bookmarkEnd w:id="127"/>
    <w:p>
      <w:pPr>
        <w:spacing w:after="0"/>
        <w:rPr>
          <w:rFonts w:ascii="Arial" w:cs="Arial" w:eastAsia="Arial" w:hAnsi="Arial"/>
          <w:sz w:val="11"/>
          <w:szCs w:val="11"/>
          <w:b w:val="1"/>
          <w:bCs w:val="1"/>
          <w:u w:val="single" w:color="auto"/>
          <w:color w:val="0000EE"/>
        </w:rPr>
      </w:pPr>
      <w:hyperlink w:anchor="page2">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660"/>
          </w:cols>
          <w:pgMar w:left="220" w:top="343" w:right="1019" w:bottom="1440" w:gutter="0" w:footer="0" w:header="0"/>
        </w:sectPr>
      </w:pP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20" w:type="dxa"/>
            <w:vAlign w:val="bottom"/>
          </w:tcPr>
          <w:p>
            <w:pPr>
              <w:ind w:left="5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680" w:type="dxa"/>
            <w:vAlign w:val="bottom"/>
            <w:vMerge w:val="restart"/>
          </w:tcPr>
          <w:p>
            <w:pPr>
              <w:ind w:left="25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600"/>
              <w:spacing w:after="0"/>
              <w:rPr>
                <w:sz w:val="20"/>
                <w:szCs w:val="20"/>
                <w:color w:val="auto"/>
              </w:rPr>
            </w:pPr>
            <w:r>
              <w:rPr>
                <w:rFonts w:ascii="Arial" w:cs="Arial" w:eastAsia="Arial" w:hAnsi="Arial"/>
                <w:sz w:val="12"/>
                <w:szCs w:val="12"/>
                <w:color w:val="auto"/>
              </w:rPr>
              <w:t>10.8(b)(vi)</w:t>
            </w:r>
          </w:p>
        </w:tc>
        <w:tc>
          <w:tcPr>
            <w:tcW w:w="1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Fifth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6"/>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Retirement Plan) [dated as of December 20, 2000]</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10.8(b)(vii)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Sixth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6"/>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Retirement Plan) [effective as of November 29, 2001]</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10.8(b)(viii)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Seventh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6"/>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Retirement Plan) [dated as of September 1, 2002]</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10.8(b)(ix)</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Eighth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6"/>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Retirement Plan) [dated as of December 31, 2002]</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10.8(b)(x)</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Ninth Amendment to Trust Agreement between Fidelity Management Trust Company and The Scotts Company with</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6"/>
              </w:rPr>
              <w:t>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Retirement Plan) [dated as of October 15, 2004]</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10.8(b)(xi)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Tenth Amendment to Trust Agreement between Fidelity Management Trust Company and The Scotts Company LLC</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with regard to The Scotts Company Executive Retirement Plan (now known as The Scotts Company LLC Executive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Retirement Plan) [dated as of October 2, 2006]</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10.8(b)(xii)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Eleventh Amendment to Trust Agreement between Fidelity Management Trust Company and The Scotts Company LLC</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with regard to The Scotts Company LLC Executive Retirement Plan (dated as of February 9, 2007)</w:t>
            </w:r>
          </w:p>
        </w:tc>
        <w:tc>
          <w:tcPr>
            <w:tcW w:w="0" w:type="dxa"/>
            <w:vAlign w:val="bottom"/>
          </w:tcPr>
          <w:p>
            <w:pPr>
              <w:spacing w:after="0"/>
              <w:rPr>
                <w:sz w:val="1"/>
                <w:szCs w:val="1"/>
                <w:color w:val="auto"/>
              </w:rPr>
            </w:pPr>
          </w:p>
        </w:tc>
      </w:tr>
      <w:tr>
        <w:trPr>
          <w:trHeight w:val="441"/>
        </w:trPr>
        <w:tc>
          <w:tcPr>
            <w:tcW w:w="1320" w:type="dxa"/>
            <w:vAlign w:val="bottom"/>
          </w:tcPr>
          <w:p>
            <w:pPr>
              <w:ind w:left="600"/>
              <w:spacing w:after="0"/>
              <w:rPr>
                <w:sz w:val="20"/>
                <w:szCs w:val="20"/>
                <w:color w:val="auto"/>
              </w:rPr>
            </w:pPr>
            <w:r>
              <w:rPr>
                <w:rFonts w:ascii="Arial" w:cs="Arial" w:eastAsia="Arial" w:hAnsi="Arial"/>
                <w:sz w:val="12"/>
                <w:szCs w:val="12"/>
                <w:color w:val="auto"/>
              </w:rPr>
              <w:t>10.8(c)</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Form of Executive Retirement Plan Retention Award Agreement between The Scotts Company LLC and each of David</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7"/>
              </w:rPr>
              <w:t>C. Evans, Barry W. Sanders, Denise S. Stump and Vincent C. Brockman (entered into on November 4, 2008)</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10.9(a)</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The Scotts Miracle-Gro Company Amended and Restated 2003 Stock Option and Incentive Equity Plan (effective as of</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October 30, 2007)</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10.9(b)(i)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Specimen form of Award Agreement for Directors used to evidence grants of Nonqualified Stock Options made under</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The Scotts Company 2003 Stock Option and Incentive Equity Plan (now known as The Scotts Miracle-Gro Company</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Amended and Restated 2003 Stock Option and Incentive Equity Plan) [2003 version]</w:t>
            </w:r>
          </w:p>
        </w:tc>
        <w:tc>
          <w:tcPr>
            <w:tcW w:w="0" w:type="dxa"/>
            <w:vAlign w:val="bottom"/>
          </w:tcPr>
          <w:p>
            <w:pPr>
              <w:spacing w:after="0"/>
              <w:rPr>
                <w:sz w:val="1"/>
                <w:szCs w:val="1"/>
                <w:color w:val="auto"/>
              </w:rPr>
            </w:pPr>
          </w:p>
        </w:tc>
      </w:tr>
      <w:tr>
        <w:trPr>
          <w:trHeight w:val="299"/>
        </w:trPr>
        <w:tc>
          <w:tcPr>
            <w:tcW w:w="1320" w:type="dxa"/>
            <w:vAlign w:val="bottom"/>
          </w:tcPr>
          <w:p>
            <w:pPr>
              <w:spacing w:after="0"/>
              <w:rPr>
                <w:sz w:val="24"/>
                <w:szCs w:val="24"/>
                <w:color w:val="auto"/>
              </w:rPr>
            </w:pPr>
          </w:p>
        </w:tc>
        <w:tc>
          <w:tcPr>
            <w:tcW w:w="5780" w:type="dxa"/>
            <w:vAlign w:val="bottom"/>
            <w:gridSpan w:val="2"/>
          </w:tcPr>
          <w:p>
            <w:pPr>
              <w:jc w:val="right"/>
              <w:ind w:right="1941"/>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77292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72920" cy="6350"/>
                    </a:xfrm>
                    <a:prstGeom prst="rect">
                      <a:avLst/>
                    </a:prstGeom>
                    <a:noFill/>
                  </pic:spPr>
                </pic:pic>
              </a:graphicData>
            </a:graphic>
          </wp:anchor>
        </w:drawing>
      </w:r>
    </w:p>
    <w:p>
      <w:pPr>
        <w:spacing w:after="0" w:line="32" w:lineRule="exact"/>
        <w:rPr>
          <w:sz w:val="20"/>
          <w:szCs w:val="20"/>
          <w:color w:val="auto"/>
        </w:rPr>
      </w:pPr>
    </w:p>
    <w:p>
      <w:pPr>
        <w:ind w:right="140"/>
        <w:spacing w:after="0" w:line="257"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10.5(b) (vi)]</w:t>
      </w:r>
    </w:p>
    <w:p>
      <w:pPr>
        <w:ind w:right="14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10.5(b) (vii)]</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10.5(b) (viii)]</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10.5(b) (ix)]</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10.5(b) (x)]</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10.5(b) (xi)]</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10.5(b) (xii)]</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October 15, 2008 (File No. 1-11593) [Exhibit 10.2]</w:t>
      </w:r>
    </w:p>
    <w:p>
      <w:pPr>
        <w:spacing w:after="0" w:line="1" w:lineRule="exact"/>
        <w:rPr>
          <w:sz w:val="20"/>
          <w:szCs w:val="20"/>
          <w:color w:val="auto"/>
        </w:rPr>
      </w:pPr>
    </w:p>
    <w:p>
      <w:pPr>
        <w:spacing w:after="0" w:line="367"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2007 (File No. 1-11593) [Exhibit 10(j)(3)] Incorporated herein by reference to the Current Report on Form 8-K of The Scotts Company, an Ohio corporation, filed November 19, 2004 (File No. 1-11593) [Exhibit 10.9]</w:t>
      </w:r>
    </w:p>
    <w:p>
      <w:pPr>
        <w:sectPr>
          <w:pgSz w:w="11900" w:h="16838" w:orient="portrait"/>
          <w:cols w:equalWidth="0" w:num="2">
            <w:col w:w="7780" w:space="100"/>
            <w:col w:w="2780"/>
          </w:cols>
          <w:pgMar w:left="220" w:top="343" w:right="1019" w:bottom="1440" w:gutter="0" w:footer="0" w:header="0"/>
          <w:type w:val="continuous"/>
        </w:sectPr>
      </w:pPr>
    </w:p>
    <w:bookmarkStart w:id="128" w:name="page129"/>
    <w:bookmarkEnd w:id="128"/>
    <w:p>
      <w:pPr>
        <w:spacing w:after="0"/>
        <w:rPr>
          <w:rFonts w:ascii="Arial" w:cs="Arial" w:eastAsia="Arial" w:hAnsi="Arial"/>
          <w:sz w:val="11"/>
          <w:szCs w:val="11"/>
          <w:b w:val="1"/>
          <w:bCs w:val="1"/>
          <w:u w:val="single" w:color="auto"/>
          <w:color w:val="0000EE"/>
        </w:rPr>
      </w:pPr>
      <w:hyperlink w:anchor="page2">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660"/>
          </w:cols>
          <w:pgMar w:left="220" w:top="343" w:right="1019" w:bottom="1440" w:gutter="0" w:footer="0" w:header="0"/>
        </w:sectPr>
      </w:pP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20" w:type="dxa"/>
            <w:vAlign w:val="bottom"/>
          </w:tcPr>
          <w:p>
            <w:pPr>
              <w:ind w:left="5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680" w:type="dxa"/>
            <w:vAlign w:val="bottom"/>
            <w:vMerge w:val="restart"/>
          </w:tcPr>
          <w:p>
            <w:pPr>
              <w:ind w:left="25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600"/>
              <w:spacing w:after="0"/>
              <w:rPr>
                <w:sz w:val="20"/>
                <w:szCs w:val="20"/>
                <w:color w:val="auto"/>
              </w:rPr>
            </w:pPr>
            <w:r>
              <w:rPr>
                <w:rFonts w:ascii="Arial" w:cs="Arial" w:eastAsia="Arial" w:hAnsi="Arial"/>
                <w:sz w:val="12"/>
                <w:szCs w:val="12"/>
                <w:color w:val="auto"/>
              </w:rPr>
              <w:t>10.9(b)(ii)</w:t>
            </w:r>
          </w:p>
        </w:tc>
        <w:tc>
          <w:tcPr>
            <w:tcW w:w="1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Specimen form of Award Agreement for Directors used to evidence grants of Nonqualified Stock Options made under</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The Scotts Miracle-Gro Company 2003 Stock Option and Incentive Equity Plan (now known as The Scotts Miracle-Gro</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Company Amended and Restated 2003 Stock Option and Incentive Equity Plan) [post-2003 version]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10.9(c)(i)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Specimen form of Award Agreement for Nondirectors used to evidence grants of Incentive Stock Options, Nonqualified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Stock Options, Stock Appreciation Rights, Restricted Stock and Performance Stock made under The Scotts Company</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2003 Stock Option and Incentive Equity Plan (now known as The Scotts Miracle-Gro Company Amended and Restated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2003 Stock Option and Incentive Equity Plan) [pre-December 1, 2004 version]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10.9(c)(ii)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Specimen form of Award Agreement for Nondirectors used to evidence grants of Incentive Stock Options, Nonqualified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Stock Options, Stock Appreciation Rights, Restricted Stock and Performance Shares made under The Scotts Miracle-</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7"/>
              </w:rPr>
              <w:t>Gro Company 2003 Stock Option and Incentive Equity Plan (now known as The Scotts Miracle-Gro Company</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Amended and Restated 2003 Stock Option and Incentive Equity Plan) [post-December 1, 2004 version]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10.10(a)(i)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The Scotts Miracle-Gro Company Amended and Restated 2006 Long-Term Incentive Plan (effective as of October 30,</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5780" w:type="dxa"/>
            <w:vAlign w:val="bottom"/>
            <w:gridSpan w:val="2"/>
          </w:tcPr>
          <w:p>
            <w:pPr>
              <w:ind w:left="100"/>
              <w:spacing w:after="0"/>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10.10(a)(ii)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6"/>
              </w:rPr>
              <w:t>First Amendment to The Scotts Miracle-Gro Company Amended and Restated 2006 Long-Term Incentive Plan</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(effective as of January 20, 2010)</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10.10(b)(i)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Specimen form of Award Agreement for Nonemployee Directors used to evidence grants of Time-Based Nonqualified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4"/>
              </w:rPr>
              <w:t>Stock Options which may be made under The Scotts Miracle-Gro Company 2006 Long-Term Incentive Plan (now</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known as The Scotts Miracle-Gro Company Amended and Restated 2006 Long-Term Incentive Plan)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10.10(b)(ii)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9"/>
              </w:rPr>
              <w:t>Specimen form of Deferred Stock Unit Award Agreement for Nonemployee Directors (with Related Dividend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Equivalents) used to evidence grants of Deferred Stock Units made under The Scotts Miracle-Gro Company Amended</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and Restated 2006 Long-Term Incentive Plan (February 4, 2008 through January 22, 2009 version)</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10.10(b)(iii)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9"/>
              </w:rPr>
              <w:t>Specimen form of Deferred Stock Unit Award Agreement for Nonemployee Directors (with Related Dividend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5"/>
              </w:rPr>
              <w:t>Equivalents) used to evidence grants of Deferred Stock Units which may be made under The Scotts Miracle-Gro</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Company Amended and Restated 2006 Long-Term Incentive Plan (post-January 22, 2009 version)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10.10(c)</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9"/>
              </w:rPr>
              <w:t>Specimen form of Deferred Stock Unit Award Agreement for Nonemployee Directors (with Related Dividend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5"/>
              </w:rPr>
              <w:t>Equivalents) used to evidence grants of Deferred Stock Units which may be made under The Scotts Miracle-Gro</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Company Amended and Restated 2006 Long-Term Incentive Plan (Deferral of Cash Retainer — post-January 21, 2010</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version)</w:t>
            </w:r>
          </w:p>
        </w:tc>
        <w:tc>
          <w:tcPr>
            <w:tcW w:w="0" w:type="dxa"/>
            <w:vAlign w:val="bottom"/>
          </w:tcPr>
          <w:p>
            <w:pPr>
              <w:spacing w:after="0"/>
              <w:rPr>
                <w:sz w:val="1"/>
                <w:szCs w:val="1"/>
                <w:color w:val="auto"/>
              </w:rPr>
            </w:pPr>
          </w:p>
        </w:tc>
      </w:tr>
      <w:tr>
        <w:trPr>
          <w:trHeight w:val="299"/>
        </w:trPr>
        <w:tc>
          <w:tcPr>
            <w:tcW w:w="1320" w:type="dxa"/>
            <w:vAlign w:val="bottom"/>
          </w:tcPr>
          <w:p>
            <w:pPr>
              <w:spacing w:after="0"/>
              <w:rPr>
                <w:sz w:val="24"/>
                <w:szCs w:val="24"/>
                <w:color w:val="auto"/>
              </w:rPr>
            </w:pPr>
          </w:p>
        </w:tc>
        <w:tc>
          <w:tcPr>
            <w:tcW w:w="5780" w:type="dxa"/>
            <w:vAlign w:val="bottom"/>
            <w:gridSpan w:val="2"/>
          </w:tcPr>
          <w:p>
            <w:pPr>
              <w:jc w:val="right"/>
              <w:ind w:right="1941"/>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77292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72920" cy="6350"/>
                    </a:xfrm>
                    <a:prstGeom prst="rect">
                      <a:avLst/>
                    </a:prstGeom>
                    <a:noFill/>
                  </pic:spPr>
                </pic:pic>
              </a:graphicData>
            </a:graphic>
          </wp:anchor>
        </w:drawing>
      </w:r>
    </w:p>
    <w:p>
      <w:pPr>
        <w:spacing w:after="0" w:line="32" w:lineRule="exact"/>
        <w:rPr>
          <w:sz w:val="20"/>
          <w:szCs w:val="20"/>
          <w:color w:val="auto"/>
        </w:rPr>
      </w:pPr>
    </w:p>
    <w:p>
      <w:pPr>
        <w:spacing w:after="0" w:line="368"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2005 (File No. 1-11593) [Exhibit 10(v)] Incorporated herein by reference to the Current Report on Form 8-K of The Scotts Company, an Ohio corporation, filed November 19, 2004 (File No. 1-11593) [Exhibit 10.8]</w:t>
      </w:r>
    </w:p>
    <w:p>
      <w:pPr>
        <w:spacing w:after="0" w:line="239" w:lineRule="exact"/>
        <w:rPr>
          <w:sz w:val="20"/>
          <w:szCs w:val="20"/>
          <w:color w:val="auto"/>
        </w:rPr>
      </w:pPr>
    </w:p>
    <w:p>
      <w:pPr>
        <w:ind w:right="180"/>
        <w:spacing w:after="0" w:line="394"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2005 (File No. 1-11593) [Exhibit 10(u)]</w:t>
      </w:r>
    </w:p>
    <w:p>
      <w:pPr>
        <w:spacing w:after="0" w:line="80" w:lineRule="exact"/>
        <w:rPr>
          <w:sz w:val="20"/>
          <w:szCs w:val="20"/>
          <w:color w:val="auto"/>
        </w:rPr>
      </w:pPr>
    </w:p>
    <w:p>
      <w:pPr>
        <w:ind w:right="60"/>
        <w:spacing w:after="0" w:line="280"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10(r)(2)] Incorporated herein by reference to the Registrant’s Quarterly Report on Form 10-Q for the quarterly period ended April 3, 2010 (File No. 1-11593) [Exhibit 10.1] Incorporated herein by reference to the Registrant’s Current Report on Form 8-K filed February 2, 2006 (File No. 1-11593) [Exhibit 10.3]</w:t>
      </w:r>
    </w:p>
    <w:p>
      <w:pPr>
        <w:spacing w:after="0" w:line="1" w:lineRule="exact"/>
        <w:rPr>
          <w:sz w:val="20"/>
          <w:szCs w:val="20"/>
          <w:color w:val="auto"/>
        </w:rPr>
      </w:pPr>
    </w:p>
    <w:p>
      <w:pPr>
        <w:ind w:right="16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December 29, 2007 (File No. 1-11593) [Exhibit 10(m)]</w:t>
      </w:r>
    </w:p>
    <w:p>
      <w:pPr>
        <w:spacing w:after="0" w:line="1" w:lineRule="exact"/>
        <w:rPr>
          <w:sz w:val="20"/>
          <w:szCs w:val="20"/>
          <w:color w:val="auto"/>
        </w:rPr>
      </w:pPr>
    </w:p>
    <w:p>
      <w:pPr>
        <w:ind w:right="120"/>
        <w:spacing w:after="0" w:line="362"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March 28, 2009 (File No. 1-11593) [Exhibit 10.1] Incorporated herein by reference to the Registrant’s Quarterly Report on Form 10-Q for the quarterly period ended January 2, 2010 (File No. 1-11593) [Exhibit 10.1]</w:t>
      </w:r>
    </w:p>
    <w:p>
      <w:pPr>
        <w:sectPr>
          <w:pgSz w:w="11900" w:h="16838" w:orient="portrait"/>
          <w:cols w:equalWidth="0" w:num="2">
            <w:col w:w="7780" w:space="100"/>
            <w:col w:w="2780"/>
          </w:cols>
          <w:pgMar w:left="220" w:top="343" w:right="1019" w:bottom="1440" w:gutter="0" w:footer="0" w:header="0"/>
          <w:type w:val="continuous"/>
        </w:sectPr>
      </w:pPr>
    </w:p>
    <w:bookmarkStart w:id="129" w:name="page130"/>
    <w:bookmarkEnd w:id="1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20" w:type="dxa"/>
            <w:vAlign w:val="bottom"/>
          </w:tcPr>
          <w:p>
            <w:pPr>
              <w:ind w:left="5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680" w:type="dxa"/>
            <w:vAlign w:val="bottom"/>
            <w:vMerge w:val="restart"/>
          </w:tcPr>
          <w:p>
            <w:pPr>
              <w:ind w:left="25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600"/>
              <w:spacing w:after="0"/>
              <w:rPr>
                <w:sz w:val="20"/>
                <w:szCs w:val="20"/>
                <w:color w:val="auto"/>
              </w:rPr>
            </w:pPr>
            <w:r>
              <w:rPr>
                <w:rFonts w:ascii="Arial" w:cs="Arial" w:eastAsia="Arial" w:hAnsi="Arial"/>
                <w:sz w:val="12"/>
                <w:szCs w:val="12"/>
                <w:color w:val="auto"/>
              </w:rPr>
              <w:t>10.10(d)(i)</w:t>
            </w:r>
          </w:p>
        </w:tc>
        <w:tc>
          <w:tcPr>
            <w:tcW w:w="1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7"/>
              </w:rPr>
              <w:t>Specimen form of Award Agreement used to evidence grants of Restricted Stock Units, Performance Shares,</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Nonqualified Stock Options, Incentive Stock Options, Restricted Stock and Stock Appreciation Rights made under The</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6"/>
              </w:rPr>
              <w:t>Scotts Miracle-Gro Company 2006 Long-Term Incentive Plan (now known as The Scotts Miracle-Gro Company</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Amended and Restated 2006 Long-Term Incentive Plan) [pre-October 30, 2007 version]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10.10(d)(ii)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Specimen form of Award Agreement for Employees used to evidence grants of Nonqualified Stock Options, Restricted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Stock, Performance Shares and Restricted Stock Units made under The Scotts Miracle-Gro Company 2006 Long-Term</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Incentive Plan (now known as The Scotts Miracle-Gro Company Amended and Restated 2006 Long-Term Incentive</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Plan) [French Specimen] (pre-November 6, 2007 version)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10.10(e)(i)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Specimen form of Restricted Stock Unit Award Agreement for Employees (with Related Dividend Equivalents) used to</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evidence grants of Restricted Stock Units made under The Scotts Miracle-Gro Company Amended and Restated 2006</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Long-Term Incentive Plan (October 9, 2008 through January 19, 2010 version)</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10.10(e)(ii)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Specimen form of Restricted Stock Unit Award Agreement for Employees (with Related Dividend Equivalents) used to</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evidence grants of Restricted Stock Units which may be made under The Scotts Miracle-Gro Company Amended and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Restated 2006 Long-Term Incentive Plan (post-January 19, 2010 version)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10.10(e)(iii)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Special Restricted Stock Unit Award Agreement for Employees (with Related Dividend Equivalents) evidencing grant</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7"/>
              </w:rPr>
              <w:t>of Restricted Stock Units made on October 8, 2008 to Mark R. Baker under The Scotts Miracle-Gro Company</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Amended and Restated 2006 Long-Term Incentive Plan</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10.10(e)(iv)</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Specimen form of Restricted Stock Unit Award Agreement for Employees (with Related Dividend Equivalents) used to</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evidence grants of Restricted Stock Units made under The Scotts Miracle-Gro Company Amended and Restated 2006</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Long-Term Incentive Plan (French Specimen) (October 8, 2008 through January 19, 2010 version)</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10.10(e)(v)</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Specimen form of Restricted Stock Unit Award Agreement for Employees (with Related Dividend Equivalents) used to</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evidence grants of Restricted Stock Units which may be made under The Scotts Miracle-Gro Company Amended and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Restated 2006 Long-Term Incentive Plan (French Specimen) [post-January 19, 2010 version]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10.10(e)(vi)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Special Restricted Stock Unit Award Agreement (with Related Dividend Equivalents) evidencing grant of Restricted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4"/>
              </w:rPr>
              <w:t>Stock Units made on November 4, 2008 to Claude Lopez under The Scotts Miracle-Gro Company Amended and</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Restated 2006 Long-Term Incentive Plan</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10.10(f)(i)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Special Performance Share Award Agreement (with Related Dividend Equivalents) evidencing grant of Performance</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8"/>
              </w:rPr>
              <w:t>Shares made on October 30, 2007 to Barry W. Sanders under The Scotts Miracle-Gro Company Amended and Restated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2006 Long-Term Incentive Plan (executed by The Scotts Miracle-Gro Company on December 20, 2007 and by Barry</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W. Sanders on January 7, 2008)</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10.10(f)(ii)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Special Performance Unit Award Agreement (with Related Dividend Equivalents) evidencing grant of Performance</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Units made on October 1, 2010 to Claude Lopez under The Scotts Miracle-Gro Company Amended and Restated 2006</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Long-term Incentive Plan, as amended</w:t>
            </w:r>
          </w:p>
        </w:tc>
        <w:tc>
          <w:tcPr>
            <w:tcW w:w="0" w:type="dxa"/>
            <w:vAlign w:val="bottom"/>
          </w:tcPr>
          <w:p>
            <w:pPr>
              <w:spacing w:after="0"/>
              <w:rPr>
                <w:sz w:val="1"/>
                <w:szCs w:val="1"/>
                <w:color w:val="auto"/>
              </w:rPr>
            </w:pPr>
          </w:p>
        </w:tc>
      </w:tr>
      <w:tr>
        <w:trPr>
          <w:trHeight w:val="299"/>
        </w:trPr>
        <w:tc>
          <w:tcPr>
            <w:tcW w:w="1320" w:type="dxa"/>
            <w:vAlign w:val="bottom"/>
          </w:tcPr>
          <w:p>
            <w:pPr>
              <w:spacing w:after="0"/>
              <w:rPr>
                <w:sz w:val="24"/>
                <w:szCs w:val="24"/>
                <w:color w:val="auto"/>
              </w:rPr>
            </w:pPr>
          </w:p>
        </w:tc>
        <w:tc>
          <w:tcPr>
            <w:tcW w:w="5780" w:type="dxa"/>
            <w:vAlign w:val="bottom"/>
            <w:gridSpan w:val="2"/>
          </w:tcPr>
          <w:p>
            <w:pPr>
              <w:jc w:val="right"/>
              <w:ind w:right="1941"/>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20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77292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72920" cy="6350"/>
                    </a:xfrm>
                    <a:prstGeom prst="rect">
                      <a:avLst/>
                    </a:prstGeom>
                    <a:noFill/>
                  </pic:spPr>
                </pic:pic>
              </a:graphicData>
            </a:graphic>
          </wp:anchor>
        </w:drawing>
      </w:r>
    </w:p>
    <w:p>
      <w:pPr>
        <w:spacing w:after="0" w:line="32"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December 31, 2005 (File No. 1-11593) [Exhibit 10(b)]</w:t>
      </w:r>
    </w:p>
    <w:p>
      <w:pPr>
        <w:ind w:right="6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December 30, 2006 (File No. 1-11593) [Exhibit 10.4]</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10.7(d) (i)]</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January 2, 2010 (File No. 1-11593) [Exhibit 10.2] Incorporated herein by reference to the Registrant’s Annual Report on Form 10-K for the fiscal year ended September 30, 2008 (File No. 1-11593) [Exhibit 10.7(d) (ii)]</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December 27, 2008 (File No. 1-11593) [Exhibit 10.7]</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January 2, 2010 (File No. 1-11593) [Exhibit 10.3] Incorporated herein by reference to the Registrant’s Annual Report on Form 10-K for the fiscal year ended September 30, 2008 (File No. 1-11593) [Exhibit 10.7(d) (iii)]</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December 29, 2007 (File No. 1-11593) [Exhibit 10(n)]</w:t>
      </w:r>
    </w:p>
    <w:p>
      <w:pPr>
        <w:spacing w:after="0" w:line="1" w:lineRule="exact"/>
        <w:rPr>
          <w:sz w:val="20"/>
          <w:szCs w:val="20"/>
          <w:color w:val="auto"/>
        </w:rPr>
      </w:pPr>
    </w:p>
    <w:p>
      <w:pPr>
        <w:spacing w:after="0" w:line="299" w:lineRule="auto"/>
        <w:rPr>
          <w:sz w:val="20"/>
          <w:szCs w:val="20"/>
          <w:color w:val="auto"/>
        </w:rPr>
      </w:pPr>
      <w:r>
        <w:rPr>
          <w:rFonts w:ascii="Arial" w:cs="Arial" w:eastAsia="Arial" w:hAnsi="Arial"/>
          <w:sz w:val="11"/>
          <w:szCs w:val="11"/>
          <w:color w:val="auto"/>
        </w:rPr>
        <w:t>Incorporated herein by reference to the Registrant’s Current Report on Form 8-K filed June 4, 2010 (File No. 1-11593) [Included in Exhibit 10.1]</w:t>
      </w:r>
    </w:p>
    <w:p>
      <w:pPr>
        <w:sectPr>
          <w:pgSz w:w="11900" w:h="16838" w:orient="portrait"/>
          <w:cols w:equalWidth="0" w:num="2">
            <w:col w:w="7780" w:space="100"/>
            <w:col w:w="2680"/>
          </w:cols>
          <w:pgMar w:left="220" w:top="343" w:right="1119" w:bottom="1440" w:gutter="0" w:footer="0" w:header="0"/>
        </w:sectPr>
      </w:pPr>
    </w:p>
    <w:bookmarkStart w:id="130" w:name="page131"/>
    <w:bookmarkEnd w:id="130"/>
    <w:p>
      <w:pPr>
        <w:spacing w:after="0"/>
        <w:rPr>
          <w:rFonts w:ascii="Arial" w:cs="Arial" w:eastAsia="Arial" w:hAnsi="Arial"/>
          <w:sz w:val="11"/>
          <w:szCs w:val="11"/>
          <w:b w:val="1"/>
          <w:bCs w:val="1"/>
          <w:u w:val="single" w:color="auto"/>
          <w:color w:val="0000EE"/>
        </w:rPr>
      </w:pPr>
      <w:hyperlink w:anchor="page2">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580"/>
          </w:cols>
          <w:pgMar w:left="220" w:top="343" w:right="1099" w:bottom="1440" w:gutter="0" w:footer="0" w:header="0"/>
        </w:sectPr>
      </w:pP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20" w:type="dxa"/>
            <w:vAlign w:val="bottom"/>
          </w:tcPr>
          <w:p>
            <w:pPr>
              <w:ind w:left="5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680" w:type="dxa"/>
            <w:vAlign w:val="bottom"/>
            <w:vMerge w:val="restart"/>
          </w:tcPr>
          <w:p>
            <w:pPr>
              <w:ind w:left="25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600"/>
              <w:spacing w:after="0"/>
              <w:rPr>
                <w:sz w:val="20"/>
                <w:szCs w:val="20"/>
                <w:color w:val="auto"/>
              </w:rPr>
            </w:pPr>
            <w:r>
              <w:rPr>
                <w:rFonts w:ascii="Arial" w:cs="Arial" w:eastAsia="Arial" w:hAnsi="Arial"/>
                <w:sz w:val="12"/>
                <w:szCs w:val="12"/>
                <w:color w:val="auto"/>
              </w:rPr>
              <w:t>10.10(g)(i)</w:t>
            </w:r>
          </w:p>
        </w:tc>
        <w:tc>
          <w:tcPr>
            <w:tcW w:w="1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5"/>
              </w:rPr>
              <w:t>Nonqualified Stock Options made under The Scotts Miracle-Gro Company 2006 Long-Term Incentive Plan (now</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known as The Scotts Miracle-Gro Company Amended and Restated 2006 Long-Term Incentive Plan) [October 30, 2007</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through October 8, 2008 version]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10.10(g)(ii)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Nonqualified Stock Options made under The Scotts Miracle-Gro Company Amended and Restated 2006 Long-Term</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Incentive Plan (October 9, 2008 through January 19, 2010 version)</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10.10(g)(iii)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Nonqualified Stock Options which may be made under The Scotts Miracle-Gro Company Amended and Restated 2006</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Long-Term Incentive Plan (post-January 19, 2010 version)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10.10(g)(iv)</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Special Nonqualified Stock Option Award Agreement for Employees evidencing grant of Nonqualified Stock Options</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made on October 8, 2008 to Mark R. Baker under The Scotts Miracle-Gro Company Amended and Restated 2006</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Long-Term Incentive Plan</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10.10(g)(v)</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Nonqualified Stock Options made under The Scotts Miracle-Gro Company Amended and Restated 2006 Long-Term</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Incentive Plan (French Specimen) [November 6, 2007 through October 7, 2008 version]</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10.10(g)(vi)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Specimen form of Nonqualified Stock Option Award Agreement for Employees used to evidence grants of</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Nonqualified Stock Options which may be made under The Scotts Miracle-Gro Company Amended and Restated 2006</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Long-Term Incentive Plan (French Specimen) [post-October 7, 2008 version]</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10.10(h)(i)</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Form of letter agreement amending grants of Restricted Stock made under The Scotts Miracle-Gro Company 2006</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Long-Term Incentive Plan (now known as The Scotts Miracle-Gro Company Amended and Restated 2006 Long-Term</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Incentive Plan) [effective as of October 30, 2007]</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10.10(h)(ii)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Specimen form of Restricted Stock Award Agreement for Employees used to evidence grants of Restricted Stock made</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5"/>
              </w:rPr>
              <w:t>under The Scotts Miracle-Gro Company 2006 Long-Term Incentive Plan (now known as The Scotts Miracle-Gro</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Company Amended and Restated 2006 Long-Term Incentive Plan) [October 30, 2007 through October 8, 2008 version]</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10.10(h)(iii)</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Specimen form of Restricted Stock Award Agreement for Employees used to evidence grants of Restricted Stock which</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6"/>
              </w:rPr>
              <w:t>may be made under The Scotts Miracle-Gro Company Amended and Restated 2006 Long-Term Incentive Plan</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(effective October 8, 2008)</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10.10(h)(iv)</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Special Restricted Stock Award Agreement for Employees evidencing grant of Restricted Stock made on October 1,</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2008 to Mark R. Baker under The Scotts Miracle-Gro Company Amended and Restated 2006 Long-Term Incentive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Plan</w:t>
            </w:r>
          </w:p>
        </w:tc>
        <w:tc>
          <w:tcPr>
            <w:tcW w:w="0" w:type="dxa"/>
            <w:vAlign w:val="bottom"/>
          </w:tcPr>
          <w:p>
            <w:pPr>
              <w:spacing w:after="0"/>
              <w:rPr>
                <w:sz w:val="1"/>
                <w:szCs w:val="1"/>
                <w:color w:val="auto"/>
              </w:rPr>
            </w:pPr>
          </w:p>
        </w:tc>
      </w:tr>
      <w:tr>
        <w:trPr>
          <w:trHeight w:val="446"/>
        </w:trPr>
        <w:tc>
          <w:tcPr>
            <w:tcW w:w="1320" w:type="dxa"/>
            <w:vAlign w:val="bottom"/>
          </w:tcPr>
          <w:p>
            <w:pPr>
              <w:spacing w:after="0"/>
              <w:rPr>
                <w:sz w:val="24"/>
                <w:szCs w:val="24"/>
                <w:color w:val="auto"/>
              </w:rPr>
            </w:pPr>
          </w:p>
        </w:tc>
        <w:tc>
          <w:tcPr>
            <w:tcW w:w="5780" w:type="dxa"/>
            <w:vAlign w:val="bottom"/>
            <w:gridSpan w:val="2"/>
          </w:tcPr>
          <w:p>
            <w:pPr>
              <w:jc w:val="right"/>
              <w:ind w:right="1941"/>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120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77292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72920" cy="6350"/>
                    </a:xfrm>
                    <a:prstGeom prst="rect">
                      <a:avLst/>
                    </a:prstGeom>
                    <a:noFill/>
                  </pic:spPr>
                </pic:pic>
              </a:graphicData>
            </a:graphic>
          </wp:anchor>
        </w:drawing>
      </w:r>
    </w:p>
    <w:p>
      <w:pPr>
        <w:spacing w:after="0" w:line="32" w:lineRule="exact"/>
        <w:rPr>
          <w:sz w:val="20"/>
          <w:szCs w:val="20"/>
          <w:color w:val="auto"/>
        </w:rPr>
      </w:pPr>
    </w:p>
    <w:p>
      <w:pPr>
        <w:spacing w:after="0" w:line="394"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2007 (File No. 1-11593) [Exhibit 10(t)(3)]</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10.7(f) (ii)]</w:t>
      </w:r>
    </w:p>
    <w:p>
      <w:pPr>
        <w:ind w:right="4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January 2, 2010 (File No. 1-11593) [Exhibit 10.4] Incorporated herein by reference to the Registrant’s Annual Report on Form 10-K for the fiscal year ended September 30, 2008 (File No. 1-11593) [Exhibit 10.7(f) (iii)]</w:t>
      </w:r>
    </w:p>
    <w:p>
      <w:pPr>
        <w:spacing w:after="0" w:line="2" w:lineRule="exact"/>
        <w:rPr>
          <w:sz w:val="20"/>
          <w:szCs w:val="20"/>
          <w:color w:val="auto"/>
        </w:rPr>
      </w:pPr>
    </w:p>
    <w:p>
      <w:pPr>
        <w:ind w:right="40"/>
        <w:spacing w:after="0" w:line="341"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March 29, 2008 (File No. 1-11593) [Exhibit 10(c)</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9"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December 27, 2008 (File No. 1-11593) [Exhibit 10.11]</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2007 (File No. 1-11593) [Exhibit 10(t)(2)] Incorporated herein by reference to the Registrant’s Annual Report on Form 10-K for the fiscal year ended September 30, 2007 (File No. 1-11593) [Exhibit 10(t)(4)] Incorporated herein by reference to the Registrant’s Annual Report on Form 10-K for the fiscal year ended September 30, 2008 (File No. 1-11593) [Exhibit 10.7(g) (iii)]</w:t>
      </w:r>
    </w:p>
    <w:p>
      <w:pPr>
        <w:spacing w:after="0" w:line="4"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Incorporated herein by reference to the Registrant’s Annual Report on Form 10-K for the fiscal year ended September 30, 2008 (File No. 1-11593) [Exhibit 10.7(g) (v)]</w:t>
      </w:r>
    </w:p>
    <w:p>
      <w:pPr>
        <w:sectPr>
          <w:pgSz w:w="11900" w:h="16838" w:orient="portrait"/>
          <w:cols w:equalWidth="0" w:num="2">
            <w:col w:w="7780" w:space="100"/>
            <w:col w:w="2700"/>
          </w:cols>
          <w:pgMar w:left="220" w:top="343" w:right="1099" w:bottom="1440" w:gutter="0" w:footer="0" w:header="0"/>
          <w:type w:val="continuous"/>
        </w:sectPr>
      </w:pPr>
    </w:p>
    <w:bookmarkStart w:id="131" w:name="page132"/>
    <w:bookmarkEnd w:id="131"/>
    <w:p>
      <w:pPr>
        <w:spacing w:after="0"/>
        <w:rPr>
          <w:rFonts w:ascii="Arial" w:cs="Arial" w:eastAsia="Arial" w:hAnsi="Arial"/>
          <w:sz w:val="11"/>
          <w:szCs w:val="11"/>
          <w:b w:val="1"/>
          <w:bCs w:val="1"/>
          <w:u w:val="single" w:color="auto"/>
          <w:color w:val="0000EE"/>
        </w:rPr>
      </w:pPr>
      <w:hyperlink w:anchor="page2">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580"/>
          </w:cols>
          <w:pgMar w:left="220" w:top="343" w:right="1099" w:bottom="1440" w:gutter="0" w:footer="0" w:header="0"/>
        </w:sectPr>
      </w:pP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20" w:type="dxa"/>
            <w:vAlign w:val="bottom"/>
          </w:tcPr>
          <w:p>
            <w:pPr>
              <w:ind w:left="5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680" w:type="dxa"/>
            <w:vAlign w:val="bottom"/>
            <w:vMerge w:val="restart"/>
          </w:tcPr>
          <w:p>
            <w:pPr>
              <w:ind w:left="25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600"/>
              <w:spacing w:after="0"/>
              <w:rPr>
                <w:sz w:val="20"/>
                <w:szCs w:val="20"/>
                <w:color w:val="auto"/>
              </w:rPr>
            </w:pPr>
            <w:r>
              <w:rPr>
                <w:rFonts w:ascii="Arial" w:cs="Arial" w:eastAsia="Arial" w:hAnsi="Arial"/>
                <w:sz w:val="12"/>
                <w:szCs w:val="12"/>
                <w:color w:val="auto"/>
              </w:rPr>
              <w:t>10.10(h)(v)</w:t>
            </w:r>
          </w:p>
        </w:tc>
        <w:tc>
          <w:tcPr>
            <w:tcW w:w="1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Specimen form of Restricted Stock Award Agreement for Employees used to evidence grants of Restricted Stock which</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may be made under The Scotts Miracle-Gro Company Amended and Restated 2006 Long-Term Incentive Plan (French</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Specimen) [post-November 6, 2007 version]</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10.11(a)</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The Scotts Miracle-Gro Company Discounted Stock Purchase Plan (As Amended and Restated as of January 26, 2006;</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Reflects 2-for-1 Stock Split Distributed on November 9, 2005)</w:t>
            </w:r>
          </w:p>
        </w:tc>
        <w:tc>
          <w:tcPr>
            <w:tcW w:w="0" w:type="dxa"/>
            <w:vAlign w:val="bottom"/>
          </w:tcPr>
          <w:p>
            <w:pPr>
              <w:spacing w:after="0"/>
              <w:rPr>
                <w:sz w:val="1"/>
                <w:szCs w:val="1"/>
                <w:color w:val="auto"/>
              </w:rPr>
            </w:pPr>
          </w:p>
        </w:tc>
      </w:tr>
      <w:tr>
        <w:trPr>
          <w:trHeight w:val="295"/>
        </w:trPr>
        <w:tc>
          <w:tcPr>
            <w:tcW w:w="1320" w:type="dxa"/>
            <w:vAlign w:val="bottom"/>
          </w:tcPr>
          <w:p>
            <w:pPr>
              <w:ind w:left="600"/>
              <w:spacing w:after="0"/>
              <w:rPr>
                <w:sz w:val="20"/>
                <w:szCs w:val="20"/>
                <w:color w:val="auto"/>
              </w:rPr>
            </w:pPr>
            <w:r>
              <w:rPr>
                <w:rFonts w:ascii="Arial" w:cs="Arial" w:eastAsia="Arial" w:hAnsi="Arial"/>
                <w:sz w:val="12"/>
                <w:szCs w:val="12"/>
                <w:color w:val="auto"/>
              </w:rPr>
              <w:t>10.11(b)</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Amendment to The Scotts Miracle-Gro Company Discounted Stock Purchase Plan (effective as of November 6, 2008)</w:t>
            </w:r>
          </w:p>
        </w:tc>
        <w:tc>
          <w:tcPr>
            <w:tcW w:w="0" w:type="dxa"/>
            <w:vAlign w:val="bottom"/>
          </w:tcPr>
          <w:p>
            <w:pPr>
              <w:spacing w:after="0"/>
              <w:rPr>
                <w:sz w:val="1"/>
                <w:szCs w:val="1"/>
                <w:color w:val="auto"/>
              </w:rPr>
            </w:pPr>
          </w:p>
        </w:tc>
      </w:tr>
      <w:tr>
        <w:trPr>
          <w:trHeight w:val="441"/>
        </w:trPr>
        <w:tc>
          <w:tcPr>
            <w:tcW w:w="1320" w:type="dxa"/>
            <w:vAlign w:val="bottom"/>
          </w:tcPr>
          <w:p>
            <w:pPr>
              <w:ind w:left="600"/>
              <w:spacing w:after="0"/>
              <w:rPr>
                <w:sz w:val="20"/>
                <w:szCs w:val="20"/>
                <w:color w:val="auto"/>
              </w:rPr>
            </w:pPr>
            <w:r>
              <w:rPr>
                <w:rFonts w:ascii="Arial" w:cs="Arial" w:eastAsia="Arial" w:hAnsi="Arial"/>
                <w:sz w:val="12"/>
                <w:szCs w:val="12"/>
                <w:color w:val="auto"/>
              </w:rPr>
              <w:t>10.12</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9"/>
              </w:rPr>
              <w:t>Summary of Compensation for Nonemployee Directors of The Scotts Miracle-Gro Company (effective as of</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January 22, 2010)</w:t>
            </w:r>
          </w:p>
        </w:tc>
        <w:tc>
          <w:tcPr>
            <w:tcW w:w="0" w:type="dxa"/>
            <w:vAlign w:val="bottom"/>
          </w:tcPr>
          <w:p>
            <w:pPr>
              <w:spacing w:after="0"/>
              <w:rPr>
                <w:sz w:val="1"/>
                <w:szCs w:val="1"/>
                <w:color w:val="auto"/>
              </w:rPr>
            </w:pPr>
          </w:p>
        </w:tc>
      </w:tr>
      <w:tr>
        <w:trPr>
          <w:trHeight w:val="295"/>
        </w:trPr>
        <w:tc>
          <w:tcPr>
            <w:tcW w:w="1320" w:type="dxa"/>
            <w:vAlign w:val="bottom"/>
          </w:tcPr>
          <w:p>
            <w:pPr>
              <w:ind w:left="600"/>
              <w:spacing w:after="0"/>
              <w:rPr>
                <w:sz w:val="20"/>
                <w:szCs w:val="20"/>
                <w:color w:val="auto"/>
              </w:rPr>
            </w:pPr>
            <w:r>
              <w:rPr>
                <w:rFonts w:ascii="Arial" w:cs="Arial" w:eastAsia="Arial" w:hAnsi="Arial"/>
                <w:sz w:val="12"/>
                <w:szCs w:val="12"/>
                <w:color w:val="auto"/>
              </w:rPr>
              <w:t>10.13(a)</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Employment Agreement, dated as of May 19, 1995, between The Scotts Company and James Hagedorn</w:t>
            </w:r>
          </w:p>
        </w:tc>
        <w:tc>
          <w:tcPr>
            <w:tcW w:w="0" w:type="dxa"/>
            <w:vAlign w:val="bottom"/>
          </w:tcPr>
          <w:p>
            <w:pPr>
              <w:spacing w:after="0"/>
              <w:rPr>
                <w:sz w:val="1"/>
                <w:szCs w:val="1"/>
                <w:color w:val="auto"/>
              </w:rPr>
            </w:pPr>
          </w:p>
        </w:tc>
      </w:tr>
      <w:tr>
        <w:trPr>
          <w:trHeight w:val="588"/>
        </w:trPr>
        <w:tc>
          <w:tcPr>
            <w:tcW w:w="1320" w:type="dxa"/>
            <w:vAlign w:val="bottom"/>
          </w:tcPr>
          <w:p>
            <w:pPr>
              <w:ind w:left="600"/>
              <w:spacing w:after="0"/>
              <w:rPr>
                <w:sz w:val="20"/>
                <w:szCs w:val="20"/>
                <w:color w:val="auto"/>
              </w:rPr>
            </w:pPr>
            <w:r>
              <w:rPr>
                <w:rFonts w:ascii="Arial" w:cs="Arial" w:eastAsia="Arial" w:hAnsi="Arial"/>
                <w:sz w:val="12"/>
                <w:szCs w:val="12"/>
                <w:color w:val="auto"/>
              </w:rPr>
              <w:t>10.13(b)</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Amendments to Employment Agreement by and among The Scotts Miracle-Gro Company, The Scotts Company LLC</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and James Hagedorn, effective as of October 1, 2008 (executed by Mr. Hagedorn on December 22, 2008 and on behalf</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4"/>
              </w:rPr>
              <w:t>of The Scotts Miracle-Gro Company and The Scotts Company LLC by Denise Stump on December 22, 2008 and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Vincent C. Brockman on December 30, 2008)</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10.14(a)</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Letter agreement, dated June 5, 2000 and accepted by Mr. Norton on June 8, 2000, between The Scotts Company and</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Patrick J. Norton</w:t>
            </w:r>
          </w:p>
        </w:tc>
        <w:tc>
          <w:tcPr>
            <w:tcW w:w="0" w:type="dxa"/>
            <w:vAlign w:val="bottom"/>
          </w:tcPr>
          <w:p>
            <w:pPr>
              <w:spacing w:after="0"/>
              <w:rPr>
                <w:sz w:val="1"/>
                <w:szCs w:val="1"/>
                <w:color w:val="auto"/>
              </w:rPr>
            </w:pPr>
          </w:p>
        </w:tc>
      </w:tr>
      <w:tr>
        <w:trPr>
          <w:trHeight w:val="441"/>
        </w:trPr>
        <w:tc>
          <w:tcPr>
            <w:tcW w:w="1320" w:type="dxa"/>
            <w:vAlign w:val="bottom"/>
          </w:tcPr>
          <w:p>
            <w:pPr>
              <w:ind w:left="600"/>
              <w:spacing w:after="0"/>
              <w:rPr>
                <w:sz w:val="20"/>
                <w:szCs w:val="20"/>
                <w:color w:val="auto"/>
              </w:rPr>
            </w:pPr>
            <w:r>
              <w:rPr>
                <w:rFonts w:ascii="Arial" w:cs="Arial" w:eastAsia="Arial" w:hAnsi="Arial"/>
                <w:sz w:val="12"/>
                <w:szCs w:val="12"/>
                <w:color w:val="auto"/>
              </w:rPr>
              <w:t>10.14(b)</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8"/>
              </w:rPr>
              <w:t>Letter agreement, dated November 5, 2002, and accepted by Mr. Norton on November 22, 2002, pertaining to the terms</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5"/>
              </w:rPr>
              <w:t>of employment of Patrick J. Norton through December 31, 2005, and superseding certain provisions of the letter</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agreement, dated June 5, 2000, between The Scotts Company and Mr. Norton</w:t>
            </w:r>
          </w:p>
        </w:tc>
        <w:tc>
          <w:tcPr>
            <w:tcW w:w="0" w:type="dxa"/>
            <w:vAlign w:val="bottom"/>
          </w:tcPr>
          <w:p>
            <w:pPr>
              <w:spacing w:after="0"/>
              <w:rPr>
                <w:sz w:val="1"/>
                <w:szCs w:val="1"/>
                <w:color w:val="auto"/>
              </w:rPr>
            </w:pPr>
          </w:p>
        </w:tc>
      </w:tr>
      <w:tr>
        <w:trPr>
          <w:trHeight w:val="295"/>
        </w:trPr>
        <w:tc>
          <w:tcPr>
            <w:tcW w:w="1320" w:type="dxa"/>
            <w:vAlign w:val="bottom"/>
          </w:tcPr>
          <w:p>
            <w:pPr>
              <w:ind w:left="600"/>
              <w:spacing w:after="0"/>
              <w:rPr>
                <w:sz w:val="20"/>
                <w:szCs w:val="20"/>
                <w:color w:val="auto"/>
              </w:rPr>
            </w:pPr>
            <w:r>
              <w:rPr>
                <w:rFonts w:ascii="Arial" w:cs="Arial" w:eastAsia="Arial" w:hAnsi="Arial"/>
                <w:sz w:val="12"/>
                <w:szCs w:val="12"/>
                <w:color w:val="auto"/>
              </w:rPr>
              <w:t>10.14(c)</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7"/>
              </w:rPr>
              <w:t>Letter of Extension, dated October 25, 2005, between The Scotts Miracle-Gro Company and Patrick J. Norton</w:t>
            </w:r>
          </w:p>
        </w:tc>
        <w:tc>
          <w:tcPr>
            <w:tcW w:w="0" w:type="dxa"/>
            <w:vAlign w:val="bottom"/>
          </w:tcPr>
          <w:p>
            <w:pPr>
              <w:spacing w:after="0"/>
              <w:rPr>
                <w:sz w:val="1"/>
                <w:szCs w:val="1"/>
                <w:color w:val="auto"/>
              </w:rPr>
            </w:pPr>
          </w:p>
        </w:tc>
      </w:tr>
      <w:tr>
        <w:trPr>
          <w:trHeight w:val="441"/>
        </w:trPr>
        <w:tc>
          <w:tcPr>
            <w:tcW w:w="1320" w:type="dxa"/>
            <w:vAlign w:val="bottom"/>
          </w:tcPr>
          <w:p>
            <w:pPr>
              <w:ind w:left="600"/>
              <w:spacing w:after="0"/>
              <w:rPr>
                <w:sz w:val="20"/>
                <w:szCs w:val="20"/>
                <w:color w:val="auto"/>
              </w:rPr>
            </w:pPr>
            <w:r>
              <w:rPr>
                <w:rFonts w:ascii="Arial" w:cs="Arial" w:eastAsia="Arial" w:hAnsi="Arial"/>
                <w:sz w:val="12"/>
                <w:szCs w:val="12"/>
                <w:color w:val="auto"/>
              </w:rPr>
              <w:t>10.15(a)</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Employment Agreement, effective as of October 1, 2007, between The Scotts Company LLC and Barry W. Sanders</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(executed by Mr. Sanders on November 16, 2007 and on behalf of The Scotts Company LLC on November 19, 2007)</w:t>
            </w:r>
          </w:p>
        </w:tc>
        <w:tc>
          <w:tcPr>
            <w:tcW w:w="0" w:type="dxa"/>
            <w:vAlign w:val="bottom"/>
          </w:tcPr>
          <w:p>
            <w:pPr>
              <w:spacing w:after="0"/>
              <w:rPr>
                <w:sz w:val="1"/>
                <w:szCs w:val="1"/>
                <w:color w:val="auto"/>
              </w:rPr>
            </w:pPr>
          </w:p>
        </w:tc>
      </w:tr>
      <w:tr>
        <w:trPr>
          <w:trHeight w:val="446"/>
        </w:trPr>
        <w:tc>
          <w:tcPr>
            <w:tcW w:w="1320" w:type="dxa"/>
            <w:vAlign w:val="bottom"/>
          </w:tcPr>
          <w:p>
            <w:pPr>
              <w:spacing w:after="0"/>
              <w:rPr>
                <w:sz w:val="24"/>
                <w:szCs w:val="24"/>
                <w:color w:val="auto"/>
              </w:rPr>
            </w:pPr>
          </w:p>
        </w:tc>
        <w:tc>
          <w:tcPr>
            <w:tcW w:w="5780" w:type="dxa"/>
            <w:vAlign w:val="bottom"/>
            <w:gridSpan w:val="2"/>
          </w:tcPr>
          <w:p>
            <w:pPr>
              <w:jc w:val="right"/>
              <w:ind w:right="1941"/>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1200"/>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77292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72920" cy="6350"/>
                    </a:xfrm>
                    <a:prstGeom prst="rect">
                      <a:avLst/>
                    </a:prstGeom>
                    <a:noFill/>
                  </pic:spPr>
                </pic:pic>
              </a:graphicData>
            </a:graphic>
          </wp:anchor>
        </w:drawing>
      </w:r>
    </w:p>
    <w:p>
      <w:pPr>
        <w:spacing w:after="0" w:line="32" w:lineRule="exact"/>
        <w:rPr>
          <w:sz w:val="20"/>
          <w:szCs w:val="20"/>
          <w:color w:val="auto"/>
        </w:rPr>
      </w:pPr>
    </w:p>
    <w:p>
      <w:pPr>
        <w:ind w:right="40"/>
        <w:spacing w:after="0" w:line="343"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March 29, 2008 (File No. 1-11593) [Exhibit 10(c)</w:t>
      </w:r>
    </w:p>
    <w:p>
      <w:pPr>
        <w:spacing w:after="0"/>
        <w:rPr>
          <w:sz w:val="20"/>
          <w:szCs w:val="20"/>
          <w:color w:val="auto"/>
        </w:rPr>
      </w:pPr>
      <w:r>
        <w:rPr>
          <w:rFonts w:ascii="Arial" w:cs="Arial" w:eastAsia="Arial" w:hAnsi="Arial"/>
          <w:sz w:val="12"/>
          <w:szCs w:val="12"/>
          <w:color w:val="auto"/>
        </w:rPr>
        <w:t>(1)]</w:t>
      </w:r>
    </w:p>
    <w:p>
      <w:pPr>
        <w:spacing w:after="0" w:line="9"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February 2, 2006 (File No. 1-11593) [Exhibit 10.1]</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Incorporated herein by reference to the Registrant’s Annual Report on Form 10-K for the fiscal year ended September 30, 2008 (File No. 1-11593) [Exhibit 10.8(b)] Incorporated herein by reference to the Registrant’s Quarterly Report on Form 10-Q for the quarterly period ended April 3, 2010 (File No. 1-11593) [Exhibit 10.7] Incorporated herein by reference to the Annual Report on Form 10-K of The Scotts Company, an Ohio corporation, for the fiscal year ended September 30, 1995 (File No. 1-11593) [Exhibit 10(p)]</w:t>
      </w:r>
    </w:p>
    <w:p>
      <w:pPr>
        <w:spacing w:after="0" w:line="4"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December 27, 2008 (File No. 1-11593) [Exhibit 10.16]</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Incorporated herein by reference to the Annual Report on Form 10-K of The Scotts Company, an Ohio corporation, for the fiscal year ended September 30, 2000 (File No. 0-19768) [Exhibit 10(q)]</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Incorporated herein by reference to the Annual Report on Form 10-K of The Scotts Company, an Ohio corporation, for the fiscal year ended September 30, 2002 (File No. 0-19768) [Exhibit 10(q)]</w:t>
      </w:r>
    </w:p>
    <w:p>
      <w:pPr>
        <w:spacing w:after="0" w:line="2" w:lineRule="exact"/>
        <w:rPr>
          <w:sz w:val="20"/>
          <w:szCs w:val="20"/>
          <w:color w:val="auto"/>
        </w:rPr>
      </w:pPr>
    </w:p>
    <w:p>
      <w:pPr>
        <w:ind w:right="140"/>
        <w:spacing w:after="0" w:line="279" w:lineRule="auto"/>
        <w:rPr>
          <w:sz w:val="20"/>
          <w:szCs w:val="20"/>
          <w:color w:val="auto"/>
        </w:rPr>
      </w:pPr>
      <w:r>
        <w:rPr>
          <w:rFonts w:ascii="Arial" w:cs="Arial" w:eastAsia="Arial" w:hAnsi="Arial"/>
          <w:sz w:val="11"/>
          <w:szCs w:val="11"/>
          <w:color w:val="auto"/>
        </w:rPr>
        <w:t>Incorporated herein by reference to the Registrant’s Current Report on Form 8-K filed December 14, 2005 (File No. 1-11593) [Exhibit 10.3]</w:t>
      </w:r>
    </w:p>
    <w:p>
      <w:pPr>
        <w:spacing w:after="0" w:line="1" w:lineRule="exact"/>
        <w:rPr>
          <w:sz w:val="20"/>
          <w:szCs w:val="20"/>
          <w:color w:val="auto"/>
        </w:rPr>
      </w:pPr>
    </w:p>
    <w:p>
      <w:pPr>
        <w:ind w:right="80"/>
        <w:spacing w:after="0" w:line="392"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2007 (File No. 1-11593) [Exhibit 10(m)]</w:t>
      </w:r>
    </w:p>
    <w:p>
      <w:pPr>
        <w:sectPr>
          <w:pgSz w:w="11900" w:h="16838" w:orient="portrait"/>
          <w:cols w:equalWidth="0" w:num="2">
            <w:col w:w="7780" w:space="100"/>
            <w:col w:w="2700"/>
          </w:cols>
          <w:pgMar w:left="220" w:top="343" w:right="1099" w:bottom="1440" w:gutter="0" w:footer="0" w:header="0"/>
          <w:type w:val="continuous"/>
        </w:sectPr>
      </w:pPr>
    </w:p>
    <w:bookmarkStart w:id="132" w:name="page133"/>
    <w:bookmarkEnd w:id="132"/>
    <w:p>
      <w:pPr>
        <w:spacing w:after="0"/>
        <w:rPr>
          <w:rFonts w:ascii="Arial" w:cs="Arial" w:eastAsia="Arial" w:hAnsi="Arial"/>
          <w:sz w:val="11"/>
          <w:szCs w:val="11"/>
          <w:b w:val="1"/>
          <w:bCs w:val="1"/>
          <w:u w:val="single" w:color="auto"/>
          <w:color w:val="0000EE"/>
        </w:rPr>
      </w:pPr>
      <w:hyperlink w:anchor="page2">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640"/>
          </w:cols>
          <w:pgMar w:left="220" w:top="343" w:right="1039" w:bottom="1440" w:gutter="0" w:footer="0" w:header="0"/>
        </w:sectPr>
      </w:pP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20" w:type="dxa"/>
            <w:vAlign w:val="bottom"/>
          </w:tcPr>
          <w:p>
            <w:pPr>
              <w:ind w:left="500"/>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0"/>
                <w:szCs w:val="10"/>
                <w:color w:val="auto"/>
              </w:rPr>
            </w:pPr>
          </w:p>
        </w:tc>
        <w:tc>
          <w:tcPr>
            <w:tcW w:w="5680" w:type="dxa"/>
            <w:vAlign w:val="bottom"/>
            <w:vMerge w:val="restart"/>
          </w:tcPr>
          <w:p>
            <w:pPr>
              <w:ind w:left="25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5"/>
        </w:trPr>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No.</w:t>
            </w:r>
          </w:p>
        </w:tc>
        <w:tc>
          <w:tcPr>
            <w:tcW w:w="100" w:type="dxa"/>
            <w:vAlign w:val="bottom"/>
          </w:tcPr>
          <w:p>
            <w:pPr>
              <w:spacing w:after="0"/>
              <w:rPr>
                <w:sz w:val="10"/>
                <w:szCs w:val="10"/>
                <w:color w:val="auto"/>
              </w:rPr>
            </w:pPr>
          </w:p>
        </w:tc>
        <w:tc>
          <w:tcPr>
            <w:tcW w:w="5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600"/>
              <w:spacing w:after="0"/>
              <w:rPr>
                <w:sz w:val="20"/>
                <w:szCs w:val="20"/>
                <w:color w:val="auto"/>
              </w:rPr>
            </w:pPr>
            <w:r>
              <w:rPr>
                <w:rFonts w:ascii="Arial" w:cs="Arial" w:eastAsia="Arial" w:hAnsi="Arial"/>
                <w:sz w:val="12"/>
                <w:szCs w:val="12"/>
                <w:color w:val="auto"/>
              </w:rPr>
              <w:t>10.15(b)</w:t>
            </w:r>
          </w:p>
        </w:tc>
        <w:tc>
          <w:tcPr>
            <w:tcW w:w="1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First Amendment to Employment Agreement, effective as of January 14, 2009, by and between The Scotts Company</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LLC and Barry Sanders</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10.16(a)</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Employment Contract for an Unlimited Time, effective as of July 1, 2001, between The Scotts Company (now known</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as The Scotts Company LLC) and Claude Lopez [English Translation — Original in French]</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10.16(b)</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Employment Agreement for Claude Lopez, executed on behalf of The Scotts Company LLC and by Claude Lopez on</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May 28, 2010, with an effective date of October 1, 2010</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10.17</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1"/>
              </w:rPr>
              <w:t>Employment Agreement for David C. Evans, executed on behalf of The Scotts Company LLC on November 19, 2007</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and by David C. Evans on December 3, 2007 and effective as of October 1, 2007</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10.18</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0"/>
              </w:rPr>
              <w:t>Employment Agreement for Denise S. Stump, executed on behalf of The Scotts Company LLC on November 19, 2007</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and by Denise S. Stump on December 11, 2007 and effective as of October 1, 2007</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10.19(a)</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6"/>
              </w:rPr>
              <w:t>Employment Agreement for Vincent Brockman, executed on behalf of The Scotts Miracle-Gro Company and by</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Vincent Brockman on May 24, 2006 and effective as of March 1, 2006 (effective until June 1, 2008)</w:t>
            </w:r>
          </w:p>
        </w:tc>
        <w:tc>
          <w:tcPr>
            <w:tcW w:w="0" w:type="dxa"/>
            <w:vAlign w:val="bottom"/>
          </w:tcPr>
          <w:p>
            <w:pPr>
              <w:spacing w:after="0"/>
              <w:rPr>
                <w:sz w:val="1"/>
                <w:szCs w:val="1"/>
                <w:color w:val="auto"/>
              </w:rPr>
            </w:pPr>
          </w:p>
        </w:tc>
      </w:tr>
      <w:tr>
        <w:trPr>
          <w:trHeight w:val="441"/>
        </w:trPr>
        <w:tc>
          <w:tcPr>
            <w:tcW w:w="1320" w:type="dxa"/>
            <w:vAlign w:val="bottom"/>
          </w:tcPr>
          <w:p>
            <w:pPr>
              <w:ind w:left="600"/>
              <w:spacing w:after="0"/>
              <w:rPr>
                <w:sz w:val="20"/>
                <w:szCs w:val="20"/>
                <w:color w:val="auto"/>
              </w:rPr>
            </w:pPr>
            <w:r>
              <w:rPr>
                <w:rFonts w:ascii="Arial" w:cs="Arial" w:eastAsia="Arial" w:hAnsi="Arial"/>
                <w:sz w:val="12"/>
                <w:szCs w:val="12"/>
                <w:color w:val="auto"/>
              </w:rPr>
              <w:t>10.19(b)</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Employment Agreement for Vincent C. Brockman, effective as of June 1, 2008, between The Scotts Company LLC and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3"/>
              </w:rPr>
              <w:t>Vincent C. Brockman (executed by Mr. Brockman on June 26, 2008 and on behalf of The Scotts Company LLC on</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June 27, 2008)</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10.20(a)</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Employment Agreement for Mark R. Baker, effective as of October 1, 2008, between The Scotts Company LLC and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8"/>
              </w:rPr>
              <w:t>Mark R. Baker (executed by Mr. Baker on September 9, 2008 and on behalf of The Scotts Company LLC on</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September 10, 2008)</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10.20(b)</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89"/>
              </w:rPr>
              <w:t>First Amendment to Employment Agreement of Mark R. Baker, effective as of December 10, 2009, between The Scotts</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Company LLC and Mark R. Baker</w:t>
            </w:r>
          </w:p>
        </w:tc>
        <w:tc>
          <w:tcPr>
            <w:tcW w:w="0" w:type="dxa"/>
            <w:vAlign w:val="bottom"/>
          </w:tcPr>
          <w:p>
            <w:pPr>
              <w:spacing w:after="0"/>
              <w:rPr>
                <w:sz w:val="1"/>
                <w:szCs w:val="1"/>
                <w:color w:val="auto"/>
              </w:rPr>
            </w:pPr>
          </w:p>
        </w:tc>
      </w:tr>
      <w:tr>
        <w:trPr>
          <w:trHeight w:val="293"/>
        </w:trPr>
        <w:tc>
          <w:tcPr>
            <w:tcW w:w="1320" w:type="dxa"/>
            <w:vAlign w:val="bottom"/>
          </w:tcPr>
          <w:p>
            <w:pPr>
              <w:ind w:left="600"/>
              <w:spacing w:after="0"/>
              <w:rPr>
                <w:sz w:val="20"/>
                <w:szCs w:val="20"/>
                <w:color w:val="auto"/>
              </w:rPr>
            </w:pPr>
            <w:r>
              <w:rPr>
                <w:rFonts w:ascii="Arial" w:cs="Arial" w:eastAsia="Arial" w:hAnsi="Arial"/>
                <w:sz w:val="12"/>
                <w:szCs w:val="12"/>
                <w:color w:val="auto"/>
              </w:rPr>
              <w:t>10.20(c)</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5"/>
              </w:rPr>
              <w:t>Separation Agreement and Release of All Claims, effective as of November 3, 2010, by and between The Scotts</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7"/>
              </w:rPr>
              <w:t>Company LLC and Mark R. Baker (executed by Mr. Baker as of October 28, 2010 and on behalf of The Scotts</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Company LLC on November 3, 2010)</w:t>
            </w:r>
          </w:p>
        </w:tc>
        <w:tc>
          <w:tcPr>
            <w:tcW w:w="0" w:type="dxa"/>
            <w:vAlign w:val="bottom"/>
          </w:tcPr>
          <w:p>
            <w:pPr>
              <w:spacing w:after="0"/>
              <w:rPr>
                <w:sz w:val="1"/>
                <w:szCs w:val="1"/>
                <w:color w:val="auto"/>
              </w:rPr>
            </w:pPr>
          </w:p>
        </w:tc>
      </w:tr>
      <w:tr>
        <w:trPr>
          <w:trHeight w:val="147"/>
        </w:trPr>
        <w:tc>
          <w:tcPr>
            <w:tcW w:w="1320" w:type="dxa"/>
            <w:vAlign w:val="bottom"/>
          </w:tcPr>
          <w:p>
            <w:pPr>
              <w:ind w:left="600"/>
              <w:spacing w:after="0"/>
              <w:rPr>
                <w:sz w:val="20"/>
                <w:szCs w:val="20"/>
                <w:color w:val="auto"/>
              </w:rPr>
            </w:pPr>
            <w:r>
              <w:rPr>
                <w:rFonts w:ascii="Arial" w:cs="Arial" w:eastAsia="Arial" w:hAnsi="Arial"/>
                <w:sz w:val="12"/>
                <w:szCs w:val="12"/>
                <w:color w:val="auto"/>
              </w:rPr>
              <w:t>10.21(a)</w:t>
            </w: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w w:val="92"/>
              </w:rPr>
              <w:t>Amended and Restated Exclusive Agency and Marketing Agreement, effective as of September 30, 1998, between</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Monsanto Company and The Scotts Company LLC (as successor to The Scotts Company)</w:t>
            </w:r>
          </w:p>
        </w:tc>
        <w:tc>
          <w:tcPr>
            <w:tcW w:w="0" w:type="dxa"/>
            <w:vAlign w:val="bottom"/>
          </w:tcPr>
          <w:p>
            <w:pPr>
              <w:spacing w:after="0"/>
              <w:rPr>
                <w:sz w:val="1"/>
                <w:szCs w:val="1"/>
                <w:color w:val="auto"/>
              </w:rPr>
            </w:pPr>
          </w:p>
        </w:tc>
      </w:tr>
      <w:tr>
        <w:trPr>
          <w:trHeight w:val="446"/>
        </w:trPr>
        <w:tc>
          <w:tcPr>
            <w:tcW w:w="1320" w:type="dxa"/>
            <w:vAlign w:val="bottom"/>
          </w:tcPr>
          <w:p>
            <w:pPr>
              <w:spacing w:after="0"/>
              <w:rPr>
                <w:sz w:val="24"/>
                <w:szCs w:val="24"/>
                <w:color w:val="auto"/>
              </w:rPr>
            </w:pPr>
          </w:p>
        </w:tc>
        <w:tc>
          <w:tcPr>
            <w:tcW w:w="5780" w:type="dxa"/>
            <w:vAlign w:val="bottom"/>
            <w:gridSpan w:val="2"/>
          </w:tcPr>
          <w:p>
            <w:pPr>
              <w:jc w:val="right"/>
              <w:ind w:right="1941"/>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77292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72920" cy="6350"/>
                    </a:xfrm>
                    <a:prstGeom prst="rect">
                      <a:avLst/>
                    </a:prstGeom>
                    <a:noFill/>
                  </pic:spPr>
                </pic:pic>
              </a:graphicData>
            </a:graphic>
          </wp:anchor>
        </w:drawing>
      </w:r>
    </w:p>
    <w:p>
      <w:pPr>
        <w:spacing w:after="0" w:line="32"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Incorporated herein by reference to the Registrant’s Current Report on Form 8-K filed January 20, 2009 (File No. 1-11593) [Exhibit 10.2]</w:t>
      </w:r>
    </w:p>
    <w:p>
      <w:pPr>
        <w:spacing w:after="0" w:line="1" w:lineRule="exact"/>
        <w:rPr>
          <w:sz w:val="20"/>
          <w:szCs w:val="20"/>
          <w:color w:val="auto"/>
        </w:rPr>
      </w:pPr>
    </w:p>
    <w:p>
      <w:pPr>
        <w:ind w:right="80"/>
        <w:spacing w:after="0" w:line="341"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2007 (File No. 1-11593) [Exhibit 10(n)] Incorporated herein by reference to the Registrant’s Current Report on Form 8-K filed June 4, 2010 (File No.</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1-11593) [Exhibit 10.1]</w:t>
      </w:r>
    </w:p>
    <w:p>
      <w:pPr>
        <w:spacing w:after="0" w:line="9"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December 7, 2007 (File No. 1-11593) [Exhibit 10.1]</w:t>
      </w:r>
    </w:p>
    <w:p>
      <w:pPr>
        <w:spacing w:after="0" w:line="1" w:lineRule="exact"/>
        <w:rPr>
          <w:sz w:val="20"/>
          <w:szCs w:val="20"/>
          <w:color w:val="auto"/>
        </w:rPr>
      </w:pPr>
    </w:p>
    <w:p>
      <w:pPr>
        <w:ind w:right="200"/>
        <w:spacing w:after="0" w:line="279" w:lineRule="auto"/>
        <w:rPr>
          <w:sz w:val="20"/>
          <w:szCs w:val="20"/>
          <w:color w:val="auto"/>
        </w:rPr>
      </w:pPr>
      <w:r>
        <w:rPr>
          <w:rFonts w:ascii="Arial" w:cs="Arial" w:eastAsia="Arial" w:hAnsi="Arial"/>
          <w:sz w:val="11"/>
          <w:szCs w:val="11"/>
          <w:color w:val="auto"/>
        </w:rPr>
        <w:t>Incorporated herein by reference to the Registrant’s Current Report on Form 8-K filed December 17, 2007 (File No. 1-11593) [Exhibit 10.1]</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Incorporated herein by reference to the Registrant’s Quarterly Report on Form 10-Q for the quarterly period ended December 29, 2007 (File No. 1-11593) [Exhibit 10(q)]</w:t>
      </w:r>
    </w:p>
    <w:p>
      <w:pPr>
        <w:spacing w:after="0" w:line="1" w:lineRule="exact"/>
        <w:rPr>
          <w:sz w:val="20"/>
          <w:szCs w:val="20"/>
          <w:color w:val="auto"/>
        </w:rPr>
      </w:pPr>
    </w:p>
    <w:p>
      <w:pPr>
        <w:ind w:right="140"/>
        <w:spacing w:after="0" w:line="356"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June 28, 2008 (File No. 1-11593) [Exhibit 10(d)] Incorporated herein by reference to the Registrant’s Annual Report on Form 10-K for the fiscal year ended September 30, 2008 (File No. 1-11593) [Exhibit 10.17] Incorporated herein by reference to the Registrant’s Current Report on Form 8-K filed December 16, 2009 (File No. 1-11593) [Exhibit 10.2]</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November 5, 2010 (File No. 1-11593) [Exhibit 10.1]</w:t>
      </w:r>
    </w:p>
    <w:p>
      <w:pPr>
        <w:spacing w:after="0" w:line="1" w:lineRule="exact"/>
        <w:rPr>
          <w:sz w:val="20"/>
          <w:szCs w:val="20"/>
          <w:color w:val="auto"/>
        </w:rPr>
      </w:pPr>
    </w:p>
    <w:p>
      <w:pPr>
        <w:ind w:right="160"/>
        <w:spacing w:after="0" w:line="392"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2005 (File No. 1-11593) [Exhibit 10(x)]</w:t>
      </w:r>
    </w:p>
    <w:p>
      <w:pPr>
        <w:sectPr>
          <w:pgSz w:w="11900" w:h="16838" w:orient="portrait"/>
          <w:cols w:equalWidth="0" w:num="2">
            <w:col w:w="7780" w:space="100"/>
            <w:col w:w="2760"/>
          </w:cols>
          <w:pgMar w:left="220" w:top="343" w:right="1039" w:bottom="1440" w:gutter="0" w:footer="0" w:header="0"/>
          <w:type w:val="continuous"/>
        </w:sectPr>
      </w:pPr>
    </w:p>
    <w:bookmarkStart w:id="133" w:name="page134"/>
    <w:bookmarkEnd w:id="1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1920" w:type="dxa"/>
            <w:vAlign w:val="bottom"/>
          </w:tcPr>
          <w:p>
            <w:pPr>
              <w:jc w:val="center"/>
              <w:ind w:right="1548"/>
              <w:spacing w:after="0"/>
              <w:rPr>
                <w:sz w:val="20"/>
                <w:szCs w:val="20"/>
                <w:color w:val="auto"/>
              </w:rPr>
            </w:pPr>
            <w:r>
              <w:rPr>
                <w:rFonts w:ascii="Arial" w:cs="Arial" w:eastAsia="Arial" w:hAnsi="Arial"/>
                <w:sz w:val="10"/>
                <w:szCs w:val="10"/>
                <w:b w:val="1"/>
                <w:bCs w:val="1"/>
                <w:color w:val="auto"/>
                <w:w w:val="95"/>
              </w:rPr>
              <w:t>Exhibit</w:t>
            </w:r>
          </w:p>
        </w:tc>
        <w:tc>
          <w:tcPr>
            <w:tcW w:w="4020" w:type="dxa"/>
            <w:vAlign w:val="bottom"/>
            <w:vMerge w:val="restart"/>
          </w:tcPr>
          <w:p>
            <w:pPr>
              <w:ind w:left="1580"/>
              <w:spacing w:after="0"/>
              <w:rPr>
                <w:sz w:val="20"/>
                <w:szCs w:val="20"/>
                <w:color w:val="auto"/>
              </w:rPr>
            </w:pPr>
            <w:r>
              <w:rPr>
                <w:rFonts w:ascii="Arial" w:cs="Arial" w:eastAsia="Arial" w:hAnsi="Arial"/>
                <w:sz w:val="10"/>
                <w:szCs w:val="10"/>
                <w:b w:val="1"/>
                <w:bCs w:val="1"/>
                <w:color w:val="auto"/>
              </w:rPr>
              <w:t>Description</w:t>
            </w:r>
          </w:p>
        </w:tc>
        <w:tc>
          <w:tcPr>
            <w:tcW w:w="2340" w:type="dxa"/>
            <w:vAlign w:val="bottom"/>
            <w:vMerge w:val="restart"/>
          </w:tcPr>
          <w:p>
            <w:pPr>
              <w:ind w:left="1940"/>
              <w:spacing w:after="0"/>
              <w:rPr>
                <w:sz w:val="20"/>
                <w:szCs w:val="20"/>
                <w:color w:val="auto"/>
              </w:rPr>
            </w:pPr>
            <w:r>
              <w:rPr>
                <w:rFonts w:ascii="Arial" w:cs="Arial" w:eastAsia="Arial" w:hAnsi="Arial"/>
                <w:sz w:val="10"/>
                <w:szCs w:val="10"/>
                <w:b w:val="1"/>
                <w:bCs w:val="1"/>
                <w:color w:val="auto"/>
                <w:w w:val="91"/>
              </w:rPr>
              <w:t>Location</w:t>
            </w:r>
          </w:p>
        </w:tc>
        <w:tc>
          <w:tcPr>
            <w:tcW w:w="0" w:type="dxa"/>
            <w:vAlign w:val="bottom"/>
          </w:tcPr>
          <w:p>
            <w:pPr>
              <w:spacing w:after="0"/>
              <w:rPr>
                <w:sz w:val="1"/>
                <w:szCs w:val="1"/>
                <w:color w:val="auto"/>
              </w:rPr>
            </w:pPr>
          </w:p>
        </w:tc>
      </w:tr>
      <w:tr>
        <w:trPr>
          <w:trHeight w:val="135"/>
        </w:trPr>
        <w:tc>
          <w:tcPr>
            <w:tcW w:w="1920" w:type="dxa"/>
            <w:vAlign w:val="bottom"/>
          </w:tcPr>
          <w:p>
            <w:pPr>
              <w:jc w:val="center"/>
              <w:ind w:right="1548"/>
              <w:spacing w:after="0"/>
              <w:rPr>
                <w:sz w:val="20"/>
                <w:szCs w:val="20"/>
                <w:color w:val="auto"/>
              </w:rPr>
            </w:pPr>
            <w:r>
              <w:rPr>
                <w:rFonts w:ascii="Arial" w:cs="Arial" w:eastAsia="Arial" w:hAnsi="Arial"/>
                <w:sz w:val="10"/>
                <w:szCs w:val="10"/>
                <w:b w:val="1"/>
                <w:bCs w:val="1"/>
                <w:color w:val="auto"/>
                <w:w w:val="99"/>
              </w:rPr>
              <w:t>No.</w:t>
            </w:r>
          </w:p>
        </w:tc>
        <w:tc>
          <w:tcPr>
            <w:tcW w:w="402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-5715</wp:posOffset>
            </wp:positionV>
            <wp:extent cx="633539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p>
      <w:pPr>
        <w:spacing w:after="0" w:line="32" w:lineRule="exact"/>
        <w:rPr>
          <w:sz w:val="20"/>
          <w:szCs w:val="20"/>
          <w:color w:val="auto"/>
        </w:rPr>
      </w:pPr>
    </w:p>
    <w:tbl>
      <w:tblPr>
        <w:tblLayout w:type="fixed"/>
        <w:tblInd w:w="1320" w:type="dxa"/>
        <w:tblCellMar>
          <w:top w:w="0" w:type="dxa"/>
          <w:left w:w="0" w:type="dxa"/>
          <w:bottom w:w="0" w:type="dxa"/>
          <w:right w:w="0" w:type="dxa"/>
        </w:tblCellMar>
      </w:tblPr>
      <w:tr>
        <w:trPr>
          <w:trHeight w:val="147"/>
        </w:trPr>
        <w:tc>
          <w:tcPr>
            <w:tcW w:w="620" w:type="dxa"/>
            <w:vAlign w:val="bottom"/>
          </w:tcPr>
          <w:p>
            <w:pPr>
              <w:spacing w:after="0"/>
              <w:rPr>
                <w:sz w:val="20"/>
                <w:szCs w:val="20"/>
                <w:color w:val="auto"/>
              </w:rPr>
            </w:pPr>
            <w:r>
              <w:rPr>
                <w:rFonts w:ascii="Arial" w:cs="Arial" w:eastAsia="Arial" w:hAnsi="Arial"/>
                <w:sz w:val="12"/>
                <w:szCs w:val="12"/>
                <w:color w:val="auto"/>
              </w:rPr>
              <w:t>10.21(b)</w:t>
            </w:r>
          </w:p>
        </w:tc>
        <w:tc>
          <w:tcPr>
            <w:tcW w:w="5820" w:type="dxa"/>
            <w:vAlign w:val="bottom"/>
          </w:tcPr>
          <w:p>
            <w:pPr>
              <w:ind w:left="200"/>
              <w:spacing w:after="0"/>
              <w:rPr>
                <w:sz w:val="20"/>
                <w:szCs w:val="20"/>
                <w:color w:val="auto"/>
              </w:rPr>
            </w:pPr>
            <w:r>
              <w:rPr>
                <w:rFonts w:ascii="Arial" w:cs="Arial" w:eastAsia="Arial" w:hAnsi="Arial"/>
                <w:sz w:val="12"/>
                <w:szCs w:val="12"/>
                <w:color w:val="auto"/>
                <w:w w:val="93"/>
              </w:rPr>
              <w:t>Letter Agreement, dated March 10, 2005, amending the Amended and Restated Exclusive Agency and Marketing</w:t>
            </w:r>
          </w:p>
        </w:tc>
      </w:tr>
      <w:tr>
        <w:trPr>
          <w:trHeight w:val="147"/>
        </w:trPr>
        <w:tc>
          <w:tcPr>
            <w:tcW w:w="6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Arial" w:cs="Arial" w:eastAsia="Arial" w:hAnsi="Arial"/>
                <w:sz w:val="12"/>
                <w:szCs w:val="12"/>
                <w:color w:val="auto"/>
                <w:w w:val="87"/>
              </w:rPr>
              <w:t>Agreement, dated as of September 30, 1998, between Monsanto Company and The Scotts Company LLC (as successor</w:t>
            </w:r>
          </w:p>
        </w:tc>
      </w:tr>
      <w:tr>
        <w:trPr>
          <w:trHeight w:val="147"/>
        </w:trPr>
        <w:tc>
          <w:tcPr>
            <w:tcW w:w="6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Arial" w:cs="Arial" w:eastAsia="Arial" w:hAnsi="Arial"/>
                <w:sz w:val="12"/>
                <w:szCs w:val="12"/>
                <w:color w:val="auto"/>
              </w:rPr>
              <w:t>to The Scotts Company)</w:t>
            </w:r>
          </w:p>
        </w:tc>
      </w:tr>
      <w:tr>
        <w:trPr>
          <w:trHeight w:val="147"/>
        </w:trPr>
        <w:tc>
          <w:tcPr>
            <w:tcW w:w="620" w:type="dxa"/>
            <w:vAlign w:val="bottom"/>
          </w:tcPr>
          <w:p>
            <w:pPr>
              <w:spacing w:after="0"/>
              <w:rPr>
                <w:sz w:val="20"/>
                <w:szCs w:val="20"/>
                <w:color w:val="auto"/>
              </w:rPr>
            </w:pPr>
            <w:r>
              <w:rPr>
                <w:rFonts w:ascii="Arial" w:cs="Arial" w:eastAsia="Arial" w:hAnsi="Arial"/>
                <w:sz w:val="12"/>
                <w:szCs w:val="12"/>
                <w:color w:val="auto"/>
              </w:rPr>
              <w:t>10.21(c)</w:t>
            </w:r>
          </w:p>
        </w:tc>
        <w:tc>
          <w:tcPr>
            <w:tcW w:w="5820" w:type="dxa"/>
            <w:vAlign w:val="bottom"/>
          </w:tcPr>
          <w:p>
            <w:pPr>
              <w:ind w:left="200"/>
              <w:spacing w:after="0"/>
              <w:rPr>
                <w:sz w:val="20"/>
                <w:szCs w:val="20"/>
                <w:color w:val="auto"/>
              </w:rPr>
            </w:pPr>
            <w:r>
              <w:rPr>
                <w:rFonts w:ascii="Arial" w:cs="Arial" w:eastAsia="Arial" w:hAnsi="Arial"/>
                <w:sz w:val="12"/>
                <w:szCs w:val="12"/>
                <w:color w:val="auto"/>
                <w:w w:val="93"/>
              </w:rPr>
              <w:t>Letter Agreement, dated March 28, 2008, amending the Amended and Restated Exclusive Agency and Marketing</w:t>
            </w:r>
          </w:p>
        </w:tc>
      </w:tr>
      <w:tr>
        <w:trPr>
          <w:trHeight w:val="149"/>
        </w:trPr>
        <w:tc>
          <w:tcPr>
            <w:tcW w:w="6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Arial" w:cs="Arial" w:eastAsia="Arial" w:hAnsi="Arial"/>
                <w:sz w:val="12"/>
                <w:szCs w:val="12"/>
                <w:color w:val="auto"/>
                <w:w w:val="99"/>
              </w:rPr>
              <w:t>Agreement, dated as of September 30, 1998, between Monsanto Company and The Scotts Company LLC</w:t>
            </w:r>
          </w:p>
        </w:tc>
      </w:tr>
      <w:tr>
        <w:trPr>
          <w:trHeight w:val="293"/>
        </w:trPr>
        <w:tc>
          <w:tcPr>
            <w:tcW w:w="620" w:type="dxa"/>
            <w:vAlign w:val="bottom"/>
          </w:tcPr>
          <w:p>
            <w:pPr>
              <w:spacing w:after="0"/>
              <w:rPr>
                <w:sz w:val="20"/>
                <w:szCs w:val="20"/>
                <w:color w:val="auto"/>
              </w:rPr>
            </w:pPr>
            <w:r>
              <w:rPr>
                <w:rFonts w:ascii="Arial" w:cs="Arial" w:eastAsia="Arial" w:hAnsi="Arial"/>
                <w:sz w:val="12"/>
                <w:szCs w:val="12"/>
                <w:color w:val="auto"/>
              </w:rPr>
              <w:t>10.22(a)</w:t>
            </w:r>
          </w:p>
        </w:tc>
        <w:tc>
          <w:tcPr>
            <w:tcW w:w="5820" w:type="dxa"/>
            <w:vAlign w:val="bottom"/>
          </w:tcPr>
          <w:p>
            <w:pPr>
              <w:ind w:left="200"/>
              <w:spacing w:after="0"/>
              <w:rPr>
                <w:sz w:val="20"/>
                <w:szCs w:val="20"/>
                <w:color w:val="auto"/>
              </w:rPr>
            </w:pPr>
            <w:r>
              <w:rPr>
                <w:rFonts w:ascii="Arial" w:cs="Arial" w:eastAsia="Arial" w:hAnsi="Arial"/>
                <w:sz w:val="12"/>
                <w:szCs w:val="12"/>
                <w:color w:val="auto"/>
                <w:w w:val="89"/>
              </w:rPr>
              <w:t>Master Accounts Receivable Purchase Agreement, dated as of May 1, 2009, by and among The Scotts Company LLC</w:t>
            </w:r>
          </w:p>
        </w:tc>
      </w:tr>
      <w:tr>
        <w:trPr>
          <w:trHeight w:val="149"/>
        </w:trPr>
        <w:tc>
          <w:tcPr>
            <w:tcW w:w="6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Arial" w:cs="Arial" w:eastAsia="Arial" w:hAnsi="Arial"/>
                <w:sz w:val="12"/>
                <w:szCs w:val="12"/>
                <w:color w:val="auto"/>
                <w:w w:val="97"/>
              </w:rPr>
              <w:t>as the Company, The Scotts Miracle-Gro Company as the Parent and Calyon New York Branch as the Bank</w:t>
            </w:r>
          </w:p>
        </w:tc>
      </w:tr>
      <w:tr>
        <w:trPr>
          <w:trHeight w:val="293"/>
        </w:trPr>
        <w:tc>
          <w:tcPr>
            <w:tcW w:w="620" w:type="dxa"/>
            <w:vAlign w:val="bottom"/>
          </w:tcPr>
          <w:p>
            <w:pPr>
              <w:spacing w:after="0"/>
              <w:rPr>
                <w:sz w:val="20"/>
                <w:szCs w:val="20"/>
                <w:color w:val="auto"/>
              </w:rPr>
            </w:pPr>
            <w:r>
              <w:rPr>
                <w:rFonts w:ascii="Arial" w:cs="Arial" w:eastAsia="Arial" w:hAnsi="Arial"/>
                <w:sz w:val="12"/>
                <w:szCs w:val="12"/>
                <w:color w:val="auto"/>
              </w:rPr>
              <w:t>10.22(b)</w:t>
            </w:r>
          </w:p>
        </w:tc>
        <w:tc>
          <w:tcPr>
            <w:tcW w:w="5820" w:type="dxa"/>
            <w:vAlign w:val="bottom"/>
          </w:tcPr>
          <w:p>
            <w:pPr>
              <w:ind w:left="200"/>
              <w:spacing w:after="0"/>
              <w:rPr>
                <w:sz w:val="20"/>
                <w:szCs w:val="20"/>
                <w:color w:val="auto"/>
              </w:rPr>
            </w:pPr>
            <w:r>
              <w:rPr>
                <w:rFonts w:ascii="Arial" w:cs="Arial" w:eastAsia="Arial" w:hAnsi="Arial"/>
                <w:sz w:val="12"/>
                <w:szCs w:val="12"/>
                <w:color w:val="auto"/>
                <w:w w:val="91"/>
              </w:rPr>
              <w:t>First Amendment, dated as of May 13, 2010, to the Masters Accounts Receivable Purchase Agreement, dated as of</w:t>
            </w:r>
          </w:p>
        </w:tc>
      </w:tr>
      <w:tr>
        <w:trPr>
          <w:trHeight w:val="147"/>
        </w:trPr>
        <w:tc>
          <w:tcPr>
            <w:tcW w:w="6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Arial" w:cs="Arial" w:eastAsia="Arial" w:hAnsi="Arial"/>
                <w:sz w:val="12"/>
                <w:szCs w:val="12"/>
                <w:color w:val="auto"/>
                <w:w w:val="89"/>
              </w:rPr>
              <w:t>May 1, 2009, among The Scotts Company LLC as the Company, The Scotts Miracle-Gro Company as the Parent and</w:t>
            </w:r>
          </w:p>
        </w:tc>
      </w:tr>
      <w:tr>
        <w:trPr>
          <w:trHeight w:val="147"/>
        </w:trPr>
        <w:tc>
          <w:tcPr>
            <w:tcW w:w="6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Arial" w:cs="Arial" w:eastAsia="Arial" w:hAnsi="Arial"/>
                <w:sz w:val="12"/>
                <w:szCs w:val="12"/>
                <w:color w:val="auto"/>
                <w:w w:val="91"/>
              </w:rPr>
              <w:t>Credit Agricole Corporate and Investment Bank New York Branch (formerly known as Calyon New York Branch) as</w:t>
            </w:r>
          </w:p>
        </w:tc>
      </w:tr>
      <w:tr>
        <w:trPr>
          <w:trHeight w:val="147"/>
        </w:trPr>
        <w:tc>
          <w:tcPr>
            <w:tcW w:w="6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Arial" w:cs="Arial" w:eastAsia="Arial" w:hAnsi="Arial"/>
                <w:sz w:val="12"/>
                <w:szCs w:val="12"/>
                <w:color w:val="auto"/>
              </w:rPr>
              <w:t>the Bank</w:t>
            </w:r>
          </w:p>
        </w:tc>
      </w:tr>
      <w:tr>
        <w:trPr>
          <w:trHeight w:val="147"/>
        </w:trPr>
        <w:tc>
          <w:tcPr>
            <w:tcW w:w="620" w:type="dxa"/>
            <w:vAlign w:val="bottom"/>
          </w:tcPr>
          <w:p>
            <w:pPr>
              <w:spacing w:after="0"/>
              <w:rPr>
                <w:sz w:val="20"/>
                <w:szCs w:val="20"/>
                <w:color w:val="auto"/>
              </w:rPr>
            </w:pPr>
            <w:r>
              <w:rPr>
                <w:rFonts w:ascii="Arial" w:cs="Arial" w:eastAsia="Arial" w:hAnsi="Arial"/>
                <w:sz w:val="12"/>
                <w:szCs w:val="12"/>
                <w:color w:val="auto"/>
              </w:rPr>
              <w:t>12</w:t>
            </w:r>
          </w:p>
        </w:tc>
        <w:tc>
          <w:tcPr>
            <w:tcW w:w="5820" w:type="dxa"/>
            <w:vAlign w:val="bottom"/>
          </w:tcPr>
          <w:p>
            <w:pPr>
              <w:ind w:left="200"/>
              <w:spacing w:after="0"/>
              <w:rPr>
                <w:sz w:val="20"/>
                <w:szCs w:val="20"/>
                <w:color w:val="auto"/>
              </w:rPr>
            </w:pPr>
            <w:r>
              <w:rPr>
                <w:rFonts w:ascii="Arial" w:cs="Arial" w:eastAsia="Arial" w:hAnsi="Arial"/>
                <w:sz w:val="12"/>
                <w:szCs w:val="12"/>
                <w:color w:val="auto"/>
              </w:rPr>
              <w:t>Computation of Ratio of Earnings to Fixed Charges</w:t>
            </w:r>
          </w:p>
        </w:tc>
      </w:tr>
      <w:tr>
        <w:trPr>
          <w:trHeight w:val="149"/>
        </w:trPr>
        <w:tc>
          <w:tcPr>
            <w:tcW w:w="620" w:type="dxa"/>
            <w:vAlign w:val="bottom"/>
          </w:tcPr>
          <w:p>
            <w:pPr>
              <w:spacing w:after="0"/>
              <w:rPr>
                <w:sz w:val="20"/>
                <w:szCs w:val="20"/>
                <w:color w:val="auto"/>
              </w:rPr>
            </w:pPr>
            <w:r>
              <w:rPr>
                <w:rFonts w:ascii="Arial" w:cs="Arial" w:eastAsia="Arial" w:hAnsi="Arial"/>
                <w:sz w:val="12"/>
                <w:szCs w:val="12"/>
                <w:color w:val="auto"/>
              </w:rPr>
              <w:t>14</w:t>
            </w:r>
          </w:p>
        </w:tc>
        <w:tc>
          <w:tcPr>
            <w:tcW w:w="5820" w:type="dxa"/>
            <w:vAlign w:val="bottom"/>
          </w:tcPr>
          <w:p>
            <w:pPr>
              <w:ind w:left="200"/>
              <w:spacing w:after="0"/>
              <w:rPr>
                <w:sz w:val="20"/>
                <w:szCs w:val="20"/>
                <w:color w:val="auto"/>
              </w:rPr>
            </w:pPr>
            <w:r>
              <w:rPr>
                <w:rFonts w:ascii="Arial" w:cs="Arial" w:eastAsia="Arial" w:hAnsi="Arial"/>
                <w:sz w:val="12"/>
                <w:szCs w:val="12"/>
                <w:color w:val="auto"/>
                <w:w w:val="95"/>
              </w:rPr>
              <w:t>Code of Business Conduct and Ethics of The Scotts Miracle-Gro Company, as amended on November 2, 2006</w:t>
            </w: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359" w:lineRule="auto"/>
        <w:rPr>
          <w:sz w:val="20"/>
          <w:szCs w:val="20"/>
          <w:color w:val="auto"/>
        </w:rPr>
      </w:pPr>
      <w:r>
        <w:rPr>
          <w:rFonts w:ascii="Arial" w:cs="Arial" w:eastAsia="Arial" w:hAnsi="Arial"/>
          <w:sz w:val="9"/>
          <w:szCs w:val="9"/>
          <w:color w:val="auto"/>
        </w:rPr>
        <w:t>Incorporated herein by reference to the Registrant’s Annual Report on Form 10-K for the fiscal year ended September 30, 2009 (File No. 1-11593) [Exhibit 10.17(b)] Incorporated herein by reference to the Registrant’s Annual Report on Form 10-K for the fiscal year ended September 30, 2008 (File No. 1-11593) [Exhibit 10.18(b)] Incorporated herein by reference to the Registrant’s Current Report on Form 8-K filed May 6, 2009 (File No.</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1-11593) [Exhibit 10.1]</w:t>
      </w:r>
    </w:p>
    <w:p>
      <w:pPr>
        <w:spacing w:after="0" w:line="9" w:lineRule="exact"/>
        <w:rPr>
          <w:sz w:val="20"/>
          <w:szCs w:val="20"/>
          <w:color w:val="auto"/>
        </w:rPr>
      </w:pPr>
    </w:p>
    <w:p>
      <w:pPr>
        <w:ind w:right="120"/>
        <w:spacing w:after="0" w:line="392" w:lineRule="auto"/>
        <w:rPr>
          <w:sz w:val="20"/>
          <w:szCs w:val="20"/>
          <w:color w:val="auto"/>
        </w:rPr>
      </w:pPr>
      <w:r>
        <w:rPr>
          <w:rFonts w:ascii="Arial" w:cs="Arial" w:eastAsia="Arial" w:hAnsi="Arial"/>
          <w:sz w:val="9"/>
          <w:szCs w:val="9"/>
          <w:color w:val="auto"/>
        </w:rPr>
        <w:t>Incorporated herein by reference to the Registrant’s Quarterly Report on Form 10-Q for the quarterly period ended April 3, 2010 (File No. 1-11593) [Exhibit 10.6]</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p>
    <w:p>
      <w:pPr>
        <w:spacing w:after="0" w:line="11"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Incorporated herein by reference to the Registrant’s Current Report on Form 8-K filed November 8, 2006 (File No. 1-11593) [Exhibit 14]</w:t>
      </w:r>
    </w:p>
    <w:p>
      <w:pPr>
        <w:spacing w:after="0" w:line="1" w:lineRule="exact"/>
        <w:rPr>
          <w:sz w:val="20"/>
          <w:szCs w:val="20"/>
          <w:color w:val="auto"/>
        </w:rPr>
      </w:pPr>
    </w:p>
    <w:p>
      <w:pPr>
        <w:sectPr>
          <w:pgSz w:w="11900" w:h="16838" w:orient="portrait"/>
          <w:cols w:equalWidth="0" w:num="2">
            <w:col w:w="7760" w:space="120"/>
            <w:col w:w="2760"/>
          </w:cols>
          <w:pgMar w:left="220" w:top="343" w:right="1039" w:bottom="1440" w:gutter="0" w:footer="0" w:header="0"/>
          <w:type w:val="continuous"/>
        </w:sectPr>
      </w:pPr>
    </w:p>
    <w:tbl>
      <w:tblPr>
        <w:tblLayout w:type="fixed"/>
        <w:tblInd w:w="1260" w:type="dxa"/>
        <w:tblCellMar>
          <w:top w:w="0" w:type="dxa"/>
          <w:left w:w="0" w:type="dxa"/>
          <w:bottom w:w="0" w:type="dxa"/>
          <w:right w:w="0" w:type="dxa"/>
        </w:tblCellMar>
      </w:tblPr>
      <w:tr>
        <w:trPr>
          <w:trHeight w:val="146"/>
        </w:trPr>
        <w:tc>
          <w:tcPr>
            <w:tcW w:w="720" w:type="dxa"/>
            <w:vAlign w:val="bottom"/>
          </w:tcPr>
          <w:p>
            <w:pPr>
              <w:ind w:left="60"/>
              <w:spacing w:after="0"/>
              <w:rPr>
                <w:sz w:val="20"/>
                <w:szCs w:val="20"/>
                <w:color w:val="auto"/>
              </w:rPr>
            </w:pPr>
            <w:r>
              <w:rPr>
                <w:rFonts w:ascii="Arial" w:cs="Arial" w:eastAsia="Arial" w:hAnsi="Arial"/>
                <w:sz w:val="12"/>
                <w:szCs w:val="12"/>
                <w:color w:val="auto"/>
              </w:rPr>
              <w:t>21</w:t>
            </w:r>
          </w:p>
        </w:tc>
        <w:tc>
          <w:tcPr>
            <w:tcW w:w="5900" w:type="dxa"/>
            <w:vAlign w:val="bottom"/>
          </w:tcPr>
          <w:p>
            <w:pPr>
              <w:ind w:left="160"/>
              <w:spacing w:after="0"/>
              <w:rPr>
                <w:sz w:val="20"/>
                <w:szCs w:val="20"/>
                <w:color w:val="auto"/>
              </w:rPr>
            </w:pPr>
            <w:r>
              <w:rPr>
                <w:rFonts w:ascii="Arial" w:cs="Arial" w:eastAsia="Arial" w:hAnsi="Arial"/>
                <w:sz w:val="12"/>
                <w:szCs w:val="12"/>
                <w:color w:val="auto"/>
              </w:rPr>
              <w:t>Subsidiaries of The Scotts Miracle-Gro Company</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7"/>
        </w:trPr>
        <w:tc>
          <w:tcPr>
            <w:tcW w:w="720" w:type="dxa"/>
            <w:vAlign w:val="bottom"/>
          </w:tcPr>
          <w:p>
            <w:pPr>
              <w:ind w:left="60"/>
              <w:spacing w:after="0"/>
              <w:rPr>
                <w:sz w:val="20"/>
                <w:szCs w:val="20"/>
                <w:color w:val="auto"/>
              </w:rPr>
            </w:pPr>
            <w:r>
              <w:rPr>
                <w:rFonts w:ascii="Arial" w:cs="Arial" w:eastAsia="Arial" w:hAnsi="Arial"/>
                <w:sz w:val="12"/>
                <w:szCs w:val="12"/>
                <w:color w:val="auto"/>
              </w:rPr>
              <w:t>23</w:t>
            </w:r>
          </w:p>
        </w:tc>
        <w:tc>
          <w:tcPr>
            <w:tcW w:w="5900" w:type="dxa"/>
            <w:vAlign w:val="bottom"/>
          </w:tcPr>
          <w:p>
            <w:pPr>
              <w:ind w:left="160"/>
              <w:spacing w:after="0"/>
              <w:rPr>
                <w:sz w:val="20"/>
                <w:szCs w:val="20"/>
                <w:color w:val="auto"/>
              </w:rPr>
            </w:pPr>
            <w:r>
              <w:rPr>
                <w:rFonts w:ascii="Arial" w:cs="Arial" w:eastAsia="Arial" w:hAnsi="Arial"/>
                <w:sz w:val="12"/>
                <w:szCs w:val="12"/>
                <w:color w:val="auto"/>
              </w:rPr>
              <w:t>Consent of Independent Registered Public Accounting Firm — Deloitte &amp; Touche LLP</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7"/>
        </w:trPr>
        <w:tc>
          <w:tcPr>
            <w:tcW w:w="720" w:type="dxa"/>
            <w:vAlign w:val="bottom"/>
          </w:tcPr>
          <w:p>
            <w:pPr>
              <w:ind w:left="60"/>
              <w:spacing w:after="0"/>
              <w:rPr>
                <w:sz w:val="20"/>
                <w:szCs w:val="20"/>
                <w:color w:val="auto"/>
              </w:rPr>
            </w:pPr>
            <w:r>
              <w:rPr>
                <w:rFonts w:ascii="Arial" w:cs="Arial" w:eastAsia="Arial" w:hAnsi="Arial"/>
                <w:sz w:val="12"/>
                <w:szCs w:val="12"/>
                <w:color w:val="auto"/>
              </w:rPr>
              <w:t>24</w:t>
            </w:r>
          </w:p>
        </w:tc>
        <w:tc>
          <w:tcPr>
            <w:tcW w:w="5900" w:type="dxa"/>
            <w:vAlign w:val="bottom"/>
          </w:tcPr>
          <w:p>
            <w:pPr>
              <w:ind w:left="160"/>
              <w:spacing w:after="0"/>
              <w:rPr>
                <w:sz w:val="20"/>
                <w:szCs w:val="20"/>
                <w:color w:val="auto"/>
              </w:rPr>
            </w:pPr>
            <w:r>
              <w:rPr>
                <w:rFonts w:ascii="Arial" w:cs="Arial" w:eastAsia="Arial" w:hAnsi="Arial"/>
                <w:sz w:val="12"/>
                <w:szCs w:val="12"/>
                <w:color w:val="auto"/>
              </w:rPr>
              <w:t>Powers of Attorney of Executive Officers and Directors of The Scotts Miracle-Gro Company</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7"/>
        </w:trPr>
        <w:tc>
          <w:tcPr>
            <w:tcW w:w="720" w:type="dxa"/>
            <w:vAlign w:val="bottom"/>
          </w:tcPr>
          <w:p>
            <w:pPr>
              <w:ind w:left="60"/>
              <w:spacing w:after="0"/>
              <w:rPr>
                <w:sz w:val="20"/>
                <w:szCs w:val="20"/>
                <w:color w:val="auto"/>
              </w:rPr>
            </w:pPr>
            <w:r>
              <w:rPr>
                <w:rFonts w:ascii="Arial" w:cs="Arial" w:eastAsia="Arial" w:hAnsi="Arial"/>
                <w:sz w:val="12"/>
                <w:szCs w:val="12"/>
                <w:color w:val="auto"/>
              </w:rPr>
              <w:t>31.1</w:t>
            </w:r>
          </w:p>
        </w:tc>
        <w:tc>
          <w:tcPr>
            <w:tcW w:w="5900" w:type="dxa"/>
            <w:vAlign w:val="bottom"/>
          </w:tcPr>
          <w:p>
            <w:pPr>
              <w:ind w:left="160"/>
              <w:spacing w:after="0"/>
              <w:rPr>
                <w:sz w:val="20"/>
                <w:szCs w:val="20"/>
                <w:color w:val="auto"/>
              </w:rPr>
            </w:pPr>
            <w:r>
              <w:rPr>
                <w:rFonts w:ascii="Arial" w:cs="Arial" w:eastAsia="Arial" w:hAnsi="Arial"/>
                <w:sz w:val="12"/>
                <w:szCs w:val="12"/>
                <w:color w:val="auto"/>
              </w:rPr>
              <w:t>Rule 13a-14(a)/15d-14(a) Certifications (Principal Executive Officer)</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7"/>
        </w:trPr>
        <w:tc>
          <w:tcPr>
            <w:tcW w:w="720" w:type="dxa"/>
            <w:vAlign w:val="bottom"/>
          </w:tcPr>
          <w:p>
            <w:pPr>
              <w:ind w:left="60"/>
              <w:spacing w:after="0"/>
              <w:rPr>
                <w:sz w:val="20"/>
                <w:szCs w:val="20"/>
                <w:color w:val="auto"/>
              </w:rPr>
            </w:pPr>
            <w:r>
              <w:rPr>
                <w:rFonts w:ascii="Arial" w:cs="Arial" w:eastAsia="Arial" w:hAnsi="Arial"/>
                <w:sz w:val="12"/>
                <w:szCs w:val="12"/>
                <w:color w:val="auto"/>
              </w:rPr>
              <w:t>31.2</w:t>
            </w:r>
          </w:p>
        </w:tc>
        <w:tc>
          <w:tcPr>
            <w:tcW w:w="5900" w:type="dxa"/>
            <w:vAlign w:val="bottom"/>
          </w:tcPr>
          <w:p>
            <w:pPr>
              <w:ind w:left="160"/>
              <w:spacing w:after="0"/>
              <w:rPr>
                <w:sz w:val="20"/>
                <w:szCs w:val="20"/>
                <w:color w:val="auto"/>
              </w:rPr>
            </w:pPr>
            <w:r>
              <w:rPr>
                <w:rFonts w:ascii="Arial" w:cs="Arial" w:eastAsia="Arial" w:hAnsi="Arial"/>
                <w:sz w:val="12"/>
                <w:szCs w:val="12"/>
                <w:color w:val="auto"/>
              </w:rPr>
              <w:t>Rule 13a-14(a)/15d-14(a) Certifications (Principal Financial Officer)</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7"/>
        </w:trPr>
        <w:tc>
          <w:tcPr>
            <w:tcW w:w="720" w:type="dxa"/>
            <w:vAlign w:val="bottom"/>
          </w:tcPr>
          <w:p>
            <w:pPr>
              <w:ind w:left="60"/>
              <w:spacing w:after="0"/>
              <w:rPr>
                <w:sz w:val="20"/>
                <w:szCs w:val="20"/>
                <w:color w:val="auto"/>
              </w:rPr>
            </w:pPr>
            <w:r>
              <w:rPr>
                <w:rFonts w:ascii="Arial" w:cs="Arial" w:eastAsia="Arial" w:hAnsi="Arial"/>
                <w:sz w:val="12"/>
                <w:szCs w:val="12"/>
                <w:color w:val="auto"/>
              </w:rPr>
              <w:t>32</w:t>
            </w:r>
          </w:p>
        </w:tc>
        <w:tc>
          <w:tcPr>
            <w:tcW w:w="5900" w:type="dxa"/>
            <w:vAlign w:val="bottom"/>
          </w:tcPr>
          <w:p>
            <w:pPr>
              <w:ind w:left="160"/>
              <w:spacing w:after="0"/>
              <w:rPr>
                <w:sz w:val="20"/>
                <w:szCs w:val="20"/>
                <w:color w:val="auto"/>
              </w:rPr>
            </w:pPr>
            <w:r>
              <w:rPr>
                <w:rFonts w:ascii="Arial" w:cs="Arial" w:eastAsia="Arial" w:hAnsi="Arial"/>
                <w:sz w:val="12"/>
                <w:szCs w:val="12"/>
                <w:color w:val="auto"/>
              </w:rPr>
              <w:t>Section 1350 Certifications (Principal Executive Officer and Principal Financial Officer)</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7"/>
        </w:trPr>
        <w:tc>
          <w:tcPr>
            <w:tcW w:w="720" w:type="dxa"/>
            <w:vAlign w:val="bottom"/>
          </w:tcPr>
          <w:p>
            <w:pPr>
              <w:spacing w:after="0"/>
              <w:rPr>
                <w:sz w:val="20"/>
                <w:szCs w:val="20"/>
                <w:color w:val="auto"/>
              </w:rPr>
            </w:pPr>
            <w:r>
              <w:rPr>
                <w:rFonts w:ascii="Arial" w:cs="Arial" w:eastAsia="Arial" w:hAnsi="Arial"/>
                <w:sz w:val="12"/>
                <w:szCs w:val="12"/>
                <w:color w:val="auto"/>
              </w:rPr>
              <w:t>101.INS**</w:t>
            </w:r>
          </w:p>
        </w:tc>
        <w:tc>
          <w:tcPr>
            <w:tcW w:w="5900" w:type="dxa"/>
            <w:vAlign w:val="bottom"/>
          </w:tcPr>
          <w:p>
            <w:pPr>
              <w:ind w:left="160"/>
              <w:spacing w:after="0"/>
              <w:rPr>
                <w:sz w:val="20"/>
                <w:szCs w:val="20"/>
                <w:color w:val="auto"/>
              </w:rPr>
            </w:pPr>
            <w:r>
              <w:rPr>
                <w:rFonts w:ascii="Arial" w:cs="Arial" w:eastAsia="Arial" w:hAnsi="Arial"/>
                <w:sz w:val="12"/>
                <w:szCs w:val="12"/>
                <w:color w:val="auto"/>
              </w:rPr>
              <w:t>XBRL Instance Document</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7"/>
        </w:trPr>
        <w:tc>
          <w:tcPr>
            <w:tcW w:w="720" w:type="dxa"/>
            <w:vAlign w:val="bottom"/>
          </w:tcPr>
          <w:p>
            <w:pPr>
              <w:spacing w:after="0"/>
              <w:rPr>
                <w:sz w:val="20"/>
                <w:szCs w:val="20"/>
                <w:color w:val="auto"/>
              </w:rPr>
            </w:pPr>
            <w:r>
              <w:rPr>
                <w:rFonts w:ascii="Arial" w:cs="Arial" w:eastAsia="Arial" w:hAnsi="Arial"/>
                <w:sz w:val="12"/>
                <w:szCs w:val="12"/>
                <w:color w:val="auto"/>
              </w:rPr>
              <w:t>101.SCH**</w:t>
            </w:r>
          </w:p>
        </w:tc>
        <w:tc>
          <w:tcPr>
            <w:tcW w:w="5900" w:type="dxa"/>
            <w:vAlign w:val="bottom"/>
          </w:tcPr>
          <w:p>
            <w:pPr>
              <w:ind w:left="160"/>
              <w:spacing w:after="0"/>
              <w:rPr>
                <w:sz w:val="20"/>
                <w:szCs w:val="20"/>
                <w:color w:val="auto"/>
              </w:rPr>
            </w:pPr>
            <w:r>
              <w:rPr>
                <w:rFonts w:ascii="Arial" w:cs="Arial" w:eastAsia="Arial" w:hAnsi="Arial"/>
                <w:sz w:val="12"/>
                <w:szCs w:val="12"/>
                <w:color w:val="auto"/>
              </w:rPr>
              <w:t>XBRL Taxonomy Extension Schema</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7"/>
        </w:trPr>
        <w:tc>
          <w:tcPr>
            <w:tcW w:w="720" w:type="dxa"/>
            <w:vAlign w:val="bottom"/>
          </w:tcPr>
          <w:p>
            <w:pPr>
              <w:spacing w:after="0"/>
              <w:rPr>
                <w:sz w:val="20"/>
                <w:szCs w:val="20"/>
                <w:color w:val="auto"/>
              </w:rPr>
            </w:pPr>
            <w:r>
              <w:rPr>
                <w:rFonts w:ascii="Arial" w:cs="Arial" w:eastAsia="Arial" w:hAnsi="Arial"/>
                <w:sz w:val="12"/>
                <w:szCs w:val="12"/>
                <w:color w:val="auto"/>
              </w:rPr>
              <w:t>101.CAL**</w:t>
            </w:r>
          </w:p>
        </w:tc>
        <w:tc>
          <w:tcPr>
            <w:tcW w:w="5900" w:type="dxa"/>
            <w:vAlign w:val="bottom"/>
          </w:tcPr>
          <w:p>
            <w:pPr>
              <w:ind w:left="160"/>
              <w:spacing w:after="0"/>
              <w:rPr>
                <w:sz w:val="20"/>
                <w:szCs w:val="20"/>
                <w:color w:val="auto"/>
              </w:rPr>
            </w:pPr>
            <w:r>
              <w:rPr>
                <w:rFonts w:ascii="Arial" w:cs="Arial" w:eastAsia="Arial" w:hAnsi="Arial"/>
                <w:sz w:val="12"/>
                <w:szCs w:val="12"/>
                <w:color w:val="auto"/>
              </w:rPr>
              <w:t>XBRL Taxonomy Extension Calculation Linkbase</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7"/>
        </w:trPr>
        <w:tc>
          <w:tcPr>
            <w:tcW w:w="720" w:type="dxa"/>
            <w:vAlign w:val="bottom"/>
          </w:tcPr>
          <w:p>
            <w:pPr>
              <w:spacing w:after="0"/>
              <w:rPr>
                <w:sz w:val="20"/>
                <w:szCs w:val="20"/>
                <w:color w:val="auto"/>
              </w:rPr>
            </w:pPr>
            <w:r>
              <w:rPr>
                <w:rFonts w:ascii="Arial" w:cs="Arial" w:eastAsia="Arial" w:hAnsi="Arial"/>
                <w:sz w:val="12"/>
                <w:szCs w:val="12"/>
                <w:color w:val="auto"/>
              </w:rPr>
              <w:t>101.DEF**</w:t>
            </w:r>
          </w:p>
        </w:tc>
        <w:tc>
          <w:tcPr>
            <w:tcW w:w="5900" w:type="dxa"/>
            <w:vAlign w:val="bottom"/>
          </w:tcPr>
          <w:p>
            <w:pPr>
              <w:ind w:left="160"/>
              <w:spacing w:after="0"/>
              <w:rPr>
                <w:sz w:val="20"/>
                <w:szCs w:val="20"/>
                <w:color w:val="auto"/>
              </w:rPr>
            </w:pPr>
            <w:r>
              <w:rPr>
                <w:rFonts w:ascii="Arial" w:cs="Arial" w:eastAsia="Arial" w:hAnsi="Arial"/>
                <w:sz w:val="12"/>
                <w:szCs w:val="12"/>
                <w:color w:val="auto"/>
              </w:rPr>
              <w:t>XBRL Taxonomy Extension Definition Linkbase</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7"/>
        </w:trPr>
        <w:tc>
          <w:tcPr>
            <w:tcW w:w="720" w:type="dxa"/>
            <w:vAlign w:val="bottom"/>
          </w:tcPr>
          <w:p>
            <w:pPr>
              <w:spacing w:after="0"/>
              <w:rPr>
                <w:sz w:val="20"/>
                <w:szCs w:val="20"/>
                <w:color w:val="auto"/>
              </w:rPr>
            </w:pPr>
            <w:r>
              <w:rPr>
                <w:rFonts w:ascii="Arial" w:cs="Arial" w:eastAsia="Arial" w:hAnsi="Arial"/>
                <w:sz w:val="12"/>
                <w:szCs w:val="12"/>
                <w:color w:val="auto"/>
              </w:rPr>
              <w:t>101.LAB**</w:t>
            </w:r>
          </w:p>
        </w:tc>
        <w:tc>
          <w:tcPr>
            <w:tcW w:w="5900" w:type="dxa"/>
            <w:vAlign w:val="bottom"/>
          </w:tcPr>
          <w:p>
            <w:pPr>
              <w:ind w:left="160"/>
              <w:spacing w:after="0"/>
              <w:rPr>
                <w:sz w:val="20"/>
                <w:szCs w:val="20"/>
                <w:color w:val="auto"/>
              </w:rPr>
            </w:pPr>
            <w:r>
              <w:rPr>
                <w:rFonts w:ascii="Arial" w:cs="Arial" w:eastAsia="Arial" w:hAnsi="Arial"/>
                <w:sz w:val="12"/>
                <w:szCs w:val="12"/>
                <w:color w:val="auto"/>
              </w:rPr>
              <w:t>XBRL Taxonomy Extension Label Linkbase</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9"/>
        </w:trPr>
        <w:tc>
          <w:tcPr>
            <w:tcW w:w="720" w:type="dxa"/>
            <w:vAlign w:val="bottom"/>
          </w:tcPr>
          <w:p>
            <w:pPr>
              <w:spacing w:after="0"/>
              <w:rPr>
                <w:sz w:val="20"/>
                <w:szCs w:val="20"/>
                <w:color w:val="auto"/>
              </w:rPr>
            </w:pPr>
            <w:r>
              <w:rPr>
                <w:rFonts w:ascii="Arial" w:cs="Arial" w:eastAsia="Arial" w:hAnsi="Arial"/>
                <w:sz w:val="12"/>
                <w:szCs w:val="12"/>
                <w:color w:val="auto"/>
              </w:rPr>
              <w:t>101.PRE**</w:t>
            </w:r>
          </w:p>
        </w:tc>
        <w:tc>
          <w:tcPr>
            <w:tcW w:w="5900" w:type="dxa"/>
            <w:vAlign w:val="bottom"/>
          </w:tcPr>
          <w:p>
            <w:pPr>
              <w:ind w:left="160"/>
              <w:spacing w:after="0"/>
              <w:rPr>
                <w:sz w:val="20"/>
                <w:szCs w:val="20"/>
                <w:color w:val="auto"/>
              </w:rPr>
            </w:pPr>
            <w:r>
              <w:rPr>
                <w:rFonts w:ascii="Arial" w:cs="Arial" w:eastAsia="Arial" w:hAnsi="Arial"/>
                <w:sz w:val="12"/>
                <w:szCs w:val="12"/>
                <w:color w:val="auto"/>
              </w:rPr>
              <w:t>XBRL Taxonomy Extension Presentation Linkbase</w:t>
            </w: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66040</wp:posOffset>
            </wp:positionV>
            <wp:extent cx="82359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4"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Filed or furnished herewith.</w:t>
      </w:r>
    </w:p>
    <w:p>
      <w:pPr>
        <w:spacing w:after="0" w:line="47" w:lineRule="exact"/>
        <w:rPr>
          <w:sz w:val="20"/>
          <w:szCs w:val="20"/>
          <w:color w:val="auto"/>
        </w:rPr>
      </w:pPr>
    </w:p>
    <w:p>
      <w:pPr>
        <w:ind w:left="1000" w:right="340" w:hanging="238"/>
        <w:spacing w:after="0" w:line="276"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132</w:t>
      </w:r>
    </w:p>
    <w:p>
      <w:pPr>
        <w:sectPr>
          <w:pgSz w:w="11900" w:h="16838" w:orient="portrait"/>
          <w:cols w:equalWidth="0" w:num="1">
            <w:col w:w="10640"/>
          </w:cols>
          <w:pgMar w:left="220" w:top="343" w:right="10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3"/>
          <w:szCs w:val="13"/>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1716405" cy="3371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6405" cy="33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November 24, 2010</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100 F Street, N.E.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Washington, D.C. 20549</w:t>
      </w:r>
    </w:p>
    <w:p>
      <w:pPr>
        <w:spacing w:after="0" w:line="158"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1"/>
          <w:szCs w:val="11"/>
          <w:color w:val="auto"/>
        </w:rPr>
        <w:t>The Scotts Miracle-Gro Company – Annual Report on Form 10-K for the fiscal year ended September 30, 2010</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Scotts Miracle-Gro Company, an Ohio corporation (“Scotts Miracle-Gro”), is today filing its Annual Report on Form 10-K for the fiscal year ended September 30, 2010 (the “Form 10-K”).</w:t>
      </w:r>
    </w:p>
    <w:p>
      <w:pPr>
        <w:spacing w:after="0" w:line="86" w:lineRule="exact"/>
        <w:rPr>
          <w:sz w:val="20"/>
          <w:szCs w:val="20"/>
          <w:color w:val="auto"/>
        </w:rPr>
      </w:pPr>
    </w:p>
    <w:p>
      <w:pPr>
        <w:ind w:right="120" w:firstLine="164"/>
        <w:spacing w:after="0" w:line="258" w:lineRule="auto"/>
        <w:rPr>
          <w:sz w:val="20"/>
          <w:szCs w:val="20"/>
          <w:color w:val="auto"/>
        </w:rPr>
      </w:pPr>
      <w:r>
        <w:rPr>
          <w:rFonts w:ascii="Arial" w:cs="Arial" w:eastAsia="Arial" w:hAnsi="Arial"/>
          <w:sz w:val="13"/>
          <w:szCs w:val="13"/>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140"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THE SCOTTS MIRACLE-GRO COMPANY</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David C. Evans</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Executive Vice President and Chief Financial Officer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14111 Scottslawn Road Marysville, OH 43041 937-644-0011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www.scotts.com</w:t>
      </w:r>
    </w:p>
    <w:p>
      <w:pPr>
        <w:sectPr>
          <w:pgSz w:w="11900" w:h="16838" w:orient="portrait"/>
          <w:cols w:equalWidth="0" w:num="1">
            <w:col w:w="11460"/>
          </w:cols>
          <w:pgMar w:left="220" w:top="127" w:right="2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3"/>
          <w:szCs w:val="13"/>
          <w:b w:val="1"/>
          <w:bCs w:val="1"/>
          <w:color w:val="auto"/>
        </w:rPr>
        <w:t>Exhibit 10.6(c)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Executive Officers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Scotts Miracle-Gro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who are parties to form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Employee Confidentiality, Noncompetition,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Nonsolicitation Agreement for employees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participating in The Scotts Company LLC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Amended and Restated Executive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of September 30, 2010)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95"/>
              </w:rPr>
              <w:t>Date of Employee</w:t>
            </w:r>
          </w:p>
        </w:tc>
      </w:tr>
      <w:tr>
        <w:trPr>
          <w:trHeight w:val="108"/>
        </w:trPr>
        <w:tc>
          <w:tcPr>
            <w:tcW w:w="9540" w:type="dxa"/>
            <w:vAlign w:val="bottom"/>
            <w:gridSpan w:val="3"/>
          </w:tcPr>
          <w:p>
            <w:pPr>
              <w:spacing w:after="0" w:line="108" w:lineRule="exact"/>
              <w:rPr>
                <w:sz w:val="20"/>
                <w:szCs w:val="20"/>
                <w:color w:val="auto"/>
              </w:rPr>
            </w:pPr>
            <w:r>
              <w:rPr>
                <w:rFonts w:ascii="Arial" w:cs="Arial" w:eastAsia="Arial" w:hAnsi="Arial"/>
                <w:sz w:val="10"/>
                <w:szCs w:val="10"/>
                <w:color w:val="auto"/>
              </w:rPr>
              <w:t>Name and Principal Position</w:t>
            </w:r>
          </w:p>
        </w:tc>
        <w:tc>
          <w:tcPr>
            <w:tcW w:w="54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Arial" w:cs="Arial" w:eastAsia="Arial" w:hAnsi="Arial"/>
                <w:sz w:val="10"/>
                <w:szCs w:val="10"/>
                <w:color w:val="auto"/>
                <w:w w:val="98"/>
              </w:rPr>
              <w:t>Noncompetition, Nonsolicitation</w:t>
            </w:r>
          </w:p>
        </w:tc>
      </w:tr>
      <w:tr>
        <w:trPr>
          <w:trHeight w:val="121"/>
        </w:trPr>
        <w:tc>
          <w:tcPr>
            <w:tcW w:w="95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with The Scotts Miracle-Gro Company</w:t>
            </w:r>
          </w:p>
        </w:tc>
        <w:tc>
          <w:tcPr>
            <w:tcW w:w="540" w:type="dxa"/>
            <w:vAlign w:val="bottom"/>
          </w:tcPr>
          <w:p>
            <w:pPr>
              <w:spacing w:after="0"/>
              <w:rPr>
                <w:sz w:val="10"/>
                <w:szCs w:val="1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Agreement</w:t>
            </w:r>
          </w:p>
        </w:tc>
      </w:tr>
      <w:tr>
        <w:trPr>
          <w:trHeight w:val="303"/>
        </w:trPr>
        <w:tc>
          <w:tcPr>
            <w:tcW w:w="9540" w:type="dxa"/>
            <w:vAlign w:val="bottom"/>
            <w:gridSpan w:val="3"/>
          </w:tcPr>
          <w:p>
            <w:pPr>
              <w:spacing w:after="0"/>
              <w:rPr>
                <w:sz w:val="20"/>
                <w:szCs w:val="20"/>
                <w:color w:val="auto"/>
              </w:rPr>
            </w:pPr>
            <w:r>
              <w:rPr>
                <w:rFonts w:ascii="Arial" w:cs="Arial" w:eastAsia="Arial" w:hAnsi="Arial"/>
                <w:sz w:val="13"/>
                <w:szCs w:val="13"/>
                <w:color w:val="auto"/>
              </w:rPr>
              <w:t>Barry W. Sanders, Executive Vice President, Global Consumer</w:t>
            </w:r>
            <w:r>
              <w:rPr>
                <w:rFonts w:ascii="Arial" w:cs="Arial" w:eastAsia="Arial" w:hAnsi="Arial"/>
                <w:sz w:val="11"/>
                <w:szCs w:val="11"/>
                <w:color w:val="auto"/>
              </w:rPr>
              <w:t>1</w:t>
            </w:r>
          </w:p>
        </w:tc>
        <w:tc>
          <w:tcPr>
            <w:tcW w:w="5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4"/>
              </w:rPr>
              <w:t>April 22, 2005</w:t>
            </w:r>
          </w:p>
        </w:tc>
      </w:tr>
      <w:tr>
        <w:trPr>
          <w:trHeight w:val="315"/>
        </w:trPr>
        <w:tc>
          <w:tcPr>
            <w:tcW w:w="9540" w:type="dxa"/>
            <w:vAlign w:val="bottom"/>
            <w:gridSpan w:val="3"/>
          </w:tcPr>
          <w:p>
            <w:pPr>
              <w:spacing w:after="0"/>
              <w:rPr>
                <w:sz w:val="20"/>
                <w:szCs w:val="20"/>
                <w:color w:val="auto"/>
              </w:rPr>
            </w:pPr>
            <w:r>
              <w:rPr>
                <w:rFonts w:ascii="Arial" w:cs="Arial" w:eastAsia="Arial" w:hAnsi="Arial"/>
                <w:sz w:val="13"/>
                <w:szCs w:val="13"/>
                <w:color w:val="auto"/>
              </w:rPr>
              <w:t>Vincent C. Brockman, Executive Vice President, General Counsel and Corporate Secretary and Chief Ethics &amp; Compliance Officer</w:t>
            </w:r>
          </w:p>
        </w:tc>
        <w:tc>
          <w:tcPr>
            <w:tcW w:w="5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1"/>
              </w:rPr>
              <w:t>May 11, 2006</w:t>
            </w:r>
          </w:p>
        </w:tc>
      </w:tr>
      <w:tr>
        <w:trPr>
          <w:trHeight w:val="315"/>
        </w:trPr>
        <w:tc>
          <w:tcPr>
            <w:tcW w:w="9540" w:type="dxa"/>
            <w:vAlign w:val="bottom"/>
            <w:gridSpan w:val="3"/>
          </w:tcPr>
          <w:p>
            <w:pPr>
              <w:spacing w:after="0"/>
              <w:rPr>
                <w:sz w:val="20"/>
                <w:szCs w:val="20"/>
                <w:color w:val="auto"/>
              </w:rPr>
            </w:pPr>
            <w:r>
              <w:rPr>
                <w:rFonts w:ascii="Arial" w:cs="Arial" w:eastAsia="Arial" w:hAnsi="Arial"/>
                <w:sz w:val="13"/>
                <w:szCs w:val="13"/>
                <w:color w:val="auto"/>
              </w:rPr>
              <w:t>David C. Evans, Executive Vice President, Chief Financial Officer</w:t>
            </w:r>
          </w:p>
        </w:tc>
        <w:tc>
          <w:tcPr>
            <w:tcW w:w="5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1"/>
              </w:rPr>
              <w:t>May 20, 2006</w:t>
            </w:r>
          </w:p>
        </w:tc>
      </w:tr>
      <w:tr>
        <w:trPr>
          <w:trHeight w:val="315"/>
        </w:trPr>
        <w:tc>
          <w:tcPr>
            <w:tcW w:w="9540" w:type="dxa"/>
            <w:vAlign w:val="bottom"/>
            <w:gridSpan w:val="3"/>
          </w:tcPr>
          <w:p>
            <w:pPr>
              <w:spacing w:after="0"/>
              <w:rPr>
                <w:sz w:val="20"/>
                <w:szCs w:val="20"/>
                <w:color w:val="auto"/>
              </w:rPr>
            </w:pPr>
            <w:r>
              <w:rPr>
                <w:rFonts w:ascii="Arial" w:cs="Arial" w:eastAsia="Arial" w:hAnsi="Arial"/>
                <w:sz w:val="13"/>
                <w:szCs w:val="13"/>
                <w:color w:val="auto"/>
              </w:rPr>
              <w:t>Denise S. Stump, Executive Vice President, Global Human Resources</w:t>
            </w:r>
          </w:p>
        </w:tc>
        <w:tc>
          <w:tcPr>
            <w:tcW w:w="5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1"/>
              </w:rPr>
              <w:t>August 8, 2006</w:t>
            </w:r>
          </w:p>
        </w:tc>
      </w:tr>
      <w:tr>
        <w:trPr>
          <w:trHeight w:val="315"/>
        </w:trPr>
        <w:tc>
          <w:tcPr>
            <w:tcW w:w="9540" w:type="dxa"/>
            <w:vAlign w:val="bottom"/>
            <w:gridSpan w:val="3"/>
          </w:tcPr>
          <w:p>
            <w:pPr>
              <w:spacing w:after="0"/>
              <w:rPr>
                <w:sz w:val="20"/>
                <w:szCs w:val="20"/>
                <w:color w:val="auto"/>
              </w:rPr>
            </w:pPr>
            <w:r>
              <w:rPr>
                <w:rFonts w:ascii="Arial" w:cs="Arial" w:eastAsia="Arial" w:hAnsi="Arial"/>
                <w:sz w:val="13"/>
                <w:szCs w:val="13"/>
                <w:color w:val="auto"/>
              </w:rPr>
              <w:t>Mark R. Baker, President and Chief Operating Officer</w:t>
            </w:r>
            <w:r>
              <w:rPr>
                <w:rFonts w:ascii="Arial" w:cs="Arial" w:eastAsia="Arial" w:hAnsi="Arial"/>
                <w:sz w:val="11"/>
                <w:szCs w:val="11"/>
                <w:color w:val="auto"/>
              </w:rPr>
              <w:t>2</w:t>
            </w:r>
          </w:p>
        </w:tc>
        <w:tc>
          <w:tcPr>
            <w:tcW w:w="5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8"/>
              </w:rPr>
              <w:t>September 29, 2008</w:t>
            </w:r>
          </w:p>
        </w:tc>
      </w:tr>
      <w:tr>
        <w:trPr>
          <w:trHeight w:val="315"/>
        </w:trPr>
        <w:tc>
          <w:tcPr>
            <w:tcW w:w="9540" w:type="dxa"/>
            <w:vAlign w:val="bottom"/>
            <w:gridSpan w:val="3"/>
          </w:tcPr>
          <w:p>
            <w:pPr>
              <w:spacing w:after="0"/>
              <w:rPr>
                <w:sz w:val="20"/>
                <w:szCs w:val="20"/>
                <w:color w:val="auto"/>
              </w:rPr>
            </w:pPr>
            <w:r>
              <w:rPr>
                <w:rFonts w:ascii="Arial" w:cs="Arial" w:eastAsia="Arial" w:hAnsi="Arial"/>
                <w:sz w:val="13"/>
                <w:szCs w:val="13"/>
                <w:color w:val="auto"/>
              </w:rPr>
              <w:t>Michael P. Kelty, Executive Vice President</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1"/>
              </w:rPr>
              <w:t>November 13, 2008</w:t>
            </w:r>
          </w:p>
        </w:tc>
      </w:tr>
      <w:tr>
        <w:trPr>
          <w:trHeight w:val="208"/>
        </w:trPr>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7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5"/>
        </w:trPr>
        <w:tc>
          <w:tcPr>
            <w:tcW w:w="260" w:type="dxa"/>
            <w:vAlign w:val="bottom"/>
          </w:tcPr>
          <w:p>
            <w:pPr>
              <w:spacing w:after="0"/>
              <w:rPr>
                <w:sz w:val="20"/>
                <w:szCs w:val="20"/>
                <w:color w:val="auto"/>
              </w:rPr>
            </w:pPr>
            <w:r>
              <w:rPr>
                <w:rFonts w:ascii="Arial" w:cs="Arial" w:eastAsia="Arial" w:hAnsi="Arial"/>
                <w:sz w:val="11"/>
                <w:szCs w:val="11"/>
                <w:color w:val="auto"/>
              </w:rPr>
              <w:t>1</w:t>
            </w:r>
          </w:p>
        </w:tc>
        <w:tc>
          <w:tcPr>
            <w:tcW w:w="9280" w:type="dxa"/>
            <w:vAlign w:val="bottom"/>
            <w:gridSpan w:val="2"/>
          </w:tcPr>
          <w:p>
            <w:pPr>
              <w:ind w:left="200"/>
              <w:spacing w:after="0"/>
              <w:rPr>
                <w:sz w:val="20"/>
                <w:szCs w:val="20"/>
                <w:color w:val="auto"/>
              </w:rPr>
            </w:pPr>
            <w:r>
              <w:rPr>
                <w:rFonts w:ascii="Arial" w:cs="Arial" w:eastAsia="Arial" w:hAnsi="Arial"/>
                <w:sz w:val="13"/>
                <w:szCs w:val="13"/>
                <w:color w:val="auto"/>
              </w:rPr>
              <w:t>Mr. Sanders was appointed President as of October 28, 2010</w:t>
            </w: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6"/>
        </w:trPr>
        <w:tc>
          <w:tcPr>
            <w:tcW w:w="260" w:type="dxa"/>
            <w:vAlign w:val="bottom"/>
          </w:tcPr>
          <w:p>
            <w:pPr>
              <w:spacing w:after="0"/>
              <w:rPr>
                <w:sz w:val="20"/>
                <w:szCs w:val="20"/>
                <w:color w:val="auto"/>
              </w:rPr>
            </w:pPr>
            <w:r>
              <w:rPr>
                <w:rFonts w:ascii="Arial" w:cs="Arial" w:eastAsia="Arial" w:hAnsi="Arial"/>
                <w:sz w:val="11"/>
                <w:szCs w:val="11"/>
                <w:color w:val="auto"/>
              </w:rPr>
              <w:t>2</w:t>
            </w:r>
          </w:p>
        </w:tc>
        <w:tc>
          <w:tcPr>
            <w:tcW w:w="9280" w:type="dxa"/>
            <w:vAlign w:val="bottom"/>
            <w:gridSpan w:val="2"/>
          </w:tcPr>
          <w:p>
            <w:pPr>
              <w:ind w:left="200"/>
              <w:spacing w:after="0"/>
              <w:rPr>
                <w:sz w:val="20"/>
                <w:szCs w:val="20"/>
                <w:color w:val="auto"/>
              </w:rPr>
            </w:pPr>
            <w:r>
              <w:rPr>
                <w:rFonts w:ascii="Arial" w:cs="Arial" w:eastAsia="Arial" w:hAnsi="Arial"/>
                <w:sz w:val="13"/>
                <w:szCs w:val="13"/>
                <w:color w:val="auto"/>
              </w:rPr>
              <w:t>Mr. Baker resigned as of October 28, 2010</w:t>
            </w: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6"/>
        </w:trPr>
        <w:tc>
          <w:tcPr>
            <w:tcW w:w="260" w:type="dxa"/>
            <w:vAlign w:val="bottom"/>
          </w:tcPr>
          <w:p>
            <w:pPr>
              <w:spacing w:after="0"/>
              <w:rPr>
                <w:sz w:val="20"/>
                <w:szCs w:val="20"/>
                <w:color w:val="auto"/>
              </w:rPr>
            </w:pPr>
            <w:r>
              <w:rPr>
                <w:rFonts w:ascii="Arial" w:cs="Arial" w:eastAsia="Arial" w:hAnsi="Arial"/>
                <w:sz w:val="11"/>
                <w:szCs w:val="11"/>
                <w:color w:val="auto"/>
              </w:rPr>
              <w:t>3</w:t>
            </w:r>
          </w:p>
        </w:tc>
        <w:tc>
          <w:tcPr>
            <w:tcW w:w="9280" w:type="dxa"/>
            <w:vAlign w:val="bottom"/>
            <w:gridSpan w:val="2"/>
          </w:tcPr>
          <w:p>
            <w:pPr>
              <w:ind w:left="200"/>
              <w:spacing w:after="0"/>
              <w:rPr>
                <w:sz w:val="20"/>
                <w:szCs w:val="20"/>
                <w:color w:val="auto"/>
              </w:rPr>
            </w:pPr>
            <w:r>
              <w:rPr>
                <w:rFonts w:ascii="Arial" w:cs="Arial" w:eastAsia="Arial" w:hAnsi="Arial"/>
                <w:sz w:val="13"/>
                <w:szCs w:val="13"/>
                <w:color w:val="auto"/>
              </w:rPr>
              <w:t>As of October 1, 2010, Dr. Kelty no longer serves as Executive Vice President</w:t>
            </w: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ectPr>
          <w:pgSz w:w="11900" w:h="16838" w:orient="portrait"/>
          <w:cols w:equalWidth="0" w:num="1">
            <w:col w:w="11460"/>
          </w:cols>
          <w:pgMar w:left="220" w:top="127" w:right="219" w:bottom="1440" w:gutter="0" w:footer="0" w:header="0"/>
        </w:sectPr>
      </w:pPr>
    </w:p>
    <w:bookmarkStart w:id="136" w:name="page137"/>
    <w:bookmarkEnd w:id="136"/>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Exhibit 12</w:t>
            </w:r>
          </w:p>
        </w:tc>
        <w:tc>
          <w:tcPr>
            <w:tcW w:w="0" w:type="dxa"/>
            <w:vAlign w:val="bottom"/>
          </w:tcPr>
          <w:p>
            <w:pPr>
              <w:spacing w:after="0"/>
              <w:rPr>
                <w:sz w:val="1"/>
                <w:szCs w:val="1"/>
                <w:color w:val="auto"/>
              </w:rPr>
            </w:pPr>
          </w:p>
        </w:tc>
      </w:tr>
      <w:tr>
        <w:trPr>
          <w:trHeight w:val="236"/>
        </w:trPr>
        <w:tc>
          <w:tcPr>
            <w:tcW w:w="4200" w:type="dxa"/>
            <w:vAlign w:val="bottom"/>
            <w:gridSpan w:val="2"/>
          </w:tcPr>
          <w:p>
            <w:pPr>
              <w:spacing w:after="0"/>
              <w:rPr>
                <w:sz w:val="20"/>
                <w:szCs w:val="20"/>
                <w:color w:val="auto"/>
              </w:rPr>
            </w:pPr>
            <w:r>
              <w:rPr>
                <w:rFonts w:ascii="Arial" w:cs="Arial" w:eastAsia="Arial" w:hAnsi="Arial"/>
                <w:sz w:val="13"/>
                <w:szCs w:val="13"/>
                <w:b w:val="1"/>
                <w:bCs w:val="1"/>
                <w:color w:val="auto"/>
              </w:rPr>
              <w:t>The Scotts Miracle-Gro Company</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Computation of Ratio of Earnings to Fixed Charges </w:t>
            </w:r>
            <w:r>
              <w:rPr>
                <w:rFonts w:ascii="Arial" w:cs="Arial" w:eastAsia="Arial" w:hAnsi="Arial"/>
                <w:sz w:val="11"/>
                <w:szCs w:val="11"/>
                <w:b w:val="1"/>
                <w:bCs w:val="1"/>
                <w:color w:val="auto"/>
              </w:rPr>
              <w:t>(1)</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200" w:type="dxa"/>
            <w:vAlign w:val="bottom"/>
            <w:gridSpan w:val="2"/>
          </w:tcPr>
          <w:p>
            <w:pPr>
              <w:spacing w:after="0"/>
              <w:rPr>
                <w:sz w:val="20"/>
                <w:szCs w:val="20"/>
                <w:color w:val="auto"/>
              </w:rPr>
            </w:pPr>
            <w:r>
              <w:rPr>
                <w:rFonts w:ascii="Arial" w:cs="Arial" w:eastAsia="Arial" w:hAnsi="Arial"/>
                <w:sz w:val="10"/>
                <w:szCs w:val="10"/>
                <w:color w:val="auto"/>
              </w:rPr>
              <w:t>($ IN MILLIONS)</w:t>
            </w: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w w:val="94"/>
              </w:rPr>
              <w:t>For the Fiscal Year Ended September 30,</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2010</w:t>
            </w:r>
          </w:p>
        </w:tc>
        <w:tc>
          <w:tcPr>
            <w:tcW w:w="70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6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68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56"/>
              <w:spacing w:after="0" w:line="98" w:lineRule="exact"/>
              <w:rPr>
                <w:sz w:val="20"/>
                <w:szCs w:val="20"/>
                <w:color w:val="auto"/>
              </w:rPr>
            </w:pPr>
            <w:r>
              <w:rPr>
                <w:rFonts w:ascii="Arial" w:cs="Arial" w:eastAsia="Arial" w:hAnsi="Arial"/>
                <w:sz w:val="10"/>
                <w:szCs w:val="10"/>
                <w:b w:val="1"/>
                <w:bCs w:val="1"/>
                <w:color w:val="auto"/>
              </w:rPr>
              <w:t>2007</w:t>
            </w:r>
          </w:p>
        </w:tc>
        <w:tc>
          <w:tcPr>
            <w:tcW w:w="3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Borders>
              <w:top w:val="single" w:sz="8" w:color="auto"/>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w:t>
            </w: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3"/>
                <w:szCs w:val="13"/>
                <w:color w:val="auto"/>
              </w:rPr>
              <w:t>Add:</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before income taxes</w:t>
            </w:r>
          </w:p>
        </w:tc>
        <w:tc>
          <w:tcPr>
            <w:tcW w:w="112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337.8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241.2</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57.6</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247.3</w:t>
            </w:r>
          </w:p>
        </w:tc>
        <w:tc>
          <w:tcPr>
            <w:tcW w:w="3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tcPr>
          <w:p>
            <w:pPr>
              <w:ind w:left="120"/>
              <w:spacing w:after="0"/>
              <w:rPr>
                <w:sz w:val="20"/>
                <w:szCs w:val="20"/>
                <w:color w:val="auto"/>
              </w:rPr>
            </w:pPr>
            <w:r>
              <w:rPr>
                <w:rFonts w:ascii="Arial" w:cs="Arial" w:eastAsia="Arial" w:hAnsi="Arial"/>
                <w:sz w:val="13"/>
                <w:szCs w:val="13"/>
                <w:color w:val="auto"/>
              </w:rPr>
              <w:t xml:space="preserve">Other </w:t>
            </w:r>
            <w:r>
              <w:rPr>
                <w:rFonts w:ascii="Arial" w:cs="Arial" w:eastAsia="Arial" w:hAnsi="Arial"/>
                <w:sz w:val="11"/>
                <w:szCs w:val="11"/>
                <w:color w:val="auto"/>
              </w:rPr>
              <w:t>(2)</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0.5</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0.8</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0.7</w:t>
            </w:r>
          </w:p>
        </w:tc>
        <w:tc>
          <w:tcPr>
            <w:tcW w:w="16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(0.5)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Fixed Charges</w:t>
            </w: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70.3</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78.5</w:t>
            </w: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105.1</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96.1</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3"/>
                <w:szCs w:val="13"/>
                <w:color w:val="auto"/>
              </w:rPr>
              <w:t>Deduct:</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Capitalized interest</w:t>
            </w: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(0.8)</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(0.4)</w:t>
            </w: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(0.4)</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(0.4)</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280"/>
              <w:spacing w:after="0"/>
              <w:rPr>
                <w:sz w:val="20"/>
                <w:szCs w:val="20"/>
                <w:color w:val="auto"/>
              </w:rPr>
            </w:pPr>
            <w:r>
              <w:rPr>
                <w:rFonts w:ascii="Arial" w:cs="Arial" w:eastAsia="Arial" w:hAnsi="Arial"/>
                <w:sz w:val="13"/>
                <w:szCs w:val="13"/>
                <w:color w:val="auto"/>
              </w:rPr>
              <w:t>Earnings</w:t>
            </w: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18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407.8</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320.1</w:t>
            </w: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163.0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342.5</w:t>
            </w:r>
          </w:p>
        </w:tc>
        <w:tc>
          <w:tcPr>
            <w:tcW w:w="3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283.4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Fixed Charges:</w:t>
            </w: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3"/>
                <w:szCs w:val="13"/>
                <w:color w:val="auto"/>
              </w:rPr>
              <w:t>Interest expense</w:t>
            </w:r>
          </w:p>
        </w:tc>
        <w:tc>
          <w:tcPr>
            <w:tcW w:w="11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46.8</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56.4</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82.2</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70.7</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39.6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Portion of rent expense representative of interest factor (33%)</w:t>
            </w: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22.7</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21.7</w:t>
            </w: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22.5</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25.0</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3"/>
                <w:szCs w:val="13"/>
                <w:color w:val="auto"/>
              </w:rPr>
              <w:t>Capitalized interest</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0.8</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0.4</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0.4</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0.4</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Fixed Charges</w:t>
            </w: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70.3</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78.5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105.1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96.1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29"/>
        </w:trPr>
        <w:tc>
          <w:tcPr>
            <w:tcW w:w="42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3"/>
        </w:trPr>
        <w:tc>
          <w:tcPr>
            <w:tcW w:w="4200" w:type="dxa"/>
            <w:vAlign w:val="bottom"/>
            <w:gridSpan w:val="2"/>
          </w:tcPr>
          <w:p>
            <w:pPr>
              <w:spacing w:after="0"/>
              <w:rPr>
                <w:sz w:val="20"/>
                <w:szCs w:val="20"/>
                <w:color w:val="auto"/>
              </w:rPr>
            </w:pPr>
            <w:r>
              <w:rPr>
                <w:rFonts w:ascii="Arial" w:cs="Arial" w:eastAsia="Arial" w:hAnsi="Arial"/>
                <w:sz w:val="13"/>
                <w:szCs w:val="13"/>
                <w:color w:val="auto"/>
              </w:rPr>
              <w:t>Ratio of Earnings to Fixed Charges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5.8</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1.6</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131064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38" w:lineRule="exact"/>
        <w:rPr>
          <w:sz w:val="20"/>
          <w:szCs w:val="20"/>
          <w:color w:val="auto"/>
        </w:rPr>
      </w:pPr>
    </w:p>
    <w:p>
      <w:pPr>
        <w:ind w:left="461" w:right="60" w:hanging="461"/>
        <w:spacing w:after="0" w:line="264" w:lineRule="auto"/>
        <w:tabs>
          <w:tab w:leader="none" w:pos="461"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Computation excludes discontinued operations. During the first quarter of fiscal 2010, all Smith &amp; Hawken stores were closed and substantially all operational activities of Smith &amp; Hawken were discontinued. As a result, effective in the first quarter of fiscal 2010, the Company classified Smith &amp; Hawken as discontinued operations. Accordingly, the computations above have been retrospectively updated to recast Smith &amp; Hawken as discontinued operations for each period presented.</w:t>
      </w:r>
    </w:p>
    <w:p>
      <w:pPr>
        <w:spacing w:after="0" w:line="66" w:lineRule="exact"/>
        <w:rPr>
          <w:rFonts w:ascii="Arial" w:cs="Arial" w:eastAsia="Arial" w:hAnsi="Arial"/>
          <w:sz w:val="13"/>
          <w:szCs w:val="13"/>
          <w:color w:val="auto"/>
        </w:rPr>
      </w:pPr>
    </w:p>
    <w:p>
      <w:pPr>
        <w:ind w:left="461" w:hanging="461"/>
        <w:spacing w:after="0"/>
        <w:tabs>
          <w:tab w:leader="none" w:pos="461"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Includes amortization of capitalized interest, adjustments for minority interests in consolidated subsidiaries and undistributed earnings of equity method investees.</w:t>
      </w:r>
    </w:p>
    <w:p>
      <w:pPr>
        <w:sectPr>
          <w:pgSz w:w="11900" w:h="16838" w:orient="portrait"/>
          <w:cols w:equalWidth="0" w:num="1">
            <w:col w:w="11461"/>
          </w:cols>
          <w:pgMar w:left="219" w:top="127" w:right="2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3"/>
          <w:szCs w:val="13"/>
          <w:b w:val="1"/>
          <w:bCs w:val="1"/>
          <w:color w:val="auto"/>
        </w:rPr>
        <w:t>Exhibit 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SUBSIDIARIES OF THE SCOTTS MIRACLE-GRO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of September 30, 2010)</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Gutwein &amp; Co., Inc., an Indiana corporation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Scotts Global Investments, Inc., a Delaware corporation</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Scotts Switzerland Holdings, SA (Switzerland)</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SMG Brands, Inc., a Delaware corporation</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SMG Growing Media, Inc., an Ohio corporation</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Rod McLellan Company, a California corporation</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SMGM LLC, an Ohio limited liability company</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Scotts Company LLC, an Ohio limited liability company</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EG Systems, Inc., dba Scotts LawnService, an Indiana corporation</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Hyponex Corporation, a Delaware corporation</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OMS Investments, Inc., a Delaware corporation</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Temecula Operations, LLC, a Delaware limited liability company</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Sanford Scientific, Inc., a New York corporation</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Scotts Global Services, Inc., an Ohio corporation</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Scotts Manufacturing Company, a Delaware corporation</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Miracle-Gro Lawn Products, Inc., a New York corporation</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Scotts Products Co., an Ohio corporation</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Servicios, S.A. de C.V. (Mexico)</w:t>
      </w:r>
      <w:r>
        <w:rPr>
          <w:rFonts w:ascii="Arial" w:cs="Arial" w:eastAsia="Arial" w:hAnsi="Arial"/>
          <w:sz w:val="11"/>
          <w:szCs w:val="11"/>
          <w:color w:val="auto"/>
        </w:rPr>
        <w:t>1</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Scotts Professional Products Co., an Ohio corporation</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 Servicios, S.A. de C.V. (Mexico)</w:t>
      </w:r>
      <w:r>
        <w:rPr>
          <w:rFonts w:ascii="Arial" w:cs="Arial" w:eastAsia="Arial" w:hAnsi="Arial"/>
          <w:sz w:val="11"/>
          <w:szCs w:val="11"/>
          <w:color w:val="auto"/>
        </w:rPr>
        <w:t>2</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Scotts-Sierra Horticultural Products Company, a California corporation</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Scotts-Sierra Crop Protection Company, a California corporation</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Scotts-Sierra Investments, Inc., a Delaware corporation</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ASEF BV (Netherlands)</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Scotts Australia Pty Ltd. (Australia)</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Scotts Benelux BVBA (Belgium)</w:t>
      </w:r>
      <w:r>
        <w:rPr>
          <w:rFonts w:ascii="Arial" w:cs="Arial" w:eastAsia="Arial" w:hAnsi="Arial"/>
          <w:sz w:val="11"/>
          <w:szCs w:val="11"/>
          <w:color w:val="auto"/>
        </w:rPr>
        <w:t>3</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Scotts Canada Ltd. (Canada)</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Scotts Czech s.r.o. (Czech Republic)</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Scotts de Mexico SA de CV (Mexico)</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Scotts France Holdings SARL (France)</w:t>
      </w:r>
    </w:p>
    <w:p>
      <w:pPr>
        <w:spacing w:after="0" w:line="8" w:lineRule="exact"/>
        <w:rPr>
          <w:sz w:val="20"/>
          <w:szCs w:val="20"/>
          <w:color w:val="auto"/>
        </w:rPr>
      </w:pPr>
    </w:p>
    <w:p>
      <w:pPr>
        <w:ind w:left="1381"/>
        <w:spacing w:after="0"/>
        <w:rPr>
          <w:sz w:val="20"/>
          <w:szCs w:val="20"/>
          <w:color w:val="auto"/>
        </w:rPr>
      </w:pPr>
      <w:r>
        <w:rPr>
          <w:rFonts w:ascii="Arial" w:cs="Arial" w:eastAsia="Arial" w:hAnsi="Arial"/>
          <w:sz w:val="13"/>
          <w:szCs w:val="13"/>
          <w:color w:val="auto"/>
        </w:rPr>
        <w:t>Scotts France SARL (France)</w:t>
      </w:r>
      <w:r>
        <w:rPr>
          <w:rFonts w:ascii="Arial" w:cs="Arial" w:eastAsia="Arial" w:hAnsi="Arial"/>
          <w:sz w:val="11"/>
          <w:szCs w:val="11"/>
          <w:color w:val="auto"/>
        </w:rPr>
        <w:t>4</w:t>
      </w:r>
    </w:p>
    <w:p>
      <w:pPr>
        <w:spacing w:after="0" w:line="8" w:lineRule="exact"/>
        <w:rPr>
          <w:sz w:val="20"/>
          <w:szCs w:val="20"/>
          <w:color w:val="auto"/>
        </w:rPr>
      </w:pPr>
    </w:p>
    <w:p>
      <w:pPr>
        <w:ind w:left="1381"/>
        <w:spacing w:after="0"/>
        <w:rPr>
          <w:sz w:val="20"/>
          <w:szCs w:val="20"/>
          <w:color w:val="auto"/>
        </w:rPr>
      </w:pPr>
      <w:r>
        <w:rPr>
          <w:rFonts w:ascii="Arial" w:cs="Arial" w:eastAsia="Arial" w:hAnsi="Arial"/>
          <w:sz w:val="13"/>
          <w:szCs w:val="13"/>
          <w:color w:val="auto"/>
        </w:rPr>
        <w:t>Scotts France SAS (France)</w:t>
      </w:r>
      <w:r>
        <w:rPr>
          <w:rFonts w:ascii="Arial" w:cs="Arial" w:eastAsia="Arial" w:hAnsi="Arial"/>
          <w:sz w:val="11"/>
          <w:szCs w:val="11"/>
          <w:color w:val="auto"/>
        </w:rPr>
        <w:t>5</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Scotts Holding GmbH (Germany)</w:t>
      </w:r>
    </w:p>
    <w:p>
      <w:pPr>
        <w:spacing w:after="0" w:line="8" w:lineRule="exact"/>
        <w:rPr>
          <w:sz w:val="20"/>
          <w:szCs w:val="20"/>
          <w:color w:val="auto"/>
        </w:rPr>
      </w:pPr>
    </w:p>
    <w:p>
      <w:pPr>
        <w:ind w:left="1381"/>
        <w:spacing w:after="0"/>
        <w:rPr>
          <w:sz w:val="20"/>
          <w:szCs w:val="20"/>
          <w:color w:val="auto"/>
        </w:rPr>
      </w:pPr>
      <w:r>
        <w:rPr>
          <w:rFonts w:ascii="Arial" w:cs="Arial" w:eastAsia="Arial" w:hAnsi="Arial"/>
          <w:sz w:val="13"/>
          <w:szCs w:val="13"/>
          <w:color w:val="auto"/>
        </w:rPr>
        <w:t>Scotts Celaflor GmbH &amp; Co. KG (Germany)</w:t>
      </w:r>
    </w:p>
    <w:p>
      <w:pPr>
        <w:spacing w:after="0" w:line="8" w:lineRule="exact"/>
        <w:rPr>
          <w:sz w:val="20"/>
          <w:szCs w:val="20"/>
          <w:color w:val="auto"/>
        </w:rPr>
      </w:pPr>
    </w:p>
    <w:p>
      <w:pPr>
        <w:ind w:left="1381"/>
        <w:spacing w:after="0"/>
        <w:rPr>
          <w:sz w:val="20"/>
          <w:szCs w:val="20"/>
          <w:color w:val="auto"/>
        </w:rPr>
      </w:pPr>
      <w:r>
        <w:rPr>
          <w:rFonts w:ascii="Arial" w:cs="Arial" w:eastAsia="Arial" w:hAnsi="Arial"/>
          <w:sz w:val="13"/>
          <w:szCs w:val="13"/>
          <w:color w:val="auto"/>
        </w:rPr>
        <w:t>Scotts Celaflor HGmbH (Austria)</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Scotts Holdings Limited (United Kingdom)</w:t>
      </w:r>
    </w:p>
    <w:p>
      <w:pPr>
        <w:spacing w:after="0" w:line="8" w:lineRule="exact"/>
        <w:rPr>
          <w:sz w:val="20"/>
          <w:szCs w:val="20"/>
          <w:color w:val="auto"/>
        </w:rPr>
      </w:pPr>
    </w:p>
    <w:p>
      <w:pPr>
        <w:ind w:left="1381"/>
        <w:spacing w:after="0"/>
        <w:rPr>
          <w:sz w:val="20"/>
          <w:szCs w:val="20"/>
          <w:color w:val="auto"/>
        </w:rPr>
      </w:pPr>
      <w:r>
        <w:rPr>
          <w:rFonts w:ascii="Arial" w:cs="Arial" w:eastAsia="Arial" w:hAnsi="Arial"/>
          <w:sz w:val="13"/>
          <w:szCs w:val="13"/>
          <w:color w:val="auto"/>
        </w:rPr>
        <w:t>Levington Group Ltd.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31064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46" w:lineRule="exact"/>
        <w:rPr>
          <w:sz w:val="20"/>
          <w:szCs w:val="20"/>
          <w:color w:val="auto"/>
        </w:rPr>
      </w:pPr>
    </w:p>
    <w:p>
      <w:pPr>
        <w:ind w:left="461" w:hanging="461"/>
        <w:spacing w:after="0"/>
        <w:tabs>
          <w:tab w:leader="none" w:pos="461" w:val="left"/>
        </w:tabs>
        <w:numPr>
          <w:ilvl w:val="0"/>
          <w:numId w:val="32"/>
        </w:numPr>
        <w:rPr>
          <w:rFonts w:ascii="Arial" w:cs="Arial" w:eastAsia="Arial" w:hAnsi="Arial"/>
          <w:sz w:val="11"/>
          <w:szCs w:val="11"/>
          <w:color w:val="auto"/>
        </w:rPr>
      </w:pPr>
      <w:r>
        <w:rPr>
          <w:rFonts w:ascii="Arial" w:cs="Arial" w:eastAsia="Arial" w:hAnsi="Arial"/>
          <w:sz w:val="13"/>
          <w:szCs w:val="13"/>
          <w:color w:val="auto"/>
        </w:rPr>
        <w:t>Scotts Professional Products Co. owns 50%</w:t>
      </w:r>
    </w:p>
    <w:p>
      <w:pPr>
        <w:spacing w:after="0" w:line="54"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1"/>
          <w:szCs w:val="11"/>
          <w:color w:val="auto"/>
        </w:rPr>
        <w:t>2Scotts Products Co. owns 50%</w:t>
      </w:r>
    </w:p>
    <w:p>
      <w:pPr>
        <w:spacing w:after="0" w:line="79"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1"/>
          <w:szCs w:val="11"/>
          <w:color w:val="auto"/>
        </w:rPr>
        <w:t>3</w:t>
      </w:r>
      <w:r>
        <w:rPr>
          <w:rFonts w:ascii="Arial" w:cs="Arial" w:eastAsia="Arial" w:hAnsi="Arial"/>
          <w:sz w:val="12"/>
          <w:szCs w:val="12"/>
          <w:color w:val="auto"/>
        </w:rPr>
        <w:t>OMS Investments, Inc. owns .01%</w:t>
      </w:r>
    </w:p>
    <w:p>
      <w:pPr>
        <w:spacing w:after="0" w:line="68"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1"/>
          <w:szCs w:val="11"/>
          <w:color w:val="auto"/>
        </w:rPr>
        <w:t>4</w:t>
      </w:r>
      <w:r>
        <w:rPr>
          <w:rFonts w:ascii="Arial" w:cs="Arial" w:eastAsia="Arial" w:hAnsi="Arial"/>
          <w:sz w:val="12"/>
          <w:szCs w:val="12"/>
          <w:color w:val="auto"/>
        </w:rPr>
        <w:t>Scotts Holdings Limited owns .01%</w:t>
      </w:r>
    </w:p>
    <w:p>
      <w:pPr>
        <w:spacing w:after="0" w:line="68"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1"/>
          <w:szCs w:val="11"/>
          <w:color w:val="auto"/>
        </w:rPr>
        <w:t>5Scotts France SARL owns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138" w:name="page139"/>
    <w:bookmarkEnd w:id="138"/>
    <w:p>
      <w:pPr>
        <w:ind w:left="1721"/>
        <w:spacing w:after="0"/>
        <w:rPr>
          <w:sz w:val="20"/>
          <w:szCs w:val="20"/>
          <w:color w:val="auto"/>
        </w:rPr>
      </w:pPr>
      <w:r>
        <w:rPr>
          <w:rFonts w:ascii="Arial" w:cs="Arial" w:eastAsia="Arial" w:hAnsi="Arial"/>
          <w:sz w:val="13"/>
          <w:szCs w:val="13"/>
          <w:color w:val="auto"/>
        </w:rPr>
        <w:t>The Scotts Company (UK) Ltd. (United Kingdom)</w:t>
      </w:r>
    </w:p>
    <w:p>
      <w:pPr>
        <w:spacing w:after="0" w:line="15" w:lineRule="exact"/>
        <w:rPr>
          <w:sz w:val="20"/>
          <w:szCs w:val="20"/>
          <w:color w:val="auto"/>
        </w:rPr>
      </w:pPr>
    </w:p>
    <w:p>
      <w:pPr>
        <w:ind w:left="2061"/>
        <w:spacing w:after="0"/>
        <w:rPr>
          <w:sz w:val="20"/>
          <w:szCs w:val="20"/>
          <w:color w:val="auto"/>
        </w:rPr>
      </w:pPr>
      <w:r>
        <w:rPr>
          <w:rFonts w:ascii="Arial" w:cs="Arial" w:eastAsia="Arial" w:hAnsi="Arial"/>
          <w:sz w:val="12"/>
          <w:szCs w:val="12"/>
          <w:color w:val="auto"/>
        </w:rPr>
        <w:t>The Scotts Company (Manufacturing) Ltd. (United Kingdom)</w:t>
      </w:r>
    </w:p>
    <w:p>
      <w:pPr>
        <w:spacing w:after="0" w:line="19" w:lineRule="exact"/>
        <w:rPr>
          <w:sz w:val="20"/>
          <w:szCs w:val="20"/>
          <w:color w:val="auto"/>
        </w:rPr>
      </w:pPr>
    </w:p>
    <w:p>
      <w:pPr>
        <w:ind w:left="2061"/>
        <w:spacing w:after="0"/>
        <w:rPr>
          <w:sz w:val="20"/>
          <w:szCs w:val="20"/>
          <w:color w:val="auto"/>
        </w:rPr>
      </w:pPr>
      <w:r>
        <w:rPr>
          <w:rFonts w:ascii="Arial" w:cs="Arial" w:eastAsia="Arial" w:hAnsi="Arial"/>
          <w:sz w:val="13"/>
          <w:szCs w:val="13"/>
          <w:color w:val="auto"/>
        </w:rPr>
        <w:t>Humax Horticulture Ltd. (UK)</w:t>
      </w:r>
    </w:p>
    <w:p>
      <w:pPr>
        <w:spacing w:after="0" w:line="8" w:lineRule="exact"/>
        <w:rPr>
          <w:sz w:val="20"/>
          <w:szCs w:val="20"/>
          <w:color w:val="auto"/>
        </w:rPr>
      </w:pPr>
    </w:p>
    <w:p>
      <w:pPr>
        <w:ind w:left="1381"/>
        <w:spacing w:after="0"/>
        <w:rPr>
          <w:sz w:val="20"/>
          <w:szCs w:val="20"/>
          <w:color w:val="auto"/>
        </w:rPr>
      </w:pPr>
      <w:r>
        <w:rPr>
          <w:rFonts w:ascii="Arial" w:cs="Arial" w:eastAsia="Arial" w:hAnsi="Arial"/>
          <w:sz w:val="13"/>
          <w:szCs w:val="13"/>
          <w:color w:val="auto"/>
        </w:rPr>
        <w:t>OM Scott International Investments Ltd. (United Kingdom)</w:t>
      </w:r>
    </w:p>
    <w:p>
      <w:pPr>
        <w:spacing w:after="0" w:line="8" w:lineRule="exact"/>
        <w:rPr>
          <w:sz w:val="20"/>
          <w:szCs w:val="20"/>
          <w:color w:val="auto"/>
        </w:rPr>
      </w:pPr>
    </w:p>
    <w:p>
      <w:pPr>
        <w:ind w:left="1721"/>
        <w:spacing w:after="0"/>
        <w:rPr>
          <w:sz w:val="20"/>
          <w:szCs w:val="20"/>
          <w:color w:val="auto"/>
        </w:rPr>
      </w:pPr>
      <w:r>
        <w:rPr>
          <w:rFonts w:ascii="Arial" w:cs="Arial" w:eastAsia="Arial" w:hAnsi="Arial"/>
          <w:sz w:val="13"/>
          <w:szCs w:val="13"/>
          <w:color w:val="auto"/>
        </w:rPr>
        <w:t>Scotts International B.V. (Netherlands)</w:t>
      </w:r>
    </w:p>
    <w:p>
      <w:pPr>
        <w:spacing w:after="0" w:line="8" w:lineRule="exact"/>
        <w:rPr>
          <w:sz w:val="20"/>
          <w:szCs w:val="20"/>
          <w:color w:val="auto"/>
        </w:rPr>
      </w:pPr>
    </w:p>
    <w:p>
      <w:pPr>
        <w:ind w:left="2061"/>
        <w:spacing w:after="0"/>
        <w:rPr>
          <w:sz w:val="20"/>
          <w:szCs w:val="20"/>
          <w:color w:val="auto"/>
        </w:rPr>
      </w:pPr>
      <w:r>
        <w:rPr>
          <w:rFonts w:ascii="Arial" w:cs="Arial" w:eastAsia="Arial" w:hAnsi="Arial"/>
          <w:sz w:val="13"/>
          <w:szCs w:val="13"/>
          <w:color w:val="auto"/>
        </w:rPr>
        <w:t>Scotts Deutschland GmbH (Germany)</w:t>
      </w:r>
    </w:p>
    <w:p>
      <w:pPr>
        <w:spacing w:after="0" w:line="8" w:lineRule="exact"/>
        <w:rPr>
          <w:sz w:val="20"/>
          <w:szCs w:val="20"/>
          <w:color w:val="auto"/>
        </w:rPr>
      </w:pPr>
    </w:p>
    <w:p>
      <w:pPr>
        <w:ind w:left="2061"/>
        <w:spacing w:after="0"/>
        <w:rPr>
          <w:sz w:val="20"/>
          <w:szCs w:val="20"/>
          <w:color w:val="auto"/>
        </w:rPr>
      </w:pPr>
      <w:r>
        <w:rPr>
          <w:rFonts w:ascii="Arial" w:cs="Arial" w:eastAsia="Arial" w:hAnsi="Arial"/>
          <w:sz w:val="13"/>
          <w:szCs w:val="13"/>
          <w:color w:val="auto"/>
        </w:rPr>
        <w:t>Scott O.M. España, S.A. (Spain)</w:t>
      </w:r>
    </w:p>
    <w:p>
      <w:pPr>
        <w:spacing w:after="0" w:line="8" w:lineRule="exact"/>
        <w:rPr>
          <w:sz w:val="20"/>
          <w:szCs w:val="20"/>
          <w:color w:val="auto"/>
        </w:rPr>
      </w:pPr>
    </w:p>
    <w:p>
      <w:pPr>
        <w:ind w:left="1721"/>
        <w:spacing w:after="0"/>
        <w:rPr>
          <w:sz w:val="20"/>
          <w:szCs w:val="20"/>
          <w:color w:val="auto"/>
        </w:rPr>
      </w:pPr>
      <w:r>
        <w:rPr>
          <w:rFonts w:ascii="Arial" w:cs="Arial" w:eastAsia="Arial" w:hAnsi="Arial"/>
          <w:sz w:val="13"/>
          <w:szCs w:val="13"/>
          <w:color w:val="auto"/>
        </w:rPr>
        <w:t>Scotts Italia S.r.l. (Italy)</w:t>
      </w:r>
      <w:r>
        <w:rPr>
          <w:rFonts w:ascii="Arial" w:cs="Arial" w:eastAsia="Arial" w:hAnsi="Arial"/>
          <w:sz w:val="11"/>
          <w:szCs w:val="11"/>
          <w:color w:val="auto"/>
        </w:rPr>
        <w:t>6</w:t>
      </w:r>
    </w:p>
    <w:p>
      <w:pPr>
        <w:spacing w:after="0" w:line="8" w:lineRule="exact"/>
        <w:rPr>
          <w:sz w:val="20"/>
          <w:szCs w:val="20"/>
          <w:color w:val="auto"/>
        </w:rPr>
      </w:pPr>
    </w:p>
    <w:p>
      <w:pPr>
        <w:ind w:left="1381"/>
        <w:spacing w:after="0"/>
        <w:rPr>
          <w:sz w:val="20"/>
          <w:szCs w:val="20"/>
          <w:color w:val="auto"/>
        </w:rPr>
      </w:pPr>
      <w:r>
        <w:rPr>
          <w:rFonts w:ascii="Arial" w:cs="Arial" w:eastAsia="Arial" w:hAnsi="Arial"/>
          <w:sz w:val="13"/>
          <w:szCs w:val="13"/>
          <w:color w:val="auto"/>
        </w:rPr>
        <w:t>Scotts Horticulture Ltd. (Ireland)</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Scotts Hungary KFT (Hungary)</w:t>
      </w:r>
      <w:r>
        <w:rPr>
          <w:rFonts w:ascii="Arial" w:cs="Arial" w:eastAsia="Arial" w:hAnsi="Arial"/>
          <w:sz w:val="11"/>
          <w:szCs w:val="11"/>
          <w:color w:val="auto"/>
        </w:rPr>
        <w:t>7</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Scotts PBG Malaysia Sdn. Bhd. (Malaysia)</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Scotts Poland Sp.z.o.o. (Poland)</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The Scotts Company (Nordic) A/S (Denmark)</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The Scotts Company Kenya Ltd. (Kenya)</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Turf-Seed Europe (Ireland)</w:t>
      </w:r>
      <w:r>
        <w:rPr>
          <w:rFonts w:ascii="Arial" w:cs="Arial" w:eastAsia="Arial" w:hAnsi="Arial"/>
          <w:sz w:val="11"/>
          <w:szCs w:val="11"/>
          <w:color w:val="auto"/>
        </w:rPr>
        <w:t>8</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Teak 2, Ltd., a Delaware corporation</w:t>
      </w:r>
    </w:p>
    <w:p>
      <w:pPr>
        <w:spacing w:after="0" w:line="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Swiss Farms Products,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31064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56" w:lineRule="exact"/>
        <w:rPr>
          <w:sz w:val="20"/>
          <w:szCs w:val="20"/>
          <w:color w:val="auto"/>
        </w:rPr>
      </w:pPr>
    </w:p>
    <w:p>
      <w:pPr>
        <w:ind w:left="461" w:hanging="461"/>
        <w:spacing w:after="0"/>
        <w:tabs>
          <w:tab w:leader="none" w:pos="461" w:val="left"/>
        </w:tabs>
        <w:numPr>
          <w:ilvl w:val="0"/>
          <w:numId w:val="33"/>
        </w:numPr>
        <w:rPr>
          <w:rFonts w:ascii="Arial" w:cs="Arial" w:eastAsia="Arial" w:hAnsi="Arial"/>
          <w:sz w:val="11"/>
          <w:szCs w:val="11"/>
          <w:color w:val="auto"/>
        </w:rPr>
      </w:pPr>
      <w:r>
        <w:rPr>
          <w:rFonts w:ascii="Arial" w:cs="Arial" w:eastAsia="Arial" w:hAnsi="Arial"/>
          <w:sz w:val="13"/>
          <w:szCs w:val="13"/>
          <w:color w:val="auto"/>
        </w:rPr>
        <w:t>James Hagedorn owns .05%</w:t>
      </w:r>
    </w:p>
    <w:p>
      <w:pPr>
        <w:spacing w:after="0" w:line="57" w:lineRule="exact"/>
        <w:rPr>
          <w:sz w:val="20"/>
          <w:szCs w:val="20"/>
          <w:color w:val="auto"/>
        </w:rPr>
      </w:pPr>
    </w:p>
    <w:p>
      <w:pPr>
        <w:ind w:left="461" w:hanging="461"/>
        <w:spacing w:after="0"/>
        <w:tabs>
          <w:tab w:leader="none" w:pos="461" w:val="left"/>
        </w:tabs>
        <w:numPr>
          <w:ilvl w:val="0"/>
          <w:numId w:val="34"/>
        </w:numPr>
        <w:rPr>
          <w:rFonts w:ascii="Arial" w:cs="Arial" w:eastAsia="Arial" w:hAnsi="Arial"/>
          <w:sz w:val="11"/>
          <w:szCs w:val="11"/>
          <w:color w:val="auto"/>
        </w:rPr>
      </w:pPr>
      <w:r>
        <w:rPr>
          <w:rFonts w:ascii="Arial" w:cs="Arial" w:eastAsia="Arial" w:hAnsi="Arial"/>
          <w:sz w:val="13"/>
          <w:szCs w:val="13"/>
          <w:color w:val="auto"/>
        </w:rPr>
        <w:t>OMS Investments, Inc. owns 3%</w:t>
      </w:r>
    </w:p>
    <w:p>
      <w:pPr>
        <w:spacing w:after="0" w:line="57" w:lineRule="exact"/>
        <w:rPr>
          <w:sz w:val="20"/>
          <w:szCs w:val="20"/>
          <w:color w:val="auto"/>
        </w:rPr>
      </w:pPr>
    </w:p>
    <w:p>
      <w:pPr>
        <w:ind w:left="461" w:hanging="461"/>
        <w:spacing w:after="0"/>
        <w:tabs>
          <w:tab w:leader="none" w:pos="461" w:val="left"/>
        </w:tabs>
        <w:numPr>
          <w:ilvl w:val="0"/>
          <w:numId w:val="35"/>
        </w:numPr>
        <w:rPr>
          <w:rFonts w:ascii="Arial" w:cs="Arial" w:eastAsia="Arial" w:hAnsi="Arial"/>
          <w:sz w:val="11"/>
          <w:szCs w:val="11"/>
          <w:color w:val="auto"/>
        </w:rPr>
      </w:pPr>
      <w:r>
        <w:rPr>
          <w:rFonts w:ascii="Arial" w:cs="Arial" w:eastAsia="Arial" w:hAnsi="Arial"/>
          <w:sz w:val="13"/>
          <w:szCs w:val="13"/>
          <w:color w:val="auto"/>
        </w:rPr>
        <w:t>Not wholly-owned, owned 51% by Tempoverde, Srl.</w:t>
      </w:r>
    </w:p>
    <w:p>
      <w:pPr>
        <w:sectPr>
          <w:pgSz w:w="11900" w:h="16838" w:orient="portrait"/>
          <w:cols w:equalWidth="0" w:num="1">
            <w:col w:w="10241"/>
          </w:cols>
          <w:pgMar w:left="219" w:top="720"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b w:val="1"/>
          <w:bCs w:val="1"/>
          <w:color w:val="auto"/>
        </w:rPr>
        <w:t>Exhibit 23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86"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We consent to the incorporation by reference in Registration Statement Nos. 033-47073, 333-06061, 333-27561, 333-72715, 333-76697, 333-104490, 333-124503, 333-131466, 333-147397, 333-153925 and 333-154364 on Form S-8 and Registration Statement No. 333-163330 on Form S-3 of our reports dated November 24, 2010, relating to the consolidated financial statements and consolidated financial statement schedules of The Scotts Miracle-Gro Company, and the effectiveness of The Scotts Miracle-Gro Company’s internal control over financial reporting, appearing in this Annual Report on Form 10-K of The Scotts Miracle-Gro Company for the year ended September 30, 2010.</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/s/ Deloitte &amp; Touche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Columbus, Ohio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24, 2010</w:t>
      </w:r>
    </w:p>
    <w:p>
      <w:pPr>
        <w:sectPr>
          <w:pgSz w:w="11900" w:h="16838" w:orient="portrait"/>
          <w:cols w:equalWidth="0" w:num="1">
            <w:col w:w="11460"/>
          </w:cols>
          <w:pgMar w:left="220" w:top="127" w:right="2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24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right="60"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11th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Alan H.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Alan H.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487680</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41" w:name="page142"/>
    <w:bookmarkEnd w:id="141"/>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42" w:name="page143"/>
    <w:bookmarkEnd w:id="142"/>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11th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44" w:name="page145"/>
    <w:bookmarkEnd w:id="144"/>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William G. Jurgensen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William G. Jurgensen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45" w:name="page146"/>
    <w:bookmarkEnd w:id="145"/>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11th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46" w:name="page147"/>
    <w:bookmarkEnd w:id="146"/>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47" w:name="page148"/>
    <w:bookmarkEnd w:id="147"/>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11th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Carl F. Kohrt,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Carl F. Kohrt,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48" w:name="page149"/>
    <w:bookmarkEnd w:id="148"/>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49" w:name="page150"/>
    <w:bookmarkEnd w:id="149"/>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50" w:name="page151"/>
    <w:bookmarkEnd w:id="150"/>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51" w:name="page152"/>
    <w:bookmarkEnd w:id="151"/>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John S. Shiely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John S. Shiely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3"/>
          <w:szCs w:val="13"/>
          <w:b w:val="1"/>
          <w:bCs w:val="1"/>
          <w:color w:val="auto"/>
        </w:rPr>
        <w:t>POWER OF ATTORNEY</w:t>
      </w:r>
    </w:p>
    <w:p>
      <w:pPr>
        <w:spacing w:after="0" w:line="90"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2010, hereby constitutes and appoints James Hagedorn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has executed this Power of Attorney this 24th day of November,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David C. Evans</w:t>
      </w:r>
    </w:p>
    <w:p>
      <w:pPr>
        <w:sectPr>
          <w:pgSz w:w="11900" w:h="16838" w:orient="portrait"/>
          <w:cols w:equalWidth="0" w:num="1">
            <w:col w:w="11460"/>
          </w:cols>
          <w:pgMar w:left="220" w:top="736" w:right="219" w:bottom="1440" w:gutter="0" w:footer="0" w:header="0"/>
        </w:sectPr>
      </w:pPr>
    </w:p>
    <w:bookmarkStart w:id="153" w:name="page154"/>
    <w:bookmarkEnd w:id="153"/>
    <w:p>
      <w:pPr>
        <w:jc w:val="right"/>
        <w:ind w:right="880"/>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Rule 13a-14(a)/15d-14(a) Certifications</w:t>
      </w:r>
    </w:p>
    <w:p>
      <w:pPr>
        <w:spacing w:after="0" w:line="19"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(Principal Executive Officer)</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CERTIFICATIONS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James Hagedorn, certify that:</w:t>
      </w:r>
    </w:p>
    <w:p>
      <w:pPr>
        <w:spacing w:after="0" w:line="96" w:lineRule="exact"/>
        <w:rPr>
          <w:sz w:val="20"/>
          <w:szCs w:val="20"/>
          <w:color w:val="auto"/>
        </w:rPr>
      </w:pPr>
    </w:p>
    <w:p>
      <w:pPr>
        <w:ind w:left="540" w:hanging="134"/>
        <w:spacing w:after="0"/>
        <w:tabs>
          <w:tab w:leader="none" w:pos="5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The Scotts Miracle-Gro Company for the fiscal year ended September 30, 2010;</w:t>
      </w:r>
    </w:p>
    <w:p>
      <w:pPr>
        <w:spacing w:after="0" w:line="96" w:lineRule="exact"/>
        <w:rPr>
          <w:rFonts w:ascii="Arial" w:cs="Arial" w:eastAsia="Arial" w:hAnsi="Arial"/>
          <w:sz w:val="13"/>
          <w:szCs w:val="13"/>
          <w:color w:val="auto"/>
        </w:rPr>
      </w:pPr>
    </w:p>
    <w:p>
      <w:pPr>
        <w:ind w:right="1020" w:firstLine="406"/>
        <w:spacing w:after="0" w:line="276" w:lineRule="auto"/>
        <w:tabs>
          <w:tab w:leader="none" w:pos="530"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1100" w:firstLine="406"/>
        <w:spacing w:after="0" w:line="276" w:lineRule="auto"/>
        <w:tabs>
          <w:tab w:leader="none" w:pos="530"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400" w:right="960" w:firstLine="389"/>
        <w:spacing w:after="0" w:line="264" w:lineRule="auto"/>
        <w:tabs>
          <w:tab w:leader="none" w:pos="961" w:val="left"/>
        </w:tabs>
        <w:numPr>
          <w:ilvl w:val="1"/>
          <w:numId w:val="3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jc w:val="both"/>
        <w:ind w:left="400" w:right="900" w:firstLine="389"/>
        <w:spacing w:after="0" w:line="371" w:lineRule="auto"/>
        <w:tabs>
          <w:tab w:leader="none" w:pos="969" w:val="left"/>
        </w:tabs>
        <w:numPr>
          <w:ilvl w:val="1"/>
          <w:numId w:val="36"/>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1220" w:firstLine="389"/>
        <w:spacing w:after="0" w:line="276" w:lineRule="auto"/>
        <w:tabs>
          <w:tab w:leader="none" w:pos="961" w:val="left"/>
        </w:tabs>
        <w:numPr>
          <w:ilvl w:val="1"/>
          <w:numId w:val="3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80" w:firstLine="389"/>
        <w:spacing w:after="0" w:line="280" w:lineRule="auto"/>
        <w:tabs>
          <w:tab w:leader="none" w:pos="969" w:val="left"/>
        </w:tabs>
        <w:numPr>
          <w:ilvl w:val="1"/>
          <w:numId w:val="3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w:t>
      </w:r>
    </w:p>
    <w:p>
      <w:pPr>
        <w:ind w:left="400"/>
        <w:spacing w:after="0"/>
        <w:rPr>
          <w:rFonts w:ascii="Arial" w:cs="Arial" w:eastAsia="Arial" w:hAnsi="Arial"/>
          <w:sz w:val="12"/>
          <w:szCs w:val="12"/>
          <w:color w:val="auto"/>
        </w:rPr>
      </w:pPr>
      <w:r>
        <w:rPr>
          <w:rFonts w:ascii="Arial" w:cs="Arial" w:eastAsia="Arial" w:hAnsi="Arial"/>
          <w:sz w:val="13"/>
          <w:szCs w:val="13"/>
          <w:color w:val="auto"/>
        </w:rPr>
        <w:t>reporting; and</w:t>
      </w:r>
    </w:p>
    <w:p>
      <w:pPr>
        <w:spacing w:after="0" w:line="88" w:lineRule="exact"/>
        <w:rPr>
          <w:rFonts w:ascii="Arial" w:cs="Arial" w:eastAsia="Arial" w:hAnsi="Arial"/>
          <w:sz w:val="12"/>
          <w:szCs w:val="12"/>
          <w:color w:val="auto"/>
        </w:rPr>
      </w:pPr>
    </w:p>
    <w:p>
      <w:pPr>
        <w:ind w:right="1140" w:firstLine="406"/>
        <w:spacing w:after="0" w:line="276" w:lineRule="auto"/>
        <w:tabs>
          <w:tab w:leader="none" w:pos="528"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3"/>
          <w:szCs w:val="13"/>
          <w:color w:val="auto"/>
        </w:rPr>
      </w:pPr>
    </w:p>
    <w:p>
      <w:pPr>
        <w:ind w:left="400" w:right="880" w:firstLine="389"/>
        <w:spacing w:after="0" w:line="276" w:lineRule="auto"/>
        <w:tabs>
          <w:tab w:leader="none" w:pos="954" w:val="left"/>
        </w:tabs>
        <w:numPr>
          <w:ilvl w:val="1"/>
          <w:numId w:val="3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1"/>
          <w:numId w:val="3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tbl>
      <w:tblPr>
        <w:tblLayout w:type="fixed"/>
        <w:tblInd w:w="490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James Hagedorn</w:t>
            </w:r>
          </w:p>
        </w:tc>
      </w:tr>
      <w:tr>
        <w:trPr>
          <w:trHeight w:val="139"/>
        </w:trPr>
        <w:tc>
          <w:tcPr>
            <w:tcW w:w="400" w:type="dxa"/>
            <w:vAlign w:val="bottom"/>
          </w:tcPr>
          <w:p>
            <w:pPr>
              <w:spacing w:after="0"/>
              <w:rPr>
                <w:sz w:val="12"/>
                <w:szCs w:val="12"/>
                <w:color w:val="auto"/>
              </w:rPr>
            </w:pPr>
          </w:p>
        </w:tc>
        <w:tc>
          <w:tcPr>
            <w:tcW w:w="5560" w:type="dxa"/>
            <w:vAlign w:val="bottom"/>
            <w:gridSpan w:val="2"/>
          </w:tcPr>
          <w:p>
            <w:pPr>
              <w:spacing w:after="0" w:line="139" w:lineRule="exact"/>
              <w:rPr>
                <w:sz w:val="20"/>
                <w:szCs w:val="20"/>
                <w:color w:val="auto"/>
              </w:rPr>
            </w:pPr>
            <w:r>
              <w:rPr>
                <w:rFonts w:ascii="Arial" w:cs="Arial" w:eastAsia="Arial" w:hAnsi="Arial"/>
                <w:sz w:val="13"/>
                <w:szCs w:val="13"/>
                <w:color w:val="auto"/>
              </w:rPr>
              <w:t>Printed Name: James Hagedorn</w:t>
            </w:r>
          </w:p>
        </w:tc>
      </w:tr>
      <w:tr>
        <w:trPr>
          <w:trHeight w:val="157"/>
        </w:trPr>
        <w:tc>
          <w:tcPr>
            <w:tcW w:w="4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Title:</w:t>
            </w:r>
          </w:p>
        </w:tc>
        <w:tc>
          <w:tcPr>
            <w:tcW w:w="5120" w:type="dxa"/>
            <w:vAlign w:val="bottom"/>
          </w:tcPr>
          <w:p>
            <w:pPr>
              <w:ind w:left="160"/>
              <w:spacing w:after="0"/>
              <w:rPr>
                <w:sz w:val="20"/>
                <w:szCs w:val="20"/>
                <w:color w:val="auto"/>
              </w:rPr>
            </w:pPr>
            <w:r>
              <w:rPr>
                <w:rFonts w:ascii="Arial" w:cs="Arial" w:eastAsia="Arial" w:hAnsi="Arial"/>
                <w:sz w:val="13"/>
                <w:szCs w:val="13"/>
                <w:color w:val="auto"/>
              </w:rPr>
              <w:t>Chief Executive Officer and</w:t>
            </w:r>
          </w:p>
        </w:tc>
      </w:tr>
      <w:tr>
        <w:trPr>
          <w:trHeight w:val="165"/>
        </w:trPr>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20" w:type="dxa"/>
            <w:vAlign w:val="bottom"/>
          </w:tcPr>
          <w:p>
            <w:pPr>
              <w:ind w:left="160"/>
              <w:spacing w:after="0"/>
              <w:rPr>
                <w:sz w:val="20"/>
                <w:szCs w:val="20"/>
                <w:color w:val="auto"/>
              </w:rPr>
            </w:pPr>
            <w:r>
              <w:rPr>
                <w:rFonts w:ascii="Arial" w:cs="Arial" w:eastAsia="Arial" w:hAnsi="Arial"/>
                <w:sz w:val="13"/>
                <w:szCs w:val="13"/>
                <w:color w:val="auto"/>
              </w:rPr>
              <w:t>Chairman of the Board</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24, 2010</w:t>
      </w:r>
    </w:p>
    <w:p>
      <w:pPr>
        <w:sectPr>
          <w:pgSz w:w="11900" w:h="16838" w:orient="portrait"/>
          <w:cols w:equalWidth="0" w:num="1">
            <w:col w:w="10860"/>
          </w:cols>
          <w:pgMar w:left="900" w:top="127" w:right="1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13a-14(a)/15d-14(a) Certifications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(Principal Financial Officer)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I, David C. Evans, certify that:</w:t>
      </w:r>
    </w:p>
    <w:p>
      <w:pPr>
        <w:spacing w:after="0" w:line="96" w:lineRule="exact"/>
        <w:rPr>
          <w:sz w:val="20"/>
          <w:szCs w:val="20"/>
          <w:color w:val="auto"/>
        </w:rPr>
      </w:pPr>
    </w:p>
    <w:p>
      <w:pPr>
        <w:ind w:left="540" w:hanging="134"/>
        <w:spacing w:after="0"/>
        <w:tabs>
          <w:tab w:leader="none" w:pos="5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The Scotts Miracle-Gro Company for the fiscal year ended September 30, 2010;</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88" w:lineRule="exact"/>
        <w:rPr>
          <w:rFonts w:ascii="Arial" w:cs="Arial" w:eastAsia="Arial" w:hAnsi="Arial"/>
          <w:sz w:val="12"/>
          <w:szCs w:val="12"/>
          <w:color w:val="auto"/>
        </w:rPr>
      </w:pPr>
    </w:p>
    <w:p>
      <w:pPr>
        <w:ind w:left="400" w:right="80" w:firstLine="389"/>
        <w:spacing w:after="0" w:line="264" w:lineRule="auto"/>
        <w:tabs>
          <w:tab w:leader="none" w:pos="961"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jc w:val="both"/>
        <w:ind w:left="400" w:right="20" w:firstLine="389"/>
        <w:spacing w:after="0" w:line="371" w:lineRule="auto"/>
        <w:tabs>
          <w:tab w:leader="none" w:pos="969" w:val="left"/>
        </w:tabs>
        <w:numPr>
          <w:ilvl w:val="1"/>
          <w:numId w:val="37"/>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340" w:firstLine="389"/>
        <w:spacing w:after="0" w:line="276" w:lineRule="auto"/>
        <w:tabs>
          <w:tab w:leader="none" w:pos="961" w:val="left"/>
        </w:tabs>
        <w:numPr>
          <w:ilvl w:val="1"/>
          <w:numId w:val="3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firstLine="389"/>
        <w:spacing w:after="0" w:line="280" w:lineRule="auto"/>
        <w:tabs>
          <w:tab w:leader="none" w:pos="969" w:val="left"/>
        </w:tabs>
        <w:numPr>
          <w:ilvl w:val="1"/>
          <w:numId w:val="3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w:t>
      </w:r>
    </w:p>
    <w:p>
      <w:pPr>
        <w:ind w:left="400"/>
        <w:spacing w:after="0"/>
        <w:rPr>
          <w:rFonts w:ascii="Arial" w:cs="Arial" w:eastAsia="Arial" w:hAnsi="Arial"/>
          <w:sz w:val="12"/>
          <w:szCs w:val="12"/>
          <w:color w:val="auto"/>
        </w:rPr>
      </w:pPr>
      <w:r>
        <w:rPr>
          <w:rFonts w:ascii="Arial" w:cs="Arial" w:eastAsia="Arial" w:hAnsi="Arial"/>
          <w:sz w:val="13"/>
          <w:szCs w:val="13"/>
          <w:color w:val="auto"/>
        </w:rPr>
        <w:t>reporting; and</w:t>
      </w:r>
    </w:p>
    <w:p>
      <w:pPr>
        <w:spacing w:after="0" w:line="88" w:lineRule="exact"/>
        <w:rPr>
          <w:rFonts w:ascii="Arial" w:cs="Arial" w:eastAsia="Arial" w:hAnsi="Arial"/>
          <w:sz w:val="12"/>
          <w:szCs w:val="12"/>
          <w:color w:val="auto"/>
        </w:rPr>
      </w:pPr>
    </w:p>
    <w:p>
      <w:pPr>
        <w:ind w:right="260" w:firstLine="406"/>
        <w:spacing w:after="0" w:line="276" w:lineRule="auto"/>
        <w:tabs>
          <w:tab w:leader="none" w:pos="528"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3"/>
          <w:szCs w:val="13"/>
          <w:color w:val="auto"/>
        </w:rPr>
      </w:pPr>
    </w:p>
    <w:p>
      <w:pPr>
        <w:ind w:left="400" w:firstLine="389"/>
        <w:spacing w:after="0" w:line="276" w:lineRule="auto"/>
        <w:tabs>
          <w:tab w:leader="none" w:pos="954" w:val="left"/>
        </w:tabs>
        <w:numPr>
          <w:ilvl w:val="1"/>
          <w:numId w:val="3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1"/>
          <w:numId w:val="3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4"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16510</wp:posOffset>
            </wp:positionV>
            <wp:extent cx="353377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Printed Name: David C. Evans</w:t>
      </w:r>
    </w:p>
    <w:p>
      <w:pPr>
        <w:spacing w:after="0" w:line="15" w:lineRule="exact"/>
        <w:rPr>
          <w:sz w:val="20"/>
          <w:szCs w:val="20"/>
          <w:color w:val="auto"/>
        </w:rPr>
      </w:pPr>
    </w:p>
    <w:p>
      <w:pPr>
        <w:ind w:left="5300"/>
        <w:spacing w:after="0"/>
        <w:tabs>
          <w:tab w:leader="none" w:pos="588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Executive Vice President and</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3"/>
          <w:szCs w:val="13"/>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24, 2010</w:t>
      </w:r>
    </w:p>
    <w:p>
      <w:pPr>
        <w:sectPr>
          <w:pgSz w:w="11900" w:h="16838" w:orient="portrait"/>
          <w:cols w:equalWidth="0" w:num="1">
            <w:col w:w="9980"/>
          </w:cols>
          <w:pgMar w:left="900" w:top="127" w:right="10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3"/>
          <w:szCs w:val="13"/>
          <w:b w:val="1"/>
          <w:bCs w:val="1"/>
          <w:color w:val="auto"/>
        </w:rPr>
        <w:t>Exhibit 32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1350 CERTIFICATIONS*</w:t>
      </w:r>
    </w:p>
    <w:p>
      <w:pPr>
        <w:spacing w:after="0" w:line="100"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In connection with the Annual Report on Form 10-K of The Scotts Miracle-Gro Company (the “Company”) for the fiscal year ended September 30, 2010 as filed with the Securities and Exchange Commission on the date hereof (the “Report”), the undersigned James Hagedorn,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70" w:lineRule="exact"/>
        <w:rPr>
          <w:sz w:val="20"/>
          <w:szCs w:val="20"/>
          <w:color w:val="auto"/>
        </w:rPr>
      </w:pPr>
    </w:p>
    <w:p>
      <w:pPr>
        <w:ind w:left="920" w:hanging="131"/>
        <w:spacing w:after="0"/>
        <w:tabs>
          <w:tab w:leader="none" w:pos="9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of the Securities Exchange Act of 1934, as amended; and</w:t>
      </w:r>
    </w:p>
    <w:p>
      <w:pPr>
        <w:spacing w:after="0" w:line="96" w:lineRule="exact"/>
        <w:rPr>
          <w:rFonts w:ascii="Arial" w:cs="Arial" w:eastAsia="Arial" w:hAnsi="Arial"/>
          <w:sz w:val="13"/>
          <w:szCs w:val="13"/>
          <w:color w:val="auto"/>
        </w:rPr>
      </w:pPr>
    </w:p>
    <w:p>
      <w:pPr>
        <w:ind w:left="400" w:right="400" w:firstLine="389"/>
        <w:spacing w:after="0" w:line="276" w:lineRule="auto"/>
        <w:tabs>
          <w:tab w:leader="none" w:pos="923"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consolidated financial condition and results of operations of the Company and its subsidiaries.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Hagedorn</w:t>
            </w:r>
          </w:p>
        </w:tc>
        <w:tc>
          <w:tcPr>
            <w:tcW w:w="700" w:type="dxa"/>
            <w:vAlign w:val="bottom"/>
          </w:tcPr>
          <w:p>
            <w:pPr>
              <w:spacing w:after="0"/>
              <w:rPr>
                <w:sz w:val="14"/>
                <w:szCs w:val="1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C. Evans</w:t>
            </w:r>
          </w:p>
        </w:tc>
      </w:tr>
      <w:tr>
        <w:trPr>
          <w:trHeight w:val="139"/>
        </w:trPr>
        <w:tc>
          <w:tcPr>
            <w:tcW w:w="4700" w:type="dxa"/>
            <w:vAlign w:val="bottom"/>
          </w:tcPr>
          <w:p>
            <w:pPr>
              <w:spacing w:after="0" w:line="139" w:lineRule="exact"/>
              <w:rPr>
                <w:sz w:val="20"/>
                <w:szCs w:val="20"/>
                <w:color w:val="auto"/>
              </w:rPr>
            </w:pPr>
            <w:r>
              <w:rPr>
                <w:rFonts w:ascii="Arial" w:cs="Arial" w:eastAsia="Arial" w:hAnsi="Arial"/>
                <w:sz w:val="13"/>
                <w:szCs w:val="13"/>
                <w:color w:val="auto"/>
              </w:rPr>
              <w:t>James Hagedorn</w:t>
            </w:r>
          </w:p>
        </w:tc>
        <w:tc>
          <w:tcPr>
            <w:tcW w:w="700" w:type="dxa"/>
            <w:vAlign w:val="bottom"/>
          </w:tcPr>
          <w:p>
            <w:pPr>
              <w:spacing w:after="0"/>
              <w:rPr>
                <w:sz w:val="12"/>
                <w:szCs w:val="12"/>
                <w:color w:val="auto"/>
              </w:rPr>
            </w:pPr>
          </w:p>
        </w:tc>
        <w:tc>
          <w:tcPr>
            <w:tcW w:w="4580" w:type="dxa"/>
            <w:vAlign w:val="bottom"/>
          </w:tcPr>
          <w:p>
            <w:pPr>
              <w:spacing w:after="0" w:line="139" w:lineRule="exact"/>
              <w:rPr>
                <w:sz w:val="20"/>
                <w:szCs w:val="20"/>
                <w:color w:val="auto"/>
              </w:rPr>
            </w:pPr>
            <w:r>
              <w:rPr>
                <w:rFonts w:ascii="Arial" w:cs="Arial" w:eastAsia="Arial" w:hAnsi="Arial"/>
                <w:sz w:val="13"/>
                <w:szCs w:val="13"/>
                <w:color w:val="auto"/>
              </w:rPr>
              <w:t>David C. Evans</w:t>
            </w: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Chief Executive Officer and</w:t>
            </w:r>
          </w:p>
        </w:tc>
        <w:tc>
          <w:tcPr>
            <w:tcW w:w="70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Executive Vice President and</w:t>
            </w:r>
          </w:p>
        </w:tc>
      </w:tr>
      <w:tr>
        <w:trPr>
          <w:trHeight w:val="165"/>
        </w:trPr>
        <w:tc>
          <w:tcPr>
            <w:tcW w:w="4700" w:type="dxa"/>
            <w:vAlign w:val="bottom"/>
          </w:tcPr>
          <w:p>
            <w:pPr>
              <w:spacing w:after="0"/>
              <w:rPr>
                <w:sz w:val="20"/>
                <w:szCs w:val="20"/>
                <w:color w:val="auto"/>
              </w:rPr>
            </w:pPr>
            <w:r>
              <w:rPr>
                <w:rFonts w:ascii="Arial" w:cs="Arial" w:eastAsia="Arial" w:hAnsi="Arial"/>
                <w:sz w:val="13"/>
                <w:szCs w:val="13"/>
                <w:color w:val="auto"/>
              </w:rPr>
              <w:t>Chairman of the Board</w:t>
            </w:r>
          </w:p>
        </w:tc>
        <w:tc>
          <w:tcPr>
            <w:tcW w:w="70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Chief Financial Officer</w:t>
            </w:r>
          </w:p>
        </w:tc>
      </w:tr>
      <w:tr>
        <w:trPr>
          <w:trHeight w:val="472"/>
        </w:trPr>
        <w:tc>
          <w:tcPr>
            <w:tcW w:w="4700" w:type="dxa"/>
            <w:vAlign w:val="bottom"/>
          </w:tcPr>
          <w:p>
            <w:pPr>
              <w:spacing w:after="0"/>
              <w:rPr>
                <w:sz w:val="20"/>
                <w:szCs w:val="20"/>
                <w:color w:val="auto"/>
              </w:rPr>
            </w:pPr>
            <w:r>
              <w:rPr>
                <w:rFonts w:ascii="Arial" w:cs="Arial" w:eastAsia="Arial" w:hAnsi="Arial"/>
                <w:sz w:val="13"/>
                <w:szCs w:val="13"/>
                <w:color w:val="auto"/>
              </w:rPr>
              <w:t>November 24, 2010</w:t>
            </w:r>
          </w:p>
        </w:tc>
        <w:tc>
          <w:tcPr>
            <w:tcW w:w="7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November 24,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82359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0" w:lineRule="exact"/>
        <w:rPr>
          <w:sz w:val="20"/>
          <w:szCs w:val="20"/>
          <w:color w:val="auto"/>
        </w:rPr>
      </w:pPr>
    </w:p>
    <w:p>
      <w:pPr>
        <w:ind w:left="300" w:hanging="97"/>
        <w:spacing w:after="0"/>
        <w:tabs>
          <w:tab w:leader="none" w:pos="3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THESE CERTIFICATIONS ARE BEING FURNISHED AS REQUIRED BY RULE 13a-14(b) UNDER THE SECURITIES EXCHANGE ACT OF 1934, AS AMENDED (THE</w:t>
      </w:r>
    </w:p>
    <w:p>
      <w:pPr>
        <w:spacing w:after="0" w:line="26" w:lineRule="exact"/>
        <w:rPr>
          <w:rFonts w:ascii="Arial" w:cs="Arial" w:eastAsia="Arial" w:hAnsi="Arial"/>
          <w:sz w:val="12"/>
          <w:szCs w:val="12"/>
          <w:color w:val="auto"/>
        </w:rPr>
      </w:pPr>
    </w:p>
    <w:p>
      <w:pPr>
        <w:ind w:right="60"/>
        <w:spacing w:after="0" w:line="256" w:lineRule="auto"/>
        <w:rPr>
          <w:rFonts w:ascii="Arial" w:cs="Arial" w:eastAsia="Arial" w:hAnsi="Arial"/>
          <w:sz w:val="12"/>
          <w:szCs w:val="12"/>
          <w:color w:val="auto"/>
        </w:rPr>
      </w:pPr>
      <w:r>
        <w:rPr>
          <w:rFonts w:ascii="Arial" w:cs="Arial" w:eastAsia="Arial" w:hAnsi="Arial"/>
          <w:sz w:val="13"/>
          <w:szCs w:val="13"/>
          <w:color w:val="auto"/>
        </w:rPr>
        <w:t>“EXCHANGE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AS AMENDED, OR THE EXCHANGE ACT, EXCEPT TO THE EXTENT THAT THE COMPANY SPECIFICALLY INCORPORATES THESE CERTIFICATIONS BY REFERENCE.</w:t>
      </w:r>
    </w:p>
    <w:sectPr>
      <w:pgSz w:w="11900" w:h="16838" w:orient="portrait"/>
      <w:cols w:equalWidth="0" w:num="1">
        <w:col w:w="9980"/>
      </w:cols>
      <w:pgMar w:left="900" w:top="12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2"/>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5"/>
    </w:lvl>
  </w:abstractNum>
  <w:abstractNum w:abstractNumId="13">
    <w:nsid w:val="189A769B"/>
    <w:multiLevelType w:val="hybridMultilevel"/>
    <w:lvl w:ilvl="0">
      <w:lvlJc w:val="left"/>
      <w:lvlText w:val="(%1)"/>
      <w:numFmt w:val="decimal"/>
      <w:start w:val="6"/>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
      <w:numFmt w:val="bullet"/>
      <w:start w:val="1"/>
    </w:lvl>
    <w:lvl w:ilvl="1">
      <w:lvlJc w:val="left"/>
      <w:lvlText w:val="(%2)"/>
      <w:numFmt w:val="lowerLetter"/>
      <w:start w:val="2"/>
    </w:lvl>
  </w:abstractNum>
  <w:abstractNum w:abstractNumId="18">
    <w:nsid w:val="2901D82"/>
    <w:multiLevelType w:val="hybridMultilevel"/>
    <w:lvl w:ilvl="0">
      <w:lvlJc w:val="left"/>
      <w:lvlText w:val="(%1)"/>
      <w:numFmt w:val="lowerLetter"/>
      <w:start w:val="3"/>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3"/>
    </w:lvl>
  </w:abstractNum>
  <w:abstractNum w:abstractNumId="21">
    <w:nsid w:val="1E7FF521"/>
    <w:multiLevelType w:val="hybridMultilevel"/>
    <w:lvl w:ilvl="0">
      <w:lvlJc w:val="left"/>
      <w:lvlText w:val="1"/>
      <w:numFmt w:val="bullet"/>
      <w:start w:val="1"/>
    </w:lvl>
  </w:abstractNum>
  <w:abstractNum w:abstractNumId="22">
    <w:nsid w:val="7C3DBD3D"/>
    <w:multiLevelType w:val="hybridMultilevel"/>
    <w:lvl w:ilvl="0">
      <w:lvlJc w:val="left"/>
      <w:lvlText w:val="2"/>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lowerRoman"/>
      <w:start w:val="2"/>
    </w:lvl>
  </w:abstractNum>
  <w:abstractNum w:abstractNumId="26">
    <w:nsid w:val="4516DDE9"/>
    <w:multiLevelType w:val="hybridMultilevel"/>
    <w:lvl w:ilvl="0">
      <w:lvlJc w:val="left"/>
      <w:lvlText w:val="%1"/>
      <w:numFmt w:val="lowerLetter"/>
      <w:start w:val="1"/>
    </w:lvl>
    <w:lvl w:ilvl="1">
      <w:lvlJc w:val="left"/>
      <w:lvlText w:val="%2"/>
      <w:numFmt w:val="decimal"/>
      <w:start w:val="50"/>
    </w:lvl>
  </w:abstractNum>
  <w:abstractNum w:abstractNumId="27">
    <w:nsid w:val="3006C83E"/>
    <w:multiLevelType w:val="hybridMultilevel"/>
    <w:lvl w:ilvl="0">
      <w:lvlJc w:val="left"/>
      <w:lvlText w:val="(%1)"/>
      <w:numFmt w:val="lowerLetter"/>
      <w:start w:val="1"/>
    </w:lvl>
    <w:lvl w:ilvl="1">
      <w:lvlJc w:val="left"/>
      <w:lvlText w:val="%2"/>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bullet"/>
      <w:start w:val="1"/>
    </w:lvl>
  </w:abstractNum>
  <w:abstractNum w:abstractNumId="32">
    <w:nsid w:val="5072367"/>
    <w:multiLevelType w:val="hybridMultilevel"/>
    <w:lvl w:ilvl="0">
      <w:lvlJc w:val="left"/>
      <w:lvlText w:val="6"/>
      <w:numFmt w:val="bullet"/>
      <w:start w:val="1"/>
    </w:lvl>
  </w:abstractNum>
  <w:abstractNum w:abstractNumId="33">
    <w:nsid w:val="3804823E"/>
    <w:multiLevelType w:val="hybridMultilevel"/>
    <w:lvl w:ilvl="0">
      <w:lvlJc w:val="left"/>
      <w:lvlText w:val="7"/>
      <w:numFmt w:val="bullet"/>
      <w:start w:val="1"/>
    </w:lvl>
  </w:abstractNum>
  <w:abstractNum w:abstractNumId="34">
    <w:nsid w:val="77465F01"/>
    <w:multiLevelType w:val="hybridMultilevel"/>
    <w:lvl w:ilvl="0">
      <w:lvlJc w:val="left"/>
      <w:lvlText w:val="8"/>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2019-12-10T08:05:42Z</dcterms:created>
  <dcterms:modified xsi:type="dcterms:W3CDTF">2019-12-10T08:05:42Z</dcterms:modified>
</cp:coreProperties>
</file>