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Amendment No. 1</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THE SCOTTS COMPANY</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CLASS A COMMON STOCK</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810186106</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10" w:lineRule="exact"/>
        <w:rPr>
          <w:sz w:val="24"/>
          <w:szCs w:val="24"/>
          <w:color w:val="auto"/>
        </w:rPr>
      </w:pPr>
    </w:p>
    <w:p>
      <w:pPr>
        <w:ind w:left="740"/>
        <w:spacing w:after="0"/>
        <w:rPr>
          <w:sz w:val="20"/>
          <w:szCs w:val="20"/>
          <w:color w:val="auto"/>
        </w:rPr>
      </w:pPr>
      <w:r>
        <w:rPr>
          <w:rFonts w:ascii="Courier New" w:cs="Courier New" w:eastAsia="Courier New" w:hAnsi="Courier New"/>
          <w:sz w:val="16"/>
          <w:szCs w:val="16"/>
          <w:color w:val="auto"/>
        </w:rPr>
        <w:t>Check the following box if a fee is being paid with this statement ( ).</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13G</w:t>
      </w:r>
    </w:p>
    <w:p>
      <w:pPr>
        <w:ind w:left="3480"/>
        <w:spacing w:after="0" w:line="238" w:lineRule="auto"/>
        <w:rPr>
          <w:sz w:val="20"/>
          <w:szCs w:val="20"/>
          <w:color w:val="auto"/>
        </w:rPr>
      </w:pPr>
      <w:r>
        <w:rPr>
          <w:rFonts w:ascii="Courier New" w:cs="Courier New" w:eastAsia="Courier New" w:hAnsi="Courier New"/>
          <w:sz w:val="18"/>
          <w:szCs w:val="18"/>
          <w:color w:val="auto"/>
        </w:rPr>
        <w:t>Amendment No. 1</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THE SCOTTS COMPANY</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CLASS A COMMON STOCK</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810186106</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10" w:lineRule="exact"/>
        <w:rPr>
          <w:sz w:val="24"/>
          <w:szCs w:val="24"/>
          <w:color w:val="auto"/>
        </w:rPr>
      </w:pPr>
    </w:p>
    <w:p>
      <w:pPr>
        <w:ind w:left="740" w:right="2099" w:hanging="732"/>
        <w:spacing w:after="0" w:line="235" w:lineRule="auto"/>
        <w:tabs>
          <w:tab w:leader="none" w:pos="7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S.S. or I.R.S. Identification Nos. of Above Persons</w:t>
      </w:r>
    </w:p>
    <w:p>
      <w:pPr>
        <w:spacing w:after="0" w:line="202" w:lineRule="exact"/>
        <w:rPr>
          <w:rFonts w:ascii="Courier New" w:cs="Courier New" w:eastAsia="Courier New" w:hAnsi="Courier New"/>
          <w:sz w:val="18"/>
          <w:szCs w:val="18"/>
          <w:color w:val="auto"/>
        </w:rPr>
      </w:pPr>
    </w:p>
    <w:p>
      <w:pPr>
        <w:ind w:left="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Trimark Financial Corporation</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(a)</w:t>
      </w:r>
    </w:p>
    <w:p>
      <w:pPr>
        <w:ind w:left="1900" w:hanging="1155"/>
        <w:spacing w:after="0" w:line="238" w:lineRule="auto"/>
        <w:tabs>
          <w:tab w:leader="none" w:pos="190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1" w:lineRule="exact"/>
        <w:rPr>
          <w:rFonts w:ascii="Courier New" w:cs="Courier New" w:eastAsia="Courier New" w:hAnsi="Courier New"/>
          <w:sz w:val="18"/>
          <w:szCs w:val="18"/>
          <w:color w:val="auto"/>
        </w:rPr>
      </w:pPr>
    </w:p>
    <w:p>
      <w:pPr>
        <w:ind w:left="740" w:hanging="732"/>
        <w:spacing w:after="0"/>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740" w:hanging="732"/>
        <w:spacing w:after="0"/>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6" w:lineRule="exact"/>
        <w:rPr>
          <w:rFonts w:ascii="Courier New" w:cs="Courier New" w:eastAsia="Courier New" w:hAnsi="Courier New"/>
          <w:sz w:val="18"/>
          <w:szCs w:val="18"/>
          <w:color w:val="auto"/>
        </w:rPr>
      </w:pPr>
    </w:p>
    <w:p>
      <w:pPr>
        <w:ind w:left="740" w:right="21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Trimark Financial Corporation is a corporation incorporated under the laws of Ontario, Canada</w:t>
      </w:r>
    </w:p>
    <w:p>
      <w:pPr>
        <w:spacing w:after="0" w:line="200" w:lineRule="exact"/>
        <w:rPr>
          <w:sz w:val="24"/>
          <w:szCs w:val="24"/>
          <w:color w:val="auto"/>
        </w:rPr>
      </w:pP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54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10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(5)</w:t>
            </w:r>
          </w:p>
        </w:tc>
        <w:tc>
          <w:tcPr>
            <w:tcW w:w="2940" w:type="dxa"/>
            <w:vAlign w:val="bottom"/>
          </w:tcPr>
          <w:p>
            <w:pPr>
              <w:ind w:left="320"/>
              <w:spacing w:after="0"/>
              <w:rPr>
                <w:sz w:val="20"/>
                <w:szCs w:val="20"/>
                <w:color w:val="auto"/>
              </w:rPr>
            </w:pPr>
            <w:r>
              <w:rPr>
                <w:rFonts w:ascii="Courier New" w:cs="Courier New" w:eastAsia="Courier New" w:hAnsi="Courier New"/>
                <w:sz w:val="18"/>
                <w:szCs w:val="18"/>
                <w:color w:val="auto"/>
              </w:rPr>
              <w:t>Sole Voting Power</w:t>
            </w:r>
          </w:p>
        </w:tc>
        <w:tc>
          <w:tcPr>
            <w:tcW w:w="1740" w:type="dxa"/>
            <w:vAlign w:val="bottom"/>
          </w:tcPr>
          <w:p>
            <w:pPr>
              <w:jc w:val="center"/>
              <w:ind w:left="612"/>
              <w:spacing w:after="0"/>
              <w:rPr>
                <w:sz w:val="20"/>
                <w:szCs w:val="20"/>
                <w:color w:val="auto"/>
              </w:rPr>
            </w:pPr>
            <w:r>
              <w:rPr>
                <w:rFonts w:ascii="Courier New" w:cs="Courier New" w:eastAsia="Courier New" w:hAnsi="Courier New"/>
                <w:sz w:val="18"/>
                <w:szCs w:val="18"/>
                <w:color w:val="auto"/>
                <w:w w:val="98"/>
              </w:rPr>
              <w:t>1,318,100</w:t>
            </w:r>
          </w:p>
        </w:tc>
        <w:tc>
          <w:tcPr>
            <w:tcW w:w="680" w:type="dxa"/>
            <w:vAlign w:val="bottom"/>
          </w:tcPr>
          <w:p>
            <w:pPr>
              <w:ind w:left="60"/>
              <w:spacing w:after="0"/>
              <w:rPr>
                <w:sz w:val="20"/>
                <w:szCs w:val="20"/>
                <w:color w:val="auto"/>
              </w:rPr>
            </w:pPr>
            <w:r>
              <w:rPr>
                <w:rFonts w:ascii="Courier New" w:cs="Courier New" w:eastAsia="Courier New" w:hAnsi="Courier New"/>
                <w:sz w:val="18"/>
                <w:szCs w:val="18"/>
                <w:color w:val="auto"/>
                <w:w w:val="92"/>
              </w:rPr>
              <w:t>shares</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100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w:t>
            </w: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w:t>
            </w:r>
          </w:p>
        </w:tc>
        <w:tc>
          <w:tcPr>
            <w:tcW w:w="29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740" w:type="dxa"/>
            <w:vAlign w:val="bottom"/>
          </w:tcPr>
          <w:p>
            <w:pPr>
              <w:jc w:val="center"/>
              <w:ind w:left="612"/>
              <w:spacing w:after="0" w:line="203" w:lineRule="exact"/>
              <w:rPr>
                <w:sz w:val="20"/>
                <w:szCs w:val="20"/>
                <w:color w:val="auto"/>
              </w:rPr>
            </w:pPr>
            <w:r>
              <w:rPr>
                <w:rFonts w:ascii="Courier New" w:cs="Courier New" w:eastAsia="Courier New" w:hAnsi="Courier New"/>
                <w:sz w:val="18"/>
                <w:szCs w:val="18"/>
                <w:color w:val="auto"/>
                <w:w w:val="98"/>
              </w:rPr>
              <w:t>NIL</w:t>
            </w:r>
          </w:p>
        </w:tc>
        <w:tc>
          <w:tcPr>
            <w:tcW w:w="680" w:type="dxa"/>
            <w:vAlign w:val="bottom"/>
          </w:tcPr>
          <w:p>
            <w:pPr>
              <w:spacing w:after="0"/>
              <w:rPr>
                <w:sz w:val="17"/>
                <w:szCs w:val="17"/>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ally Owned</w:t>
            </w:r>
          </w:p>
        </w:tc>
        <w:tc>
          <w:tcPr>
            <w:tcW w:w="100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w:t>
            </w: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w:t>
            </w:r>
          </w:p>
        </w:tc>
        <w:tc>
          <w:tcPr>
            <w:tcW w:w="29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740" w:type="dxa"/>
            <w:vAlign w:val="bottom"/>
          </w:tcPr>
          <w:p>
            <w:pPr>
              <w:jc w:val="center"/>
              <w:ind w:left="612"/>
              <w:spacing w:after="0" w:line="203" w:lineRule="exact"/>
              <w:rPr>
                <w:sz w:val="20"/>
                <w:szCs w:val="20"/>
                <w:color w:val="auto"/>
              </w:rPr>
            </w:pPr>
            <w:r>
              <w:rPr>
                <w:rFonts w:ascii="Courier New" w:cs="Courier New" w:eastAsia="Courier New" w:hAnsi="Courier New"/>
                <w:sz w:val="18"/>
                <w:szCs w:val="18"/>
                <w:color w:val="auto"/>
                <w:w w:val="98"/>
              </w:rPr>
              <w:t>1,318,100</w:t>
            </w: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shares</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100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w:t>
            </w:r>
          </w:p>
        </w:tc>
        <w:tc>
          <w:tcPr>
            <w:tcW w:w="29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NIL</w:t>
            </w:r>
          </w:p>
        </w:tc>
        <w:tc>
          <w:tcPr>
            <w:tcW w:w="680" w:type="dxa"/>
            <w:vAlign w:val="bottom"/>
          </w:tcPr>
          <w:p>
            <w:pPr>
              <w:spacing w:after="0"/>
              <w:rPr>
                <w:sz w:val="17"/>
                <w:szCs w:val="17"/>
                <w:color w:val="auto"/>
              </w:rPr>
            </w:pPr>
          </w:p>
        </w:tc>
      </w:tr>
    </w:tbl>
    <w:p>
      <w:pPr>
        <w:spacing w:after="0" w:line="200" w:lineRule="exact"/>
        <w:rPr>
          <w:sz w:val="24"/>
          <w:szCs w:val="24"/>
          <w:color w:val="auto"/>
        </w:rPr>
      </w:pPr>
    </w:p>
    <w:p>
      <w:pPr>
        <w:spacing w:after="0" w:line="204" w:lineRule="exact"/>
        <w:rPr>
          <w:sz w:val="24"/>
          <w:szCs w:val="24"/>
          <w:color w:val="auto"/>
        </w:rPr>
      </w:pPr>
    </w:p>
    <w:p>
      <w:pPr>
        <w:ind w:left="740" w:hanging="732"/>
        <w:spacing w:after="0"/>
        <w:tabs>
          <w:tab w:leader="none" w:pos="7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4"/>
          <w:szCs w:val="24"/>
          <w:color w:val="auto"/>
        </w:rPr>
      </w:pPr>
    </w:p>
    <w:p>
      <w:pPr>
        <w:jc w:val="right"/>
        <w:ind w:right="1999"/>
        <w:spacing w:after="0"/>
        <w:rPr>
          <w:sz w:val="20"/>
          <w:szCs w:val="20"/>
          <w:color w:val="auto"/>
        </w:rPr>
      </w:pPr>
      <w:r>
        <w:rPr>
          <w:rFonts w:ascii="Courier New" w:cs="Courier New" w:eastAsia="Courier New" w:hAnsi="Courier New"/>
          <w:sz w:val="18"/>
          <w:szCs w:val="18"/>
          <w:color w:val="auto"/>
        </w:rPr>
        <w:t>1,318,100 shares</w:t>
      </w:r>
    </w:p>
    <w:p>
      <w:pPr>
        <w:sectPr>
          <w:pgSz w:w="11900" w:h="16838" w:orient="portrait"/>
          <w:cols w:equalWidth="0" w:num="1">
            <w:col w:w="10219"/>
          </w:cols>
          <w:pgMar w:left="240" w:top="244" w:right="1440" w:bottom="0" w:gutter="0" w:footer="0" w:header="0"/>
        </w:sectPr>
      </w:pPr>
    </w:p>
    <w:bookmarkStart w:id="1" w:name="page2"/>
    <w:bookmarkEnd w:id="1"/>
    <w:p>
      <w:pPr>
        <w:ind w:left="4640" w:right="2619" w:hanging="4632"/>
        <w:spacing w:after="0" w:line="470" w:lineRule="auto"/>
        <w:tabs>
          <w:tab w:leader="none" w:pos="84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Not applicable</w:t>
      </w:r>
    </w:p>
    <w:p>
      <w:pPr>
        <w:spacing w:after="0" w:line="6"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7.1 % of outstanding Class A common shares</w:t>
      </w:r>
    </w:p>
    <w:p>
      <w:pPr>
        <w:spacing w:after="0" w:line="218" w:lineRule="exact"/>
        <w:rPr>
          <w:sz w:val="20"/>
          <w:szCs w:val="20"/>
          <w:color w:val="auto"/>
        </w:rPr>
      </w:pPr>
    </w:p>
    <w:p>
      <w:pPr>
        <w:spacing w:after="0"/>
        <w:tabs>
          <w:tab w:leader="none" w:pos="720" w:val="left"/>
          <w:tab w:leader="none" w:pos="4620" w:val="left"/>
          <w:tab w:leader="none" w:pos="504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Type of Reporting Person</w:t>
      </w:r>
      <w:r>
        <w:rPr>
          <w:sz w:val="20"/>
          <w:szCs w:val="20"/>
          <w:color w:val="auto"/>
        </w:rPr>
        <w:tab/>
      </w:r>
      <w:r>
        <w:rPr>
          <w:rFonts w:ascii="Courier New" w:cs="Courier New" w:eastAsia="Courier New" w:hAnsi="Courier New"/>
          <w:sz w:val="18"/>
          <w:szCs w:val="18"/>
          <w:color w:val="auto"/>
        </w:rPr>
        <w:t>HC</w:t>
      </w:r>
      <w:r>
        <w:rPr>
          <w:sz w:val="20"/>
          <w:szCs w:val="20"/>
          <w:color w:val="auto"/>
        </w:rPr>
        <w:tab/>
      </w:r>
      <w:r>
        <w:rPr>
          <w:rFonts w:ascii="Courier New" w:cs="Courier New" w:eastAsia="Courier New" w:hAnsi="Courier New"/>
          <w:sz w:val="16"/>
          <w:szCs w:val="16"/>
          <w:color w:val="auto"/>
        </w:rPr>
        <w:t>(see item 2A)</w:t>
      </w:r>
    </w:p>
    <w:p>
      <w:pPr>
        <w:sectPr>
          <w:pgSz w:w="11900" w:h="16838" w:orient="portrait"/>
          <w:cols w:equalWidth="0" w:num="1">
            <w:col w:w="10219"/>
          </w:cols>
          <w:pgMar w:left="240" w:top="142" w:right="1440" w:bottom="1440" w:gutter="0" w:footer="0" w:header="0"/>
        </w:sectPr>
      </w:pPr>
    </w:p>
    <w:bookmarkStart w:id="2" w:name="page3"/>
    <w:bookmarkEnd w:id="2"/>
    <w:p>
      <w:pPr>
        <w:ind w:left="3800"/>
        <w:spacing w:after="0"/>
        <w:rPr>
          <w:sz w:val="20"/>
          <w:szCs w:val="20"/>
          <w:color w:val="auto"/>
        </w:rPr>
      </w:pPr>
      <w:r>
        <w:rPr>
          <w:rFonts w:ascii="Courier New" w:cs="Courier New" w:eastAsia="Courier New" w:hAnsi="Courier New"/>
          <w:sz w:val="18"/>
          <w:szCs w:val="18"/>
          <w:color w:val="auto"/>
        </w:rPr>
        <w:t>Item 1(a)</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Name of Issuer:</w:t>
      </w:r>
      <w:r>
        <w:rPr>
          <w:sz w:val="20"/>
          <w:szCs w:val="20"/>
          <w:color w:val="auto"/>
        </w:rPr>
        <w:tab/>
      </w:r>
      <w:r>
        <w:rPr>
          <w:rFonts w:ascii="Courier New" w:cs="Courier New" w:eastAsia="Courier New" w:hAnsi="Courier New"/>
          <w:sz w:val="16"/>
          <w:szCs w:val="16"/>
          <w:color w:val="auto"/>
        </w:rPr>
        <w:t>The Scotts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Item 1(b)</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 of Issuer's Principal Executive Offices: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14111 Scottslawn Road</w:t>
      </w:r>
    </w:p>
    <w:p>
      <w:pPr>
        <w:ind w:left="960"/>
        <w:spacing w:after="0" w:line="238" w:lineRule="auto"/>
        <w:rPr>
          <w:sz w:val="20"/>
          <w:szCs w:val="20"/>
          <w:color w:val="auto"/>
        </w:rPr>
      </w:pPr>
      <w:r>
        <w:rPr>
          <w:rFonts w:ascii="Courier New" w:cs="Courier New" w:eastAsia="Courier New" w:hAnsi="Courier New"/>
          <w:sz w:val="18"/>
          <w:szCs w:val="18"/>
          <w:color w:val="auto"/>
        </w:rPr>
        <w:t>Marysville, Ohio 43041</w:t>
      </w:r>
    </w:p>
    <w:p>
      <w:pPr>
        <w:spacing w:after="0" w:line="20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Item 2(a)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of Person Filing:</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Certain Trimark mutual funds (the "Funds"), which are trusts organized under the laws of Ontario, Canada, are owners of record of the securities covered by this report. Trimark Investment Management Inc. ("TIMI"), a corporation incorporated under the laws of Canada, is a manager and trustee of the Funds. TIMI is qualified to act as an investment adviser and manager of the Funds in the province of Ontario pursuant to a registration under the Securities Act (Ontario). Trimark Financial Corporation ("TFC") is a corporation incorporated under the laws of Ontario, Canada. It owns 100% of the voting equity securities of TIMI. Consequently, TFC may be deemed to be the beneficial owner of such securities.</w:t>
      </w:r>
    </w:p>
    <w:p>
      <w:pPr>
        <w:spacing w:after="0" w:line="200" w:lineRule="exact"/>
        <w:rPr>
          <w:sz w:val="20"/>
          <w:szCs w:val="20"/>
          <w:color w:val="auto"/>
        </w:rPr>
      </w:pPr>
    </w:p>
    <w:p>
      <w:pPr>
        <w:spacing w:after="0" w:line="21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Item 2(b)</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Address of Principal Business Office:</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One First Canadian Place</w:t>
      </w:r>
    </w:p>
    <w:p>
      <w:pPr>
        <w:ind w:left="2960"/>
        <w:spacing w:after="0" w:line="238" w:lineRule="auto"/>
        <w:rPr>
          <w:sz w:val="20"/>
          <w:szCs w:val="20"/>
          <w:color w:val="auto"/>
        </w:rPr>
      </w:pPr>
      <w:r>
        <w:rPr>
          <w:rFonts w:ascii="Courier New" w:cs="Courier New" w:eastAsia="Courier New" w:hAnsi="Courier New"/>
          <w:sz w:val="18"/>
          <w:szCs w:val="18"/>
          <w:color w:val="auto"/>
        </w:rPr>
        <w:t>Suite 5600, P.O. Box 487</w:t>
      </w:r>
    </w:p>
    <w:p>
      <w:pPr>
        <w:ind w:left="3380"/>
        <w:spacing w:after="0"/>
        <w:rPr>
          <w:sz w:val="20"/>
          <w:szCs w:val="20"/>
          <w:color w:val="auto"/>
        </w:rPr>
      </w:pPr>
      <w:r>
        <w:rPr>
          <w:rFonts w:ascii="Courier New" w:cs="Courier New" w:eastAsia="Courier New" w:hAnsi="Courier New"/>
          <w:sz w:val="18"/>
          <w:szCs w:val="18"/>
          <w:color w:val="auto"/>
        </w:rPr>
        <w:t>Toronto, Ontario</w:t>
      </w:r>
    </w:p>
    <w:p>
      <w:pPr>
        <w:ind w:left="3900"/>
        <w:spacing w:after="0" w:line="237" w:lineRule="auto"/>
        <w:rPr>
          <w:sz w:val="20"/>
          <w:szCs w:val="20"/>
          <w:color w:val="auto"/>
        </w:rPr>
      </w:pPr>
      <w:r>
        <w:rPr>
          <w:rFonts w:ascii="Courier New" w:cs="Courier New" w:eastAsia="Courier New" w:hAnsi="Courier New"/>
          <w:sz w:val="18"/>
          <w:szCs w:val="18"/>
          <w:color w:val="auto"/>
        </w:rPr>
        <w:t>M5X 1E5</w:t>
      </w:r>
    </w:p>
    <w:p>
      <w:pPr>
        <w:spacing w:after="0" w:line="202" w:lineRule="exact"/>
        <w:rPr>
          <w:sz w:val="20"/>
          <w:szCs w:val="20"/>
          <w:color w:val="auto"/>
        </w:rPr>
      </w:pPr>
    </w:p>
    <w:p>
      <w:pPr>
        <w:ind w:left="4120" w:hanging="636"/>
        <w:spacing w:after="0"/>
        <w:tabs>
          <w:tab w:leader="none" w:pos="41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362-7181</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6" w:lineRule="exact"/>
        <w:rPr>
          <w:rFonts w:ascii="Courier New" w:cs="Courier New" w:eastAsia="Courier New" w:hAnsi="Courier New"/>
          <w:sz w:val="18"/>
          <w:szCs w:val="18"/>
          <w:color w:val="auto"/>
        </w:rPr>
      </w:pPr>
    </w:p>
    <w:p>
      <w:pPr>
        <w:ind w:left="38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Item 2(c)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Citizenship:</w:t>
      </w:r>
    </w:p>
    <w:p>
      <w:pPr>
        <w:spacing w:after="0" w:line="207" w:lineRule="exact"/>
        <w:rPr>
          <w:sz w:val="20"/>
          <w:szCs w:val="20"/>
          <w:color w:val="auto"/>
        </w:rPr>
      </w:pPr>
    </w:p>
    <w:p>
      <w:pPr>
        <w:ind w:right="1999"/>
        <w:spacing w:after="0" w:line="290" w:lineRule="auto"/>
        <w:rPr>
          <w:sz w:val="20"/>
          <w:szCs w:val="20"/>
          <w:color w:val="auto"/>
        </w:rPr>
      </w:pPr>
      <w:r>
        <w:rPr>
          <w:rFonts w:ascii="Courier New" w:cs="Courier New" w:eastAsia="Courier New" w:hAnsi="Courier New"/>
          <w:sz w:val="16"/>
          <w:szCs w:val="16"/>
          <w:color w:val="auto"/>
        </w:rPr>
        <w:t>Trimark Financial Corporation - Incorporated under the laws of Ontario, Canada Trimark Investment Management Inc. - Incorporated under the laws of Canada</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Trimark mutual funds - mutual fund trusts organized under the laws of Ontario</w:t>
      </w:r>
    </w:p>
    <w:p>
      <w:pPr>
        <w:sectPr>
          <w:pgSz w:w="11900" w:h="16838" w:orient="portrait"/>
          <w:cols w:equalWidth="0" w:num="1">
            <w:col w:w="10219"/>
          </w:cols>
          <w:pgMar w:left="240" w:top="1122"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3440" w:type="dxa"/>
            <w:vAlign w:val="bottom"/>
          </w:tcPr>
          <w:p>
            <w:pPr>
              <w:spacing w:after="0"/>
              <w:rPr>
                <w:sz w:val="17"/>
                <w:szCs w:val="17"/>
                <w:color w:val="auto"/>
              </w:rPr>
            </w:pPr>
          </w:p>
        </w:tc>
        <w:tc>
          <w:tcPr>
            <w:tcW w:w="840" w:type="dxa"/>
            <w:vAlign w:val="bottom"/>
          </w:tcPr>
          <w:p>
            <w:pPr>
              <w:ind w:left="360"/>
              <w:spacing w:after="0"/>
              <w:rPr>
                <w:sz w:val="20"/>
                <w:szCs w:val="20"/>
                <w:color w:val="auto"/>
              </w:rPr>
            </w:pPr>
            <w:r>
              <w:rPr>
                <w:rFonts w:ascii="Courier New" w:cs="Courier New" w:eastAsia="Courier New" w:hAnsi="Courier New"/>
                <w:sz w:val="18"/>
                <w:szCs w:val="18"/>
                <w:color w:val="auto"/>
              </w:rPr>
              <w:t>Item</w:t>
            </w:r>
          </w:p>
        </w:tc>
        <w:tc>
          <w:tcPr>
            <w:tcW w:w="1620" w:type="dxa"/>
            <w:vAlign w:val="bottom"/>
          </w:tcPr>
          <w:p>
            <w:pPr>
              <w:jc w:val="right"/>
              <w:ind w:right="1072"/>
              <w:spacing w:after="0"/>
              <w:rPr>
                <w:sz w:val="20"/>
                <w:szCs w:val="20"/>
                <w:color w:val="auto"/>
              </w:rPr>
            </w:pPr>
            <w:r>
              <w:rPr>
                <w:rFonts w:ascii="Courier New" w:cs="Courier New" w:eastAsia="Courier New" w:hAnsi="Courier New"/>
                <w:sz w:val="18"/>
                <w:szCs w:val="18"/>
                <w:color w:val="auto"/>
              </w:rPr>
              <w:t>2(d)</w:t>
            </w:r>
          </w:p>
        </w:tc>
      </w:tr>
      <w:tr>
        <w:trPr>
          <w:trHeight w:val="405"/>
        </w:trPr>
        <w:tc>
          <w:tcPr>
            <w:tcW w:w="3440" w:type="dxa"/>
            <w:vAlign w:val="bottom"/>
          </w:tcPr>
          <w:p>
            <w:pPr>
              <w:spacing w:after="0"/>
              <w:rPr>
                <w:sz w:val="20"/>
                <w:szCs w:val="20"/>
                <w:color w:val="auto"/>
              </w:rPr>
            </w:pPr>
            <w:r>
              <w:rPr>
                <w:rFonts w:ascii="Courier New" w:cs="Courier New" w:eastAsia="Courier New" w:hAnsi="Courier New"/>
                <w:sz w:val="18"/>
                <w:szCs w:val="18"/>
                <w:color w:val="auto"/>
              </w:rPr>
              <w:t>Title of Class of Securities:</w:t>
            </w:r>
          </w:p>
        </w:tc>
        <w:tc>
          <w:tcPr>
            <w:tcW w:w="2460" w:type="dxa"/>
            <w:vAlign w:val="bottom"/>
            <w:gridSpan w:val="2"/>
          </w:tcPr>
          <w:p>
            <w:pPr>
              <w:ind w:left="360"/>
              <w:spacing w:after="0"/>
              <w:rPr>
                <w:sz w:val="20"/>
                <w:szCs w:val="20"/>
                <w:color w:val="auto"/>
              </w:rPr>
            </w:pPr>
            <w:r>
              <w:rPr>
                <w:rFonts w:ascii="Courier New" w:cs="Courier New" w:eastAsia="Courier New" w:hAnsi="Courier New"/>
                <w:sz w:val="18"/>
                <w:szCs w:val="18"/>
                <w:color w:val="auto"/>
                <w:w w:val="96"/>
              </w:rPr>
              <w:t>Class A Common Stock</w:t>
            </w:r>
          </w:p>
        </w:tc>
      </w:tr>
      <w:tr>
        <w:trPr>
          <w:trHeight w:val="810"/>
        </w:trPr>
        <w:tc>
          <w:tcPr>
            <w:tcW w:w="3440" w:type="dxa"/>
            <w:vAlign w:val="bottom"/>
          </w:tcPr>
          <w:p>
            <w:pPr>
              <w:spacing w:after="0"/>
              <w:rPr>
                <w:sz w:val="24"/>
                <w:szCs w:val="24"/>
                <w:color w:val="auto"/>
              </w:rPr>
            </w:pPr>
          </w:p>
        </w:tc>
        <w:tc>
          <w:tcPr>
            <w:tcW w:w="840" w:type="dxa"/>
            <w:vAlign w:val="bottom"/>
          </w:tcPr>
          <w:p>
            <w:pPr>
              <w:ind w:left="360"/>
              <w:spacing w:after="0"/>
              <w:rPr>
                <w:sz w:val="20"/>
                <w:szCs w:val="20"/>
                <w:color w:val="auto"/>
              </w:rPr>
            </w:pPr>
            <w:r>
              <w:rPr>
                <w:rFonts w:ascii="Courier New" w:cs="Courier New" w:eastAsia="Courier New" w:hAnsi="Courier New"/>
                <w:sz w:val="18"/>
                <w:szCs w:val="18"/>
                <w:color w:val="auto"/>
              </w:rPr>
              <w:t>Item</w:t>
            </w:r>
          </w:p>
        </w:tc>
        <w:tc>
          <w:tcPr>
            <w:tcW w:w="1620" w:type="dxa"/>
            <w:vAlign w:val="bottom"/>
          </w:tcPr>
          <w:p>
            <w:pPr>
              <w:jc w:val="right"/>
              <w:ind w:right="1072"/>
              <w:spacing w:after="0"/>
              <w:rPr>
                <w:sz w:val="20"/>
                <w:szCs w:val="20"/>
                <w:color w:val="auto"/>
              </w:rPr>
            </w:pPr>
            <w:r>
              <w:rPr>
                <w:rFonts w:ascii="Courier New" w:cs="Courier New" w:eastAsia="Courier New" w:hAnsi="Courier New"/>
                <w:sz w:val="18"/>
                <w:szCs w:val="18"/>
                <w:color w:val="auto"/>
              </w:rPr>
              <w:t>2(e)</w:t>
            </w:r>
          </w:p>
        </w:tc>
      </w:tr>
      <w:tr>
        <w:trPr>
          <w:trHeight w:val="405"/>
        </w:trPr>
        <w:tc>
          <w:tcPr>
            <w:tcW w:w="3440" w:type="dxa"/>
            <w:vAlign w:val="bottom"/>
          </w:tcPr>
          <w:p>
            <w:pPr>
              <w:spacing w:after="0"/>
              <w:rPr>
                <w:sz w:val="20"/>
                <w:szCs w:val="20"/>
                <w:color w:val="auto"/>
              </w:rPr>
            </w:pPr>
            <w:r>
              <w:rPr>
                <w:rFonts w:ascii="Courier New" w:cs="Courier New" w:eastAsia="Courier New" w:hAnsi="Courier New"/>
                <w:sz w:val="18"/>
                <w:szCs w:val="18"/>
                <w:color w:val="auto"/>
              </w:rPr>
              <w:t>CUSIP Number:</w:t>
            </w:r>
          </w:p>
        </w:tc>
        <w:tc>
          <w:tcPr>
            <w:tcW w:w="2460" w:type="dxa"/>
            <w:vAlign w:val="bottom"/>
            <w:gridSpan w:val="2"/>
          </w:tcPr>
          <w:p>
            <w:pPr>
              <w:jc w:val="right"/>
              <w:ind w:right="1072"/>
              <w:spacing w:after="0"/>
              <w:rPr>
                <w:sz w:val="20"/>
                <w:szCs w:val="20"/>
                <w:color w:val="auto"/>
              </w:rPr>
            </w:pPr>
            <w:r>
              <w:rPr>
                <w:rFonts w:ascii="Courier New" w:cs="Courier New" w:eastAsia="Courier New" w:hAnsi="Courier New"/>
                <w:sz w:val="18"/>
                <w:szCs w:val="18"/>
                <w:color w:val="auto"/>
              </w:rPr>
              <w:t>810186106</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40" w:type="dxa"/>
            <w:vAlign w:val="bottom"/>
          </w:tcPr>
          <w:p>
            <w:pPr>
              <w:ind w:left="3000"/>
              <w:spacing w:after="0"/>
              <w:rPr>
                <w:sz w:val="20"/>
                <w:szCs w:val="20"/>
                <w:color w:val="auto"/>
              </w:rPr>
            </w:pPr>
            <w:r>
              <w:rPr>
                <w:rFonts w:ascii="Courier New" w:cs="Courier New" w:eastAsia="Courier New" w:hAnsi="Courier New"/>
                <w:sz w:val="18"/>
                <w:szCs w:val="18"/>
                <w:color w:val="auto"/>
              </w:rPr>
              <w:t>Item 3</w:t>
            </w:r>
          </w:p>
        </w:tc>
      </w:tr>
      <w:tr>
        <w:trPr>
          <w:trHeight w:val="405"/>
        </w:trPr>
        <w:tc>
          <w:tcPr>
            <w:tcW w:w="740" w:type="dxa"/>
            <w:vAlign w:val="bottom"/>
          </w:tcPr>
          <w:p>
            <w:pPr>
              <w:jc w:val="center"/>
              <w:spacing w:after="0"/>
              <w:rPr>
                <w:sz w:val="20"/>
                <w:szCs w:val="20"/>
                <w:color w:val="auto"/>
              </w:rPr>
            </w:pPr>
            <w:r>
              <w:rPr>
                <w:rFonts w:ascii="Courier New" w:cs="Courier New" w:eastAsia="Courier New" w:hAnsi="Courier New"/>
                <w:sz w:val="18"/>
                <w:szCs w:val="18"/>
                <w:color w:val="auto"/>
                <w:w w:val="97"/>
              </w:rPr>
              <w:t>If this</w:t>
            </w:r>
          </w:p>
        </w:tc>
        <w:tc>
          <w:tcPr>
            <w:tcW w:w="160" w:type="dxa"/>
            <w:vAlign w:val="bottom"/>
          </w:tcPr>
          <w:p>
            <w:pPr>
              <w:spacing w:after="0"/>
              <w:rPr>
                <w:sz w:val="24"/>
                <w:szCs w:val="24"/>
                <w:color w:val="auto"/>
              </w:rPr>
            </w:pPr>
          </w:p>
        </w:tc>
        <w:tc>
          <w:tcPr>
            <w:tcW w:w="7540" w:type="dxa"/>
            <w:vAlign w:val="bottom"/>
          </w:tcPr>
          <w:p>
            <w:pPr>
              <w:ind w:left="60"/>
              <w:spacing w:after="0"/>
              <w:rPr>
                <w:sz w:val="20"/>
                <w:szCs w:val="20"/>
                <w:color w:val="auto"/>
              </w:rPr>
            </w:pPr>
            <w:r>
              <w:rPr>
                <w:rFonts w:ascii="Courier New" w:cs="Courier New" w:eastAsia="Courier New" w:hAnsi="Courier New"/>
                <w:sz w:val="18"/>
                <w:szCs w:val="18"/>
                <w:color w:val="auto"/>
                <w:w w:val="97"/>
              </w:rPr>
              <w:t>statement  is filed  pursuant to Rules  13d-1(b),  or  13d-2(b),  check</w:t>
            </w:r>
          </w:p>
        </w:tc>
      </w:tr>
      <w:tr>
        <w:trPr>
          <w:trHeight w:val="203"/>
        </w:trPr>
        <w:tc>
          <w:tcPr>
            <w:tcW w:w="84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whether the person filing is a:</w:t>
            </w:r>
          </w:p>
        </w:tc>
      </w:tr>
      <w:tr>
        <w:trPr>
          <w:trHeight w:val="405"/>
        </w:trPr>
        <w:tc>
          <w:tcPr>
            <w:tcW w:w="740" w:type="dxa"/>
            <w:vAlign w:val="bottom"/>
          </w:tcPr>
          <w:p>
            <w:pPr>
              <w:jc w:val="center"/>
              <w:spacing w:after="0"/>
              <w:rPr>
                <w:sz w:val="20"/>
                <w:szCs w:val="20"/>
                <w:color w:val="auto"/>
              </w:rPr>
            </w:pPr>
            <w:r>
              <w:rPr>
                <w:rFonts w:ascii="Courier New" w:cs="Courier New" w:eastAsia="Courier New" w:hAnsi="Courier New"/>
                <w:sz w:val="18"/>
                <w:szCs w:val="18"/>
                <w:color w:val="auto"/>
                <w:w w:val="98"/>
              </w:rPr>
              <w:t>(a)</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w w:val="92"/>
              </w:rPr>
              <w:t>(</w:t>
            </w:r>
          </w:p>
        </w:tc>
        <w:tc>
          <w:tcPr>
            <w:tcW w:w="7540" w:type="dxa"/>
            <w:vAlign w:val="bottom"/>
          </w:tcPr>
          <w:p>
            <w:pPr>
              <w:ind w:left="260"/>
              <w:spacing w:after="0"/>
              <w:rPr>
                <w:sz w:val="20"/>
                <w:szCs w:val="20"/>
                <w:color w:val="auto"/>
              </w:rPr>
            </w:pPr>
            <w:r>
              <w:rPr>
                <w:rFonts w:ascii="Courier New" w:cs="Courier New" w:eastAsia="Courier New" w:hAnsi="Courier New"/>
                <w:sz w:val="18"/>
                <w:szCs w:val="18"/>
                <w:color w:val="auto"/>
              </w:rPr>
              <w:t>)   Broker or Dealer registered under Section 15 of the Act</w:t>
            </w:r>
          </w:p>
        </w:tc>
      </w:tr>
      <w:tr>
        <w:trPr>
          <w:trHeight w:val="405"/>
        </w:trPr>
        <w:tc>
          <w:tcPr>
            <w:tcW w:w="740" w:type="dxa"/>
            <w:vAlign w:val="bottom"/>
          </w:tcPr>
          <w:p>
            <w:pPr>
              <w:jc w:val="center"/>
              <w:spacing w:after="0"/>
              <w:rPr>
                <w:sz w:val="20"/>
                <w:szCs w:val="20"/>
                <w:color w:val="auto"/>
              </w:rPr>
            </w:pPr>
            <w:r>
              <w:rPr>
                <w:rFonts w:ascii="Courier New" w:cs="Courier New" w:eastAsia="Courier New" w:hAnsi="Courier New"/>
                <w:sz w:val="18"/>
                <w:szCs w:val="18"/>
                <w:color w:val="auto"/>
                <w:w w:val="98"/>
              </w:rPr>
              <w:t>(b)</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w w:val="92"/>
              </w:rPr>
              <w:t>(</w:t>
            </w:r>
          </w:p>
        </w:tc>
        <w:tc>
          <w:tcPr>
            <w:tcW w:w="7540" w:type="dxa"/>
            <w:vAlign w:val="bottom"/>
          </w:tcPr>
          <w:p>
            <w:pPr>
              <w:ind w:left="260"/>
              <w:spacing w:after="0"/>
              <w:rPr>
                <w:sz w:val="20"/>
                <w:szCs w:val="20"/>
                <w:color w:val="auto"/>
              </w:rPr>
            </w:pPr>
            <w:r>
              <w:rPr>
                <w:rFonts w:ascii="Courier New" w:cs="Courier New" w:eastAsia="Courier New" w:hAnsi="Courier New"/>
                <w:sz w:val="18"/>
                <w:szCs w:val="18"/>
                <w:color w:val="auto"/>
              </w:rPr>
              <w:t>)   Bank as defined in section 3(a) (6) of the Act</w:t>
            </w:r>
          </w:p>
        </w:tc>
      </w:tr>
      <w:tr>
        <w:trPr>
          <w:trHeight w:val="405"/>
        </w:trPr>
        <w:tc>
          <w:tcPr>
            <w:tcW w:w="740" w:type="dxa"/>
            <w:vAlign w:val="bottom"/>
          </w:tcPr>
          <w:p>
            <w:pPr>
              <w:jc w:val="center"/>
              <w:spacing w:after="0"/>
              <w:rPr>
                <w:sz w:val="20"/>
                <w:szCs w:val="20"/>
                <w:color w:val="auto"/>
              </w:rPr>
            </w:pPr>
            <w:r>
              <w:rPr>
                <w:rFonts w:ascii="Courier New" w:cs="Courier New" w:eastAsia="Courier New" w:hAnsi="Courier New"/>
                <w:sz w:val="18"/>
                <w:szCs w:val="18"/>
                <w:color w:val="auto"/>
                <w:w w:val="98"/>
              </w:rPr>
              <w:t>(c)</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w w:val="92"/>
              </w:rPr>
              <w:t>(</w:t>
            </w:r>
          </w:p>
        </w:tc>
        <w:tc>
          <w:tcPr>
            <w:tcW w:w="7540" w:type="dxa"/>
            <w:vAlign w:val="bottom"/>
          </w:tcPr>
          <w:p>
            <w:pPr>
              <w:ind w:left="260"/>
              <w:spacing w:after="0"/>
              <w:rPr>
                <w:sz w:val="20"/>
                <w:szCs w:val="20"/>
                <w:color w:val="auto"/>
              </w:rPr>
            </w:pPr>
            <w:r>
              <w:rPr>
                <w:rFonts w:ascii="Courier New" w:cs="Courier New" w:eastAsia="Courier New" w:hAnsi="Courier New"/>
                <w:sz w:val="18"/>
                <w:szCs w:val="18"/>
                <w:color w:val="auto"/>
              </w:rPr>
              <w:t>)   Insurance Company as defined in section 3(a)(19) of the Act</w:t>
            </w:r>
          </w:p>
        </w:tc>
      </w:tr>
      <w:tr>
        <w:trPr>
          <w:trHeight w:val="405"/>
        </w:trPr>
        <w:tc>
          <w:tcPr>
            <w:tcW w:w="740" w:type="dxa"/>
            <w:vAlign w:val="bottom"/>
          </w:tcPr>
          <w:p>
            <w:pPr>
              <w:jc w:val="center"/>
              <w:spacing w:after="0"/>
              <w:rPr>
                <w:sz w:val="20"/>
                <w:szCs w:val="20"/>
                <w:color w:val="auto"/>
              </w:rPr>
            </w:pPr>
            <w:r>
              <w:rPr>
                <w:rFonts w:ascii="Courier New" w:cs="Courier New" w:eastAsia="Courier New" w:hAnsi="Courier New"/>
                <w:sz w:val="18"/>
                <w:szCs w:val="18"/>
                <w:color w:val="auto"/>
                <w:w w:val="98"/>
              </w:rPr>
              <w:t>(d)</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w w:val="92"/>
              </w:rPr>
              <w:t>(</w:t>
            </w:r>
          </w:p>
        </w:tc>
        <w:tc>
          <w:tcPr>
            <w:tcW w:w="7540" w:type="dxa"/>
            <w:vAlign w:val="bottom"/>
          </w:tcPr>
          <w:p>
            <w:pPr>
              <w:ind w:left="260"/>
              <w:spacing w:after="0"/>
              <w:rPr>
                <w:sz w:val="20"/>
                <w:szCs w:val="20"/>
                <w:color w:val="auto"/>
              </w:rPr>
            </w:pPr>
            <w:r>
              <w:rPr>
                <w:rFonts w:ascii="Courier New" w:cs="Courier New" w:eastAsia="Courier New" w:hAnsi="Courier New"/>
                <w:sz w:val="18"/>
                <w:szCs w:val="18"/>
                <w:color w:val="auto"/>
              </w:rPr>
              <w:t>)   Investment Company registered under section 8 of the Investment</w:t>
            </w:r>
          </w:p>
        </w:tc>
      </w:tr>
      <w:tr>
        <w:trPr>
          <w:trHeight w:val="203"/>
        </w:trPr>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4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Company Act</w:t>
            </w:r>
          </w:p>
        </w:tc>
      </w:tr>
      <w:tr>
        <w:trPr>
          <w:trHeight w:val="405"/>
        </w:trPr>
        <w:tc>
          <w:tcPr>
            <w:tcW w:w="740" w:type="dxa"/>
            <w:vAlign w:val="bottom"/>
          </w:tcPr>
          <w:p>
            <w:pPr>
              <w:jc w:val="center"/>
              <w:spacing w:after="0"/>
              <w:rPr>
                <w:sz w:val="20"/>
                <w:szCs w:val="20"/>
                <w:color w:val="auto"/>
              </w:rPr>
            </w:pPr>
            <w:r>
              <w:rPr>
                <w:rFonts w:ascii="Courier New" w:cs="Courier New" w:eastAsia="Courier New" w:hAnsi="Courier New"/>
                <w:sz w:val="18"/>
                <w:szCs w:val="18"/>
                <w:color w:val="auto"/>
                <w:w w:val="98"/>
              </w:rPr>
              <w:t>(e)</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w w:val="92"/>
              </w:rPr>
              <w:t>(</w:t>
            </w:r>
          </w:p>
        </w:tc>
        <w:tc>
          <w:tcPr>
            <w:tcW w:w="7540" w:type="dxa"/>
            <w:vAlign w:val="bottom"/>
          </w:tcPr>
          <w:p>
            <w:pPr>
              <w:ind w:left="260"/>
              <w:spacing w:after="0"/>
              <w:rPr>
                <w:sz w:val="20"/>
                <w:szCs w:val="20"/>
                <w:color w:val="auto"/>
              </w:rPr>
            </w:pPr>
            <w:r>
              <w:rPr>
                <w:rFonts w:ascii="Courier New" w:cs="Courier New" w:eastAsia="Courier New" w:hAnsi="Courier New"/>
                <w:sz w:val="18"/>
                <w:szCs w:val="18"/>
                <w:color w:val="auto"/>
                <w:w w:val="97"/>
              </w:rPr>
              <w:t>)   Investment Adviser registered under section 203 of the Investment</w:t>
            </w:r>
          </w:p>
        </w:tc>
      </w:tr>
      <w:tr>
        <w:trPr>
          <w:trHeight w:val="203"/>
        </w:trPr>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4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Advisers Act of 1940</w:t>
            </w:r>
          </w:p>
        </w:tc>
      </w:tr>
      <w:tr>
        <w:trPr>
          <w:trHeight w:val="405"/>
        </w:trPr>
        <w:tc>
          <w:tcPr>
            <w:tcW w:w="740" w:type="dxa"/>
            <w:vAlign w:val="bottom"/>
          </w:tcPr>
          <w:p>
            <w:pPr>
              <w:jc w:val="center"/>
              <w:spacing w:after="0"/>
              <w:rPr>
                <w:sz w:val="20"/>
                <w:szCs w:val="20"/>
                <w:color w:val="auto"/>
              </w:rPr>
            </w:pPr>
            <w:r>
              <w:rPr>
                <w:rFonts w:ascii="Courier New" w:cs="Courier New" w:eastAsia="Courier New" w:hAnsi="Courier New"/>
                <w:sz w:val="18"/>
                <w:szCs w:val="18"/>
                <w:color w:val="auto"/>
                <w:w w:val="98"/>
              </w:rPr>
              <w:t>(f)</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w w:val="92"/>
              </w:rPr>
              <w:t>(</w:t>
            </w:r>
          </w:p>
        </w:tc>
        <w:tc>
          <w:tcPr>
            <w:tcW w:w="7540" w:type="dxa"/>
            <w:vAlign w:val="bottom"/>
          </w:tcPr>
          <w:p>
            <w:pPr>
              <w:ind w:left="260"/>
              <w:spacing w:after="0"/>
              <w:rPr>
                <w:sz w:val="20"/>
                <w:szCs w:val="20"/>
                <w:color w:val="auto"/>
              </w:rPr>
            </w:pPr>
            <w:r>
              <w:rPr>
                <w:rFonts w:ascii="Courier New" w:cs="Courier New" w:eastAsia="Courier New" w:hAnsi="Courier New"/>
                <w:sz w:val="18"/>
                <w:szCs w:val="18"/>
                <w:color w:val="auto"/>
              </w:rPr>
              <w:t>)   Employee Benefit Plan, Pension Fund which is subject to the</w:t>
            </w:r>
          </w:p>
        </w:tc>
      </w:tr>
      <w:tr>
        <w:trPr>
          <w:trHeight w:val="203"/>
        </w:trPr>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4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provisions of the Employee Retirement Income Security Act of</w:t>
            </w:r>
          </w:p>
        </w:tc>
      </w:tr>
      <w:tr>
        <w:trPr>
          <w:trHeight w:val="203"/>
        </w:trPr>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54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1974 or Endowment Fund; see 240.13d-1(b) (1) (ii)(F)</w:t>
            </w:r>
          </w:p>
        </w:tc>
      </w:tr>
    </w:tbl>
    <w:p>
      <w:pPr>
        <w:spacing w:after="0" w:line="207" w:lineRule="exact"/>
        <w:rPr>
          <w:sz w:val="20"/>
          <w:szCs w:val="20"/>
          <w:color w:val="auto"/>
        </w:rPr>
      </w:pPr>
    </w:p>
    <w:p>
      <w:pPr>
        <w:ind w:left="1580" w:right="1999" w:hanging="1361"/>
        <w:spacing w:after="0" w:line="235" w:lineRule="auto"/>
        <w:tabs>
          <w:tab w:leader="none" w:pos="7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)Parent Holding Company, in accordance with 240.13d-1(b) (ii)(G) (Note: See Item 7)</w:t>
      </w:r>
    </w:p>
    <w:p>
      <w:pPr>
        <w:spacing w:after="0" w:line="203" w:lineRule="exact"/>
        <w:rPr>
          <w:sz w:val="20"/>
          <w:szCs w:val="20"/>
          <w:color w:val="auto"/>
        </w:rPr>
      </w:pPr>
    </w:p>
    <w:p>
      <w:pPr>
        <w:ind w:left="220"/>
        <w:spacing w:after="0"/>
        <w:tabs>
          <w:tab w:leader="none" w:pos="720" w:val="left"/>
          <w:tab w:leader="none" w:pos="1140" w:val="left"/>
          <w:tab w:leader="none" w:pos="1560" w:val="left"/>
        </w:tabs>
        <w:rPr>
          <w:sz w:val="20"/>
          <w:szCs w:val="20"/>
          <w:color w:val="auto"/>
        </w:rPr>
      </w:pPr>
      <w:r>
        <w:rPr>
          <w:rFonts w:ascii="Courier New" w:cs="Courier New" w:eastAsia="Courier New" w:hAnsi="Courier New"/>
          <w:sz w:val="18"/>
          <w:szCs w:val="18"/>
          <w:color w:val="auto"/>
        </w:rPr>
        <w:t>(h)</w:t>
        <w:tab/>
        <w:t>(</w:t>
        <w:tab/>
        <w:t>)</w:t>
      </w:r>
      <w:r>
        <w:rPr>
          <w:sz w:val="20"/>
          <w:szCs w:val="20"/>
          <w:color w:val="auto"/>
        </w:rPr>
        <w:tab/>
      </w:r>
      <w:r>
        <w:rPr>
          <w:rFonts w:ascii="Courier New" w:cs="Courier New" w:eastAsia="Courier New" w:hAnsi="Courier New"/>
          <w:sz w:val="16"/>
          <w:szCs w:val="16"/>
          <w:color w:val="auto"/>
        </w:rPr>
        <w:t>Group, in accordance with 240.13d-1(b) (ii)(H)</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(see item 2A)</w:t>
      </w:r>
    </w:p>
    <w:p>
      <w:pPr>
        <w:spacing w:after="0" w:line="200" w:lineRule="exact"/>
        <w:rPr>
          <w:sz w:val="20"/>
          <w:szCs w:val="20"/>
          <w:color w:val="auto"/>
        </w:rPr>
      </w:pP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Item 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Ownership.</w:t>
      </w:r>
    </w:p>
    <w:p>
      <w:pPr>
        <w:spacing w:after="0" w:line="201" w:lineRule="exact"/>
        <w:rPr>
          <w:sz w:val="20"/>
          <w:szCs w:val="20"/>
          <w:color w:val="auto"/>
        </w:rPr>
      </w:pPr>
    </w:p>
    <w:p>
      <w:pPr>
        <w:ind w:left="1700" w:hanging="955"/>
        <w:spacing w:after="0"/>
        <w:tabs>
          <w:tab w:leader="none" w:pos="170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960"/>
        <w:spacing w:after="0"/>
        <w:tabs>
          <w:tab w:leader="none" w:pos="4620" w:val="left"/>
        </w:tabs>
        <w:rPr>
          <w:sz w:val="20"/>
          <w:szCs w:val="20"/>
          <w:color w:val="auto"/>
        </w:rPr>
      </w:pPr>
      <w:r>
        <w:rPr>
          <w:rFonts w:ascii="Courier New" w:cs="Courier New" w:eastAsia="Courier New" w:hAnsi="Courier New"/>
          <w:sz w:val="18"/>
          <w:szCs w:val="18"/>
          <w:color w:val="auto"/>
        </w:rPr>
        <w:t>1,318,100</w:t>
      </w:r>
      <w:r>
        <w:rPr>
          <w:sz w:val="20"/>
          <w:szCs w:val="20"/>
          <w:color w:val="auto"/>
        </w:rPr>
        <w:tab/>
      </w:r>
      <w:r>
        <w:rPr>
          <w:rFonts w:ascii="Courier New" w:cs="Courier New" w:eastAsia="Courier New" w:hAnsi="Courier New"/>
          <w:sz w:val="18"/>
          <w:szCs w:val="18"/>
          <w:color w:val="auto"/>
        </w:rPr>
        <w:t>shares</w:t>
      </w:r>
    </w:p>
    <w:p>
      <w:pPr>
        <w:spacing w:after="0" w:line="201" w:lineRule="exact"/>
        <w:rPr>
          <w:sz w:val="20"/>
          <w:szCs w:val="20"/>
          <w:color w:val="auto"/>
        </w:rPr>
      </w:pPr>
    </w:p>
    <w:p>
      <w:pPr>
        <w:ind w:left="1700" w:hanging="955"/>
        <w:spacing w:after="0"/>
        <w:tabs>
          <w:tab w:leader="none" w:pos="170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2960"/>
        <w:spacing w:after="0"/>
        <w:tabs>
          <w:tab w:leader="none" w:pos="3780" w:val="left"/>
        </w:tabs>
        <w:rPr>
          <w:sz w:val="20"/>
          <w:szCs w:val="20"/>
          <w:color w:val="auto"/>
        </w:rPr>
      </w:pPr>
      <w:r>
        <w:rPr>
          <w:rFonts w:ascii="Courier New" w:cs="Courier New" w:eastAsia="Courier New" w:hAnsi="Courier New"/>
          <w:sz w:val="18"/>
          <w:szCs w:val="18"/>
          <w:color w:val="auto"/>
        </w:rPr>
        <w:t>7.1</w:t>
      </w:r>
      <w:r>
        <w:rPr>
          <w:sz w:val="20"/>
          <w:szCs w:val="20"/>
          <w:color w:val="auto"/>
        </w:rPr>
        <w:tab/>
      </w:r>
      <w:r>
        <w:rPr>
          <w:rFonts w:ascii="Courier New" w:cs="Courier New" w:eastAsia="Courier New" w:hAnsi="Courier New"/>
          <w:sz w:val="16"/>
          <w:szCs w:val="16"/>
          <w:color w:val="auto"/>
        </w:rPr>
        <w:t>%</w:t>
      </w:r>
    </w:p>
    <w:p>
      <w:pPr>
        <w:sectPr>
          <w:pgSz w:w="11900" w:h="16838" w:orient="portrait"/>
          <w:cols w:equalWidth="0" w:num="1">
            <w:col w:w="10219"/>
          </w:cols>
          <w:pgMar w:left="240" w:top="1325" w:right="1440" w:bottom="1440" w:gutter="0" w:footer="0" w:header="0"/>
        </w:sectPr>
      </w:pPr>
    </w:p>
    <w:bookmarkStart w:id="4" w:name="page5"/>
    <w:bookmarkEnd w:id="4"/>
    <w:p>
      <w:pPr>
        <w:ind w:left="1700" w:hanging="955"/>
        <w:spacing w:after="0"/>
        <w:tabs>
          <w:tab w:leader="none" w:pos="170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0" w:type="dxa"/>
            <w:vAlign w:val="bottom"/>
          </w:tcPr>
          <w:p>
            <w:pPr>
              <w:spacing w:after="0"/>
              <w:rPr>
                <w:sz w:val="20"/>
                <w:szCs w:val="20"/>
                <w:color w:val="auto"/>
              </w:rPr>
            </w:pPr>
            <w:r>
              <w:rPr>
                <w:rFonts w:ascii="Courier New" w:cs="Courier New" w:eastAsia="Courier New" w:hAnsi="Courier New"/>
                <w:sz w:val="18"/>
                <w:szCs w:val="18"/>
                <w:color w:val="auto"/>
              </w:rPr>
              <w:t>(i)</w:t>
            </w:r>
          </w:p>
        </w:tc>
        <w:tc>
          <w:tcPr>
            <w:tcW w:w="580" w:type="dxa"/>
            <w:vAlign w:val="bottom"/>
          </w:tcPr>
          <w:p>
            <w:pPr>
              <w:ind w:left="100"/>
              <w:spacing w:after="0"/>
              <w:rPr>
                <w:sz w:val="20"/>
                <w:szCs w:val="20"/>
                <w:color w:val="auto"/>
              </w:rPr>
            </w:pPr>
            <w:r>
              <w:rPr>
                <w:rFonts w:ascii="Courier New" w:cs="Courier New" w:eastAsia="Courier New" w:hAnsi="Courier New"/>
                <w:sz w:val="18"/>
                <w:szCs w:val="18"/>
                <w:color w:val="auto"/>
              </w:rPr>
              <w:t>sole</w:t>
            </w:r>
          </w:p>
        </w:tc>
        <w:tc>
          <w:tcPr>
            <w:tcW w:w="6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power</w:t>
            </w:r>
          </w:p>
        </w:tc>
        <w:tc>
          <w:tcPr>
            <w:tcW w:w="542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to vote or to direct the vote: (TFC)`</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1,318,100</w:t>
            </w:r>
          </w:p>
        </w:tc>
      </w:tr>
      <w:tr>
        <w:trPr>
          <w:trHeight w:val="203"/>
        </w:trPr>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(ii)</w:t>
            </w:r>
          </w:p>
        </w:tc>
        <w:tc>
          <w:tcPr>
            <w:tcW w:w="8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shared</w:t>
            </w:r>
          </w:p>
        </w:tc>
        <w:tc>
          <w:tcPr>
            <w:tcW w:w="17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power to vote or</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w:t>
            </w:r>
          </w:p>
        </w:tc>
        <w:tc>
          <w:tcPr>
            <w:tcW w:w="3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direct the vote:</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NIL</w:t>
            </w:r>
          </w:p>
        </w:tc>
      </w:tr>
      <w:tr>
        <w:trPr>
          <w:trHeight w:val="203"/>
        </w:trPr>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(iii)</w:t>
            </w:r>
          </w:p>
        </w:tc>
        <w:tc>
          <w:tcPr>
            <w:tcW w:w="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w:t>
            </w:r>
          </w:p>
        </w:tc>
        <w:tc>
          <w:tcPr>
            <w:tcW w:w="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power</w:t>
            </w:r>
          </w:p>
        </w:tc>
        <w:tc>
          <w:tcPr>
            <w:tcW w:w="54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to dispose or to direct the disposition of: (TFC)</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1,318,100</w:t>
            </w:r>
          </w:p>
        </w:tc>
      </w:tr>
      <w:tr>
        <w:trPr>
          <w:trHeight w:val="203"/>
        </w:trPr>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(iv)</w:t>
            </w:r>
          </w:p>
        </w:tc>
        <w:tc>
          <w:tcPr>
            <w:tcW w:w="8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shared</w:t>
            </w:r>
          </w:p>
        </w:tc>
        <w:tc>
          <w:tcPr>
            <w:tcW w:w="17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power to dispose</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or</w:t>
            </w:r>
          </w:p>
        </w:tc>
        <w:tc>
          <w:tcPr>
            <w:tcW w:w="3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to direct the disposition of:</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NIL</w:t>
            </w:r>
          </w:p>
        </w:tc>
      </w:tr>
    </w:tbl>
    <w:p>
      <w:pPr>
        <w:spacing w:after="0" w:line="201" w:lineRule="exact"/>
        <w:rPr>
          <w:sz w:val="20"/>
          <w:szCs w:val="20"/>
          <w:color w:val="auto"/>
        </w:rPr>
      </w:pPr>
    </w:p>
    <w:p>
      <w:pPr>
        <w:ind w:left="2440" w:hanging="747"/>
        <w:spacing w:after="0"/>
        <w:tabs>
          <w:tab w:leader="none" w:pos="24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item 2(a))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Ownership of Five Percent or Less of a Class</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Inapplicable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Item 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Ownership of More than Five Percent on Behalf of Another Person</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Inapplicable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Item 7</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See item 2(a)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Item 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Identification and Classification of Members of the Group.</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Inapplicable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Item 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Notice of Dissolution of Group.</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Inapplicable</w:t>
      </w:r>
    </w:p>
    <w:p>
      <w:pPr>
        <w:sectPr>
          <w:pgSz w:w="11900" w:h="16838" w:orient="portrait"/>
          <w:cols w:equalWidth="0" w:num="1">
            <w:col w:w="10219"/>
          </w:cols>
          <w:pgMar w:left="240" w:top="1325" w:right="1440" w:bottom="1440" w:gutter="0" w:footer="0" w:header="0"/>
        </w:sectPr>
      </w:pPr>
    </w:p>
    <w:bookmarkStart w:id="5" w:name="page6"/>
    <w:bookmarkEnd w:id="5"/>
    <w:p>
      <w:pPr>
        <w:ind w:left="3900"/>
        <w:spacing w:after="0"/>
        <w:rPr>
          <w:sz w:val="20"/>
          <w:szCs w:val="20"/>
          <w:color w:val="auto"/>
        </w:rPr>
      </w:pPr>
      <w:r>
        <w:rPr>
          <w:rFonts w:ascii="Courier New" w:cs="Courier New" w:eastAsia="Courier New" w:hAnsi="Courier New"/>
          <w:sz w:val="18"/>
          <w:szCs w:val="18"/>
          <w:color w:val="auto"/>
        </w:rPr>
        <w:t>Item 10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Certification.</w:t>
      </w:r>
    </w:p>
    <w:p>
      <w:pPr>
        <w:spacing w:after="0" w:line="207" w:lineRule="exact"/>
        <w:rPr>
          <w:sz w:val="20"/>
          <w:szCs w:val="20"/>
          <w:color w:val="auto"/>
        </w:rPr>
      </w:pPr>
    </w:p>
    <w:p>
      <w:pPr>
        <w:jc w:val="both"/>
        <w:ind w:right="1779" w:firstLine="737"/>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1779" w:firstLine="73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1325" w:right="1440" w:bottom="1440" w:gutter="0" w:footer="0" w:header="0"/>
        </w:sect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5, 1997</w:t>
      </w:r>
    </w:p>
    <w:p>
      <w:pPr>
        <w:spacing w:after="0" w:line="216" w:lineRule="exact"/>
        <w:rPr>
          <w:sz w:val="20"/>
          <w:szCs w:val="20"/>
          <w:color w:val="auto"/>
        </w:rPr>
      </w:pPr>
    </w:p>
    <w:p>
      <w:pPr>
        <w:sectPr>
          <w:pgSz w:w="11900" w:h="16838" w:orient="portrait"/>
          <w:cols w:equalWidth="0" w:num="2">
            <w:col w:w="1720" w:space="720"/>
            <w:col w:w="7779"/>
          </w:cols>
          <w:pgMar w:left="240" w:top="1325" w:right="1440" w:bottom="1440" w:gutter="0" w:footer="0" w:header="0"/>
          <w:type w:val="continuous"/>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ectPr>
          <w:pgSz w:w="11900" w:h="16838" w:orient="portrait"/>
          <w:cols w:equalWidth="0" w:num="1">
            <w:col w:w="10219"/>
          </w:cols>
          <w:pgMar w:left="240" w:top="1325"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Name/Title:</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Michael Kevin Feeney, Chief Financial Officer, on behalf of Trimark Financial Corporation in its capacity as a "Reporting Person" herein.</w:t>
      </w:r>
    </w:p>
    <w:p>
      <w:pPr>
        <w:spacing w:after="0" w:line="200" w:lineRule="exact"/>
        <w:rPr>
          <w:sz w:val="20"/>
          <w:szCs w:val="20"/>
          <w:color w:val="auto"/>
        </w:rPr>
      </w:pPr>
    </w:p>
    <w:p>
      <w:pPr>
        <w:sectPr>
          <w:pgSz w:w="11900" w:h="16838" w:orient="portrait"/>
          <w:cols w:equalWidth="0" w:num="2">
            <w:col w:w="1160" w:space="640"/>
            <w:col w:w="8419"/>
          </w:cols>
          <w:pgMar w:left="240" w:top="1325" w:right="1440" w:bottom="1440" w:gutter="0" w:footer="0" w:header="0"/>
          <w:type w:val="continuous"/>
        </w:sectPr>
      </w:pPr>
    </w:p>
    <w:p>
      <w:pPr>
        <w:spacing w:after="0" w:line="211" w:lineRule="exact"/>
        <w:rPr>
          <w:sz w:val="20"/>
          <w:szCs w:val="20"/>
          <w:color w:val="auto"/>
        </w:rPr>
      </w:pPr>
    </w:p>
    <w:p>
      <w:pPr>
        <w:ind w:left="1800" w:right="2099"/>
        <w:spacing w:after="0" w:line="290" w:lineRule="auto"/>
        <w:rPr>
          <w:sz w:val="20"/>
          <w:szCs w:val="20"/>
          <w:color w:val="auto"/>
        </w:rPr>
      </w:pPr>
      <w:r>
        <w:rPr>
          <w:rFonts w:ascii="Courier New" w:cs="Courier New" w:eastAsia="Courier New" w:hAnsi="Courier New"/>
          <w:sz w:val="16"/>
          <w:szCs w:val="16"/>
          <w:color w:val="auto"/>
        </w:rPr>
        <w:t>Attention: Intentional misstatements or omissions of fact constitute Federal criminal violations (See 18 U.S.C. 1001).</w:t>
      </w:r>
    </w:p>
    <w:sectPr>
      <w:pgSz w:w="11900" w:h="16838" w:orient="portrait"/>
      <w:cols w:equalWidth="0" w:num="1">
        <w:col w:w="10219"/>
      </w:cols>
      <w:pgMar w:left="240" w:top="132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decimal"/>
      <w:start w:val="1"/>
    </w:lvl>
  </w:abstractNum>
  <w:abstractNum w:abstractNumId="1">
    <w:nsid w:val="2EB141F2"/>
    <w:multiLevelType w:val="hybridMultilevel"/>
    <w:lvl w:ilvl="0">
      <w:lvlJc w:val="left"/>
      <w:lvlText w:val="%1"/>
      <w:numFmt w:val="decimal"/>
      <w:start w:val="1"/>
    </w:lvl>
    <w:lvl w:ilvl="1">
      <w:lvlJc w:val="left"/>
      <w:lvlText w:val="(%2)"/>
      <w:numFmt w:val="lowerLetter"/>
      <w:start w:val="2"/>
    </w:lvl>
  </w:abstractNum>
  <w:abstractNum w:abstractNumId="2">
    <w:nsid w:val="41B71EFB"/>
    <w:multiLevelType w:val="hybridMultilevel"/>
    <w:lvl w:ilvl="0">
      <w:lvlJc w:val="left"/>
      <w:lvlText w:val="(%1)"/>
      <w:numFmt w:val="decimal"/>
      <w:start w:val="3"/>
    </w:lvl>
    <w:lvl w:ilvl="1">
      <w:lvlJc w:val="left"/>
      <w:lvlText w:val="%2"/>
      <w:numFmt w:val="lowerLetter"/>
      <w:start w:val="1"/>
    </w:lvl>
  </w:abstractNum>
  <w:abstractNum w:abstractNumId="3">
    <w:nsid w:val="79E2A9E3"/>
    <w:multiLevelType w:val="hybridMultilevel"/>
    <w:lvl w:ilvl="0">
      <w:lvlJc w:val="left"/>
      <w:lvlText w:val="(%1)"/>
      <w:numFmt w:val="decimal"/>
      <w:start w:val="9"/>
    </w:lvl>
  </w:abstractNum>
  <w:abstractNum w:abstractNumId="4">
    <w:nsid w:val="7545E146"/>
    <w:multiLevelType w:val="hybridMultilevel"/>
    <w:lvl w:ilvl="0">
      <w:lvlJc w:val="left"/>
      <w:lvlText w:val="(%1)"/>
      <w:numFmt w:val="decimal"/>
      <w:start w:val="10"/>
    </w:lvl>
  </w:abstractNum>
  <w:abstractNum w:abstractNumId="5">
    <w:nsid w:val="515F007C"/>
    <w:multiLevelType w:val="hybridMultilevel"/>
    <w:lvl w:ilvl="0">
      <w:lvlJc w:val="left"/>
      <w:lvlText w:val="(%1)"/>
      <w:numFmt w:val="decimal"/>
      <w:start w:val="416"/>
    </w:lvl>
  </w:abstractNum>
  <w:abstractNum w:abstractNumId="6">
    <w:nsid w:val="5BD062C2"/>
    <w:multiLevelType w:val="hybridMultilevel"/>
    <w:lvl w:ilvl="0">
      <w:lvlJc w:val="left"/>
      <w:lvlText w:val="(%1)"/>
      <w:numFmt w:val="lowerLetter"/>
      <w:start w:val="7"/>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Letter"/>
      <w:start w:val="2"/>
    </w:lvl>
  </w:abstractNum>
  <w:abstractNum w:abstractNumId="9">
    <w:nsid w:val="216231B"/>
    <w:multiLevelType w:val="hybridMultilevel"/>
    <w:lvl w:ilvl="0">
      <w:lvlJc w:val="left"/>
      <w:lvlText w:val="(%1)"/>
      <w:numFmt w:val="lowerLetter"/>
      <w:start w:val="3"/>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2019-12-20T01:31:50Z</dcterms:created>
  <dcterms:modified xsi:type="dcterms:W3CDTF">2019-12-20T01:31:50Z</dcterms:modified>
</cp:coreProperties>
</file>