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860" w:right="1879"/>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January 2, 1996 Registration No. 33-________________</w:t>
      </w: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the registrant as specified</w:t>
      </w:r>
    </w:p>
    <w:p>
      <w:pPr>
        <w:jc w:val="center"/>
        <w:ind w:right="1879"/>
        <w:spacing w:after="0"/>
        <w:rPr>
          <w:sz w:val="20"/>
          <w:szCs w:val="20"/>
          <w:color w:val="auto"/>
        </w:rPr>
      </w:pPr>
      <w:r>
        <w:rPr>
          <w:rFonts w:ascii="Courier New" w:cs="Courier New" w:eastAsia="Courier New" w:hAnsi="Courier New"/>
          <w:sz w:val="18"/>
          <w:szCs w:val="18"/>
          <w:color w:val="auto"/>
        </w:rPr>
        <w:t>in its charter)</w:t>
      </w:r>
    </w:p>
    <w:p>
      <w:pPr>
        <w:sectPr>
          <w:pgSz w:w="11900" w:h="16838" w:orient="portrait"/>
          <w:cols w:equalWidth="0" w:num="1">
            <w:col w:w="10219"/>
          </w:cols>
          <w:pgMar w:left="240" w:top="655" w:right="1440" w:bottom="0" w:gutter="0" w:footer="0" w:header="0"/>
        </w:sectPr>
      </w:pP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 of</w:t>
      </w:r>
    </w:p>
    <w:p>
      <w:pPr>
        <w:ind w:left="2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(I.R.S. Employer</w:t>
      </w:r>
    </w:p>
    <w:p>
      <w:pPr>
        <w:ind w:left="54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340" w:space="720"/>
            <w:col w:w="5159"/>
          </w:cols>
          <w:pgMar w:left="240" w:top="655" w:right="1440" w:bottom="0" w:gutter="0" w:footer="0" w:header="0"/>
          <w:type w:val="continuous"/>
        </w:sectPr>
      </w:pPr>
    </w:p>
    <w:p>
      <w:pPr>
        <w:spacing w:after="0" w:line="2" w:lineRule="exact"/>
        <w:rPr>
          <w:sz w:val="24"/>
          <w:szCs w:val="24"/>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8"/>
          <w:szCs w:val="18"/>
          <w:color w:val="auto"/>
        </w:rPr>
        <w:t>43041</w:t>
      </w:r>
    </w:p>
    <w:p>
      <w:pPr>
        <w:sectPr>
          <w:pgSz w:w="11900" w:h="16838" w:orient="portrait"/>
          <w:cols w:equalWidth="0" w:num="1">
            <w:col w:w="10219"/>
          </w:cols>
          <w:pgMar w:left="240" w:top="655"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Stock Option Plan and Agreement,</w:t>
      </w:r>
    </w:p>
    <w:p>
      <w:pPr>
        <w:ind w:left="2220"/>
        <w:spacing w:after="0" w:line="238" w:lineRule="auto"/>
        <w:rPr>
          <w:sz w:val="20"/>
          <w:szCs w:val="20"/>
          <w:color w:val="auto"/>
        </w:rPr>
      </w:pPr>
      <w:r>
        <w:rPr>
          <w:rFonts w:ascii="Courier New" w:cs="Courier New" w:eastAsia="Courier New" w:hAnsi="Courier New"/>
          <w:sz w:val="18"/>
          <w:szCs w:val="18"/>
          <w:color w:val="auto"/>
        </w:rPr>
        <w:t>dated as of January 9, 1992, between</w:t>
      </w:r>
    </w:p>
    <w:p>
      <w:pPr>
        <w:ind w:left="2120"/>
        <w:spacing w:after="0"/>
        <w:rPr>
          <w:sz w:val="20"/>
          <w:szCs w:val="20"/>
          <w:color w:val="auto"/>
        </w:rPr>
      </w:pPr>
      <w:r>
        <w:rPr>
          <w:rFonts w:ascii="Courier New" w:cs="Courier New" w:eastAsia="Courier New" w:hAnsi="Courier New"/>
          <w:sz w:val="18"/>
          <w:szCs w:val="18"/>
          <w:color w:val="auto"/>
        </w:rPr>
        <w:t>THE SCOTTS COMPANY AND THEODORE J. HOST</w:t>
      </w:r>
    </w:p>
    <w:p>
      <w:pPr>
        <w:ind w:left="2860"/>
        <w:spacing w:after="0" w:line="237" w:lineRule="auto"/>
        <w:rPr>
          <w:sz w:val="20"/>
          <w:szCs w:val="20"/>
          <w:color w:val="auto"/>
        </w:rPr>
      </w:pPr>
      <w:r>
        <w:rPr>
          <w:rFonts w:ascii="Courier New" w:cs="Courier New" w:eastAsia="Courier New" w:hAnsi="Courier New"/>
          <w:sz w:val="18"/>
          <w:szCs w:val="18"/>
          <w:color w:val="auto"/>
        </w:rPr>
        <w:t>(Full title of the plan)</w:t>
      </w:r>
    </w:p>
    <w:p>
      <w:pPr>
        <w:sectPr>
          <w:pgSz w:w="11900" w:h="16838" w:orient="portrait"/>
          <w:cols w:equalWidth="0" w:num="1">
            <w:col w:w="10219"/>
          </w:cols>
          <w:pgMar w:left="240" w:top="655"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Craig D. Walley, Esq.</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Ohio 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Elizabeth Turrell Farrar,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Vorys, Sater, Seymour and Pease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 East Gay Street</w:t>
      </w:r>
    </w:p>
    <w:p>
      <w:pPr>
        <w:spacing w:after="0" w:line="238" w:lineRule="auto"/>
        <w:rPr>
          <w:sz w:val="20"/>
          <w:szCs w:val="20"/>
          <w:color w:val="auto"/>
        </w:rPr>
      </w:pPr>
      <w:r>
        <w:rPr>
          <w:rFonts w:ascii="Courier New" w:cs="Courier New" w:eastAsia="Courier New" w:hAnsi="Courier New"/>
          <w:sz w:val="18"/>
          <w:szCs w:val="18"/>
          <w:color w:val="auto"/>
        </w:rPr>
        <w:t>P.O. Box 1008</w:t>
      </w:r>
    </w:p>
    <w:p>
      <w:pPr>
        <w:ind w:left="200"/>
        <w:spacing w:after="0"/>
        <w:rPr>
          <w:sz w:val="20"/>
          <w:szCs w:val="20"/>
          <w:color w:val="auto"/>
        </w:rPr>
      </w:pPr>
      <w:r>
        <w:rPr>
          <w:rFonts w:ascii="Courier New" w:cs="Courier New" w:eastAsia="Courier New" w:hAnsi="Courier New"/>
          <w:sz w:val="18"/>
          <w:szCs w:val="18"/>
          <w:color w:val="auto"/>
        </w:rPr>
        <w:t>Columbus, Ohio 43216-1008</w:t>
      </w:r>
    </w:p>
    <w:p>
      <w:pPr>
        <w:spacing w:after="0" w:line="401" w:lineRule="exact"/>
        <w:rPr>
          <w:sz w:val="24"/>
          <w:szCs w:val="24"/>
          <w:color w:val="auto"/>
        </w:rPr>
      </w:pPr>
    </w:p>
    <w:p>
      <w:pPr>
        <w:sectPr>
          <w:pgSz w:w="11900" w:h="16838" w:orient="portrait"/>
          <w:cols w:equalWidth="0" w:num="2">
            <w:col w:w="4320" w:space="540"/>
            <w:col w:w="5359"/>
          </w:cols>
          <w:pgMar w:left="240" w:top="655" w:right="1440" w:bottom="0" w:gutter="0" w:footer="0" w:header="0"/>
          <w:type w:val="continuous"/>
        </w:sectPr>
      </w:pPr>
    </w:p>
    <w:p>
      <w:pPr>
        <w:spacing w:after="0" w:line="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(513) 644-0011</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(Telephone number, including area code, of agent</w:t>
      </w:r>
    </w:p>
    <w:p>
      <w:pPr>
        <w:ind w:left="3480"/>
        <w:spacing w:after="0" w:line="238" w:lineRule="auto"/>
        <w:rPr>
          <w:sz w:val="20"/>
          <w:szCs w:val="20"/>
          <w:color w:val="auto"/>
        </w:rPr>
      </w:pPr>
      <w:r>
        <w:rPr>
          <w:rFonts w:ascii="Courier New" w:cs="Courier New" w:eastAsia="Courier New" w:hAnsi="Courier New"/>
          <w:sz w:val="18"/>
          <w:szCs w:val="18"/>
          <w:color w:val="auto"/>
        </w:rPr>
        <w:t>for service)</w:t>
      </w:r>
    </w:p>
    <w:p>
      <w:pPr>
        <w:ind w:left="2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31 Pages.</w:t>
      </w:r>
    </w:p>
    <w:p>
      <w:pPr>
        <w:sectPr>
          <w:pgSz w:w="11900" w:h="16838" w:orient="portrait"/>
          <w:cols w:equalWidth="0" w:num="1">
            <w:col w:w="10219"/>
          </w:cols>
          <w:pgMar w:left="240" w:top="655" w:right="1440" w:bottom="0" w:gutter="0" w:footer="0" w:header="0"/>
          <w:type w:val="continuous"/>
        </w:sect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Index to Exhibits begins at Page II-13 (Page 15 as sequentially numbered).</w:t>
      </w:r>
    </w:p>
    <w:p>
      <w:pPr>
        <w:spacing w:after="0" w:line="200" w:lineRule="exact"/>
        <w:rPr>
          <w:sz w:val="24"/>
          <w:szCs w:val="24"/>
          <w:color w:val="auto"/>
        </w:rPr>
      </w:pPr>
    </w:p>
    <w:p>
      <w:pPr>
        <w:spacing w:after="0" w:line="379"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[Continuation of Facing Page]</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CALCULATION OF REGISTRATION FEE</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780" w:type="dxa"/>
            <w:vAlign w:val="bottom"/>
          </w:tcPr>
          <w:p>
            <w:pPr>
              <w:spacing w:after="0"/>
              <w:rPr>
                <w:sz w:val="17"/>
                <w:szCs w:val="17"/>
                <w:color w:val="auto"/>
              </w:rPr>
            </w:pPr>
          </w:p>
        </w:tc>
        <w:tc>
          <w:tcPr>
            <w:tcW w:w="1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5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Amount</w:t>
            </w:r>
          </w:p>
        </w:tc>
        <w:tc>
          <w:tcPr>
            <w:tcW w:w="1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to be</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registered</w:t>
            </w:r>
          </w:p>
        </w:tc>
        <w:tc>
          <w:tcPr>
            <w:tcW w:w="1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 unit (1)</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 (1)</w:t>
            </w:r>
          </w:p>
        </w:tc>
        <w:tc>
          <w:tcPr>
            <w:tcW w:w="15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Common Shares,</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136,364</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$9.90</w:t>
            </w:r>
          </w:p>
        </w:tc>
        <w:tc>
          <w:tcPr>
            <w:tcW w:w="2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$1,350,003.60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$466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without par</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520" w:val="left"/>
          <w:tab w:leader="none" w:pos="1680" w:val="left"/>
          <w:tab w:leader="none" w:pos="5780" w:val="left"/>
          <w:tab w:leader="none" w:pos="7360" w:val="left"/>
        </w:tabs>
        <w:rPr>
          <w:sz w:val="20"/>
          <w:szCs w:val="20"/>
          <w:color w:val="auto"/>
        </w:rPr>
      </w:pPr>
      <w:r>
        <w:rPr>
          <w:rFonts w:ascii="Courier New" w:cs="Courier New" w:eastAsia="Courier New" w:hAnsi="Courier New"/>
          <w:sz w:val="18"/>
          <w:szCs w:val="18"/>
          <w:color w:val="auto"/>
        </w:rPr>
        <w:t>(l)</w:t>
        <w:tab/>
        <w:t>Estimated</w:t>
        <w:tab/>
        <w:t>solely for the purpose of calculating</w:t>
        <w:tab/>
        <w:t>the aggregate</w:t>
      </w:r>
      <w:r>
        <w:rPr>
          <w:sz w:val="20"/>
          <w:szCs w:val="20"/>
          <w:color w:val="auto"/>
        </w:rPr>
        <w:tab/>
      </w:r>
      <w:r>
        <w:rPr>
          <w:rFonts w:ascii="Courier New" w:cs="Courier New" w:eastAsia="Courier New" w:hAnsi="Courier New"/>
          <w:sz w:val="16"/>
          <w:szCs w:val="16"/>
          <w:color w:val="auto"/>
        </w:rPr>
        <w:t>offering</w:t>
      </w:r>
    </w:p>
    <w:p>
      <w:pPr>
        <w:sectPr>
          <w:pgSz w:w="11900" w:h="16838" w:orient="portrait"/>
          <w:cols w:equalWidth="0" w:num="1">
            <w:col w:w="10219"/>
          </w:cols>
          <w:pgMar w:left="240" w:top="655" w:right="1440" w:bottom="0" w:gutter="0" w:footer="0" w:header="0"/>
          <w:type w:val="continuous"/>
        </w:sectPr>
      </w:pPr>
    </w:p>
    <w:bookmarkStart w:id="1" w:name="page2"/>
    <w:bookmarkEnd w:id="1"/>
    <w:p>
      <w:pPr>
        <w:jc w:val="both"/>
        <w:ind w:right="1999"/>
        <w:spacing w:after="0" w:line="237" w:lineRule="auto"/>
        <w:rPr>
          <w:sz w:val="20"/>
          <w:szCs w:val="20"/>
          <w:color w:val="auto"/>
        </w:rPr>
      </w:pPr>
      <w:r>
        <w:rPr>
          <w:rFonts w:ascii="Courier New" w:cs="Courier New" w:eastAsia="Courier New" w:hAnsi="Courier New"/>
          <w:sz w:val="18"/>
          <w:szCs w:val="18"/>
          <w:color w:val="auto"/>
        </w:rPr>
        <w:t>price and the registration fee pursuant to Rule 457(h) promulgated under the Securities Act of 1933, as amended, and computed on the basis of $9.90 per share, which is the price at which options granted to purchase these Common Shares may be exercised.</w:t>
      </w:r>
    </w:p>
    <w:p>
      <w:pPr>
        <w:sectPr>
          <w:pgSz w:w="11900" w:h="16838" w:orient="portrait"/>
          <w:cols w:equalWidth="0" w:num="1">
            <w:col w:w="9679"/>
          </w:cols>
          <w:pgMar w:left="780" w:top="142"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The Annual Report on Form 10-K for the fiscal year ended September 30, 1995 of The Scotts Company (the "Registrant") and all other reports filed with the Securities and Exchange Commission (the "Commission") pursuant to the requirements of Section 13(a) or Section 15(d) of the Securities Exchange Act of 1934, as amended (the "Exchange Act"), since that date are hereby incorporated by reference.</w:t>
      </w:r>
    </w:p>
    <w:p>
      <w:pPr>
        <w:spacing w:after="0" w:line="210"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The description of the Registrant's Common Shares contained in the Registrant's Registration Statement on Form 8-A (File No. 1-11593) filed with the Commission on December 21, 1995, which incorporates by reference the description of such Common Shares contained in the Registrant's Proxy Statement/Prospectus dated March 15, 1995, contained in the Registrant's Registration Statement on Form S-4 (Registration No. 33-57575), or contained in any subsequent amendment or report filed for the purpose of updating such description, is hereby incorporated by reference.</w:t>
      </w:r>
    </w:p>
    <w:p>
      <w:pPr>
        <w:spacing w:after="0" w:line="212"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Any definitive Proxy Statement or Information Statement filed pursuant to Section 14 of the Exchange Act and all documents which may be filed with the Commission pursuant to Sections 13, 14 or 15(d) of the Exchange Act subsequent to the date hereof and prior to the completion of the offering contemplated hereby, shall also be deemed to be incorporated herein by reference and to be made a part hereof from the date of filing of such documents; provided, however, that no report of the Compensation and Organization Committee of the Board of Directors of the Registrant on executive compensation and no performance graph included in any Proxy Statement or Information Statement filed pursuant to Section 14 of the Exchange Act shall be deemed to be incorporated herein by reference.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ARTICLE FIVE of the Regulations of the Registrant governs the indemnification of officers and directors of the Registrant. ARTICLE FIVE provides:</w:t>
      </w:r>
    </w:p>
    <w:p>
      <w:pPr>
        <w:spacing w:after="0" w:line="209" w:lineRule="exact"/>
        <w:rPr>
          <w:sz w:val="20"/>
          <w:szCs w:val="20"/>
          <w:color w:val="auto"/>
        </w:rPr>
      </w:pPr>
    </w:p>
    <w:p>
      <w:pPr>
        <w:jc w:val="both"/>
        <w:ind w:left="640" w:right="1999" w:firstLine="632"/>
        <w:spacing w:after="0" w:line="269"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393" w:lineRule="exact"/>
        <w:rPr>
          <w:sz w:val="20"/>
          <w:szCs w:val="20"/>
          <w:color w:val="auto"/>
        </w:rPr>
      </w:pPr>
    </w:p>
    <w:p>
      <w:pPr>
        <w:jc w:val="both"/>
        <w:ind w:left="640" w:right="1999" w:firstLine="527"/>
        <w:spacing w:after="0" w:line="235"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ectPr>
          <w:pgSz w:w="11900" w:h="16838" w:orient="portrait"/>
          <w:cols w:equalWidth="0" w:num="1">
            <w:col w:w="10219"/>
          </w:cols>
          <w:pgMar w:left="240" w:top="514" w:right="1440" w:bottom="0" w:gutter="0" w:footer="0" w:header="0"/>
        </w:sectPr>
      </w:pPr>
    </w:p>
    <w:bookmarkStart w:id="3" w:name="page4"/>
    <w:bookmarkEnd w:id="3"/>
    <w:p>
      <w:pPr>
        <w:jc w:val="both"/>
        <w:ind w:right="1999" w:firstLine="632"/>
        <w:spacing w:after="0" w:line="238"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09" w:lineRule="exact"/>
        <w:rPr>
          <w:rFonts w:ascii="Courier New" w:cs="Courier New" w:eastAsia="Courier New" w:hAnsi="Courier New"/>
          <w:sz w:val="18"/>
          <w:szCs w:val="18"/>
          <w:color w:val="auto"/>
        </w:rPr>
      </w:pPr>
    </w:p>
    <w:p>
      <w:pPr>
        <w:jc w:val="both"/>
        <w:ind w:right="1999" w:firstLine="632"/>
        <w:spacing w:after="0" w:line="236" w:lineRule="auto"/>
        <w:tabs>
          <w:tab w:leader="none" w:pos="115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209"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388" w:lineRule="exact"/>
        <w:rPr>
          <w:sz w:val="20"/>
          <w:szCs w:val="20"/>
          <w:color w:val="auto"/>
        </w:rPr>
      </w:pPr>
    </w:p>
    <w:p>
      <w:pPr>
        <w:jc w:val="both"/>
        <w:ind w:right="1999" w:firstLine="632"/>
        <w:spacing w:after="0" w:line="268"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w:t>
      </w:r>
    </w:p>
    <w:p>
      <w:pPr>
        <w:spacing w:after="0" w:line="1" w:lineRule="exact"/>
        <w:rPr>
          <w:sz w:val="20"/>
          <w:szCs w:val="20"/>
          <w:color w:val="auto"/>
        </w:rPr>
      </w:pPr>
    </w:p>
    <w:p>
      <w:pPr>
        <w:jc w:val="both"/>
        <w:ind w:right="1999"/>
        <w:spacing w:after="0" w:line="269"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w:t>
      </w:r>
    </w:p>
    <w:p>
      <w:pPr>
        <w:spacing w:after="0" w:line="193" w:lineRule="exact"/>
        <w:rPr>
          <w:sz w:val="20"/>
          <w:szCs w:val="20"/>
          <w:color w:val="auto"/>
        </w:rPr>
      </w:pPr>
    </w:p>
    <w:p>
      <w:pPr>
        <w:jc w:val="both"/>
        <w:ind w:right="1999"/>
        <w:spacing w:after="0" w:line="238"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7"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w:t>
      </w:r>
    </w:p>
    <w:p>
      <w:pPr>
        <w:sectPr>
          <w:pgSz w:w="11900" w:h="16838" w:orient="portrait"/>
          <w:cols w:equalWidth="0" w:num="1">
            <w:col w:w="9579"/>
          </w:cols>
          <w:pgMar w:left="880" w:top="344" w:right="1440" w:bottom="0" w:gutter="0" w:footer="0" w:header="0"/>
        </w:sectPr>
      </w:pPr>
    </w:p>
    <w:bookmarkStart w:id="4" w:name="page5"/>
    <w:bookmarkEnd w:id="4"/>
    <w:p>
      <w:pPr>
        <w:jc w:val="both"/>
        <w:ind w:right="1999"/>
        <w:spacing w:after="0" w:line="236" w:lineRule="auto"/>
        <w:rPr>
          <w:sz w:val="20"/>
          <w:szCs w:val="20"/>
          <w:color w:val="auto"/>
        </w:rPr>
      </w:pPr>
      <w:r>
        <w:rPr>
          <w:rFonts w:ascii="Courier New" w:cs="Courier New" w:eastAsia="Courier New" w:hAnsi="Courier New"/>
          <w:sz w:val="18"/>
          <w:szCs w:val="18"/>
          <w:color w:val="auto"/>
        </w:rPr>
        <w:t>writing, to repay all amounts so paid in respect of any claim, issue or other matter asserted in such action, suit or proceeding in defense of which he shall not have been successful on the merits or otherwise:</w:t>
      </w:r>
    </w:p>
    <w:p>
      <w:pPr>
        <w:sectPr>
          <w:pgSz w:w="11900" w:h="16838" w:orient="portrait"/>
          <w:cols w:equalWidth="0" w:num="1">
            <w:col w:w="9579"/>
          </w:cols>
          <w:pgMar w:left="880" w:top="142" w:right="1440" w:bottom="0" w:gutter="0" w:footer="0" w:header="0"/>
        </w:sectPr>
      </w:pPr>
    </w:p>
    <w:p>
      <w:pPr>
        <w:spacing w:after="0" w:line="209" w:lineRule="exact"/>
        <w:rPr>
          <w:sz w:val="20"/>
          <w:szCs w:val="20"/>
          <w:color w:val="auto"/>
        </w:rPr>
      </w:pPr>
    </w:p>
    <w:p>
      <w:pPr>
        <w:ind w:firstLine="632"/>
        <w:spacing w:after="0" w:line="279" w:lineRule="auto"/>
        <w:tabs>
          <w:tab w:leader="none" w:pos="105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shall ultimately 5.04 that he is not entitled to be provided under Section 5.01; 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right"/>
        <w:ind w:right="1999"/>
        <w:spacing w:after="0" w:line="290" w:lineRule="auto"/>
        <w:rPr>
          <w:sz w:val="20"/>
          <w:szCs w:val="20"/>
          <w:color w:val="auto"/>
        </w:rPr>
      </w:pPr>
      <w:r>
        <w:rPr>
          <w:rFonts w:ascii="Courier New" w:cs="Courier New" w:eastAsia="Courier New" w:hAnsi="Courier New"/>
          <w:sz w:val="16"/>
          <w:szCs w:val="16"/>
          <w:color w:val="auto"/>
        </w:rPr>
        <w:t>be  determined as provided in Section indemnified  by the  corporation  as</w:t>
      </w:r>
    </w:p>
    <w:p>
      <w:pPr>
        <w:spacing w:after="0" w:line="372" w:lineRule="exact"/>
        <w:rPr>
          <w:sz w:val="20"/>
          <w:szCs w:val="20"/>
          <w:color w:val="auto"/>
        </w:rPr>
      </w:pPr>
    </w:p>
    <w:p>
      <w:pPr>
        <w:sectPr>
          <w:pgSz w:w="11900" w:h="16838" w:orient="portrait"/>
          <w:cols w:equalWidth="0" w:num="2">
            <w:col w:w="3580" w:space="100"/>
            <w:col w:w="5899"/>
          </w:cols>
          <w:pgMar w:left="880" w:top="142" w:right="1440" w:bottom="0" w:gutter="0" w:footer="0" w:header="0"/>
          <w:type w:val="continuous"/>
        </w:sectPr>
      </w:pPr>
    </w:p>
    <w:p>
      <w:pPr>
        <w:jc w:val="both"/>
        <w:ind w:right="1999" w:firstLine="632"/>
        <w:spacing w:after="0" w:line="237"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15"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15"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02" w:lineRule="exact"/>
        <w:rPr>
          <w:sz w:val="20"/>
          <w:szCs w:val="20"/>
          <w:color w:val="auto"/>
        </w:rPr>
      </w:pPr>
    </w:p>
    <w:p>
      <w:pPr>
        <w:ind w:left="640"/>
        <w:spacing w:after="0"/>
        <w:tabs>
          <w:tab w:leader="none" w:pos="2200" w:val="left"/>
          <w:tab w:leader="none" w:pos="3140" w:val="left"/>
          <w:tab w:leader="none" w:pos="4620" w:val="left"/>
          <w:tab w:leader="none" w:pos="5140" w:val="left"/>
          <w:tab w:leader="none" w:pos="6200" w:val="left"/>
        </w:tabs>
        <w:rPr>
          <w:sz w:val="20"/>
          <w:szCs w:val="20"/>
          <w:color w:val="auto"/>
        </w:rPr>
      </w:pPr>
      <w:r>
        <w:rPr>
          <w:rFonts w:ascii="Courier New" w:cs="Courier New" w:eastAsia="Courier New" w:hAnsi="Courier New"/>
          <w:sz w:val="18"/>
          <w:szCs w:val="18"/>
          <w:color w:val="auto"/>
        </w:rPr>
        <w:t>SECTION 5.08.</w:t>
        <w:tab/>
        <w:t>CERTAIN</w:t>
        <w:tab/>
        <w:t>DEFINITIONS.</w:t>
        <w:tab/>
        <w:t>For</w:t>
        <w:tab/>
        <w:t>purposes</w:t>
      </w:r>
      <w:r>
        <w:rPr>
          <w:sz w:val="20"/>
          <w:szCs w:val="20"/>
          <w:color w:val="auto"/>
        </w:rPr>
        <w:tab/>
      </w:r>
      <w:r>
        <w:rPr>
          <w:rFonts w:ascii="Courier New" w:cs="Courier New" w:eastAsia="Courier New" w:hAnsi="Courier New"/>
          <w:sz w:val="16"/>
          <w:szCs w:val="16"/>
          <w:color w:val="auto"/>
        </w:rPr>
        <w:t>of this</w:t>
      </w:r>
    </w:p>
    <w:p>
      <w:pPr>
        <w:spacing w:after="0" w:line="238" w:lineRule="auto"/>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207" w:lineRule="exact"/>
        <w:rPr>
          <w:sz w:val="20"/>
          <w:szCs w:val="20"/>
          <w:color w:val="auto"/>
        </w:rPr>
      </w:pPr>
    </w:p>
    <w:p>
      <w:pPr>
        <w:jc w:val="both"/>
        <w:ind w:right="1999" w:firstLine="632"/>
        <w:spacing w:after="0" w:line="237"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15" w:lineRule="exact"/>
        <w:rPr>
          <w:rFonts w:ascii="Courier New" w:cs="Courier New" w:eastAsia="Courier New" w:hAnsi="Courier New"/>
          <w:sz w:val="18"/>
          <w:szCs w:val="18"/>
          <w:color w:val="auto"/>
        </w:rPr>
      </w:pPr>
    </w:p>
    <w:p>
      <w:pPr>
        <w:jc w:val="both"/>
        <w:ind w:right="1999" w:firstLine="632"/>
        <w:spacing w:after="0" w:line="238" w:lineRule="auto"/>
        <w:tabs>
          <w:tab w:leader="none" w:pos="115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ectPr>
          <w:pgSz w:w="11900" w:h="16838" w:orient="portrait"/>
          <w:cols w:equalWidth="0" w:num="1">
            <w:col w:w="9579"/>
          </w:cols>
          <w:pgMar w:left="880" w:top="142" w:right="1440" w:bottom="0" w:gutter="0" w:footer="0" w:header="0"/>
          <w:type w:val="continuous"/>
        </w:sectPr>
      </w:pPr>
    </w:p>
    <w:bookmarkStart w:id="5" w:name="page6"/>
    <w:bookmarkEnd w:id="5"/>
    <w:p>
      <w:pPr>
        <w:ind w:right="1999" w:firstLine="1264"/>
        <w:spacing w:after="0" w:line="235" w:lineRule="auto"/>
        <w:rPr>
          <w:sz w:val="20"/>
          <w:szCs w:val="20"/>
          <w:color w:val="auto"/>
        </w:rPr>
      </w:pPr>
      <w:r>
        <w:rPr>
          <w:rFonts w:ascii="Courier New" w:cs="Courier New" w:eastAsia="Courier New" w:hAnsi="Courier New"/>
          <w:sz w:val="18"/>
          <w:szCs w:val="18"/>
          <w:color w:val="auto"/>
        </w:rPr>
        <w:t>Division (E) of Section 1701.13 of the Ohio Revised Code addresses indemnification by an Ohio corporation and provides as follows:</w:t>
      </w:r>
    </w:p>
    <w:p>
      <w:pPr>
        <w:spacing w:after="0" w:line="208" w:lineRule="exact"/>
        <w:rPr>
          <w:sz w:val="20"/>
          <w:szCs w:val="20"/>
          <w:color w:val="auto"/>
        </w:rPr>
      </w:pPr>
    </w:p>
    <w:p>
      <w:pPr>
        <w:jc w:val="both"/>
        <w:ind w:left="640" w:right="1999" w:firstLine="632"/>
        <w:spacing w:after="0" w:line="269"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93" w:lineRule="exact"/>
        <w:rPr>
          <w:sz w:val="20"/>
          <w:szCs w:val="20"/>
          <w:color w:val="auto"/>
        </w:rPr>
      </w:pPr>
    </w:p>
    <w:p>
      <w:pPr>
        <w:jc w:val="both"/>
        <w:ind w:left="640" w:right="1999" w:firstLine="632"/>
        <w:spacing w:after="0" w:line="238" w:lineRule="auto"/>
        <w:tabs>
          <w:tab w:leader="none" w:pos="169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08" w:lineRule="exact"/>
        <w:rPr>
          <w:sz w:val="20"/>
          <w:szCs w:val="20"/>
          <w:color w:val="auto"/>
        </w:rPr>
      </w:pPr>
    </w:p>
    <w:p>
      <w:pPr>
        <w:jc w:val="both"/>
        <w:ind w:left="640" w:right="1999" w:firstLine="632"/>
        <w:spacing w:after="0" w:line="271" w:lineRule="auto"/>
        <w:tabs>
          <w:tab w:leader="none" w:pos="169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5" w:lineRule="exact"/>
        <w:rPr>
          <w:rFonts w:ascii="Courier New" w:cs="Courier New" w:eastAsia="Courier New" w:hAnsi="Courier New"/>
          <w:sz w:val="16"/>
          <w:szCs w:val="16"/>
          <w:color w:val="auto"/>
        </w:rPr>
      </w:pPr>
    </w:p>
    <w:p>
      <w:pPr>
        <w:ind w:left="640" w:right="1999" w:firstLine="632"/>
        <w:spacing w:after="0" w:line="235" w:lineRule="auto"/>
        <w:tabs>
          <w:tab w:leader="none" w:pos="16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8" w:lineRule="exact"/>
        <w:rPr>
          <w:sz w:val="20"/>
          <w:szCs w:val="20"/>
          <w:color w:val="auto"/>
        </w:rPr>
      </w:pPr>
    </w:p>
    <w:p>
      <w:pPr>
        <w:jc w:val="both"/>
        <w:ind w:left="640" w:right="1999" w:firstLine="632"/>
        <w:spacing w:after="0" w:line="237"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11" w:lineRule="exact"/>
        <w:rPr>
          <w:rFonts w:ascii="Courier New" w:cs="Courier New" w:eastAsia="Courier New" w:hAnsi="Courier New"/>
          <w:sz w:val="18"/>
          <w:szCs w:val="18"/>
          <w:color w:val="auto"/>
        </w:rPr>
      </w:pPr>
    </w:p>
    <w:p>
      <w:pPr>
        <w:jc w:val="both"/>
        <w:ind w:left="640" w:right="1999" w:firstLine="632"/>
        <w:spacing w:after="0" w:line="237" w:lineRule="auto"/>
        <w:tabs>
          <w:tab w:leader="none" w:pos="179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Such determination shall be made as follows:</w:t>
      </w:r>
    </w:p>
    <w:p>
      <w:pPr>
        <w:spacing w:after="0" w:line="207" w:lineRule="exact"/>
        <w:rPr>
          <w:sz w:val="20"/>
          <w:szCs w:val="20"/>
          <w:color w:val="auto"/>
        </w:rPr>
      </w:pPr>
    </w:p>
    <w:p>
      <w:pPr>
        <w:jc w:val="both"/>
        <w:ind w:left="640" w:right="1999" w:firstLine="632"/>
        <w:spacing w:after="0" w:line="237" w:lineRule="auto"/>
        <w:tabs>
          <w:tab w:leader="none" w:pos="16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207" w:lineRule="exact"/>
        <w:rPr>
          <w:rFonts w:ascii="Courier New" w:cs="Courier New" w:eastAsia="Courier New" w:hAnsi="Courier New"/>
          <w:sz w:val="18"/>
          <w:szCs w:val="18"/>
          <w:color w:val="auto"/>
        </w:rPr>
      </w:pPr>
    </w:p>
    <w:p>
      <w:pPr>
        <w:jc w:val="both"/>
        <w:ind w:left="640" w:right="1999" w:firstLine="632"/>
        <w:spacing w:after="0" w:line="290" w:lineRule="auto"/>
        <w:tabs>
          <w:tab w:leader="none" w:pos="169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quorum described in division (E)(4)(a) of this section is not obtainable or if a majority vote of a quorum of disinterested</w:t>
      </w:r>
    </w:p>
    <w:p>
      <w:pPr>
        <w:sectPr>
          <w:pgSz w:w="11900" w:h="16838" w:orient="portrait"/>
          <w:cols w:equalWidth="0" w:num="1">
            <w:col w:w="10219"/>
          </w:cols>
          <w:pgMar w:left="240" w:top="344" w:right="1440" w:bottom="0" w:gutter="0" w:footer="0" w:header="0"/>
        </w:sectPr>
      </w:pPr>
    </w:p>
    <w:bookmarkStart w:id="6" w:name="page7"/>
    <w:bookmarkEnd w:id="6"/>
    <w:p>
      <w:pPr>
        <w:jc w:val="both"/>
        <w:ind w:right="1999"/>
        <w:spacing w:after="0" w:line="275" w:lineRule="auto"/>
        <w:rPr>
          <w:sz w:val="20"/>
          <w:szCs w:val="20"/>
          <w:color w:val="auto"/>
        </w:rPr>
      </w:pPr>
      <w:r>
        <w:rPr>
          <w:rFonts w:ascii="Courier New" w:cs="Courier New" w:eastAsia="Courier New" w:hAnsi="Courier New"/>
          <w:sz w:val="16"/>
          <w:szCs w:val="16"/>
          <w:color w:val="auto"/>
        </w:rPr>
        <w:t>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77" w:lineRule="exact"/>
        <w:rPr>
          <w:sz w:val="20"/>
          <w:szCs w:val="20"/>
          <w:color w:val="auto"/>
        </w:rPr>
      </w:pPr>
    </w:p>
    <w:p>
      <w:pPr>
        <w:ind w:left="1260" w:hanging="628"/>
        <w:spacing w:after="0"/>
        <w:tabs>
          <w:tab w:leader="none" w:pos="12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6" w:lineRule="exact"/>
        <w:rPr>
          <w:rFonts w:ascii="Courier New" w:cs="Courier New" w:eastAsia="Courier New" w:hAnsi="Courier New"/>
          <w:sz w:val="18"/>
          <w:szCs w:val="18"/>
          <w:color w:val="auto"/>
        </w:rPr>
      </w:pPr>
    </w:p>
    <w:p>
      <w:pPr>
        <w:jc w:val="both"/>
        <w:ind w:right="1999" w:firstLine="632"/>
        <w:spacing w:after="0" w:line="236"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court of common pleas or the court in which the action, suit, or proceeding referred to in division (E)(1) or (2) of this section was brought.</w:t>
      </w:r>
    </w:p>
    <w:p>
      <w:pPr>
        <w:spacing w:after="0" w:line="209"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86" w:lineRule="exact"/>
        <w:rPr>
          <w:sz w:val="20"/>
          <w:szCs w:val="20"/>
          <w:color w:val="auto"/>
        </w:rPr>
      </w:pPr>
    </w:p>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389" w:lineRule="exact"/>
        <w:rPr>
          <w:sz w:val="20"/>
          <w:szCs w:val="20"/>
          <w:color w:val="auto"/>
        </w:rPr>
      </w:pPr>
    </w:p>
    <w:p>
      <w:pPr>
        <w:jc w:val="both"/>
        <w:ind w:right="1999" w:firstLine="632"/>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203" w:lineRule="exact"/>
        <w:rPr>
          <w:rFonts w:ascii="Courier New" w:cs="Courier New" w:eastAsia="Courier New" w:hAnsi="Courier New"/>
          <w:sz w:val="18"/>
          <w:szCs w:val="18"/>
          <w:color w:val="auto"/>
        </w:rPr>
      </w:pPr>
    </w:p>
    <w:p>
      <w:pPr>
        <w:ind w:left="1260" w:hanging="628"/>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cooperate with the corporation  concerning</w:t>
      </w:r>
    </w:p>
    <w:p>
      <w:pPr>
        <w:spacing w:after="0" w:line="238" w:lineRule="auto"/>
        <w:rPr>
          <w:sz w:val="20"/>
          <w:szCs w:val="20"/>
          <w:color w:val="auto"/>
        </w:rPr>
      </w:pPr>
      <w:r>
        <w:rPr>
          <w:rFonts w:ascii="Courier New" w:cs="Courier New" w:eastAsia="Courier New" w:hAnsi="Courier New"/>
          <w:sz w:val="18"/>
          <w:szCs w:val="18"/>
          <w:color w:val="auto"/>
        </w:rPr>
        <w:t>the action, suit, or proceeding.</w:t>
      </w:r>
    </w:p>
    <w:p>
      <w:pPr>
        <w:spacing w:after="0" w:line="207" w:lineRule="exact"/>
        <w:rPr>
          <w:sz w:val="20"/>
          <w:szCs w:val="20"/>
          <w:color w:val="auto"/>
        </w:rPr>
      </w:pPr>
    </w:p>
    <w:p>
      <w:pPr>
        <w:jc w:val="both"/>
        <w:ind w:right="1999" w:firstLine="632"/>
        <w:spacing w:after="0" w:line="271" w:lineRule="auto"/>
        <w:tabs>
          <w:tab w:leader="none" w:pos="105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4" w:lineRule="exact"/>
        <w:rPr>
          <w:sz w:val="20"/>
          <w:szCs w:val="20"/>
          <w:color w:val="auto"/>
        </w:rPr>
      </w:pPr>
    </w:p>
    <w:p>
      <w:pPr>
        <w:jc w:val="both"/>
        <w:ind w:right="1999" w:firstLine="632"/>
        <w:spacing w:after="0" w:line="271" w:lineRule="auto"/>
        <w:tabs>
          <w:tab w:leader="none" w:pos="10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3" w:lineRule="exact"/>
        <w:rPr>
          <w:rFonts w:ascii="Courier New" w:cs="Courier New" w:eastAsia="Courier New" w:hAnsi="Courier New"/>
          <w:sz w:val="16"/>
          <w:szCs w:val="16"/>
          <w:color w:val="auto"/>
        </w:rPr>
      </w:pPr>
    </w:p>
    <w:p>
      <w:pPr>
        <w:jc w:val="both"/>
        <w:ind w:right="1999" w:firstLine="632"/>
        <w:spacing w:after="0" w:line="270" w:lineRule="auto"/>
        <w:tabs>
          <w:tab w:leader="none" w:pos="10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89" w:lineRule="exact"/>
        <w:rPr>
          <w:rFonts w:ascii="Courier New" w:cs="Courier New" w:eastAsia="Courier New" w:hAnsi="Courier New"/>
          <w:sz w:val="16"/>
          <w:szCs w:val="16"/>
          <w:color w:val="auto"/>
        </w:rPr>
      </w:pPr>
    </w:p>
    <w:p>
      <w:pPr>
        <w:jc w:val="both"/>
        <w:ind w:right="1999" w:firstLine="632"/>
        <w:spacing w:after="0" w:line="237"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of a corporation to indemnify persons pursuant to division (E)(1) or (2) of this section does not limit the payment of expenses as they are incurred, indemnification, insurance, or other protection that may be provided pursuant to divisions (E)(5), (6), and</w:t>
      </w:r>
    </w:p>
    <w:p>
      <w:pPr>
        <w:sectPr>
          <w:pgSz w:w="11900" w:h="16838" w:orient="portrait"/>
          <w:cols w:equalWidth="0" w:num="1">
            <w:col w:w="9579"/>
          </w:cols>
          <w:pgMar w:left="880" w:top="142" w:right="1440" w:bottom="0" w:gutter="0" w:footer="0" w:header="0"/>
        </w:sectPr>
      </w:pPr>
    </w:p>
    <w:bookmarkStart w:id="7" w:name="page8"/>
    <w:bookmarkEnd w:id="7"/>
    <w:p>
      <w:pPr>
        <w:jc w:val="both"/>
        <w:ind w:left="640" w:right="1999"/>
        <w:spacing w:after="0" w:line="236" w:lineRule="auto"/>
        <w:tabs>
          <w:tab w:leader="none" w:pos="106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Divisions (E)(1) and (2) of this section do not create any obligation to repay or return payments made by the corporation pursuant to division (E)(5), (6), or (7).</w:t>
      </w:r>
    </w:p>
    <w:p>
      <w:pPr>
        <w:spacing w:after="0" w:line="208" w:lineRule="exact"/>
        <w:rPr>
          <w:rFonts w:ascii="Courier New" w:cs="Courier New" w:eastAsia="Courier New" w:hAnsi="Courier New"/>
          <w:sz w:val="18"/>
          <w:szCs w:val="18"/>
          <w:color w:val="auto"/>
        </w:rPr>
      </w:pPr>
    </w:p>
    <w:p>
      <w:pPr>
        <w:jc w:val="both"/>
        <w:ind w:left="640" w:right="1999" w:firstLine="632"/>
        <w:spacing w:after="0" w:line="238" w:lineRule="auto"/>
        <w:tabs>
          <w:tab w:leader="none" w:pos="169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The Registrant has purchased insurance coverage under a policy which insures directors and officers against certain liabilities which might be incurred by them in such capacity.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See the Index to Exhibits attached hereto and beginning at page II-13 (page 15 as sequentially numbered).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900" w:right="1999" w:hanging="628"/>
        <w:spacing w:after="0" w:line="235" w:lineRule="auto"/>
        <w:tabs>
          <w:tab w:leader="none" w:pos="190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jc w:val="both"/>
        <w:ind w:left="1900" w:right="1999" w:hanging="628"/>
        <w:spacing w:after="0" w:line="237" w:lineRule="auto"/>
        <w:tabs>
          <w:tab w:leader="none" w:pos="190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9" w:lineRule="exact"/>
        <w:rPr>
          <w:rFonts w:ascii="Courier New" w:cs="Courier New" w:eastAsia="Courier New" w:hAnsi="Courier New"/>
          <w:sz w:val="18"/>
          <w:szCs w:val="18"/>
          <w:color w:val="auto"/>
        </w:rPr>
      </w:pPr>
    </w:p>
    <w:p>
      <w:pPr>
        <w:jc w:val="both"/>
        <w:ind w:left="1900" w:right="1999" w:hanging="628"/>
        <w:spacing w:after="0" w:line="237" w:lineRule="auto"/>
        <w:tabs>
          <w:tab w:leader="none" w:pos="190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jc w:val="both"/>
        <w:ind w:left="1280" w:right="199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jc w:val="both"/>
        <w:ind w:left="1280" w:right="1999" w:hanging="640"/>
        <w:spacing w:after="0" w:line="237"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jc w:val="both"/>
        <w:ind w:left="1280" w:right="1999" w:hanging="640"/>
        <w:spacing w:after="0" w:line="236"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640" w:right="1999" w:hanging="632"/>
        <w:spacing w:after="0" w:line="237"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w:t>
      </w:r>
    </w:p>
    <w:p>
      <w:pPr>
        <w:sectPr>
          <w:pgSz w:w="11900" w:h="16838" w:orient="portrait"/>
          <w:cols w:equalWidth="0" w:num="1">
            <w:col w:w="10219"/>
          </w:cols>
          <w:pgMar w:left="240" w:top="142" w:right="1440" w:bottom="0" w:gutter="0" w:footer="0" w:header="0"/>
        </w:sectPr>
      </w:pPr>
    </w:p>
    <w:bookmarkStart w:id="8" w:name="page9"/>
    <w:bookmarkEnd w:id="8"/>
    <w:p>
      <w:pPr>
        <w:jc w:val="both"/>
        <w:ind w:right="1999"/>
        <w:spacing w:after="0" w:line="238" w:lineRule="auto"/>
        <w:rPr>
          <w:sz w:val="20"/>
          <w:szCs w:val="20"/>
          <w:color w:val="auto"/>
        </w:rPr>
      </w:pPr>
      <w:r>
        <w:rPr>
          <w:rFonts w:ascii="Courier New" w:cs="Courier New" w:eastAsia="Courier New" w:hAnsi="Courier New"/>
          <w:sz w:val="18"/>
          <w:szCs w:val="18"/>
          <w:color w:val="auto"/>
        </w:rPr>
        <w:t>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579"/>
          </w:cols>
          <w:pgMar w:left="880" w:top="142"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29th day of December, 1995.</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 Theodore J. Host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Theodore J. Host, President and</w:t>
      </w:r>
    </w:p>
    <w:p>
      <w:pPr>
        <w:jc w:val="center"/>
        <w:ind w:left="134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ind w:firstLine="1264"/>
        <w:spacing w:after="0" w:line="279" w:lineRule="auto"/>
        <w:rPr>
          <w:sz w:val="20"/>
          <w:szCs w:val="20"/>
          <w:color w:val="auto"/>
        </w:rPr>
      </w:pPr>
      <w:r>
        <w:rPr>
          <w:rFonts w:ascii="Courier New" w:cs="Courier New" w:eastAsia="Courier New" w:hAnsi="Courier New"/>
          <w:sz w:val="16"/>
          <w:szCs w:val="16"/>
          <w:color w:val="auto"/>
        </w:rPr>
        <w:t>Pursuant to the requirements Registration Statement has been signed capacities indicated on December 29, 1995.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999"/>
        <w:spacing w:after="0" w:line="290" w:lineRule="auto"/>
        <w:rPr>
          <w:sz w:val="20"/>
          <w:szCs w:val="20"/>
          <w:color w:val="auto"/>
        </w:rPr>
      </w:pPr>
      <w:r>
        <w:rPr>
          <w:rFonts w:ascii="Courier New" w:cs="Courier New" w:eastAsia="Courier New" w:hAnsi="Courier New"/>
          <w:sz w:val="16"/>
          <w:szCs w:val="16"/>
          <w:color w:val="auto"/>
        </w:rPr>
        <w:t>of the Securities Act of 1933, this by the  following  persons  in the</w:t>
      </w:r>
    </w:p>
    <w:p>
      <w:pPr>
        <w:spacing w:after="0" w:line="367" w:lineRule="exact"/>
        <w:rPr>
          <w:sz w:val="20"/>
          <w:szCs w:val="20"/>
          <w:color w:val="auto"/>
        </w:rPr>
      </w:pPr>
    </w:p>
    <w:p>
      <w:pPr>
        <w:sectPr>
          <w:pgSz w:w="11900" w:h="16838" w:orient="portrait"/>
          <w:cols w:equalWidth="0" w:num="2">
            <w:col w:w="4440" w:space="100"/>
            <w:col w:w="5679"/>
          </w:cols>
          <w:pgMar w:left="240" w:top="717" w:right="1440" w:bottom="0" w:gutter="0" w:footer="0" w:header="0"/>
          <w:type w:val="continuous"/>
        </w:sectPr>
      </w:pPr>
    </w:p>
    <w:p>
      <w:pPr>
        <w:spacing w:after="0"/>
        <w:tabs>
          <w:tab w:leader="none" w:pos="48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James B Beard*</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Beard</w:t>
      </w:r>
    </w:p>
    <w:p>
      <w:pPr>
        <w:spacing w:after="0" w:line="200" w:lineRule="exact"/>
        <w:rPr>
          <w:sz w:val="20"/>
          <w:szCs w:val="20"/>
          <w:color w:val="auto"/>
        </w:rPr>
      </w:pPr>
    </w:p>
    <w:p>
      <w:pPr>
        <w:spacing w:after="0" w:line="204"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John S. Chamberlin*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John S. Chamberlin</w:t>
      </w:r>
    </w:p>
    <w:p>
      <w:pPr>
        <w:spacing w:after="0" w:line="200" w:lineRule="exact"/>
        <w:rPr>
          <w:sz w:val="20"/>
          <w:szCs w:val="20"/>
          <w:color w:val="auto"/>
        </w:rPr>
      </w:pPr>
    </w:p>
    <w:p>
      <w:pPr>
        <w:spacing w:after="0" w:line="203"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Joseph P. Flannery*</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Joseph P. Flannery</w:t>
      </w:r>
    </w:p>
    <w:p>
      <w:pPr>
        <w:spacing w:after="0" w:line="20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Horace Hagedorn</w:t>
      </w:r>
    </w:p>
    <w:p>
      <w:pPr>
        <w:spacing w:after="0" w:line="20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line="203"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 Theodore J. Host</w:t>
      </w:r>
      <w:r>
        <w:rPr>
          <w:sz w:val="20"/>
          <w:szCs w:val="20"/>
          <w:color w:val="auto"/>
        </w:rPr>
        <w:tab/>
      </w:r>
      <w:r>
        <w:rPr>
          <w:rFonts w:ascii="Courier New" w:cs="Courier New" w:eastAsia="Courier New" w:hAnsi="Courier New"/>
          <w:sz w:val="16"/>
          <w:szCs w:val="16"/>
          <w:color w:val="auto"/>
        </w:rPr>
        <w:t>President, Chief Executive</w:t>
      </w:r>
    </w:p>
    <w:p>
      <w:pPr>
        <w:ind w:left="4860"/>
        <w:spacing w:after="0" w:line="238" w:lineRule="auto"/>
        <w:rPr>
          <w:sz w:val="20"/>
          <w:szCs w:val="20"/>
          <w:color w:val="auto"/>
        </w:rPr>
      </w:pPr>
      <w:r>
        <w:rPr>
          <w:rFonts w:ascii="Courier New" w:cs="Courier New" w:eastAsia="Courier New" w:hAnsi="Courier New"/>
          <w:sz w:val="18"/>
          <w:szCs w:val="18"/>
          <w:color w:val="auto"/>
        </w:rPr>
        <w:t>Officer and Director</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Theodore J. Host</w:t>
      </w:r>
    </w:p>
    <w:p>
      <w:pPr>
        <w:spacing w:after="0" w:line="20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Theodore J. Host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Theodore J. Host</w:t>
      </w:r>
    </w:p>
    <w:p>
      <w:pPr>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Karen Gordon Mills*</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Karen Gordon Mills</w:t>
      </w:r>
    </w:p>
    <w:p>
      <w:pPr>
        <w:spacing w:after="0" w:line="200" w:lineRule="exact"/>
        <w:rPr>
          <w:sz w:val="20"/>
          <w:szCs w:val="20"/>
          <w:color w:val="auto"/>
        </w:rPr>
      </w:pPr>
    </w:p>
    <w:p>
      <w:pPr>
        <w:spacing w:after="0" w:line="203"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Tadd C. Seitz*</w:t>
      </w:r>
      <w:r>
        <w:rPr>
          <w:sz w:val="20"/>
          <w:szCs w:val="20"/>
          <w:color w:val="auto"/>
        </w:rPr>
        <w:tab/>
      </w:r>
      <w:r>
        <w:rPr>
          <w:rFonts w:ascii="Courier New" w:cs="Courier New" w:eastAsia="Courier New" w:hAnsi="Courier New"/>
          <w:sz w:val="16"/>
          <w:szCs w:val="16"/>
          <w:color w:val="auto"/>
        </w:rPr>
        <w:t>Chairman of the Board and</w:t>
      </w:r>
    </w:p>
    <w:p>
      <w:pPr>
        <w:spacing w:after="0"/>
        <w:tabs>
          <w:tab w:leader="none" w:pos="5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Director</w:t>
      </w:r>
    </w:p>
    <w:p>
      <w:pPr>
        <w:spacing w:after="0"/>
        <w:rPr>
          <w:sz w:val="20"/>
          <w:szCs w:val="20"/>
          <w:color w:val="auto"/>
        </w:rPr>
      </w:pPr>
      <w:r>
        <w:rPr>
          <w:rFonts w:ascii="Courier New" w:cs="Courier New" w:eastAsia="Courier New" w:hAnsi="Courier New"/>
          <w:sz w:val="18"/>
          <w:szCs w:val="18"/>
          <w:color w:val="auto"/>
        </w:rPr>
        <w:t>Tadd C. Seitz</w:t>
      </w:r>
    </w:p>
    <w:p>
      <w:pPr>
        <w:spacing w:after="0" w:line="200" w:lineRule="exact"/>
        <w:rPr>
          <w:sz w:val="20"/>
          <w:szCs w:val="20"/>
          <w:color w:val="auto"/>
        </w:rPr>
      </w:pPr>
    </w:p>
    <w:p>
      <w:pPr>
        <w:spacing w:after="0" w:line="203"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Donald A. Sherman*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Donald A. Sherman</w:t>
      </w:r>
    </w:p>
    <w:p>
      <w:pPr>
        <w:spacing w:after="0" w:line="200" w:lineRule="exact"/>
        <w:rPr>
          <w:sz w:val="20"/>
          <w:szCs w:val="20"/>
          <w:color w:val="auto"/>
        </w:rPr>
      </w:pPr>
    </w:p>
    <w:p>
      <w:pPr>
        <w:spacing w:after="0" w:line="203"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John M. Sullivan*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John M.</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Sullivan</w:t>
            </w:r>
          </w:p>
        </w:tc>
        <w:tc>
          <w:tcPr>
            <w:tcW w:w="3580" w:type="dxa"/>
            <w:vAlign w:val="bottom"/>
          </w:tcPr>
          <w:p>
            <w:pPr>
              <w:spacing w:after="0"/>
              <w:rPr>
                <w:sz w:val="17"/>
                <w:szCs w:val="17"/>
                <w:color w:val="auto"/>
              </w:rPr>
            </w:pP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L. Jack</w:t>
            </w:r>
          </w:p>
        </w:tc>
        <w:tc>
          <w:tcPr>
            <w:tcW w:w="3520" w:type="dxa"/>
            <w:vAlign w:val="bottom"/>
          </w:tcPr>
          <w:p>
            <w:pPr>
              <w:ind w:left="60"/>
              <w:spacing w:after="0"/>
              <w:rPr>
                <w:sz w:val="20"/>
                <w:szCs w:val="20"/>
                <w:color w:val="auto"/>
              </w:rPr>
            </w:pPr>
            <w:r>
              <w:rPr>
                <w:rFonts w:ascii="Courier New" w:cs="Courier New" w:eastAsia="Courier New" w:hAnsi="Courier New"/>
                <w:sz w:val="18"/>
                <w:szCs w:val="18"/>
                <w:color w:val="auto"/>
              </w:rPr>
              <w:t>Van Fossen*</w:t>
            </w:r>
          </w:p>
        </w:tc>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L. Jack</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Van Fossen</w:t>
            </w:r>
          </w:p>
        </w:tc>
        <w:tc>
          <w:tcPr>
            <w:tcW w:w="3580" w:type="dxa"/>
            <w:vAlign w:val="bottom"/>
          </w:tcPr>
          <w:p>
            <w:pPr>
              <w:spacing w:after="0"/>
              <w:rPr>
                <w:sz w:val="17"/>
                <w:szCs w:val="17"/>
                <w:color w:val="auto"/>
              </w:rPr>
            </w:pPr>
          </w:p>
        </w:tc>
      </w:tr>
      <w:tr>
        <w:trPr>
          <w:trHeight w:val="608"/>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Paul D. Yeager*</w:t>
            </w:r>
          </w:p>
        </w:tc>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Chief Financial Officer and</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Paul D. Yeager</w:t>
            </w:r>
          </w:p>
        </w:tc>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Principal Accounting Officer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Theodore J. Host</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Theodore J. Host (Attorney-in-Fact)</w:t>
      </w:r>
    </w:p>
    <w:p>
      <w:pPr>
        <w:sectPr>
          <w:pgSz w:w="11900" w:h="16838" w:orient="portrait"/>
          <w:cols w:equalWidth="0" w:num="1">
            <w:col w:w="10219"/>
          </w:cols>
          <w:pgMar w:left="240" w:top="136" w:right="1440" w:bottom="1440" w:gutter="0" w:footer="0" w:header="0"/>
        </w:sectPr>
      </w:pPr>
    </w:p>
    <w:bookmarkStart w:id="11" w:name="page12"/>
    <w:bookmarkEnd w:id="11"/>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360" w:type="dxa"/>
            <w:vAlign w:val="bottom"/>
          </w:tcPr>
          <w:p>
            <w:pPr>
              <w:ind w:left="126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4(a)</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Amended Articles of</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of The Scotts</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Company, as filed with the Ohio</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Secretary of State on</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20, 1994</w:t>
            </w:r>
          </w:p>
        </w:tc>
      </w:tr>
      <w:tr>
        <w:trPr>
          <w:trHeight w:val="810"/>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4(b)</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by</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 to the Articles</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of Incorporation of The Scotts</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Company as filed with the Ohio</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Secretary of State on May 4,</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4(c)</w:t>
            </w:r>
          </w:p>
        </w:tc>
        <w:tc>
          <w:tcPr>
            <w:tcW w:w="3360" w:type="dxa"/>
            <w:vAlign w:val="bottom"/>
          </w:tcPr>
          <w:p>
            <w:pPr>
              <w:ind w:left="100"/>
              <w:spacing w:after="0"/>
              <w:rPr>
                <w:sz w:val="20"/>
                <w:szCs w:val="20"/>
                <w:color w:val="auto"/>
              </w:rPr>
            </w:pPr>
            <w:r>
              <w:rPr>
                <w:rFonts w:ascii="Courier New" w:cs="Courier New" w:eastAsia="Courier New" w:hAnsi="Courier New"/>
                <w:sz w:val="18"/>
                <w:szCs w:val="18"/>
                <w:color w:val="auto"/>
              </w:rPr>
              <w:t>Regulations of The Scotts</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Company (reflecting amendments</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adopted by the shareholders of</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Scotts Company on April 6,</w:t>
            </w:r>
          </w:p>
        </w:tc>
      </w:tr>
      <w:tr>
        <w:trPr>
          <w:trHeight w:val="203"/>
        </w:trPr>
        <w:tc>
          <w:tcPr>
            <w:tcW w:w="1280" w:type="dxa"/>
            <w:vAlign w:val="bottom"/>
          </w:tcPr>
          <w:p>
            <w:pPr>
              <w:spacing w:after="0"/>
              <w:rPr>
                <w:sz w:val="17"/>
                <w:szCs w:val="17"/>
                <w:color w:val="auto"/>
              </w:rPr>
            </w:pPr>
          </w:p>
        </w:tc>
        <w:tc>
          <w:tcPr>
            <w:tcW w:w="3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PAGE NO.</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Incorporated herein by reference to Exhibit 3(a) of the Registrant's Annual Report on Form 10-K for the fiscal year ended September 30, 1994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(File No. 0-19768)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Incorporated herein by reference to Exhibit 4(b) of the Registrant's Quarterly Report on Form 10-Q for the fiscal quarter ended April 1, 1995 (File No. 0-19768)</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Incorporated herein by reference to Exhibit 4(c) of the Registrant's Quarterly Report on Form 10-Q for the fiscal quarter ended April 1, 1995 (File No. 0-19768)</w:t>
      </w:r>
    </w:p>
    <w:p>
      <w:pPr>
        <w:spacing w:after="0" w:line="200" w:lineRule="exact"/>
        <w:rPr>
          <w:sz w:val="20"/>
          <w:szCs w:val="20"/>
          <w:color w:val="auto"/>
        </w:rPr>
      </w:pPr>
    </w:p>
    <w:p>
      <w:pPr>
        <w:sectPr>
          <w:pgSz w:w="11900" w:h="16838" w:orient="portrait"/>
          <w:cols w:equalWidth="0" w:num="2">
            <w:col w:w="4640" w:space="320"/>
            <w:col w:w="5259"/>
          </w:cols>
          <w:pgMar w:left="240" w:top="723" w:right="1440" w:bottom="1440" w:gutter="0" w:footer="0" w:header="0"/>
          <w:type w:val="continuous"/>
        </w:sectPr>
      </w:pPr>
    </w:p>
    <w:p>
      <w:pPr>
        <w:spacing w:after="0" w:line="10"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Stock Option Plan and Agreement,</w:t>
      </w:r>
    </w:p>
    <w:p>
      <w:pPr>
        <w:spacing w:after="0" w:line="21" w:lineRule="exact"/>
        <w:rPr>
          <w:sz w:val="20"/>
          <w:szCs w:val="20"/>
          <w:color w:val="auto"/>
        </w:rPr>
      </w:pPr>
    </w:p>
    <w:p>
      <w:pPr>
        <w:ind w:left="1380" w:right="200"/>
        <w:spacing w:after="0" w:line="236" w:lineRule="auto"/>
        <w:rPr>
          <w:sz w:val="20"/>
          <w:szCs w:val="20"/>
          <w:color w:val="auto"/>
        </w:rPr>
      </w:pPr>
      <w:r>
        <w:rPr>
          <w:rFonts w:ascii="Courier New" w:cs="Courier New" w:eastAsia="Courier New" w:hAnsi="Courier New"/>
          <w:sz w:val="18"/>
          <w:szCs w:val="18"/>
          <w:color w:val="auto"/>
        </w:rPr>
        <w:t>dated as of January 9, 1992, between The Scotts Company and Theodore J. Host</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Incorporated herein by reference to Exhibit 10(f) of the Registrant's Annual Report on Form 10-K for the fiscal year ended September 30, 1994 (File No. 0-19768)</w:t>
      </w:r>
    </w:p>
    <w:p>
      <w:pPr>
        <w:spacing w:after="0" w:line="200" w:lineRule="exact"/>
        <w:rPr>
          <w:sz w:val="20"/>
          <w:szCs w:val="20"/>
          <w:color w:val="auto"/>
        </w:rPr>
      </w:pPr>
    </w:p>
    <w:p>
      <w:pPr>
        <w:sectPr>
          <w:pgSz w:w="11900" w:h="16838" w:orient="portrait"/>
          <w:cols w:equalWidth="0" w:num="2">
            <w:col w:w="4740" w:space="220"/>
            <w:col w:w="5259"/>
          </w:cols>
          <w:pgMar w:left="240" w:top="723" w:right="1440" w:bottom="1440" w:gutter="0" w:footer="0" w:header="0"/>
          <w:type w:val="continuous"/>
        </w:sectPr>
      </w:pPr>
    </w:p>
    <w:p>
      <w:pPr>
        <w:spacing w:after="0" w:line="10" w:lineRule="exact"/>
        <w:rPr>
          <w:sz w:val="20"/>
          <w:szCs w:val="20"/>
          <w:color w:val="auto"/>
        </w:rPr>
      </w:pPr>
    </w:p>
    <w:p>
      <w:pPr>
        <w:ind w:left="1380" w:right="3259" w:hanging="845"/>
        <w:spacing w:after="0" w:line="235" w:lineRule="auto"/>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Vorys, Sater, Seymour Pages 16 through 18 and Pease as to legality</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3740" w:type="dxa"/>
            <w:vAlign w:val="bottom"/>
          </w:tcPr>
          <w:p>
            <w:pPr>
              <w:ind w:left="260"/>
              <w:spacing w:after="0"/>
              <w:rPr>
                <w:sz w:val="20"/>
                <w:szCs w:val="20"/>
                <w:color w:val="auto"/>
              </w:rPr>
            </w:pPr>
            <w:r>
              <w:rPr>
                <w:rFonts w:ascii="Courier New" w:cs="Courier New" w:eastAsia="Courier New" w:hAnsi="Courier New"/>
                <w:sz w:val="18"/>
                <w:szCs w:val="18"/>
                <w:color w:val="auto"/>
              </w:rPr>
              <w:t>Consent of Coopers &amp; Lybrand</w:t>
            </w:r>
          </w:p>
        </w:tc>
        <w:tc>
          <w:tcPr>
            <w:tcW w:w="1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Pages 19</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and 20</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23(b)</w:t>
            </w:r>
          </w:p>
        </w:tc>
        <w:tc>
          <w:tcPr>
            <w:tcW w:w="3740" w:type="dxa"/>
            <w:vAlign w:val="bottom"/>
          </w:tcPr>
          <w:p>
            <w:pPr>
              <w:ind w:left="260"/>
              <w:spacing w:after="0"/>
              <w:rPr>
                <w:sz w:val="20"/>
                <w:szCs w:val="20"/>
                <w:color w:val="auto"/>
              </w:rPr>
            </w:pPr>
            <w:r>
              <w:rPr>
                <w:rFonts w:ascii="Courier New" w:cs="Courier New" w:eastAsia="Courier New" w:hAnsi="Courier New"/>
                <w:sz w:val="18"/>
                <w:szCs w:val="18"/>
                <w:color w:val="auto"/>
              </w:rPr>
              <w:t>Consent of Vorys, Sater, Seymour</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Filed</w:t>
            </w:r>
          </w:p>
        </w:tc>
        <w:tc>
          <w:tcPr>
            <w:tcW w:w="21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as part of Exhibit 5</w:t>
            </w:r>
          </w:p>
        </w:tc>
      </w:tr>
      <w:tr>
        <w:trPr>
          <w:trHeight w:val="203"/>
        </w:trPr>
        <w:tc>
          <w:tcPr>
            <w:tcW w:w="800" w:type="dxa"/>
            <w:vAlign w:val="bottom"/>
          </w:tcPr>
          <w:p>
            <w:pPr>
              <w:spacing w:after="0"/>
              <w:rPr>
                <w:sz w:val="17"/>
                <w:szCs w:val="17"/>
                <w:color w:val="auto"/>
              </w:rPr>
            </w:pP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Pease</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w:t>
            </w:r>
          </w:p>
        </w:tc>
        <w:tc>
          <w:tcPr>
            <w:tcW w:w="3740" w:type="dxa"/>
            <w:vAlign w:val="bottom"/>
          </w:tcPr>
          <w:p>
            <w:pPr>
              <w:ind w:left="260"/>
              <w:spacing w:after="0"/>
              <w:rPr>
                <w:sz w:val="20"/>
                <w:szCs w:val="20"/>
                <w:color w:val="auto"/>
              </w:rPr>
            </w:pPr>
            <w:r>
              <w:rPr>
                <w:rFonts w:ascii="Courier New" w:cs="Courier New" w:eastAsia="Courier New" w:hAnsi="Courier New"/>
                <w:sz w:val="18"/>
                <w:szCs w:val="18"/>
                <w:color w:val="auto"/>
              </w:rPr>
              <w:t>Powers of Attorney</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Pages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21</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through 31</w:t>
            </w:r>
          </w:p>
        </w:tc>
      </w:tr>
    </w:tbl>
    <w:p>
      <w:pPr>
        <w:sectPr>
          <w:pgSz w:w="11900" w:h="16838" w:orient="portrait"/>
          <w:cols w:equalWidth="0" w:num="1">
            <w:col w:w="10219"/>
          </w:cols>
          <w:pgMar w:left="240" w:top="723" w:right="1440" w:bottom="1440" w:gutter="0" w:footer="0" w:header="0"/>
          <w:type w:val="continuous"/>
        </w:sectPr>
      </w:pPr>
    </w:p>
    <w:bookmarkStart w:id="12" w:name="page13"/>
    <w:bookmarkEnd w:id="12"/>
    <w:p>
      <w:pPr>
        <w:jc w:val="center"/>
        <w:ind w:right="3079"/>
        <w:spacing w:after="0"/>
        <w:rPr>
          <w:sz w:val="20"/>
          <w:szCs w:val="20"/>
          <w:color w:val="auto"/>
        </w:rPr>
      </w:pPr>
      <w:r>
        <w:rPr>
          <w:rFonts w:ascii="Courier New" w:cs="Courier New" w:eastAsia="Courier New" w:hAnsi="Courier New"/>
          <w:sz w:val="18"/>
          <w:szCs w:val="18"/>
          <w:color w:val="auto"/>
        </w:rPr>
        <w:t>EXHIBIT 5</w:t>
      </w:r>
    </w:p>
    <w:p>
      <w:pPr>
        <w:spacing w:after="0" w:line="20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OPINION OF VORYS, SATER, SEYMOUR</w:t>
      </w:r>
    </w:p>
    <w:p>
      <w:pPr>
        <w:spacing w:after="0" w:line="218"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AND PEASE AS TO</w:t>
      </w:r>
    </w:p>
    <w:p>
      <w:pPr>
        <w:spacing w:after="0" w:line="201"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LEGALITY</w:t>
      </w:r>
    </w:p>
    <w:p>
      <w:pPr>
        <w:sectPr>
          <w:pgSz w:w="11900" w:h="16838" w:orient="portrait"/>
          <w:cols w:equalWidth="0" w:num="1">
            <w:col w:w="9019"/>
          </w:cols>
          <w:pgMar w:left="1440" w:top="717" w:right="1440" w:bottom="1440" w:gutter="0" w:footer="0" w:header="0"/>
        </w:sectPr>
      </w:pPr>
    </w:p>
    <w:bookmarkStart w:id="13" w:name="page14"/>
    <w:bookmarkEnd w:id="13"/>
    <w:p>
      <w:pPr>
        <w:jc w:val="right"/>
        <w:ind w:right="1999"/>
        <w:spacing w:after="0"/>
        <w:rPr>
          <w:sz w:val="20"/>
          <w:szCs w:val="20"/>
          <w:color w:val="auto"/>
        </w:rPr>
      </w:pPr>
      <w:r>
        <w:rPr>
          <w:rFonts w:ascii="Courier New" w:cs="Courier New" w:eastAsia="Courier New" w:hAnsi="Courier New"/>
          <w:sz w:val="18"/>
          <w:szCs w:val="18"/>
          <w:color w:val="auto"/>
        </w:rPr>
        <w:t>(614) 464-6400</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2,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We are familiar with the proceedings taken and proposed to be taken by The Scotts Company, an Ohio corporation (the "Company"), in connection with the execution of the Stock Option Plan and Agreement, dated as of January 9, 1992, between the Company and Theodore J. Host (the "Agreement"), the granting of options to purchase 136,364 common shares, without par value (the "Common Shares"), of the Company pursuant to the Agreement, and the issuance and sale of Common Shares of the Company upon exercise of options granted under the Agreement, as described in the Registration Statement on Form S-8 (the "Registration Statement") to be filed with the Securities and Exchange Commission on January 2, 1996. The purpose of the Registration Statement is to register the 136,364 Common Shares subject to the options granted under the Agreement pursuant to the provisions of the Securities Act of 1933, as amended, and the rules and regulations promulgated thereunder.</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In connection with this opinion, we have examined an original or copy of, and have relied upon the accuracy of, without independent verification or investigation: (a) the Registration Statement; (b) the Agreement; (c) the Company's Amended Articles of Incorporation, as amended; (d) the Company's Regulations, as amended; and (e) certain proceedings of the directors of the Company. We have also relied upon such representations of the Company and officers of the Company and such authorities of law as we have deemed relevant as a basis for this opinion.</w:t>
      </w:r>
    </w:p>
    <w:p>
      <w:pPr>
        <w:sectPr>
          <w:pgSz w:w="11900" w:h="16838" w:orient="portrait"/>
          <w:cols w:equalWidth="0" w:num="1">
            <w:col w:w="10219"/>
          </w:cols>
          <w:pgMar w:left="240" w:top="112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January 2, 1996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We have relied solely upon the examinations and inquiries recited herein, and we have not undertaken any independent investigation to determine the existence or absence of any facts, and no inference as to our knowledge concerning such facts should be drawn.</w:t>
      </w:r>
    </w:p>
    <w:p>
      <w:pPr>
        <w:spacing w:after="0" w:line="207" w:lineRule="exact"/>
        <w:rPr>
          <w:sz w:val="20"/>
          <w:szCs w:val="20"/>
          <w:color w:val="auto"/>
        </w:rPr>
      </w:pPr>
    </w:p>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Based upon and subject to the foregoing and the further qualifications and limitations set forth below, as of the date hereof, we are of the opinion that:</w:t>
      </w:r>
    </w:p>
    <w:p>
      <w:pPr>
        <w:spacing w:after="0" w:line="209" w:lineRule="exact"/>
        <w:rPr>
          <w:sz w:val="20"/>
          <w:szCs w:val="20"/>
          <w:color w:val="auto"/>
        </w:rPr>
      </w:pPr>
    </w:p>
    <w:p>
      <w:pPr>
        <w:ind w:right="1999" w:firstLine="1272"/>
        <w:spacing w:after="0" w:line="290" w:lineRule="auto"/>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granted under the Agreement are legally constituted and binding obligations of the Company in accordance with their terms.</w:t>
      </w:r>
    </w:p>
    <w:p>
      <w:pPr>
        <w:spacing w:after="0" w:line="169" w:lineRule="exact"/>
        <w:rPr>
          <w:rFonts w:ascii="Courier New" w:cs="Courier New" w:eastAsia="Courier New" w:hAnsi="Courier New"/>
          <w:sz w:val="16"/>
          <w:szCs w:val="16"/>
          <w:color w:val="auto"/>
        </w:rPr>
      </w:pPr>
    </w:p>
    <w:p>
      <w:pPr>
        <w:jc w:val="both"/>
        <w:ind w:right="1999" w:firstLine="1272"/>
        <w:spacing w:after="0" w:line="237"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136,364 Common Shares of the Company have been issued by the Company, upon the exercise of options granted under the Agreement, against payment of the purchase price therefor, in accordance with the terms of the Agreement, said Common Shares will be validly issued, fully paid and non-assessable, assuming compliance with applicable federal and state securities laws.</w:t>
      </w:r>
    </w:p>
    <w:p>
      <w:pPr>
        <w:spacing w:after="0" w:line="210"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This opinion is furnished by us solely for the benefit of the Company in connection with the offering of the Common Shares pursuant to the Agreement and the filing of the Registration Statement and any amendments thereto. This opinion may not be relied upon by any other person or assigned, quoted or otherwise used without our specific written consent.</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jc w:val="both"/>
        <w:ind w:firstLine="632"/>
        <w:spacing w:after="0" w:line="236" w:lineRule="auto"/>
        <w:rPr>
          <w:sz w:val="20"/>
          <w:szCs w:val="20"/>
          <w:color w:val="auto"/>
        </w:rPr>
      </w:pPr>
      <w:r>
        <w:rPr>
          <w:rFonts w:ascii="Courier New" w:cs="Courier New" w:eastAsia="Courier New" w:hAnsi="Courier New"/>
          <w:sz w:val="18"/>
          <w:szCs w:val="18"/>
          <w:color w:val="auto"/>
        </w:rPr>
        <w:t>Notwithstanding the foregoing, as an exhibit to the Registration therein.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we consent to the filing of this opinion Statement and to the reference to us</w:t>
      </w:r>
    </w:p>
    <w:p>
      <w:pPr>
        <w:spacing w:after="0" w:line="363" w:lineRule="exact"/>
        <w:rPr>
          <w:sz w:val="20"/>
          <w:szCs w:val="20"/>
          <w:color w:val="auto"/>
        </w:rPr>
      </w:pPr>
    </w:p>
    <w:p>
      <w:pPr>
        <w:sectPr>
          <w:pgSz w:w="11900" w:h="16838" w:orient="portrait"/>
          <w:cols w:equalWidth="0" w:num="2">
            <w:col w:w="3800" w:space="220"/>
            <w:col w:w="6199"/>
          </w:cols>
          <w:pgMar w:left="240" w:top="717" w:right="1440" w:bottom="1440" w:gutter="0" w:footer="0" w:header="0"/>
          <w:type w:val="continuous"/>
        </w:sectPr>
      </w:pP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Vorys, Sater, Seymour and Pease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ETF/jkf</w:t>
      </w:r>
    </w:p>
    <w:p>
      <w:pPr>
        <w:sectPr>
          <w:pgSz w:w="11900" w:h="16838" w:orient="portrait"/>
          <w:cols w:equalWidth="0" w:num="1">
            <w:col w:w="10219"/>
          </w:cols>
          <w:pgMar w:left="240" w:top="717" w:right="1440" w:bottom="1440" w:gutter="0" w:footer="0" w:header="0"/>
          <w:type w:val="continuous"/>
        </w:sectPr>
      </w:pPr>
    </w:p>
    <w:bookmarkStart w:id="15" w:name="page16"/>
    <w:bookmarkEnd w:id="15"/>
    <w:p>
      <w:pPr>
        <w:ind w:left="3480"/>
        <w:spacing w:after="0"/>
        <w:rPr>
          <w:sz w:val="20"/>
          <w:szCs w:val="20"/>
          <w:color w:val="auto"/>
        </w:rPr>
      </w:pPr>
      <w:r>
        <w:rPr>
          <w:rFonts w:ascii="Courier New" w:cs="Courier New" w:eastAsia="Courier New" w:hAnsi="Courier New"/>
          <w:sz w:val="18"/>
          <w:szCs w:val="18"/>
          <w:color w:val="auto"/>
        </w:rPr>
        <w:t>EXHIBIT 23(A)</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COOPERS &amp; LYBRAND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The Scotts Company of our report dated November 15, 1995 on our audits of the consolidated financial statements and financial statement schedules of The Scotts Company as of September 30, 1995 and 1994 and for the three years in the period then ended, which report is included in the Annual Report on Form 10-K for the year ended September 30, 1995.</w:t>
      </w: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December 29, 1995</w:t>
      </w:r>
    </w:p>
    <w:p>
      <w:pPr>
        <w:sectPr>
          <w:pgSz w:w="11900" w:h="16838" w:orient="portrait"/>
          <w:cols w:equalWidth="0" w:num="1">
            <w:col w:w="10219"/>
          </w:cols>
          <w:pgMar w:left="240" w:top="339" w:right="1440" w:bottom="1440" w:gutter="0" w:footer="0" w:header="0"/>
        </w:sectPr>
      </w:pPr>
    </w:p>
    <w:bookmarkStart w:id="16" w:name="page17"/>
    <w:bookmarkEnd w:id="16"/>
    <w:p>
      <w:pPr>
        <w:jc w:val="center"/>
        <w:ind w:right="199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26th day of November,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JAMES B BEARD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James B Beard</w:t>
      </w:r>
    </w:p>
    <w:p>
      <w:pPr>
        <w:sectPr>
          <w:pgSz w:w="11900" w:h="16838" w:orient="portrait"/>
          <w:cols w:equalWidth="0" w:num="1">
            <w:col w:w="10219"/>
          </w:cols>
          <w:pgMar w:left="240" w:top="339" w:right="1440" w:bottom="1440" w:gutter="0" w:footer="0" w:header="0"/>
        </w:sectPr>
      </w:pPr>
    </w:p>
    <w:bookmarkStart w:id="17" w:name="page18"/>
    <w:bookmarkEnd w:id="17"/>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27th day of November,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S. CHAMBERLIN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S. Chamberlin</w:t>
      </w:r>
    </w:p>
    <w:p>
      <w:pPr>
        <w:sectPr>
          <w:pgSz w:w="11900" w:h="16838" w:orient="portrait"/>
          <w:cols w:equalWidth="0" w:num="1">
            <w:col w:w="10219"/>
          </w:cols>
          <w:pgMar w:left="240" w:top="919" w:right="1440" w:bottom="1440" w:gutter="0" w:footer="0" w:header="0"/>
        </w:sectPr>
      </w:pPr>
    </w:p>
    <w:bookmarkStart w:id="18" w:name="page19"/>
    <w:bookmarkEnd w:id="18"/>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7th day of December,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JOSEPH P. FLANNERY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Joseph P. Flannery</w:t>
      </w:r>
    </w:p>
    <w:p>
      <w:pPr>
        <w:sectPr>
          <w:pgSz w:w="11900" w:h="16838" w:orient="portrait"/>
          <w:cols w:equalWidth="0" w:num="1">
            <w:col w:w="10219"/>
          </w:cols>
          <w:pgMar w:left="240" w:top="919" w:right="1440" w:bottom="1440" w:gutter="0" w:footer="0" w:header="0"/>
        </w:sectPr>
      </w:pPr>
    </w:p>
    <w:bookmarkStart w:id="19" w:name="page20"/>
    <w:bookmarkEnd w:id="19"/>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7th day of December,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THEODORE J. HOST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Theodore J. Host</w:t>
      </w:r>
    </w:p>
    <w:p>
      <w:pPr>
        <w:sectPr>
          <w:pgSz w:w="11900" w:h="16838" w:orient="portrait"/>
          <w:cols w:equalWidth="0" w:num="1">
            <w:col w:w="10219"/>
          </w:cols>
          <w:pgMar w:left="240" w:top="919" w:right="1440" w:bottom="1440" w:gutter="0" w:footer="0" w:header="0"/>
        </w:sectPr>
      </w:pPr>
    </w:p>
    <w:bookmarkStart w:id="20" w:name="page21"/>
    <w:bookmarkEnd w:id="20"/>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her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as of this 1st day of Dec., 1995.</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KAREN GORDON MILLS</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Karen Gordon Mills</w:t>
      </w:r>
    </w:p>
    <w:p>
      <w:pPr>
        <w:sectPr>
          <w:pgSz w:w="11900" w:h="16838" w:orient="portrait"/>
          <w:cols w:equalWidth="0" w:num="1">
            <w:col w:w="10219"/>
          </w:cols>
          <w:pgMar w:left="240" w:top="919" w:right="1440" w:bottom="1440" w:gutter="0" w:footer="0" w:header="0"/>
        </w:sectPr>
      </w:pPr>
    </w:p>
    <w:bookmarkStart w:id="21" w:name="page22"/>
    <w:bookmarkEnd w:id="2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7th day of December,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TADD C. SEITZ</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Tadd C. Seitz</w:t>
      </w:r>
    </w:p>
    <w:p>
      <w:pPr>
        <w:sectPr>
          <w:pgSz w:w="11900" w:h="16838" w:orient="portrait"/>
          <w:cols w:equalWidth="0" w:num="1">
            <w:col w:w="10219"/>
          </w:cols>
          <w:pgMar w:left="240" w:top="919" w:right="1440" w:bottom="1440" w:gutter="0" w:footer="0" w:header="0"/>
        </w:sectPr>
      </w:pPr>
    </w:p>
    <w:bookmarkStart w:id="22" w:name="page23"/>
    <w:bookmarkEnd w:id="22"/>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7th day of December,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DONALD A. SHERMAN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Donald A. Sherman</w:t>
      </w:r>
    </w:p>
    <w:p>
      <w:pPr>
        <w:sectPr>
          <w:pgSz w:w="11900" w:h="16838" w:orient="portrait"/>
          <w:cols w:equalWidth="0" w:num="1">
            <w:col w:w="10219"/>
          </w:cols>
          <w:pgMar w:left="240" w:top="919" w:right="1440" w:bottom="1440" w:gutter="0" w:footer="0" w:header="0"/>
        </w:sectPr>
      </w:pPr>
    </w:p>
    <w:bookmarkStart w:id="23" w:name="page24"/>
    <w:bookmarkEnd w:id="23"/>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7th day of December,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M. SULLIVAN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John M. Sullivan</w:t>
      </w:r>
    </w:p>
    <w:p>
      <w:pPr>
        <w:sectPr>
          <w:pgSz w:w="11900" w:h="16838" w:orient="portrait"/>
          <w:cols w:equalWidth="0" w:num="1">
            <w:col w:w="10219"/>
          </w:cols>
          <w:pgMar w:left="240" w:top="919" w:right="1440" w:bottom="1440" w:gutter="0" w:footer="0" w:header="0"/>
        </w:sectPr>
      </w:pPr>
    </w:p>
    <w:bookmarkStart w:id="24" w:name="page25"/>
    <w:bookmarkEnd w:id="24"/>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27th day of November,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L. JACK VAN FOSSEN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 Jack Van Fossen</w:t>
      </w:r>
    </w:p>
    <w:p>
      <w:pPr>
        <w:sectPr>
          <w:pgSz w:w="11900" w:h="16838" w:orient="portrait"/>
          <w:cols w:equalWidth="0" w:num="1">
            <w:col w:w="10219"/>
          </w:cols>
          <w:pgMar w:left="240" w:top="919" w:right="1440" w:bottom="1440" w:gutter="0" w:footer="0" w:header="0"/>
        </w:sectPr>
      </w:pPr>
    </w:p>
    <w:bookmarkStart w:id="25" w:name="page26"/>
    <w:bookmarkEnd w:id="25"/>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999" w:firstLine="1264"/>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Stock Option Plan and Agreement, dated as of January 9, 1992, between The Scotts Company and Theodore J. Host hereby constitutes and appoints THEODORE J. HOST and CRAIG D. WALLEY,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The Nasdaq Stock Market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10"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7th day of December, 1995.</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PAUL D. YEAGER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Paul D. Yeager</w:t>
      </w:r>
    </w:p>
    <w:p>
      <w:pPr>
        <w:sectPr>
          <w:pgSz w:w="11900" w:h="16838" w:orient="portrait"/>
          <w:cols w:equalWidth="0" w:num="1">
            <w:col w:w="10219"/>
          </w:cols>
          <w:pgMar w:left="240" w:top="919" w:right="1440"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upperLetter"/>
      <w:start w:val="2"/>
    </w:lvl>
  </w:abstractNum>
  <w:abstractNum w:abstractNumId="3">
    <w:nsid w:val="109CF92E"/>
    <w:multiLevelType w:val="hybridMultilevel"/>
    <w:lvl w:ilvl="0">
      <w:lvlJc w:val="left"/>
      <w:lvlText w:val="(%1)"/>
      <w:numFmt w:val="upperLetter"/>
      <w:start w:val="1"/>
    </w:lvl>
  </w:abstractNum>
  <w:abstractNum w:abstractNumId="4">
    <w:nsid w:val="DED7263"/>
    <w:multiLevelType w:val="hybridMultilevel"/>
    <w:lvl w:ilvl="0">
      <w:lvlJc w:val="left"/>
      <w:lvlText w:val="(%1)"/>
      <w:numFmt w:val="upperLetter"/>
      <w:start w:val="1"/>
    </w:lvl>
  </w:abstractNum>
  <w:abstractNum w:abstractNumId="5">
    <w:nsid w:val="7FDCC233"/>
    <w:multiLevelType w:val="hybridMultilevel"/>
    <w:lvl w:ilvl="0">
      <w:lvlJc w:val="left"/>
      <w:lvlText w:val="(%1)"/>
      <w:numFmt w:val="upperLetter"/>
      <w:start w:val="2"/>
    </w:lvl>
  </w:abstractNum>
  <w:abstractNum w:abstractNumId="6">
    <w:nsid w:val="1BEFD79F"/>
    <w:multiLevelType w:val="hybridMultilevel"/>
    <w:lvl w:ilvl="0">
      <w:lvlJc w:val="left"/>
      <w:lvlText w:val="(%1)"/>
      <w:numFmt w:val="upperLetter"/>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decimal"/>
      <w:start w:val="3"/>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3"/>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lowerLetter"/>
      <w:start w:val="2"/>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7"/>
    </w:lvl>
    <w:lvl w:ilvl="1">
      <w:lvlJc w:val="left"/>
      <w:lvlText w:val="(%2)"/>
      <w:numFmt w:val="decimal"/>
      <w:start w:val="9"/>
    </w:lvl>
  </w:abstractNum>
  <w:abstractNum w:abstractNumId="16">
    <w:nsid w:val="62BBD95A"/>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7">
    <w:nsid w:val="436C6125"/>
    <w:multiLevelType w:val="hybridMultilevel"/>
    <w:lvl w:ilvl="0">
      <w:lvlJc w:val="left"/>
      <w:lvlText w:val="%1"/>
      <w:numFmt w:val="upperLetter"/>
      <w:start w:val="1"/>
    </w:lvl>
    <w:lvl w:ilvl="1">
      <w:lvlJc w:val="left"/>
      <w:lvlText w:val="(%2)"/>
      <w:numFmt w:val="decimal"/>
      <w:start w:val="2"/>
    </w:lvl>
  </w:abstractNum>
  <w:abstractNum w:abstractNumId="18">
    <w:nsid w:val="628C895D"/>
    <w:multiLevelType w:val="hybridMultilevel"/>
    <w:lvl w:ilvl="0">
      <w:lvlJc w:val="left"/>
      <w:lvlText w:val="%1."/>
      <w:numFmt w:val="upperLetter"/>
      <w:start w:val="2"/>
    </w:lvl>
    <w:lvl w:ilvl="1">
      <w:lvlJc w:val="left"/>
      <w:lvlText w:val="%2"/>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5"/>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2019-12-12T07:12:10Z</dcterms:created>
  <dcterms:modified xsi:type="dcterms:W3CDTF">2019-12-12T07:12:10Z</dcterms:modified>
</cp:coreProperties>
</file>