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220"/>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7" w:lineRule="exact"/>
        <w:rPr>
          <w:sz w:val="24"/>
          <w:szCs w:val="24"/>
          <w:color w:val="auto"/>
        </w:rPr>
      </w:pPr>
    </w:p>
    <w:p>
      <w:pPr>
        <w:ind w:left="4380" w:right="3040" w:hanging="4345"/>
        <w:spacing w:after="0" w:line="308" w:lineRule="auto"/>
        <w:tabs>
          <w:tab w:leader="none" w:pos="47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2019</w:t>
      </w:r>
    </w:p>
    <w:p>
      <w:pPr>
        <w:ind w:left="56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67" w:lineRule="exact"/>
        <w:rPr>
          <w:sz w:val="24"/>
          <w:szCs w:val="24"/>
          <w:color w:val="auto"/>
        </w:rPr>
      </w:pPr>
    </w:p>
    <w:p>
      <w:pPr>
        <w:ind w:left="460" w:hanging="425"/>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48"/>
        </w:trPr>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20" w:type="dxa"/>
            <w:vAlign w:val="bottom"/>
            <w:gridSpan w:val="3"/>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Commission file number 001-11593</w:t>
            </w:r>
          </w:p>
        </w:tc>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63"/>
        </w:trPr>
        <w:tc>
          <w:tcPr>
            <w:tcW w:w="9080" w:type="dxa"/>
            <w:vAlign w:val="bottom"/>
            <w:gridSpan w:val="8"/>
          </w:tcPr>
          <w:p>
            <w:pPr>
              <w:jc w:val="right"/>
              <w:ind w:right="1724"/>
              <w:spacing w:after="0" w:line="163" w:lineRule="exact"/>
              <w:rPr>
                <w:sz w:val="20"/>
                <w:szCs w:val="20"/>
                <w:color w:val="auto"/>
              </w:rPr>
            </w:pPr>
            <w:r>
              <w:rPr>
                <w:rFonts w:ascii="Times New Roman" w:cs="Times New Roman" w:eastAsia="Times New Roman" w:hAnsi="Times New Roman"/>
                <w:sz w:val="16"/>
                <w:szCs w:val="16"/>
                <w:color w:val="auto"/>
              </w:rPr>
              <w:t>______________________________________________________________</w:t>
            </w:r>
          </w:p>
        </w:tc>
        <w:tc>
          <w:tcPr>
            <w:tcW w:w="180" w:type="dxa"/>
            <w:vAlign w:val="bottom"/>
          </w:tcPr>
          <w:p>
            <w:pPr>
              <w:spacing w:after="0"/>
              <w:rPr>
                <w:sz w:val="14"/>
                <w:szCs w:val="14"/>
                <w:color w:val="auto"/>
              </w:rPr>
            </w:pPr>
          </w:p>
        </w:tc>
      </w:tr>
      <w:tr>
        <w:trPr>
          <w:trHeight w:val="497"/>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380" w:type="dxa"/>
            <w:vAlign w:val="bottom"/>
            <w:gridSpan w:val="7"/>
          </w:tcPr>
          <w:p>
            <w:pPr>
              <w:jc w:val="center"/>
              <w:ind w:right="1520"/>
              <w:spacing w:after="0"/>
              <w:rPr>
                <w:sz w:val="20"/>
                <w:szCs w:val="20"/>
                <w:color w:val="auto"/>
              </w:rPr>
            </w:pPr>
            <w:r>
              <w:rPr>
                <w:rFonts w:ascii="Times New Roman" w:cs="Times New Roman" w:eastAsia="Times New Roman" w:hAnsi="Times New Roman"/>
                <w:sz w:val="40"/>
                <w:szCs w:val="40"/>
                <w:b w:val="1"/>
                <w:bCs w:val="1"/>
                <w:color w:val="auto"/>
                <w:w w:val="98"/>
              </w:rPr>
              <w:t>The Scotts Miracle-Gro Company</w:t>
            </w:r>
          </w:p>
        </w:tc>
      </w:t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gridSpan w:val="6"/>
          </w:tcPr>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351"/>
        </w:trPr>
        <w:tc>
          <w:tcPr>
            <w:tcW w:w="720" w:type="dxa"/>
            <w:vAlign w:val="bottom"/>
          </w:tcPr>
          <w:p>
            <w:pPr>
              <w:spacing w:after="0"/>
              <w:rPr>
                <w:sz w:val="24"/>
                <w:szCs w:val="24"/>
                <w:color w:val="auto"/>
              </w:rPr>
            </w:pPr>
          </w:p>
        </w:tc>
        <w:tc>
          <w:tcPr>
            <w:tcW w:w="2000" w:type="dxa"/>
            <w:vAlign w:val="bottom"/>
            <w:gridSpan w:val="2"/>
          </w:tcPr>
          <w:p>
            <w:pPr>
              <w:jc w:val="center"/>
              <w:ind w:right="1182"/>
              <w:spacing w:after="0"/>
              <w:rPr>
                <w:sz w:val="20"/>
                <w:szCs w:val="20"/>
                <w:color w:val="auto"/>
              </w:rPr>
            </w:pPr>
            <w:r>
              <w:rPr>
                <w:rFonts w:ascii="Times New Roman" w:cs="Times New Roman" w:eastAsia="Times New Roman" w:hAnsi="Times New Roman"/>
                <w:sz w:val="16"/>
                <w:szCs w:val="16"/>
                <w:b w:val="1"/>
                <w:bCs w:val="1"/>
                <w:color w:val="auto"/>
              </w:rPr>
              <w:t>Ohio</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20" w:type="dxa"/>
            <w:vAlign w:val="bottom"/>
            <w:gridSpan w:val="3"/>
          </w:tcPr>
          <w:p>
            <w:pPr>
              <w:jc w:val="center"/>
              <w:ind w:left="2039"/>
              <w:spacing w:after="0"/>
              <w:rPr>
                <w:sz w:val="20"/>
                <w:szCs w:val="20"/>
                <w:color w:val="auto"/>
              </w:rPr>
            </w:pPr>
            <w:r>
              <w:rPr>
                <w:rFonts w:ascii="Times New Roman" w:cs="Times New Roman" w:eastAsia="Times New Roman" w:hAnsi="Times New Roman"/>
                <w:sz w:val="16"/>
                <w:szCs w:val="16"/>
                <w:b w:val="1"/>
                <w:bCs w:val="1"/>
                <w:color w:val="auto"/>
              </w:rPr>
              <w:t>31-1414921</w:t>
            </w:r>
          </w:p>
        </w:tc>
      </w:tr>
      <w:tr>
        <w:trPr>
          <w:trHeight w:val="197"/>
        </w:trPr>
        <w:tc>
          <w:tcPr>
            <w:tcW w:w="272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2"/>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4"/>
        </w:trPr>
        <w:tc>
          <w:tcPr>
            <w:tcW w:w="272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2"/>
          </w:tcPr>
          <w:p>
            <w:pPr>
              <w:jc w:val="center"/>
              <w:ind w:left="18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07"/>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gridSpan w:val="6"/>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14111 Scottslawn Road, Marysville, Ohio 43041</w:t>
            </w:r>
          </w:p>
        </w:tc>
      </w:tr>
      <w:tr>
        <w:trPr>
          <w:trHeight w:val="190"/>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540" w:type="dxa"/>
            <w:vAlign w:val="bottom"/>
            <w:gridSpan w:val="6"/>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370"/>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gridSpan w:val="6"/>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219"/>
        </w:trPr>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20" w:type="dxa"/>
            <w:vAlign w:val="bottom"/>
            <w:gridSpan w:val="3"/>
          </w:tcPr>
          <w:p>
            <w:pPr>
              <w:jc w:val="center"/>
              <w:ind w:left="780"/>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8"/>
                <w:szCs w:val="18"/>
                <w:color w:val="auto"/>
                <w:w w:val="99"/>
              </w:rPr>
              <w:t>937</w:t>
            </w:r>
            <w:r>
              <w:rPr>
                <w:rFonts w:ascii="Times New Roman" w:cs="Times New Roman" w:eastAsia="Times New Roman" w:hAnsi="Times New Roman"/>
                <w:sz w:val="16"/>
                <w:szCs w:val="16"/>
                <w:b w:val="1"/>
                <w:bCs w:val="1"/>
                <w:color w:val="auto"/>
                <w:w w:val="99"/>
              </w:rPr>
              <w:t xml:space="preserve">) </w:t>
            </w:r>
            <w:r>
              <w:rPr>
                <w:rFonts w:ascii="Times New Roman" w:cs="Times New Roman" w:eastAsia="Times New Roman" w:hAnsi="Times New Roman"/>
                <w:sz w:val="18"/>
                <w:szCs w:val="18"/>
                <w:color w:val="auto"/>
                <w:w w:val="99"/>
              </w:rPr>
              <w:t>644-0011</w:t>
            </w:r>
          </w:p>
        </w:tc>
        <w:tc>
          <w:tcPr>
            <w:tcW w:w="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gridSpan w:val="6"/>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90"/>
        </w:trPr>
        <w:tc>
          <w:tcPr>
            <w:tcW w:w="7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0" w:type="dxa"/>
            <w:vAlign w:val="bottom"/>
          </w:tcPr>
          <w:p>
            <w:pPr>
              <w:spacing w:after="0"/>
              <w:rPr>
                <w:sz w:val="24"/>
                <w:szCs w:val="24"/>
                <w:color w:val="auto"/>
              </w:rPr>
            </w:pPr>
          </w:p>
        </w:tc>
        <w:tc>
          <w:tcPr>
            <w:tcW w:w="3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Common Shares, $0.01 stated value</w:t>
            </w:r>
          </w:p>
        </w:tc>
        <w:tc>
          <w:tcPr>
            <w:tcW w:w="1220" w:type="dxa"/>
            <w:vAlign w:val="bottom"/>
          </w:tcPr>
          <w:p>
            <w:pPr>
              <w:spacing w:after="0"/>
              <w:rPr>
                <w:sz w:val="22"/>
                <w:szCs w:val="22"/>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SMG</w:t>
            </w:r>
          </w:p>
        </w:tc>
        <w:tc>
          <w:tcPr>
            <w:tcW w:w="220" w:type="dxa"/>
            <w:vAlign w:val="bottom"/>
          </w:tcPr>
          <w:p>
            <w:pPr>
              <w:spacing w:after="0"/>
              <w:rPr>
                <w:sz w:val="22"/>
                <w:szCs w:val="22"/>
                <w:color w:val="auto"/>
              </w:rPr>
            </w:pPr>
          </w:p>
        </w:tc>
        <w:tc>
          <w:tcPr>
            <w:tcW w:w="3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00"/>
        </w:trPr>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540" w:type="dxa"/>
            <w:vAlign w:val="bottom"/>
            <w:gridSpan w:val="6"/>
          </w:tcPr>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09"/>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ind w:left="31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ectPr>
          <w:pgSz w:w="11900" w:h="16838" w:orient="portrait"/>
          <w:cols w:equalWidth="0" w:num="1">
            <w:col w:w="11420"/>
          </w:cols>
          <w:pgMar w:left="240" w:top="229" w:right="239" w:bottom="1440" w:gutter="0" w:footer="0" w:header="0"/>
        </w:sectPr>
      </w:pPr>
    </w:p>
    <w:p>
      <w:pPr>
        <w:spacing w:after="0" w:line="8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 o</w:t>
      </w:r>
    </w:p>
    <w:p>
      <w:pPr>
        <w:spacing w:after="0" w:line="86" w:lineRule="exact"/>
        <w:rPr>
          <w:sz w:val="24"/>
          <w:szCs w:val="24"/>
          <w:color w:val="auto"/>
        </w:rPr>
      </w:pPr>
    </w:p>
    <w:p>
      <w:pPr>
        <w:sectPr>
          <w:pgSz w:w="11900" w:h="16838" w:orient="portrait"/>
          <w:cols w:equalWidth="0" w:num="4">
            <w:col w:w="7080" w:space="160"/>
            <w:col w:w="200" w:space="80"/>
            <w:col w:w="120" w:space="160"/>
            <w:col w:w="3620"/>
          </w:cols>
          <w:pgMar w:left="240" w:top="229" w:right="239" w:bottom="1440" w:gutter="0" w:footer="0" w:header="0"/>
          <w:type w:val="continuous"/>
        </w:sectPr>
      </w:pPr>
    </w:p>
    <w:p>
      <w:pPr>
        <w:spacing w:after="0" w:line="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Yes 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4">
            <w:col w:w="7220" w:space="140"/>
            <w:col w:w="340" w:space="160"/>
            <w:col w:w="160" w:space="80"/>
            <w:col w:w="3320"/>
          </w:cols>
          <w:pgMar w:left="240" w:top="229" w:right="239" w:bottom="1440" w:gutter="0" w:footer="0" w:header="0"/>
          <w:type w:val="continuous"/>
        </w:sectPr>
      </w:pPr>
    </w:p>
    <w:p>
      <w:pPr>
        <w:ind w:right="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69"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69"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62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p>
      <w:pPr>
        <w:spacing w:after="0" w:line="17" w:lineRule="exact"/>
        <w:rPr>
          <w:sz w:val="24"/>
          <w:szCs w:val="24"/>
          <w:color w:val="auto"/>
        </w:rPr>
      </w:pPr>
    </w:p>
    <w:p>
      <w:pPr>
        <w:spacing w:after="0"/>
        <w:tabs>
          <w:tab w:leader="none" w:pos="4140" w:val="left"/>
        </w:tabs>
        <w:rPr>
          <w:sz w:val="20"/>
          <w:szCs w:val="20"/>
          <w:color w:val="auto"/>
        </w:rPr>
      </w:pPr>
      <w:r>
        <w:rPr>
          <w:rFonts w:ascii="Times New Roman" w:cs="Times New Roman" w:eastAsia="Times New Roman" w:hAnsi="Times New Roman"/>
          <w:sz w:val="14"/>
          <w:szCs w:val="14"/>
          <w:color w:val="auto"/>
        </w:rPr>
        <w:t>standards provided pursuant to Section 13(a) of the Exchange Act.</w:t>
      </w:r>
      <w:r>
        <w:rPr>
          <w:sz w:val="20"/>
          <w:szCs w:val="20"/>
          <w:color w:val="auto"/>
        </w:rPr>
        <w:tab/>
      </w:r>
      <w:r>
        <w:rPr>
          <w:rFonts w:ascii="Times New Roman" w:cs="Times New Roman" w:eastAsia="Times New Roman" w:hAnsi="Times New Roman"/>
          <w:sz w:val="14"/>
          <w:szCs w:val="14"/>
          <w:color w:val="auto"/>
        </w:rPr>
        <w:t>o</w:t>
      </w:r>
    </w:p>
    <w:p>
      <w:pPr>
        <w:spacing w:after="0" w:line="16"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4"/>
          <w:szCs w:val="14"/>
          <w:color w:val="auto"/>
        </w:rPr>
        <w:t>The aggregate market value of Common Shares (the only common equity of the registrant) held by non-affiliates (for this purpose, executive officers and directors of the registrant are considered affiliates) as of March 29, 2019 (the last business day of the most recently completed second quarter) was approximately $3,085,305,949.</w:t>
      </w:r>
    </w:p>
    <w:p>
      <w:pPr>
        <w:spacing w:after="0" w:line="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There were 55,819,060 Common Shares of the registrant outstanding as of November 22, 2019.</w:t>
      </w:r>
    </w:p>
    <w:p>
      <w:pPr>
        <w:spacing w:after="0" w:line="1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2020 Annual Meeting of Shareholders are incorporated by reference into Part III of this Annual Report on Form 10-K. Such Proxy Statement will be filed with the Securities and Exchange Commission within 120 days of the registrant’s fiscal year ended September 30, 2019.</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20" w:type="dxa"/>
            <w:vAlign w:val="bottom"/>
            <w:gridSpan w:val="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2280" w:type="dxa"/>
            <w:vAlign w:val="bottom"/>
            <w:gridSpan w:val="5"/>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380" w:type="dxa"/>
            <w:vAlign w:val="bottom"/>
            <w:gridSpan w:val="2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44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0"/>
              </w:rPr>
            </w:pPr>
            <w:hyperlink w:anchor="page9">
              <w:r>
                <w:rPr>
                  <w:rFonts w:ascii="Times New Roman" w:cs="Times New Roman" w:eastAsia="Times New Roman" w:hAnsi="Times New Roman"/>
                  <w:sz w:val="18"/>
                  <w:szCs w:val="18"/>
                  <w:color w:val="0000EE"/>
                  <w:w w:val="90"/>
                </w:rPr>
                <w:t>Item 1A.</w:t>
              </w:r>
            </w:hyperlink>
          </w:p>
        </w:tc>
        <w:tc>
          <w:tcPr>
            <w:tcW w:w="1660" w:type="dxa"/>
            <w:vAlign w:val="bottom"/>
            <w:gridSpan w:val="2"/>
          </w:tcPr>
          <w:p>
            <w:pPr>
              <w:spacing w:after="0"/>
              <w:rPr>
                <w:sz w:val="21"/>
                <w:szCs w:val="21"/>
                <w:color w:val="auto"/>
              </w:rPr>
            </w:pPr>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Risk Factors</w:t>
              </w:r>
            </w:hyperlink>
          </w:p>
        </w:tc>
        <w:tc>
          <w:tcPr>
            <w:tcW w:w="440" w:type="dxa"/>
            <w:vAlign w:val="bottom"/>
            <w:gridSpan w:val="3"/>
          </w:tcPr>
          <w:p>
            <w:pPr>
              <w:jc w:val="center"/>
              <w:ind w:left="270"/>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1"/>
              </w:rPr>
            </w:pPr>
            <w:hyperlink w:anchor="page19">
              <w:r>
                <w:rPr>
                  <w:rFonts w:ascii="Times New Roman" w:cs="Times New Roman" w:eastAsia="Times New Roman" w:hAnsi="Times New Roman"/>
                  <w:sz w:val="18"/>
                  <w:szCs w:val="18"/>
                  <w:color w:val="0000EE"/>
                  <w:w w:val="91"/>
                </w:rPr>
                <w:t>Item 1B.</w:t>
              </w:r>
            </w:hyperlink>
          </w:p>
        </w:tc>
        <w:tc>
          <w:tcPr>
            <w:tcW w:w="1660" w:type="dxa"/>
            <w:vAlign w:val="bottom"/>
            <w:gridSpan w:val="2"/>
          </w:tcPr>
          <w:p>
            <w:pPr>
              <w:spacing w:after="0"/>
              <w:rPr>
                <w:sz w:val="21"/>
                <w:szCs w:val="21"/>
                <w:color w:val="auto"/>
              </w:rPr>
            </w:pPr>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Unresolved Staff Comments</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18</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w:t>
              </w:r>
            </w:hyperlink>
          </w:p>
        </w:tc>
        <w:tc>
          <w:tcPr>
            <w:tcW w:w="1660" w:type="dxa"/>
            <w:vAlign w:val="bottom"/>
            <w:gridSpan w:val="2"/>
          </w:tcPr>
          <w:p>
            <w:pPr>
              <w:spacing w:after="0"/>
              <w:rPr>
                <w:sz w:val="21"/>
                <w:szCs w:val="21"/>
                <w:color w:val="auto"/>
              </w:rPr>
            </w:pPr>
          </w:p>
        </w:tc>
        <w:tc>
          <w:tcPr>
            <w:tcW w:w="2040" w:type="dxa"/>
            <w:vAlign w:val="bottom"/>
            <w:gridSpan w:val="1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Properties</w:t>
              </w:r>
            </w:hyperlink>
          </w:p>
        </w:tc>
        <w:tc>
          <w:tcPr>
            <w:tcW w:w="5340" w:type="dxa"/>
            <w:vAlign w:val="bottom"/>
            <w:gridSpan w:val="12"/>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19</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gridSpan w:val="5"/>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w:t>
              </w:r>
            </w:hyperlink>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19</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gridSpan w:val="5"/>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4.</w:t>
              </w:r>
            </w:hyperlink>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Mine Safety Disclosure</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19</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gridSpan w:val="4"/>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Supplemental Item</w:t>
              </w:r>
            </w:hyperlink>
          </w:p>
        </w:tc>
        <w:tc>
          <w:tcPr>
            <w:tcW w:w="920" w:type="dxa"/>
            <w:vAlign w:val="bottom"/>
          </w:tcPr>
          <w:p>
            <w:pPr>
              <w:spacing w:after="0"/>
              <w:rPr>
                <w:sz w:val="21"/>
                <w:szCs w:val="21"/>
                <w:color w:val="auto"/>
              </w:rPr>
            </w:pPr>
          </w:p>
        </w:tc>
        <w:tc>
          <w:tcPr>
            <w:tcW w:w="2600" w:type="dxa"/>
            <w:vAlign w:val="bottom"/>
            <w:gridSpan w:val="12"/>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Executive Officers of the Registrant</w:t>
              </w:r>
            </w:hyperlink>
          </w:p>
        </w:tc>
        <w:tc>
          <w:tcPr>
            <w:tcW w:w="4780" w:type="dxa"/>
            <w:vAlign w:val="bottom"/>
            <w:gridSpan w:val="11"/>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20</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3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Market for Registrant’s Common Equity, Related Stockholder Matters and Issuer Purchases of Equity</w:t>
              </w:r>
            </w:hyperlink>
          </w:p>
        </w:tc>
        <w:tc>
          <w:tcPr>
            <w:tcW w:w="60" w:type="dxa"/>
            <w:vAlign w:val="bottom"/>
          </w:tcPr>
          <w:p>
            <w:pPr>
              <w:spacing w:after="0"/>
              <w:rPr>
                <w:sz w:val="21"/>
                <w:szCs w:val="21"/>
                <w:color w:val="auto"/>
              </w:rPr>
            </w:pPr>
          </w:p>
        </w:tc>
        <w:tc>
          <w:tcPr>
            <w:tcW w:w="440" w:type="dxa"/>
            <w:vAlign w:val="bottom"/>
            <w:gridSpan w:val="3"/>
            <w:vMerge w:val="restart"/>
          </w:tcPr>
          <w:p>
            <w:pPr>
              <w:jc w:val="center"/>
              <w:ind w:left="170"/>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21</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920" w:type="dxa"/>
            <w:vAlign w:val="bottom"/>
            <w:gridSpan w:val="3"/>
            <w:vMerge w:val="restart"/>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w:t>
              </w:r>
            </w:hyperlink>
          </w:p>
        </w:tc>
        <w:tc>
          <w:tcPr>
            <w:tcW w:w="2280" w:type="dxa"/>
            <w:vAlign w:val="bottom"/>
            <w:gridSpan w:val="5"/>
            <w:vMerge w:val="restart"/>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5.</w:t>
              </w:r>
            </w:hyperlink>
          </w:p>
        </w:tc>
        <w:tc>
          <w:tcPr>
            <w:tcW w:w="7380" w:type="dxa"/>
            <w:vAlign w:val="bottom"/>
            <w:gridSpan w:val="23"/>
            <w:vMerge w:val="restart"/>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Securities</w:t>
              </w:r>
            </w:hyperlink>
          </w:p>
        </w:tc>
        <w:tc>
          <w:tcPr>
            <w:tcW w:w="4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gridSpan w:val="3"/>
            <w:vMerge w:val="continue"/>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7380" w:type="dxa"/>
            <w:vAlign w:val="bottom"/>
            <w:gridSpan w:val="23"/>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gridSpan w:val="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6.</w:t>
              </w:r>
            </w:hyperlink>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Selected Financial Data</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22</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gridSpan w:val="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7.</w:t>
              </w:r>
            </w:hyperlink>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30</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0"/>
              </w:rPr>
            </w:pPr>
            <w:hyperlink w:anchor="page50">
              <w:r>
                <w:rPr>
                  <w:rFonts w:ascii="Times New Roman" w:cs="Times New Roman" w:eastAsia="Times New Roman" w:hAnsi="Times New Roman"/>
                  <w:sz w:val="18"/>
                  <w:szCs w:val="18"/>
                  <w:color w:val="0000EE"/>
                  <w:w w:val="90"/>
                </w:rPr>
                <w:t>Item 7A.</w:t>
              </w:r>
            </w:hyperlink>
          </w:p>
        </w:tc>
        <w:tc>
          <w:tcPr>
            <w:tcW w:w="1660" w:type="dxa"/>
            <w:vAlign w:val="bottom"/>
            <w:gridSpan w:val="2"/>
          </w:tcPr>
          <w:p>
            <w:pPr>
              <w:spacing w:after="0"/>
              <w:rPr>
                <w:sz w:val="21"/>
                <w:szCs w:val="21"/>
                <w:color w:val="auto"/>
              </w:rPr>
            </w:pPr>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Quantitative And Qualitative Disclosures About Market Risk</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49</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8.</w:t>
              </w:r>
            </w:hyperlink>
          </w:p>
        </w:tc>
        <w:tc>
          <w:tcPr>
            <w:tcW w:w="1660" w:type="dxa"/>
            <w:vAlign w:val="bottom"/>
            <w:gridSpan w:val="2"/>
          </w:tcPr>
          <w:p>
            <w:pPr>
              <w:spacing w:after="0"/>
              <w:rPr>
                <w:sz w:val="21"/>
                <w:szCs w:val="21"/>
                <w:color w:val="auto"/>
              </w:rPr>
            </w:pPr>
          </w:p>
        </w:tc>
        <w:tc>
          <w:tcPr>
            <w:tcW w:w="4400" w:type="dxa"/>
            <w:vAlign w:val="bottom"/>
            <w:gridSpan w:val="1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Financial Statements and Supplementary Data</w:t>
              </w:r>
            </w:hyperlink>
          </w:p>
        </w:tc>
        <w:tc>
          <w:tcPr>
            <w:tcW w:w="2980" w:type="dxa"/>
            <w:vAlign w:val="bottom"/>
            <w:gridSpan w:val="6"/>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50</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gridSpan w:val="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9.</w:t>
              </w:r>
            </w:hyperlink>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Changes in and Disagreements with Accountants on Accounting and Financial Disclosure</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50</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0"/>
              </w:rPr>
            </w:pPr>
            <w:hyperlink w:anchor="page51">
              <w:r>
                <w:rPr>
                  <w:rFonts w:ascii="Times New Roman" w:cs="Times New Roman" w:eastAsia="Times New Roman" w:hAnsi="Times New Roman"/>
                  <w:sz w:val="18"/>
                  <w:szCs w:val="18"/>
                  <w:color w:val="0000EE"/>
                  <w:w w:val="90"/>
                </w:rPr>
                <w:t>Item 9A.</w:t>
              </w:r>
            </w:hyperlink>
          </w:p>
        </w:tc>
        <w:tc>
          <w:tcPr>
            <w:tcW w:w="1660" w:type="dxa"/>
            <w:vAlign w:val="bottom"/>
            <w:gridSpan w:val="2"/>
          </w:tcPr>
          <w:p>
            <w:pPr>
              <w:spacing w:after="0"/>
              <w:rPr>
                <w:sz w:val="21"/>
                <w:szCs w:val="21"/>
                <w:color w:val="auto"/>
              </w:rPr>
            </w:pPr>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Controls and Procedures</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50</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1"/>
              </w:rPr>
            </w:pPr>
            <w:hyperlink w:anchor="page51">
              <w:r>
                <w:rPr>
                  <w:rFonts w:ascii="Times New Roman" w:cs="Times New Roman" w:eastAsia="Times New Roman" w:hAnsi="Times New Roman"/>
                  <w:sz w:val="18"/>
                  <w:szCs w:val="18"/>
                  <w:color w:val="0000EE"/>
                  <w:w w:val="91"/>
                </w:rPr>
                <w:t>Item 9B.</w:t>
              </w:r>
            </w:hyperlink>
          </w:p>
        </w:tc>
        <w:tc>
          <w:tcPr>
            <w:tcW w:w="1660" w:type="dxa"/>
            <w:vAlign w:val="bottom"/>
            <w:gridSpan w:val="2"/>
          </w:tcPr>
          <w:p>
            <w:pPr>
              <w:spacing w:after="0"/>
              <w:rPr>
                <w:sz w:val="21"/>
                <w:szCs w:val="21"/>
                <w:color w:val="auto"/>
              </w:rPr>
            </w:pPr>
          </w:p>
        </w:tc>
        <w:tc>
          <w:tcPr>
            <w:tcW w:w="1320" w:type="dxa"/>
            <w:vAlign w:val="bottom"/>
            <w:gridSpan w:val="6"/>
          </w:tcPr>
          <w:p>
            <w:pPr>
              <w:spacing w:after="0"/>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Other Information</w:t>
              </w:r>
            </w:hyperlink>
          </w:p>
        </w:tc>
        <w:tc>
          <w:tcPr>
            <w:tcW w:w="440" w:type="dxa"/>
            <w:vAlign w:val="bottom"/>
            <w:gridSpan w:val="3"/>
          </w:tcPr>
          <w:p>
            <w:pPr>
              <w:spacing w:after="0"/>
              <w:rPr>
                <w:sz w:val="21"/>
                <w:szCs w:val="21"/>
                <w:color w:val="auto"/>
              </w:rPr>
            </w:pPr>
          </w:p>
        </w:tc>
        <w:tc>
          <w:tcPr>
            <w:tcW w:w="5620" w:type="dxa"/>
            <w:vAlign w:val="bottom"/>
            <w:gridSpan w:val="14"/>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50</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Part III</w:t>
              </w:r>
            </w:hyperlink>
          </w:p>
        </w:tc>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Item 10.</w:t>
              </w:r>
            </w:hyperlink>
          </w:p>
        </w:tc>
        <w:tc>
          <w:tcPr>
            <w:tcW w:w="1660" w:type="dxa"/>
            <w:vAlign w:val="bottom"/>
            <w:gridSpan w:val="2"/>
          </w:tcPr>
          <w:p>
            <w:pPr>
              <w:spacing w:after="0"/>
              <w:rPr>
                <w:sz w:val="21"/>
                <w:szCs w:val="21"/>
                <w:color w:val="auto"/>
              </w:rPr>
            </w:pPr>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Directors, Executive Officers, and Corporate Governance</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51</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3">
              <w:r>
                <w:rPr>
                  <w:rFonts w:ascii="Times New Roman" w:cs="Times New Roman" w:eastAsia="Times New Roman" w:hAnsi="Times New Roman"/>
                  <w:sz w:val="18"/>
                  <w:szCs w:val="18"/>
                  <w:color w:val="0000EE"/>
                  <w:w w:val="89"/>
                </w:rPr>
                <w:t>Item 11.</w:t>
              </w:r>
            </w:hyperlink>
          </w:p>
        </w:tc>
        <w:tc>
          <w:tcPr>
            <w:tcW w:w="1700" w:type="dxa"/>
            <w:vAlign w:val="bottom"/>
            <w:gridSpan w:val="3"/>
          </w:tcPr>
          <w:p>
            <w:pPr>
              <w:spacing w:after="0"/>
              <w:rPr>
                <w:sz w:val="21"/>
                <w:szCs w:val="21"/>
                <w:color w:val="auto"/>
              </w:rPr>
            </w:pPr>
          </w:p>
        </w:tc>
        <w:tc>
          <w:tcPr>
            <w:tcW w:w="4140" w:type="dxa"/>
            <w:vAlign w:val="bottom"/>
            <w:gridSpan w:val="16"/>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Executive Compensation</w:t>
              </w:r>
            </w:hyperlink>
          </w:p>
        </w:tc>
        <w:tc>
          <w:tcPr>
            <w:tcW w:w="3240" w:type="dxa"/>
            <w:vAlign w:val="bottom"/>
            <w:gridSpan w:val="7"/>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52</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Item 12.</w:t>
              </w:r>
            </w:hyperlink>
          </w:p>
        </w:tc>
        <w:tc>
          <w:tcPr>
            <w:tcW w:w="1660" w:type="dxa"/>
            <w:vAlign w:val="bottom"/>
            <w:gridSpan w:val="2"/>
          </w:tcPr>
          <w:p>
            <w:pPr>
              <w:spacing w:after="0"/>
              <w:rPr>
                <w:sz w:val="21"/>
                <w:szCs w:val="21"/>
                <w:color w:val="auto"/>
              </w:rPr>
            </w:pPr>
          </w:p>
        </w:tc>
        <w:tc>
          <w:tcPr>
            <w:tcW w:w="7380" w:type="dxa"/>
            <w:vAlign w:val="bottom"/>
            <w:gridSpan w:val="23"/>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52</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Item 13.</w:t>
              </w:r>
            </w:hyperlink>
          </w:p>
        </w:tc>
        <w:tc>
          <w:tcPr>
            <w:tcW w:w="1660" w:type="dxa"/>
            <w:vAlign w:val="bottom"/>
            <w:gridSpan w:val="2"/>
          </w:tcPr>
          <w:p>
            <w:pPr>
              <w:spacing w:after="0"/>
              <w:rPr>
                <w:sz w:val="21"/>
                <w:szCs w:val="21"/>
                <w:color w:val="auto"/>
              </w:rPr>
            </w:pPr>
          </w:p>
        </w:tc>
        <w:tc>
          <w:tcPr>
            <w:tcW w:w="7280" w:type="dxa"/>
            <w:vAlign w:val="bottom"/>
            <w:gridSpan w:val="21"/>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Certain Relationships and Related Transactions, and Director Independence</w:t>
              </w:r>
            </w:hyperlink>
          </w:p>
        </w:tc>
        <w:tc>
          <w:tcPr>
            <w:tcW w:w="100" w:type="dxa"/>
            <w:vAlign w:val="bottom"/>
            <w:gridSpan w:val="2"/>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53</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Item 14.</w:t>
              </w:r>
            </w:hyperlink>
          </w:p>
        </w:tc>
        <w:tc>
          <w:tcPr>
            <w:tcW w:w="1660" w:type="dxa"/>
            <w:vAlign w:val="bottom"/>
            <w:gridSpan w:val="2"/>
          </w:tcPr>
          <w:p>
            <w:pPr>
              <w:spacing w:after="0"/>
              <w:rPr>
                <w:sz w:val="21"/>
                <w:szCs w:val="21"/>
                <w:color w:val="auto"/>
              </w:rPr>
            </w:pPr>
          </w:p>
        </w:tc>
        <w:tc>
          <w:tcPr>
            <w:tcW w:w="5440" w:type="dxa"/>
            <w:vAlign w:val="bottom"/>
            <w:gridSpan w:val="1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Principal Accounting Fees and Services</w:t>
              </w:r>
            </w:hyperlink>
          </w:p>
        </w:tc>
        <w:tc>
          <w:tcPr>
            <w:tcW w:w="1940" w:type="dxa"/>
            <w:vAlign w:val="bottom"/>
            <w:gridSpan w:val="5"/>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53</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gridSpan w:val="2"/>
          </w:tcPr>
          <w:p>
            <w:pPr>
              <w:spacing w:after="0"/>
              <w:rPr>
                <w:rFonts w:ascii="Times New Roman" w:cs="Times New Roman" w:eastAsia="Times New Roman" w:hAnsi="Times New Roman"/>
                <w:sz w:val="18"/>
                <w:szCs w:val="18"/>
                <w:color w:val="0000EE"/>
                <w:w w:val="87"/>
              </w:rPr>
            </w:pPr>
            <w:hyperlink w:anchor="page55">
              <w:r>
                <w:rPr>
                  <w:rFonts w:ascii="Times New Roman" w:cs="Times New Roman" w:eastAsia="Times New Roman" w:hAnsi="Times New Roman"/>
                  <w:sz w:val="18"/>
                  <w:szCs w:val="18"/>
                  <w:color w:val="0000EE"/>
                  <w:w w:val="87"/>
                </w:rPr>
                <w:t>Part IV</w:t>
              </w:r>
            </w:hyperlink>
          </w:p>
        </w:tc>
        <w:tc>
          <w:tcPr>
            <w:tcW w:w="42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5">
              <w:r>
                <w:rPr>
                  <w:rFonts w:ascii="Times New Roman" w:cs="Times New Roman" w:eastAsia="Times New Roman" w:hAnsi="Times New Roman"/>
                  <w:sz w:val="18"/>
                  <w:szCs w:val="18"/>
                  <w:color w:val="0000EE"/>
                  <w:w w:val="89"/>
                </w:rPr>
                <w:t>Item 15.</w:t>
              </w:r>
            </w:hyperlink>
          </w:p>
        </w:tc>
        <w:tc>
          <w:tcPr>
            <w:tcW w:w="4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2900" w:type="dxa"/>
            <w:vAlign w:val="bottom"/>
            <w:gridSpan w:val="14"/>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Exhibits, Financial Statement Schedules</w:t>
              </w:r>
            </w:hyperlink>
          </w:p>
        </w:tc>
        <w:tc>
          <w:tcPr>
            <w:tcW w:w="4480" w:type="dxa"/>
            <w:vAlign w:val="bottom"/>
            <w:gridSpan w:val="9"/>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54</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00" w:type="dxa"/>
            <w:vAlign w:val="bottom"/>
            <w:tcBorders>
              <w:left w:val="single" w:sz="8" w:color="0000EE"/>
            </w:tcBorders>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55">
              <w:r>
                <w:rPr>
                  <w:rFonts w:ascii="Times New Roman" w:cs="Times New Roman" w:eastAsia="Times New Roman" w:hAnsi="Times New Roman"/>
                  <w:sz w:val="18"/>
                  <w:szCs w:val="18"/>
                  <w:color w:val="0000EE"/>
                  <w:w w:val="89"/>
                </w:rPr>
                <w:t>Item 16.</w:t>
              </w:r>
            </w:hyperlink>
          </w:p>
        </w:tc>
        <w:tc>
          <w:tcPr>
            <w:tcW w:w="1700" w:type="dxa"/>
            <w:vAlign w:val="bottom"/>
            <w:gridSpan w:val="3"/>
          </w:tcPr>
          <w:p>
            <w:pPr>
              <w:spacing w:after="0"/>
              <w:rPr>
                <w:sz w:val="21"/>
                <w:szCs w:val="21"/>
                <w:color w:val="auto"/>
              </w:rPr>
            </w:pPr>
          </w:p>
        </w:tc>
        <w:tc>
          <w:tcPr>
            <w:tcW w:w="2900" w:type="dxa"/>
            <w:vAlign w:val="bottom"/>
            <w:gridSpan w:val="14"/>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Form 10-K Summary</w:t>
              </w:r>
            </w:hyperlink>
          </w:p>
        </w:tc>
        <w:tc>
          <w:tcPr>
            <w:tcW w:w="4480" w:type="dxa"/>
            <w:vAlign w:val="bottom"/>
            <w:gridSpan w:val="9"/>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54</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40" w:type="dxa"/>
            <w:vAlign w:val="bottom"/>
            <w:gridSpan w:val="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gridSpan w:val="3"/>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Signatures</w:t>
              </w:r>
            </w:hyperlink>
          </w:p>
        </w:tc>
        <w:tc>
          <w:tcPr>
            <w:tcW w:w="780" w:type="dxa"/>
            <w:vAlign w:val="bottom"/>
            <w:gridSpan w:val="4"/>
          </w:tcPr>
          <w:p>
            <w:pPr>
              <w:spacing w:after="0"/>
              <w:rPr>
                <w:sz w:val="21"/>
                <w:szCs w:val="21"/>
                <w:color w:val="auto"/>
              </w:rPr>
            </w:pPr>
          </w:p>
        </w:tc>
        <w:tc>
          <w:tcPr>
            <w:tcW w:w="5840" w:type="dxa"/>
            <w:vAlign w:val="bottom"/>
            <w:gridSpan w:val="16"/>
          </w:tcPr>
          <w:p>
            <w:pPr>
              <w:spacing w:after="0"/>
              <w:rPr>
                <w:sz w:val="21"/>
                <w:szCs w:val="21"/>
                <w:color w:val="auto"/>
              </w:rPr>
            </w:pPr>
          </w:p>
        </w:tc>
        <w:tc>
          <w:tcPr>
            <w:tcW w:w="440" w:type="dxa"/>
            <w:vAlign w:val="bottom"/>
            <w:gridSpan w:val="3"/>
          </w:tcPr>
          <w:p>
            <w:pPr>
              <w:jc w:val="center"/>
              <w:ind w:left="170"/>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55</w:t>
              </w:r>
            </w:hyperlink>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140" w:type="dxa"/>
            <w:vAlign w:val="bottom"/>
            <w:gridSpan w:val="1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127">
              <w:r>
                <w:rPr>
                  <w:rFonts w:ascii="Times New Roman" w:cs="Times New Roman" w:eastAsia="Times New Roman" w:hAnsi="Times New Roman"/>
                  <w:sz w:val="18"/>
                  <w:szCs w:val="18"/>
                  <w:color w:val="0000EE"/>
                  <w:w w:val="98"/>
                </w:rPr>
                <w:t>Index to Exhibits</w:t>
              </w:r>
            </w:hyperlink>
          </w:p>
        </w:tc>
        <w:tc>
          <w:tcPr>
            <w:tcW w:w="6140" w:type="dxa"/>
            <w:vAlign w:val="bottom"/>
            <w:gridSpan w:val="18"/>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125</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describes the business conducted by The Scotts Miracle-Gro Company, an Ohio corporation (“Scotts Miracle-Gro” and, together with its subsidiaries, the “Company,” “we” or “us”), including general developments in the Company’s business during the fiscal year ended September 30, 2019 (“fiscal 2019”). For additional information on recent business developments, see “ITEM 7. MANAGEMENT’S DISCUSSION AND ANALYSIS OF FINANCIAL CONDITION AND RESULTS OF OPERATIONS” of this Annual Report on Form 10-K.</w:t>
      </w:r>
    </w:p>
    <w:p>
      <w:pPr>
        <w:spacing w:after="0" w:line="126" w:lineRule="exact"/>
        <w:rPr>
          <w:sz w:val="20"/>
          <w:szCs w:val="20"/>
          <w:color w:val="auto"/>
        </w:rPr>
      </w:pPr>
    </w:p>
    <w:p>
      <w:pPr>
        <w:jc w:val="both"/>
        <w:ind w:firstLine="432"/>
        <w:spacing w:after="0" w:line="201" w:lineRule="auto"/>
        <w:rPr>
          <w:sz w:val="20"/>
          <w:szCs w:val="20"/>
          <w:color w:val="auto"/>
        </w:rPr>
      </w:pPr>
      <w:r>
        <w:rPr>
          <w:rFonts w:ascii="Times New Roman" w:cs="Times New Roman" w:eastAsia="Times New Roman" w:hAnsi="Times New Roman"/>
          <w:sz w:val="18"/>
          <w:szCs w:val="18"/>
          <w:color w:val="auto"/>
        </w:rPr>
        <w:t>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lawn and grass seed products;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Nature’s 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LiquaFeed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Osmocote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gardening and landscape products; and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Roundup</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2"/>
          <w:szCs w:val="12"/>
          <w:color w:val="auto"/>
        </w:rPr>
        <w:t>,</w:t>
      </w:r>
      <w:r>
        <w:rPr>
          <w:rFonts w:ascii="Times New Roman" w:cs="Times New Roman" w:eastAsia="Times New Roman" w:hAnsi="Times New Roman"/>
          <w:sz w:val="18"/>
          <w:szCs w:val="18"/>
          <w:color w:val="auto"/>
        </w:rPr>
        <w:t xml:space="preserve"> Home Defense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insect control, weed control and rodent control products. We are the exclusive agent of the Monsanto Company, a subsidiary of Bayer AG since June 2018 (“Monsanto”), for the marketing and distribution of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We have a presence in similar branded consumer products in China and Latin America.</w:t>
      </w:r>
    </w:p>
    <w:p>
      <w:pPr>
        <w:spacing w:after="0" w:line="149"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8"/>
          <w:szCs w:val="18"/>
          <w:color w:val="auto"/>
        </w:rPr>
        <w:t>Through our Hawthorne segment, we are a leading manufacturer, marketer and distributor of nutrients, growing media, advanced indoor garden, lighting and ventilation systems and accessories for hydroponic gardening. Our key hydroponic gardening brands include General Hydroponics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Vermicrop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AeroGarden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On June 4, 2018, our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Prior to the transaction, Sunlight Supply was the largest distributor of hydroponic products in the United States, and was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under key brands including Sun System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Hurricane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Grower’s Edge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See “Acquisitions” for further discussion.</w:t>
      </w:r>
    </w:p>
    <w:p>
      <w:pPr>
        <w:spacing w:after="0" w:line="49" w:lineRule="exact"/>
        <w:rPr>
          <w:sz w:val="20"/>
          <w:szCs w:val="20"/>
          <w:color w:val="auto"/>
        </w:rPr>
      </w:pPr>
    </w:p>
    <w:p>
      <w:pPr>
        <w:jc w:val="both"/>
        <w:ind w:firstLine="432"/>
        <w:spacing w:after="0" w:line="211" w:lineRule="auto"/>
        <w:rPr>
          <w:sz w:val="20"/>
          <w:szCs w:val="20"/>
          <w:color w:val="auto"/>
        </w:rPr>
      </w:pPr>
      <w:r>
        <w:rPr>
          <w:rFonts w:ascii="Times New Roman" w:cs="Times New Roman" w:eastAsia="Times New Roman" w:hAnsi="Times New Roman"/>
          <w:sz w:val="18"/>
          <w:szCs w:val="18"/>
          <w:color w:val="auto"/>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powerful leading brands in the U.S. home lawn and garden industry. In fiscal 1995, through a merger with Stern’s Miracle-Gro Products, Inc., which was founded by Horace Hagedorn and Otto Stern in Long Island, New York in 1951, we acquired the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the industry leader in water-soluble garden plant foods. In fiscal 1999, we acquired the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in the United States and obtained exclusive rights to market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within the United States and other contractually specified countries, thereby adding industry-leading weed, pest and disease control products to our portfolio. Today,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Turf Builder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brands make us one of the most widely recognized companies in the consumer lawn and garden industry in the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divide our business into the following reportable segments:</w:t>
      </w:r>
    </w:p>
    <w:p>
      <w:pPr>
        <w:spacing w:after="0" w:line="6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Consumer</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Hawthorne</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U.S. Consumer consists of our consumer lawn and garden business located in the geographic United States. Hawthorne consists of our indoor, urban and hydroponic gardening business. Other consists of our consumer lawn and garden business in geographies other than the United States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w:t>
      </w: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9" w:lineRule="exact"/>
        <w:rPr>
          <w:sz w:val="20"/>
          <w:szCs w:val="20"/>
          <w:color w:val="auto"/>
        </w:rPr>
      </w:pPr>
    </w:p>
    <w:p>
      <w:pPr>
        <w:ind w:left="160" w:hanging="125"/>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Osmocote</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is a registered trademark of Everris International B.V., a subsidiary of Israel Chemicals Ltd.</w:t>
      </w:r>
    </w:p>
    <w:p>
      <w:pPr>
        <w:spacing w:after="0" w:line="42" w:lineRule="exact"/>
        <w:rPr>
          <w:sz w:val="20"/>
          <w:szCs w:val="20"/>
          <w:color w:val="auto"/>
        </w:rPr>
      </w:pPr>
    </w:p>
    <w:p>
      <w:pPr>
        <w:ind w:left="160" w:hanging="125"/>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Roundup</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 xml:space="preserve"> is a registered trademark of Monsanto Technology LLC, a company affiliated with Monsanto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are managed by our Chief Executive Officer (the chief operating decision maker of the Company). Financial information about these segments for each of the three fiscal years ended September 30, 2019, 2018 and 2017 is presented in “NOTE 21. SEGMENT INFORMATION” of the Notes to Consolidated Financial Statements included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our reportable segments, we manufacture, market and sell lawn and garden products in the following categories:</w:t>
      </w:r>
    </w:p>
    <w:p>
      <w:pPr>
        <w:spacing w:after="0" w:line="169" w:lineRule="exact"/>
        <w:rPr>
          <w:sz w:val="20"/>
          <w:szCs w:val="20"/>
          <w:color w:val="auto"/>
        </w:rPr>
      </w:pPr>
    </w:p>
    <w:p>
      <w:pPr>
        <w:jc w:val="both"/>
        <w:ind w:firstLine="878"/>
        <w:spacing w:after="0" w:line="212" w:lineRule="auto"/>
        <w:rPr>
          <w:sz w:val="20"/>
          <w:szCs w:val="20"/>
          <w:color w:val="auto"/>
        </w:rPr>
      </w:pPr>
      <w:r>
        <w:rPr>
          <w:rFonts w:ascii="Times New Roman" w:cs="Times New Roman" w:eastAsia="Times New Roman" w:hAnsi="Times New Roman"/>
          <w:sz w:val="18"/>
          <w:szCs w:val="18"/>
          <w:i w:val="1"/>
          <w:iCs w:val="1"/>
          <w:color w:val="auto"/>
        </w:rPr>
        <w:t xml:space="preserve">Lawn Care: </w:t>
      </w:r>
      <w:r>
        <w:rPr>
          <w:rFonts w:ascii="Times New Roman" w:cs="Times New Roman" w:eastAsia="Times New Roman" w:hAnsi="Times New Roman"/>
          <w:sz w:val="18"/>
          <w:szCs w:val="18"/>
          <w:color w:val="auto"/>
        </w:rPr>
        <w:t>The lawn care category is designed to help users obtain and enjoy the lawn they want. Products within this category include lawn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 products under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names; grass seed products under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Turf Builder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PatchMaster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Thick’R Lawn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and sub-brand names; and lawn-related weed, pest and disease control products primarily under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 including sub-brands such as GrubEx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lawn care category also includes spreaders and other durables under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 including Turf Builder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EdgeGuard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spreaders and Handy Green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II handheld spreaders. In addition, we market outdoor cleaners under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OxiClean</w:t>
      </w:r>
      <w:r>
        <w:rPr>
          <w:rFonts w:ascii="Times New Roman" w:cs="Times New Roman" w:eastAsia="Times New Roman" w:hAnsi="Times New Roman"/>
          <w:sz w:val="25"/>
          <w:szCs w:val="25"/>
          <w:color w:val="auto"/>
          <w:vertAlign w:val="superscript"/>
        </w:rPr>
        <w:t>TM3</w:t>
      </w:r>
      <w:r>
        <w:rPr>
          <w:rFonts w:ascii="Times New Roman" w:cs="Times New Roman" w:eastAsia="Times New Roman" w:hAnsi="Times New Roman"/>
          <w:sz w:val="18"/>
          <w:szCs w:val="18"/>
          <w:color w:val="auto"/>
        </w:rPr>
        <w:t xml:space="preserve"> brand name.</w:t>
      </w:r>
    </w:p>
    <w:p>
      <w:pPr>
        <w:spacing w:after="0" w:line="44" w:lineRule="exact"/>
        <w:rPr>
          <w:sz w:val="20"/>
          <w:szCs w:val="20"/>
          <w:color w:val="auto"/>
        </w:rPr>
      </w:pPr>
    </w:p>
    <w:p>
      <w:pPr>
        <w:jc w:val="both"/>
        <w:ind w:firstLine="878"/>
        <w:spacing w:after="0" w:line="208" w:lineRule="auto"/>
        <w:rPr>
          <w:sz w:val="20"/>
          <w:szCs w:val="20"/>
          <w:color w:val="auto"/>
        </w:rPr>
      </w:pPr>
      <w:r>
        <w:rPr>
          <w:rFonts w:ascii="Times New Roman" w:cs="Times New Roman" w:eastAsia="Times New Roman" w:hAnsi="Times New Roman"/>
          <w:sz w:val="18"/>
          <w:szCs w:val="18"/>
          <w:i w:val="1"/>
          <w:iCs w:val="1"/>
          <w:color w:val="auto"/>
        </w:rPr>
        <w:t xml:space="preserve">Gardening and Landscape: </w:t>
      </w:r>
      <w:r>
        <w:rPr>
          <w:rFonts w:ascii="Times New Roman" w:cs="Times New Roman" w:eastAsia="Times New Roman" w:hAnsi="Times New Roman"/>
          <w:sz w:val="18"/>
          <w:szCs w:val="18"/>
          <w:color w:val="auto"/>
        </w:rPr>
        <w:t>The gardening and landscape category is designed to help consumers grow and enjoy flower and vegetable gardens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beautify landscaped areas. Products within this category include a complete line of water-soluble plant foods under the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and sub-brands such as LiquaFeed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continuous-release plant foods under the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Osmocote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brands and sub-brands of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such as Shake ‘N Feed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potting mixes and garden soils under the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Hyponex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Earthgro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SuperSoil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Fafard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names; mulch and decorative groundcover products under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including the sub-brands Nature Scapes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Earthgro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Hyponex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plant-related pest and disease control products under the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organic garden products under the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Performance Organics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Organic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Nature’s 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Whitney Farms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EcoScraps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names; and live goods and seeding solutions under the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In the second quarter of fiscal 2016, we entered into a Marketing, R&amp;D and Ancillary Services Agreement (the “Services Agreement”) and a Term Loan Agreement (the “Term Loan Agreement”) with Bonnie Plants, Inc. (“Bonnie”) and its sole shareholder, Alabama Farmers Cooperative, Inc. (“AFC”), pursuant to which we provide financing and certain services to Bonnie’s business of planting, growing, developing, manufacturing, distributing, marketing, and selling to retail stores throughout the United States live plants, plant food, fertilizer and potting soil (the “Bonnie Business”). See “Acquisitions” for further discussion.</w:t>
      </w:r>
    </w:p>
    <w:p>
      <w:pPr>
        <w:spacing w:after="0" w:line="147" w:lineRule="exact"/>
        <w:rPr>
          <w:sz w:val="20"/>
          <w:szCs w:val="20"/>
          <w:color w:val="auto"/>
        </w:rPr>
      </w:pPr>
    </w:p>
    <w:p>
      <w:pPr>
        <w:jc w:val="both"/>
        <w:ind w:firstLine="878"/>
        <w:spacing w:after="0"/>
        <w:rPr>
          <w:sz w:val="20"/>
          <w:szCs w:val="20"/>
          <w:color w:val="auto"/>
        </w:rPr>
      </w:pPr>
      <w:r>
        <w:rPr>
          <w:rFonts w:ascii="Times New Roman" w:cs="Times New Roman" w:eastAsia="Times New Roman" w:hAnsi="Times New Roman"/>
          <w:sz w:val="18"/>
          <w:szCs w:val="18"/>
          <w:i w:val="1"/>
          <w:iCs w:val="1"/>
          <w:color w:val="auto"/>
        </w:rPr>
        <w:t xml:space="preserve">Hydroponics: </w:t>
      </w:r>
      <w:r>
        <w:rPr>
          <w:rFonts w:ascii="Times New Roman" w:cs="Times New Roman" w:eastAsia="Times New Roman" w:hAnsi="Times New Roman"/>
          <w:sz w:val="18"/>
          <w:szCs w:val="18"/>
          <w:color w:val="auto"/>
        </w:rPr>
        <w:t>The hydroponic category is designed to help customers grow plants, flowers and vegetables in an indoor or urban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little or no soil. Products within this category include horticultural, organic, lighting and hydroponics products, including lighting fixtures, nutrients, seeds and growing media, systems, trays, fans, filters, humidifiers and dehumidifiers, timers, instruments, water pumps, irrigation supplies and hand tools, and are marketed under the General Hydroponics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Vermicrop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Sun System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Hurricane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AeroGarden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brand names.</w:t>
      </w:r>
    </w:p>
    <w:p>
      <w:pPr>
        <w:spacing w:after="0" w:line="47" w:lineRule="exact"/>
        <w:rPr>
          <w:sz w:val="20"/>
          <w:szCs w:val="20"/>
          <w:color w:val="auto"/>
        </w:rPr>
      </w:pPr>
    </w:p>
    <w:p>
      <w:pPr>
        <w:jc w:val="both"/>
        <w:ind w:firstLine="878"/>
        <w:spacing w:after="0" w:line="220" w:lineRule="auto"/>
        <w:rPr>
          <w:sz w:val="20"/>
          <w:szCs w:val="20"/>
          <w:color w:val="auto"/>
        </w:rPr>
      </w:pPr>
      <w:r>
        <w:rPr>
          <w:rFonts w:ascii="Times New Roman" w:cs="Times New Roman" w:eastAsia="Times New Roman" w:hAnsi="Times New Roman"/>
          <w:sz w:val="18"/>
          <w:szCs w:val="18"/>
          <w:i w:val="1"/>
          <w:iCs w:val="1"/>
          <w:color w:val="auto"/>
        </w:rPr>
        <w:t xml:space="preserve">Controls: </w:t>
      </w:r>
      <w:r>
        <w:rPr>
          <w:rFonts w:ascii="Times New Roman" w:cs="Times New Roman" w:eastAsia="Times New Roman" w:hAnsi="Times New Roman"/>
          <w:sz w:val="18"/>
          <w:szCs w:val="18"/>
          <w:color w:val="auto"/>
        </w:rPr>
        <w:t>The controls category is designed to help consumers protect their homes from pests and maintain external home areas. Insect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marketed under the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 including Ortho Max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Home Defense Max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Bug B Gon Max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sub-brands; rodent control products are marketed under the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brands; selective weed control products are marketed under the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Weed B Gon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sub-brand; and non-selective weed killer products are marketed under the Groundclear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w:t>
      </w:r>
    </w:p>
    <w:p>
      <w:pPr>
        <w:spacing w:after="0" w:line="46" w:lineRule="exact"/>
        <w:rPr>
          <w:sz w:val="20"/>
          <w:szCs w:val="20"/>
          <w:color w:val="auto"/>
        </w:rPr>
      </w:pPr>
    </w:p>
    <w:p>
      <w:pPr>
        <w:jc w:val="both"/>
        <w:ind w:firstLine="87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Marketing Agreement: </w:t>
      </w:r>
      <w:r>
        <w:rPr>
          <w:rFonts w:ascii="Times New Roman" w:cs="Times New Roman" w:eastAsia="Times New Roman" w:hAnsi="Times New Roman"/>
          <w:sz w:val="18"/>
          <w:szCs w:val="18"/>
          <w:color w:val="auto"/>
        </w:rPr>
        <w:t>We are Monsanto’s exclusive agent for the marketing and distribution of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products in the United States and certain other specified countries. On May 15, 2015, we entered into an amendment (the “Marketing Agreement Amendment”) to the Amended and Restated Exclusive Agency and Marketing Agreement (as amended, the “Original Marketing Agreement”) with Monsanto and also entered into a lawn and garden brand extension agreement (the “Brand Extension Agreement”) and a commercialization and technology agreement (the “Commercialization and Technology Agreement”) with Monsanto. On August 31, 2017, in connection with the sale of our consumer lawn and garden businesses located in Australia, Austria, Belgium, Luxembourg, Czech Republic, France, Germany, Poland and the United Kingdom (the “International Business”), we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Exponent Private Equity LLP (“Exponent”) of the Company’s rights and responsibilities under the Original Marketing Agreement, as amended, and the Brand Extension Agreement relating to those countries and territories subject to the sale.</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OxiClean</w:t>
      </w:r>
      <w:r>
        <w:rPr>
          <w:rFonts w:ascii="Times New Roman" w:cs="Times New Roman" w:eastAsia="Times New Roman" w:hAnsi="Times New Roman"/>
          <w:sz w:val="9"/>
          <w:szCs w:val="9"/>
          <w:color w:val="auto"/>
        </w:rPr>
        <w:t xml:space="preserve">TM </w:t>
      </w:r>
      <w:r>
        <w:rPr>
          <w:rFonts w:ascii="Times New Roman" w:cs="Times New Roman" w:eastAsia="Times New Roman" w:hAnsi="Times New Roman"/>
          <w:sz w:val="14"/>
          <w:szCs w:val="14"/>
          <w:color w:val="auto"/>
        </w:rPr>
        <w:t>is a registered trademark of Church &amp; Dwight Co., Inc.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85" w:right="239" w:bottom="1440" w:gutter="0" w:footer="0" w:header="0"/>
        </w:sectPr>
      </w:pPr>
    </w:p>
    <w:bookmarkStart w:id="4" w:name="page5"/>
    <w:bookmarkEnd w:id="4"/>
    <w:p>
      <w:pPr>
        <w:jc w:val="both"/>
        <w:ind w:firstLine="878"/>
        <w:spacing w:after="0" w:line="238" w:lineRule="auto"/>
        <w:rPr>
          <w:sz w:val="20"/>
          <w:szCs w:val="20"/>
          <w:color w:val="auto"/>
        </w:rPr>
      </w:pPr>
      <w:r>
        <w:rPr>
          <w:rFonts w:ascii="Times New Roman" w:cs="Times New Roman" w:eastAsia="Times New Roman" w:hAnsi="Times New Roman"/>
          <w:sz w:val="18"/>
          <w:szCs w:val="18"/>
          <w:color w:val="auto"/>
        </w:rPr>
        <w:t>Effective August 1, 2019, we entered into (i) the Third Amended and Restated Exclusive Agency and Marketing Agreement (the “Third Restated Agreement”) which amends and restates the Restated Marketing Agreement, (ii) a Brand Extension Agreement Asset Purchase Agreement (the “BEA Purchase Agreement”) under which we sold certain assets to Monsanto related to the development, manufacture, production, advertising, marketing, promotion, distribution, importation, exportation, offer for sale and sale of specified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sold outside the non-selective weedkiller category within the residential lawn and garden market and (iii) agreements terminating both the Restated Brand Extension Agreement and the Commercialization and Technology Agreement.</w:t>
      </w:r>
    </w:p>
    <w:p>
      <w:pPr>
        <w:spacing w:after="0" w:line="147" w:lineRule="exact"/>
        <w:rPr>
          <w:sz w:val="20"/>
          <w:szCs w:val="20"/>
          <w:color w:val="auto"/>
        </w:rPr>
      </w:pPr>
    </w:p>
    <w:p>
      <w:pPr>
        <w:jc w:val="both"/>
        <w:ind w:firstLine="878"/>
        <w:spacing w:after="0" w:line="230" w:lineRule="auto"/>
        <w:rPr>
          <w:sz w:val="20"/>
          <w:szCs w:val="20"/>
          <w:color w:val="auto"/>
        </w:rPr>
      </w:pPr>
      <w:r>
        <w:rPr>
          <w:rFonts w:ascii="Times New Roman" w:cs="Times New Roman" w:eastAsia="Times New Roman" w:hAnsi="Times New Roman"/>
          <w:sz w:val="18"/>
          <w:szCs w:val="18"/>
          <w:color w:val="auto"/>
        </w:rPr>
        <w:t>Under the terms of the Third Restated Agreement, we provide certain consumer and trade marketing program services, sales, merchandising, warehousing and other selling and marketing support for these products. Among other things, the Third Restated Agreement amends the provisions of the Restated Marketing Agreement relating to commissions, contributions, noncompetition, and termination. The Company also performs other services on behalf of Monsanto, including manufacturing conversion services, pursuant to ancillary agreements. For additional details regarding the Third Restated Agreement, see “ITEM 1A. RISK FACTORS — In the event the Third Restated Agreement for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terminates or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materially declines, we would lose a substantial source of future earnings and overhead expense absorption” of this Annual Report on Form 10-K and “NOTE 7. MARKETING AGREEMENT” of the Notes to Consolidated Financial Statements included in this Annual Report on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2018</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 2017, our Hawthorne segment acquired the remaining 25% noncontrolling interest in Gavita Holdings B.V., and its subsidiaries (collectively, “Gavita”), including Agrolux Holding B.V. (now known as Hawthorne Lighting B.V.), and its subsidiaries (collectively, “Agrolux”), for $69.2 million, plus payment of contingent consideration of $3.0 million.</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11, 2017, our Hawthorne segment completed the acquisition of substantially all of the U.S. and Canadian assets of Can-Filters Group Inc. (“Can-Filters”) for $74.1 million. Based in British Columbia, Can-Filters is a wholesaler of ventilation products for indoor and hydroponic gardening and industrial market customers.</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4, 2018, our Hawthorne segment acquired Sunlight Supply for $459.1 million. Sunlight Supply, based in Vancouver, Washington, is a leading developer, manufacturer, marketer and distributer of horticultural, organics, lighting, and hydroponics products. Prior to the transaction, Sunlight Supply served as a non-exclusive distributor of our products.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2017</w:t>
      </w:r>
    </w:p>
    <w:p>
      <w:pPr>
        <w:spacing w:after="0" w:line="9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On October 3, 2016, our Hawthorne segment completed the acquisition of American Agritech, L.L.C., d/b/a Botanicare (“Botanicare”), an Arizona-based leading producer of plant nutrients, plant supplements and growing systems used for hydroponic gardening, for $92.6 million.</w:t>
      </w:r>
    </w:p>
    <w:p>
      <w:pPr>
        <w:spacing w:after="0" w:line="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November 29, 2016, our wholly-owned subsidiary SMG Growing Media, Inc. fully exercised its outstanding warrants to acquire additional shares of common stock of AeroGrow International, Inc. (“AeroGrow”) for $8.1 million, which increased our percentage ownership of AeroGrow’s outstanding shares of common stock (on a fully diluted basis) from 45% to 80%. AeroGrow is a developer, marketer, direct-seller, and wholesaler of advanced indoor garden systems designed for consumer use in gardening, and home and office décor markets. AeroGrow operates primarily in the United States, Canada, Australia and select countries in Europe and Asia.</w:t>
      </w:r>
    </w:p>
    <w:p>
      <w:pPr>
        <w:spacing w:after="0" w:line="4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2017, our U.S. Consumer segment also completed two acquisitions of companies whose products support water positive landscapes and internet-enabled technology for an aggregate purchase price of $3.2 million.</w:t>
      </w:r>
    </w:p>
    <w:p>
      <w:pPr>
        <w:spacing w:after="0" w:line="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On May 26, 2017, our majority-owned subsidiary Gavita completed the acquisition of Agrolux for $21.8 million. Agrolux, based in the Netherlands, is a worldwide supplier of horticultural lighting.</w:t>
      </w:r>
    </w:p>
    <w:p>
      <w:pPr>
        <w:spacing w:after="0" w:line="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2017, our Hawthorne segment also completed the acquisition of a company focused on the technology supporting hydroponic growing systems for $3.5 million.</w:t>
      </w:r>
    </w:p>
    <w:p>
      <w:pPr>
        <w:spacing w:after="0" w:line="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August 11, 2017, our Hawthorne segment completed the acquisition of substantially all of the assets of the exclusive manufacturer and formulator of branded Botanicare products for $32.0 million.</w:t>
      </w:r>
    </w:p>
    <w:p>
      <w:pPr>
        <w:spacing w:after="0" w:line="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2017, we also made a $29.4 million investment in an unconsolidated subsidiary whose products support the professional U.S. industrial, turf and ornamental market (the “IT&amp;O Joint Venture”).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2016</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2016, we entered into the Services Agreement and the Term Loan Agreement with Bonnie and AFC providing for our participation in the Bonnie Business. The Term Loan Agreement provides a loan from us to AFC, with Bonnie as guarantor, in the amount of $72.0 million with a fixed coupon rate of 6.95% (the “Term Loan”). Under the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985" w:right="2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Agreement, we provide marketing, research and development and certain ancillary services to the Bonnie Business for a commission fee based on the profits of the Bonnie Business and the reimbursement of certain costs.</w:t>
      </w:r>
    </w:p>
    <w:p>
      <w:pPr>
        <w:spacing w:after="0" w:line="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May 26, 2016, our Hawthorne segment acquired majority control and a 75% economic interest in Gavita, a Netherlands-based leading producer and marketer of indoor lighting used in the greenhouse and hydroponic markets, predominately in the United States and Europe, for $136.2 million. Gavita’s former ownership group initially retained a 25% noncontrolling interest in Gavita consisting of ownership of 5% of the outstanding shares of Gavita and a loan with interest payable based on distributions by Gavita.</w:t>
      </w:r>
    </w:p>
    <w:p>
      <w:pPr>
        <w:spacing w:after="0" w:line="4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2016, our Other segment completed an acquisition to expand our Canadian growing media operations for an estimated purchase price of $33.9 million, which was adjusted down by $4.3 million during fiscal 2017 based on the resolution of contingent consideration.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March 30, 2015, our Hawthorne segment acquired the assets of General Hydroponics, Inc. (“General Hydroponics”) and Bio-Organic Solutions, Inc. (“Vermicrop”), leading producers of liquid plant food products, growing media and accessories for hydroponic gardening, for $120.0 million and $15.0 million, respectively. The Vermicrop purchase price was paid in common shares of Scotts Miracle-Gro (“Common Shares”) based on the average share price at the time of payment.</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May 15, 2015, we amended our Original Marketing Agreement with Monsanto and entered into a lawn and garden brand extension agreement, and a commercialization and technology agreement with Monsanto gaining certain rights and protections pursuant to the agreements. We paid Monsanto $300.0 million in consideration for these agreements on August 14,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1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March 19, 2019, we sold all of our approximately 30% equity interest in Outdoor Home Services Holdings LLC, a lawn services joint venture between the Company and TruGreen Holding Corporation (the “TruGreen Joint Venture”) to TruGreen Companies L.L.C., a subsidiary of TruGreen Holding Corporation. Prior to this transaction, our net investment and advances with respect to the TruGreen Joint Venture had been reduced to a liability which resulted in an amount recorded in the “Distributions in excess of investment in unconsolidated affiliate” line in the Consolidated Balance Sheets of $21.9 million at September 30, 2018. In connection with this transaction, we received cash proceeds of $234.2 million related to the sale of our equity interest in the TruGreen Joint Venture and $18.4 million related to the payoff of second lien term loan financing.</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 2019, we sold all of our noncontrolling equity interest in the IT&amp;O Joint Venture for cash proceeds of $36.6 million.</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April 29, 2017, we received a binding and irrevocable offer (the “Offer”) from Exponent to purchase the International Business for approximately $250.0 million (subject to potential adjustment following closing in respect of the actual financial position at closing) and a deferred payment amount of up to $23.8 million. On July 5, 2017, we accepted the Offer and entered into the Share and Business Sale Agreement contemplated by the Offer. On August 31, 2017, we completed the sale of the International Business for cash proceeds of $150.6 million at closing, which was net of a closing statement adjustment for expected financial position at closing and net of seller financing provided by us of $29.7 million.</w:t>
      </w:r>
    </w:p>
    <w:p>
      <w:pPr>
        <w:spacing w:after="0" w:line="130"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On April 13, 2016, we contributed the Scotts LawnService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“SLS Business”) to the TruGreen Joint Venture in exchange for a minority equity interest of approximately 30% in the TruGreen Joint Venture, which had an initial fair value of $294.0 million, and received a tax-deferred cash distribution of $196.2 million, partially offset by an investment of $18.0 million in second lien term loan financing provided by us to the TruGreen Joint Venture.</w:t>
      </w:r>
    </w:p>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Where required, we have classified our results of operations for all periods presented in this Annual Report on Form 10-K to reflect these businesses as discontinued operations during the applicable periods. See “NOTE 3. DISCONTINUED OPERATIONS” of the Notes to Consolidated Financial Statements included in this Annual Report on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sell our products primarily to home centers, mass merchandisers, warehouse clubs, large hardware chains, independent hardware stores, nurseries, garden centers, e-commerce platforms, food and drug stores, indoor gardening and hydroponic product distributors, retailers and growers through both a direct sales force and our network of brokers and distributors. In addition, during fiscal 2019, we employed approximately 2,100 full-time and seasonal in-store associates within the United States to help our retail partners merchandise their lawn and garden departments directly to consumers of our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904" w:right="239" w:bottom="1440" w:gutter="0" w:footer="0" w:header="0"/>
        </w:sectPr>
      </w:pPr>
    </w:p>
    <w:bookmarkStart w:id="6" w:name="page7"/>
    <w:bookmarkEnd w:id="6"/>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majority of our shipments to customers are made via common carriers or through distributors in the United States. We primarily utilize third parties to manage the key distribution centers for our consumer business in North America, which are strategically located across the United States and Canada. Growing media products are generally shipped direct-to-store without passing through a distribution center.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resin and urea, to improve cost predictability and control. Sufficient raw materials were available during fiscal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Patents and Licenses</w:t>
      </w:r>
    </w:p>
    <w:p>
      <w:pPr>
        <w:spacing w:after="0" w:line="94" w:lineRule="exact"/>
        <w:rPr>
          <w:sz w:val="20"/>
          <w:szCs w:val="20"/>
          <w:color w:val="auto"/>
        </w:rPr>
      </w:pPr>
    </w:p>
    <w:p>
      <w:pPr>
        <w:jc w:val="both"/>
        <w:ind w:firstLine="432"/>
        <w:spacing w:after="0" w:line="201" w:lineRule="auto"/>
        <w:rPr>
          <w:sz w:val="20"/>
          <w:szCs w:val="20"/>
          <w:color w:val="auto"/>
        </w:rPr>
      </w:pPr>
      <w:r>
        <w:rPr>
          <w:rFonts w:ascii="Times New Roman" w:cs="Times New Roman" w:eastAsia="Times New Roman" w:hAnsi="Times New Roman"/>
          <w:sz w:val="18"/>
          <w:szCs w:val="18"/>
          <w:color w:val="auto"/>
        </w:rPr>
        <w:t>We consider our trademarks, patents and licenses to be key competitive advantages. We pursue a vigorous trademark protection strategy consisting of registration, renewal and maintenance of key trademarks and proactive monitoring and enforcement activities to protect against infringement. The Scotts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Tomcat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Hyponex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Earthgro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General Hydroponics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Vermicrop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Sun System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Can-Filters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names and logos, as well as a number of product trademarks, including Turf Builder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Organic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Nature’s 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Home Defense Max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Nature Scapes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Weed B Gon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Lawns are registered in the United States and/or internationally and are considered material to our business.</w:t>
      </w:r>
    </w:p>
    <w:p>
      <w:pPr>
        <w:spacing w:after="0" w:line="14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we actively develop and maintain an extensive portfolio of utility and design patents covering subject matters such as fertilizer, weed killer,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Backlog</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business is highly seasonal, with approximately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three largest customers are Home Depot, Lowe’s and Walmart. Home Depot and Lowe’s are the only customers that individually represent more than 10% of reported consolidated net sales during any of the three most recent fiscal years. For additional details regarding significant customers, see “ITEM 1A. RISK FACTORS — Because of the concentration of our sales to a small number of retail customers, the loss of one or more of, or a significant reduction in orders from, our top customers could adversely affect our financial results” of this Annual Report on Form 10-K and “NOTE 21. SEGMENT INFORMATION” of the Notes to Consolidated Financial Statements included in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Marketplace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We compete primarily on the basis of product innovation, product quality, product performance, value, brand strength, supply chain competency, field sales support, in-store sales support, the strength of our relationships with major retailers, distributors and advertising.</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lawn and garden, pest control and indoor gardening and hydroponic markets, our products compete against private-label as well as branded products. Primary competitors include Spectrum Brands Holdings, Inc., Central Garden &amp; Pet Company, Enforcer Products, Inc., Kellogg Garden Products, Oldcastle Retail, Inc., Lebanon Seaboard Corporation, Reckitt Benckiser Group plc, FoxFarm Soil &amp; Fertilizer Company, Nanolux Technology, Inc., Sun Gro Horticulture, Inc., Advanced Nutrients, Ltd.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98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Hydrofarm, LLC. In addition, we face competition from smaller regional competitors who operate in many of the areas where we compete.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Canada, we face competition in the lawn and garden market from Premier Tech Ltd. and a variety of local companies including private label brands.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continually invest in research and development, both in the laboratory and at the consumer level, to improve our products, manufacturing processes, packaging and delivery systems. Spending on research and development was $39.6 million, $42.5 million and $39.9 million in fiscal 2019, fiscal 2018 and fiscal 2017, respectively, including product registration costs of $11.0 million, $11.4 million and $10.6 million, respectively. In addition to the benefits of our own research and development, we actively seek ways to leverage the research and development activities of our suppliers and other business partners.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Local, state, federal and foreign laws and regulations affect the manufacture, sale, distribution and application of our products in several ways. For example, in the United States, all pesticide products must comply with the Federal Insecticide, Fungicide, and Rodenticide Act (“FIFRA”), and most require registration with the U.S. Environmental Protection Agency (the “U.S. EPA”) and similar state agencies before they can be sold or distributed. Fertilizer and growing media products are subject to state and foreign labeling regulations. In addition to the regulations already described, federal, state and foreign agencies regulate the disposal, transport, handling and storage of waste, remediation of contaminated sites, air and water discharges from our facilities, and workplace health and safety. Our grass seed products are regulated by the Federal Seed Act and various state regulations.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or categories of products altogether.</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more information regarding how compliance with local, state, federal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subject to various environmental proceedings, the majority of which are for site remediation. At September 30, 2019, $3.9 million was accrued for such environmental matters. During fiscal 2019, fiscal 2018 and fiscal 2017, we expensed $1.4 million, $1.6 million and $1.1 million, respectively, for such environmental matters. We had no material capital expenditures during the last three fiscal years related to environmental or regulatory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2019, we employed approximately 5,600 employees. During peak sales and production periods, we employed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6,100 employees, including seasonal and temporary labor.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904" w:right="239" w:bottom="1440" w:gutter="0" w:footer="0" w:header="0"/>
        </w:sectPr>
      </w:pP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including the exhibits hereto and the information incorporated by reference herein, as well as our 2019 Annual Report to Shareholders (our “2019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3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Annual Report on Form 10-K and our 2019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that we make in this Annual Report on Form 10-K and our 2019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3"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Local, state, federal and foreign laws and regulations relating to environmental matters affect us in several ways. In the United States, all pesticide products must comply with FIFRA and most must be registered with the U.S. EPA and similar state agencies before they can be sold or distributed.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1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the use of certain pesticide and fertilizer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036" w:right="239" w:bottom="1440" w:gutter="0" w:footer="0" w:header="0"/>
        </w:sectPr>
      </w:pPr>
    </w:p>
    <w:bookmarkStart w:id="9" w:name="page10"/>
    <w:bookmarkEnd w:id="9"/>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211"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reputation or the reputation of our products or products we market on behalf of third parties could have an adverse effect on our business.</w:t>
      </w:r>
    </w:p>
    <w:p>
      <w:pPr>
        <w:spacing w:after="0" w:line="24"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8"/>
          <w:szCs w:val="18"/>
          <w:color w:val="auto"/>
        </w:rPr>
        <w:t>Maintaining our strong reputation and a strong reputation of our products and products we market on behalf of third parties with both consumers and our retail customers is a key component in our success. Product recalls, our inability to ship, sell or transport affected products, governmental actions, investigations or other legal proceedings, and adverse media commentary may harm our reputation and hinder the acceptance by consumers of our products or products we market on behalf of third parties (including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In addition to effects on consumer behavior, retailers could decide to stop carrying those products which may materially and adversely affect our business operations, reduce sales and increase costs.</w:t>
      </w:r>
    </w:p>
    <w:p>
      <w:pPr>
        <w:spacing w:after="0" w:line="66"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In addition, notwithstanding the weight of scientific evidence supporting the safety of these products, claims or allegations that our products or products we market on behalf of third parties are not safe could adversely affect us and contribute to the risk we will be subjected to legal action. We manufacture a variety of products, such as fertilizers, growing media, pesticides, and herbicides, and also serve as marketer for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On occasion, allegations are made that some of these products have failed to perform up to expectations, are inappropriately labeled, contain insufficient instructions or have caused damage or injury to individuals or property. Public commentary by media agencies or non-governmental organizations and/or litigation-related assertions, even when such commentary or assertions may be inaccurate, may lead consumers or our retail customers to believe that certain of our products or products we market on behalf of third parties may be unsafe. For example, notwithstanding the weight of scientific evidence and regulatory determinations supporting the safety of glyphosate, recent litigation involving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non-selective glyphosate-containing weedkiller products has led to negative publicity and consumer sentiment with respect to these products and Monsanto’s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As another example, based on reports of contamination at a third-party supplier’s vermiculite mine, the public may perceive that some of our products manufactured in the past using vermiculite are or may be contaminated in a way that makes them unsafe.</w:t>
      </w:r>
    </w:p>
    <w:p>
      <w:pPr>
        <w:spacing w:after="0" w:line="14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Even when inaccurate or not supported by the scientific evidence, claims and allegations that our products or products we market on behalf of third parties are not safe could impair our reputation, the reputation of our products or the reputation of products we market on behalf of third parties, involve us in litigation, damage our brand names and have a material adverse effect on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985" w:right="239" w:bottom="1440" w:gutter="0" w:footer="0" w:header="0"/>
        </w:sectPr>
      </w:pPr>
    </w:p>
    <w:bookmarkStart w:id="10" w:name="page11"/>
    <w:bookmarkEnd w:id="10"/>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 and/or our reporting of such matters.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corporate citizenship and sustainability matters. From time to time, we communicate certain initiatives, including goals, regarding environmental matters, responsible sourcing and social investments.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30"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122"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33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130" w:lineRule="exact"/>
        <w:rPr>
          <w:sz w:val="20"/>
          <w:szCs w:val="20"/>
          <w:color w:val="auto"/>
        </w:rPr>
      </w:pPr>
    </w:p>
    <w:p>
      <w:pPr>
        <w:jc w:val="both"/>
        <w:ind w:firstLine="458"/>
        <w:spacing w:after="0" w:line="259" w:lineRule="auto"/>
        <w:rPr>
          <w:sz w:val="20"/>
          <w:szCs w:val="20"/>
          <w:color w:val="auto"/>
        </w:rPr>
      </w:pPr>
      <w:r>
        <w:rPr>
          <w:rFonts w:ascii="Times New Roman" w:cs="Times New Roman" w:eastAsia="Times New Roman" w:hAnsi="Times New Roman"/>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marketing activities may not be successful.</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the retention and availability of key personnel and the effective succession of senior management.</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availability or increases in the prices of raw materials or fuel could adversely affect our results of operations.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063" w:right="239" w:bottom="1440" w:gutter="0" w:footer="0" w:header="0"/>
        </w:sectPr>
      </w:pPr>
    </w:p>
    <w:bookmarkStart w:id="11" w:name="page12"/>
    <w:bookmarkEnd w:id="11"/>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associated with sourcing and manufacturing outside of the U.S. and risks from tariffs and/or international trade wars.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imports many of its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Recent changes in U.S. tariffs on goods imported into the U.S., particularly goods from China, have increased the cost of goods purchased by the Company. Additional tariffs could be imposed by the U.S. with relatively short notice to the Company. These governmental actions could have, and any similar future actions may have, a material adverse effect on our business, financial condition and results of operations. The overall effect of these risks is that our costs may increase, which in turn may result in lower profitability if we are unable to offset such increases through higher prices, and/or that we may suffer a decline in sales if our customers do not accept price increases.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hedging arrangements expose us to certain counterparty risks.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could adversely affect our business.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highly competitive nature of our markets could adversely affect our ability to maintain or grow revenues.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208"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 platforms and technologies.</w:t>
      </w:r>
    </w:p>
    <w:p>
      <w:pPr>
        <w:spacing w:after="0" w:line="2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future success depends on creating and successfully competing in markets for our products including our ability to improve our existing product lines and products and to develop, manufacture and market new product lines and products to meet evolving consumer needs, as well as our ability to leverage new media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063" w:right="239" w:bottom="1440" w:gutter="0" w:footer="0" w:header="0"/>
        </w:sectPr>
      </w:pPr>
    </w:p>
    <w:bookmarkStart w:id="12" w:name="page13"/>
    <w:bookmarkEnd w:id="12"/>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ongoing investment in new product lines and products and technologies is inherently risky and could disrupt our ongoing businesses.</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execute our e-commerce business, our reputation and operating results may be harmed.</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sell certain of our products over the Internet through our online store, which represents a small but growing percentage of our overall net sales concentrated mostly in our Hawthorne segment.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4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212"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top three retail customers together accounted for 57% of our fiscal 2019 net sales and 61% of our outstanding accounts receivable as of September 30, 2019. The loss of, or reduction in orders from, our top three retail customers, Home Depot, Lowe’s, and Walmart,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986" w:right="239" w:bottom="1440" w:gutter="0" w:footer="0" w:header="0"/>
        </w:sectPr>
      </w:pPr>
    </w:p>
    <w:bookmarkStart w:id="13" w:name="page14"/>
    <w:bookmarkEnd w:id="1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third-party manufacturers could harm our business.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may result in disruptions to our business and adversely affect our financial results.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Although we continue to implement risk-mitigation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07"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2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unfavorable weather conditions could adversely impact financial results.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issue of climate change is receiving ever increasing worldwide attention.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4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limit our flexibility and adversely affect our financial condition.</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2019, we had $1,659.3 million of debt and $1,326.2 million was available to be borrowed under our credit agreement. Our inability to meet restrictive financial and non-financial covenants associated with that debt, or to generate sufficient cash flow to repay maturing debt, could adversely affect our financial condition. For example, our debt level could:</w:t>
      </w:r>
    </w:p>
    <w:p>
      <w:pPr>
        <w:spacing w:after="0" w:line="122" w:lineRule="exact"/>
        <w:rPr>
          <w:sz w:val="20"/>
          <w:szCs w:val="20"/>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general adverse economic and industry conditions;</w:t>
      </w:r>
    </w:p>
    <w:p>
      <w:pPr>
        <w:spacing w:after="0" w:line="171"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22"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063" w:right="239" w:bottom="1440" w:gutter="0" w:footer="0" w:header="0"/>
        </w:sectPr>
      </w:pPr>
    </w:p>
    <w:bookmarkStart w:id="14" w:name="page15"/>
    <w:bookmarkEnd w:id="14"/>
    <w:p>
      <w:pPr>
        <w:ind w:left="1140" w:hanging="646"/>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10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or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3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our credit facility and the indentures governing our 5.250% Senior Notes due 2026 (the “5.250% Senior Notes”) and our 4.500% Senior Notes due 2029 (the “4.500% Senior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Subject to compliance with certain covenants under our credit facility and the indentures governing the 5.250% Senior Notes and the 4.500% Senior Notes, we may incur additional debt in the future. If we incur additional debt, the risks described above could intensify.</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lending activities may adversely impact our business and results of operations.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and macroeconomic factors beyond our control, such as deteriorating conditions in the world economy or in the industries served by the borrowers.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207"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credit ratings issued by nationally recognized statistical rating organizations (NRSROs) could adversely affect our cost of financing and the market price of our 5.250% Senior Notes and 4.500% Senior Notes.</w:t>
      </w:r>
    </w:p>
    <w:p>
      <w:pPr>
        <w:spacing w:after="0" w:line="2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NRSROs rate the 5.250% Senior Notes, the 4.500%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5.250% Senior Notes or the 4.500% Senior Notes or placing us on a watch list for possible future downgrading could increase our cost of financing, limit our access to the capital markets and have an adverse effect on the market price of the 5.250% Senior Notes and the 4.500% Senior Notes.</w:t>
      </w:r>
    </w:p>
    <w:p>
      <w:pPr>
        <w:spacing w:after="0" w:line="207"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2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986" w:right="239" w:bottom="1440" w:gutter="0" w:footer="0" w:header="0"/>
        </w:sectPr>
      </w:pPr>
    </w:p>
    <w:bookmarkStart w:id="15" w:name="page16"/>
    <w:bookmarkEnd w:id="15"/>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make us susceptible to the costs and risks associated with operating internationally.</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We operate manufacturing, sales and service facilities outside of the United States, particularly in Canada, China and the Netherlands. Accordingly, we are subject to risks associated with operating in foreign countries, including:</w:t>
      </w:r>
    </w:p>
    <w:p>
      <w:pPr>
        <w:spacing w:after="0" w:line="108" w:lineRule="exact"/>
        <w:rPr>
          <w:sz w:val="20"/>
          <w:szCs w:val="20"/>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remittance of dividends and other payments by foreign subsidiaries;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of compliance with local regulations;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in certain countries, higher rates of inflation than in the United States;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conditions or consumer preferences or demand for our products in these markets;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multi-national governing bodies, foreign governments or subdivisions thereof;</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labor laws and regulations affecting our ability to hire and retain employees;</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laws regarding trade and investment;</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robust protection of our intellectual property under foreign laws; and</w:t>
      </w:r>
    </w:p>
    <w:p>
      <w:pPr>
        <w:spacing w:after="0" w:line="17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99"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0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3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12"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2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53"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063" w:right="2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207" w:lineRule="exact"/>
        <w:rPr>
          <w:sz w:val="20"/>
          <w:szCs w:val="20"/>
          <w:color w:val="auto"/>
        </w:rPr>
      </w:pPr>
    </w:p>
    <w:p>
      <w:pPr>
        <w:jc w:val="both"/>
        <w:ind w:firstLine="243"/>
        <w:spacing w:after="0" w:line="220" w:lineRule="auto"/>
        <w:rPr>
          <w:sz w:val="20"/>
          <w:szCs w:val="20"/>
          <w:color w:val="auto"/>
        </w:rPr>
      </w:pPr>
      <w:r>
        <w:rPr>
          <w:rFonts w:ascii="Times New Roman" w:cs="Times New Roman" w:eastAsia="Times New Roman" w:hAnsi="Times New Roman"/>
          <w:sz w:val="18"/>
          <w:szCs w:val="18"/>
          <w:b w:val="1"/>
          <w:bCs w:val="1"/>
          <w:i w:val="1"/>
          <w:iCs w:val="1"/>
          <w:color w:val="auto"/>
        </w:rPr>
        <w:t>In the event the Third Restated Agreement for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i w:val="1"/>
          <w:iCs w:val="1"/>
          <w:color w:val="auto"/>
        </w:rPr>
        <w:t xml:space="preserve"> products terminates or Monsanto’s consumer Roundup</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business materially declines, we would lose a substantial source of future earnings and overhead expense absorption.</w:t>
      </w:r>
    </w:p>
    <w:p>
      <w:pPr>
        <w:spacing w:after="0" w:line="6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If we (i) become insolvent, (ii) commit a material breach, material fraud or material willful misconduct under the Third Restated Agreement, (iii) experience a change of control of the Company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after January 16, 2021,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53"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color w:val="auto"/>
        </w:rPr>
        <w:t>Monsanto may also terminate the Third Restated Agreement in the event of (a) a change of control of Monsanto or a sale of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effective at the end of the fifth full year after providing notice of termination, subject to certain terms and conditions as set forth in the applicable agreements,</w:t>
      </w:r>
    </w:p>
    <w:p>
      <w:pPr>
        <w:spacing w:after="0" w:line="1" w:lineRule="exact"/>
        <w:rPr>
          <w:sz w:val="20"/>
          <w:szCs w:val="20"/>
          <w:color w:val="auto"/>
        </w:rPr>
      </w:pPr>
    </w:p>
    <w:p>
      <w:pPr>
        <w:jc w:val="both"/>
        <w:ind w:firstLine="8"/>
        <w:spacing w:after="0" w:line="221" w:lineRule="auto"/>
        <w:tabs>
          <w:tab w:leader="none" w:pos="2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Monsanto’s decision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Event”), but, in each case, Monsanto would have to pay a termination fee to the Company.</w:t>
      </w:r>
    </w:p>
    <w:p>
      <w:pPr>
        <w:spacing w:after="0" w:line="65" w:lineRule="exact"/>
        <w:rPr>
          <w:sz w:val="20"/>
          <w:szCs w:val="20"/>
          <w:color w:val="auto"/>
        </w:rPr>
      </w:pPr>
    </w:p>
    <w:p>
      <w:pPr>
        <w:jc w:val="both"/>
        <w:ind w:firstLine="432"/>
        <w:spacing w:after="0" w:line="232" w:lineRule="auto"/>
        <w:rPr>
          <w:sz w:val="20"/>
          <w:szCs w:val="20"/>
          <w:color w:val="auto"/>
        </w:rPr>
      </w:pPr>
      <w:r>
        <w:rPr>
          <w:rFonts w:ascii="Times New Roman" w:cs="Times New Roman" w:eastAsia="Times New Roman" w:hAnsi="Times New Roman"/>
          <w:sz w:val="18"/>
          <w:szCs w:val="18"/>
          <w:color w:val="auto"/>
        </w:rPr>
        <w:t>If circumstances exist or otherwise develop that result in a material decline in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would not have a material adverse effect on our business, financial condition or results of operations.</w:t>
      </w:r>
    </w:p>
    <w:p>
      <w:pPr>
        <w:spacing w:after="0" w:line="4" w:lineRule="exact"/>
        <w:rPr>
          <w:sz w:val="20"/>
          <w:szCs w:val="20"/>
          <w:color w:val="auto"/>
        </w:rPr>
      </w:pPr>
    </w:p>
    <w:p>
      <w:pPr>
        <w:jc w:val="both"/>
        <w:ind w:firstLine="432"/>
        <w:spacing w:after="0" w:line="211" w:lineRule="auto"/>
        <w:rPr>
          <w:sz w:val="20"/>
          <w:szCs w:val="20"/>
          <w:color w:val="auto"/>
        </w:rPr>
      </w:pPr>
      <w:r>
        <w:rPr>
          <w:rFonts w:ascii="Times New Roman" w:cs="Times New Roman" w:eastAsia="Times New Roman" w:hAnsi="Times New Roman"/>
          <w:sz w:val="18"/>
          <w:szCs w:val="18"/>
          <w:color w:val="auto"/>
        </w:rPr>
        <w:t>In the event that the Third Restated Agreement terminates or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materially declines, we would lose all, or a substantial portion, of the significant source of earnings and overhead expense absorption the Third Restated Agreement provides.</w:t>
      </w:r>
    </w:p>
    <w:p>
      <w:pPr>
        <w:spacing w:after="0" w:line="6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Third Restated Agreement including certain of our rights and remedies under the Third Restated Agreement, see “NOTE 7. MARKETING AGREEMENT” of the Notes to Consolidated Financial Statements included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904" w:right="239" w:bottom="1440" w:gutter="0" w:footer="0" w:header="0"/>
        </w:sectPr>
      </w:pPr>
    </w:p>
    <w:bookmarkStart w:id="17" w:name="page18"/>
    <w:bookmarkEnd w:id="17"/>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Hagedorn Partnership, L.P. beneficially owned approximately 26% of our outstanding Common Shares on a fully diluted basis as of November 22, 2019.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212"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2019, we increased the amount of our quarterly cash dividend by 5% to $0.58 per Common Share. The total remaining share repurchase authorization as of September 30, 2019 is $285.4 million.</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07"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2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0" w:lineRule="exact"/>
        <w:rPr>
          <w:sz w:val="20"/>
          <w:szCs w:val="20"/>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225"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business or product lines.</w:t>
      </w:r>
    </w:p>
    <w:p>
      <w:pPr>
        <w:spacing w:after="0" w:line="225"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controls, procedures and policies at the acquired company.</w:t>
      </w:r>
    </w:p>
    <w:p>
      <w:pPr>
        <w:spacing w:after="0" w:line="225"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human resources and other administrative systems, and coordination of product, engineering and sales and marketing functions.</w:t>
      </w:r>
    </w:p>
    <w:p>
      <w:pPr>
        <w:spacing w:after="0" w:line="161"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operations, users and customers onto our existing platforms.</w:t>
      </w:r>
    </w:p>
    <w:p>
      <w:pPr>
        <w:spacing w:after="0" w:line="225"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expertise of our strategic partners with respect to market development, sales, local regulatory compliance and other operational matters.</w:t>
      </w:r>
    </w:p>
    <w:p>
      <w:pPr>
        <w:spacing w:after="0" w:line="161"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76"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063" w:right="239" w:bottom="1440" w:gutter="0" w:footer="0" w:header="0"/>
        </w:sectPr>
      </w:pPr>
    </w:p>
    <w:bookmarkStart w:id="18" w:name="page19"/>
    <w:bookmarkEnd w:id="18"/>
    <w:p>
      <w:pPr>
        <w:ind w:left="1140" w:hanging="646"/>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 and retention of employees from the businesses we acquire.</w:t>
      </w:r>
    </w:p>
    <w:p>
      <w:pPr>
        <w:spacing w:after="0" w:line="161" w:lineRule="exact"/>
        <w:rPr>
          <w:rFonts w:ascii="Times New Roman" w:cs="Times New Roman" w:eastAsia="Times New Roman" w:hAnsi="Times New Roman"/>
          <w:sz w:val="18"/>
          <w:szCs w:val="18"/>
          <w:color w:val="auto"/>
        </w:rPr>
      </w:pPr>
    </w:p>
    <w:p>
      <w:pPr>
        <w:ind w:left="1140" w:hanging="646"/>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61"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shareholders or other third parties.</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failure to dispose of assets or businesses in a timely manner may cause the results of the Company to suffer.</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212"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2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involved in legal proceedings and are subject to investigations, inspections, audits, inquiries and similar actions by governmental authorities, arising in the course of our business (see the discussion in “ITEM 3. LEGAL PROCEEDINGS”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5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040" w:right="239" w:bottom="1440" w:gutter="0" w:footer="0" w:header="0"/>
        </w:sectPr>
      </w:pPr>
    </w:p>
    <w:bookmarkStart w:id="19" w:name="page20"/>
    <w:bookmarkEnd w:id="19"/>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PROPERTIES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Marysville, Ohio, where we own approximately 705 acres of land and lease approximately 24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owned and leased properties by country: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7"/>
        </w:trPr>
        <w:tc>
          <w:tcPr>
            <w:tcW w:w="8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4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4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Netherlands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own or lease 73 manufacturing properties, 14 distribution properties and three research and development properties in the United States. We own or lease 19 manufacturing and one distribution property in Canada, one manufacturing and two distribution properties in the Netherlands and two manufacturing properties in China. Most of the manufacturing properties, which include growing media properties and peat harvesting properties, have production lines, warehouses, offices and field processing areas.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LEGAL PROCEEDINGS</w:t>
      </w:r>
    </w:p>
    <w:p>
      <w:pPr>
        <w:spacing w:after="0" w:line="9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As noted in the discussion in “ITEM 1. BUSINESS — Regulatory Considerations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of this Annual Report on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4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MINE SAFETY DISCLOSURE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19" w:right="239" w:bottom="1440" w:gutter="0" w:footer="0" w:header="0"/>
        </w:sectPr>
      </w:pPr>
    </w:p>
    <w:bookmarkStart w:id="20" w:name="page21"/>
    <w:bookmarkEnd w:id="2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SUPPLEMENTAL ITEM. </w:t>
      </w:r>
      <w:r>
        <w:rPr>
          <w:rFonts w:ascii="Times New Roman" w:cs="Times New Roman" w:eastAsia="Times New Roman" w:hAnsi="Times New Roman"/>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executive officers of Scotts Miracle-Gro, their positions and, as of November 22, 2019, their ages and years with Scotts Miracle-Gro (and its predecessors) are set forth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3"/>
                <w:szCs w:val="13"/>
                <w:color w:val="auto"/>
              </w:rPr>
            </w:pPr>
          </w:p>
        </w:tc>
        <w:tc>
          <w:tcPr>
            <w:tcW w:w="5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vMerge w:val="restart"/>
          </w:tcPr>
          <w:p>
            <w:pPr>
              <w:spacing w:after="0"/>
              <w:rPr>
                <w:sz w:val="13"/>
                <w:szCs w:val="13"/>
                <w:color w:val="auto"/>
              </w:rPr>
            </w:pPr>
          </w:p>
        </w:tc>
        <w:tc>
          <w:tcPr>
            <w:tcW w:w="6720" w:type="dxa"/>
            <w:vAlign w:val="bottom"/>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00" w:type="dxa"/>
            <w:vAlign w:val="bottom"/>
            <w:vMerge w:val="restart"/>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Years with</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C. Lukemire</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R. Coleman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D. King</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Communications Officer</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Ivan C. Smith</w:t>
            </w:r>
          </w:p>
        </w:tc>
        <w:tc>
          <w:tcPr>
            <w:tcW w:w="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Corporate Secretary and Chief Compliance</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Denise S. Stump</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Global Human Resources and Chief Ethics Officer</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106" w:lineRule="exact"/>
        <w:rPr>
          <w:sz w:val="20"/>
          <w:szCs w:val="20"/>
          <w:color w:val="auto"/>
        </w:rPr>
      </w:pPr>
    </w:p>
    <w:p>
      <w:pPr>
        <w:jc w:val="both"/>
        <w:ind w:firstLine="8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Hagedorn </w:t>
      </w:r>
      <w:r>
        <w:rPr>
          <w:rFonts w:ascii="Times New Roman" w:cs="Times New Roman" w:eastAsia="Times New Roman" w:hAnsi="Times New Roman"/>
          <w:sz w:val="18"/>
          <w:szCs w:val="18"/>
          <w:color w:val="auto"/>
        </w:rPr>
        <w:t>was named Chairman of the Board of Scotts Miracle-Gro’s predecessor in January 2003 and Chief Executive Officer of Scotts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Miracle-Gro’s predecessor in May 2001. He also served as President of Scotts Miracle-Gro (or its predecessor) from October 2015 until February 2016. Mr. Hagedorn serves on Scotts Miracle-Gro’s Board of Directors, a position he has held with Scotts Miracle-Gro (or its predecessor) since 1995. Mr. Hagedorn is the brother of Katherine Hagedorn Littlefield, a director of Scotts Miracle-Gro.</w:t>
      </w:r>
    </w:p>
    <w:p>
      <w:pPr>
        <w:spacing w:after="0" w:line="126" w:lineRule="exact"/>
        <w:rPr>
          <w:sz w:val="20"/>
          <w:szCs w:val="20"/>
          <w:color w:val="auto"/>
        </w:rPr>
      </w:pPr>
    </w:p>
    <w:p>
      <w:pPr>
        <w:jc w:val="both"/>
        <w:ind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Lukemire </w:t>
      </w:r>
      <w:r>
        <w:rPr>
          <w:rFonts w:ascii="Times New Roman" w:cs="Times New Roman" w:eastAsia="Times New Roman" w:hAnsi="Times New Roman"/>
          <w:sz w:val="18"/>
          <w:szCs w:val="18"/>
          <w:color w:val="auto"/>
        </w:rPr>
        <w:t>was named President and Chief Operating Officer of Scotts Miracle-Gro in February 2016. He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Operating Officer of Scotts Miracle-Gro from December 2014 until February 2016. Prior to this appointment, Mr. Lukemire had served as Executive Vice President, North American Operations of Scotts Miracle-Gro from April 2014 until December 2014 and as Executive Vice President, Business Execution of Scotts Miracle-Gro from May 2013 until April 2014.</w:t>
      </w:r>
    </w:p>
    <w:p>
      <w:pPr>
        <w:spacing w:after="0" w:line="126" w:lineRule="exact"/>
        <w:rPr>
          <w:sz w:val="20"/>
          <w:szCs w:val="20"/>
          <w:color w:val="auto"/>
        </w:rPr>
      </w:pPr>
    </w:p>
    <w:p>
      <w:pPr>
        <w:jc w:val="both"/>
        <w:ind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Coleman </w:t>
      </w:r>
      <w:r>
        <w:rPr>
          <w:rFonts w:ascii="Times New Roman" w:cs="Times New Roman" w:eastAsia="Times New Roman" w:hAnsi="Times New Roman"/>
          <w:sz w:val="18"/>
          <w:szCs w:val="18"/>
          <w:color w:val="auto"/>
        </w:rPr>
        <w:t>was named Executive Vice President and Chief Financial Officer of Scotts Miracle-Gro in April 2014. Prior to this appointment,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Coleman had served as Senior Vice President, Global Finance Operations and Enterprise Performance Management Analytics for The Scotts Company LLC, a wholly-owned subsidiary of Scotts Miracle-Gro, since January 2011.</w:t>
      </w:r>
    </w:p>
    <w:p>
      <w:pPr>
        <w:spacing w:after="0" w:line="120" w:lineRule="exact"/>
        <w:rPr>
          <w:sz w:val="20"/>
          <w:szCs w:val="20"/>
          <w:color w:val="auto"/>
        </w:rPr>
      </w:pPr>
    </w:p>
    <w:p>
      <w:pPr>
        <w:jc w:val="both"/>
        <w:ind w:right="2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Mr. King </w:t>
      </w:r>
      <w:r>
        <w:rPr>
          <w:rFonts w:ascii="Times New Roman" w:cs="Times New Roman" w:eastAsia="Times New Roman" w:hAnsi="Times New Roman"/>
          <w:sz w:val="18"/>
          <w:szCs w:val="18"/>
          <w:color w:val="auto"/>
        </w:rPr>
        <w:t>was named Executive Vice President, Chief Communications Officer of Scotts Miracle-Gro in April 2019. Prior to this appointment,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King had served as Senior Vice President, Chief Communications Officer from June 2008 to April 2019.</w:t>
      </w:r>
    </w:p>
    <w:p>
      <w:pPr>
        <w:spacing w:after="0" w:line="104" w:lineRule="exact"/>
        <w:rPr>
          <w:sz w:val="20"/>
          <w:szCs w:val="20"/>
          <w:color w:val="auto"/>
        </w:rPr>
      </w:pPr>
    </w:p>
    <w:p>
      <w:pPr>
        <w:jc w:val="both"/>
        <w:ind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Mr. Smith </w:t>
      </w:r>
      <w:r>
        <w:rPr>
          <w:rFonts w:ascii="Times New Roman" w:cs="Times New Roman" w:eastAsia="Times New Roman" w:hAnsi="Times New Roman"/>
          <w:sz w:val="18"/>
          <w:szCs w:val="18"/>
          <w:color w:val="auto"/>
        </w:rPr>
        <w:t>was named Executive Vice President, General Counsel and Corporate Secretary of Scotts Miracle-Gro in July 2013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Officer of Scotts Miracle-Gro in October 2013.</w:t>
      </w:r>
    </w:p>
    <w:p>
      <w:pPr>
        <w:spacing w:after="0" w:line="104" w:lineRule="exact"/>
        <w:rPr>
          <w:sz w:val="20"/>
          <w:szCs w:val="20"/>
          <w:color w:val="auto"/>
        </w:rPr>
      </w:pPr>
    </w:p>
    <w:p>
      <w:pPr>
        <w:jc w:val="both"/>
        <w:ind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Ms. Stump </w:t>
      </w:r>
      <w:r>
        <w:rPr>
          <w:rFonts w:ascii="Times New Roman" w:cs="Times New Roman" w:eastAsia="Times New Roman" w:hAnsi="Times New Roman"/>
          <w:sz w:val="18"/>
          <w:szCs w:val="18"/>
          <w:color w:val="auto"/>
        </w:rPr>
        <w:t>was named Executive Vice President, Global Human Resources of Scotts Miracle-Gro (or its predecessor) in February 2003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Officer of Scotts Miracle-Gro in October 2013.</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MARKET FOR REGISTRANT’S COMMON EQUITY, RELATED STOCKHOLDER MATTERS AND ISSUER PURCHASES OF EQUITY SECURITIES</w:t>
      </w:r>
    </w:p>
    <w:p>
      <w:pPr>
        <w:spacing w:after="0" w:line="2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On July 5, 2018, the Company entered into a fifth amended and restated credit agreement (the “Fifth A&amp;R Credit Agreement”), which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 The Company’s leverage ratio was 3.67 at September 30, 2019 and restricted payments for fiscal 2019 were within the amounts allowed by the Fifth A&amp;R Credit Agreement. See “NOTE 12. DEBT” of the Notes to Consolidated Financial Statements included in this Annual Report on Form 10-K for further discussion regarding the restrictions on dividend payments.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November 22, 2019, there were approximately 149,000 shareholders, including holders of record and our estimate of beneficial holders.</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Dollar Value of</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Common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Common Shares</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That May Yet</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Common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Under the Plans</w:t>
            </w:r>
          </w:p>
        </w:tc>
      </w:tr>
      <w:tr>
        <w:trPr>
          <w:trHeight w:val="195"/>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(3)</w:t>
            </w:r>
          </w:p>
        </w:tc>
      </w:tr>
      <w:tr>
        <w:trPr>
          <w:trHeight w:val="24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through July 27, 2019</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959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285,432,143</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July 28 through August 24, 2019</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106.34</w:t>
            </w:r>
          </w:p>
        </w:tc>
        <w:tc>
          <w:tcPr>
            <w:tcW w:w="100" w:type="dxa"/>
            <w:vAlign w:val="bottom"/>
          </w:tcPr>
          <w:p>
            <w:pPr>
              <w:spacing w:after="0"/>
              <w:rPr>
                <w:sz w:val="21"/>
                <w:szCs w:val="21"/>
                <w:color w:val="auto"/>
              </w:rPr>
            </w:pPr>
          </w:p>
        </w:tc>
        <w:tc>
          <w:tcPr>
            <w:tcW w:w="17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285,432,143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25 through September 30, 2019</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2,788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285,432,143</w:t>
            </w:r>
          </w:p>
        </w:tc>
      </w:tr>
      <w:tr>
        <w:trPr>
          <w:trHeight w:val="25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3,758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104.20</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fourth quarter of fiscal 2019 were purchased in open market transactions. The total number of Common Shares purchased during the quarter includes 3,758 Common Shares purchased by the trustee of the rabbi trust established by the Company as permitted pursuant to the terms of The Scotts Company LLC Executive Retirement Plan (the “ERP”).</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dollar amounts indicated reflect the remaining amounts that were available for repurchase under the authorized repurchase program.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Cumulative Five-Year Total Return*</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yearly change in the cumulative total stockholder return on our Common Stock for the past five fiscal years with the cumulative total return of the Russell 2000 Index and the S&amp;P 500 Household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80010</wp:posOffset>
            </wp:positionV>
            <wp:extent cx="5848985" cy="3361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SELECTED FINANCIAL DATA</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this Annual Report on Form 10-K. The summary consolidated financial data presented below as of and for the fiscal years ended September 30, 2019, 2018, 2017, 2016 and 2015 has been derived from our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19" w:right="239" w:bottom="1440" w:gutter="0" w:footer="0" w:header="0"/>
        </w:sectPr>
      </w:pPr>
    </w:p>
    <w:bookmarkStart w:id="23" w:name="page24"/>
    <w:bookmarkEnd w:id="23"/>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Five-Year Summary</w:t>
      </w:r>
      <w:r>
        <w:rPr>
          <w:rFonts w:ascii="Times New Roman" w:cs="Times New Roman" w:eastAsia="Times New Roman" w:hAnsi="Times New Roman"/>
          <w:sz w:val="24"/>
          <w:szCs w:val="24"/>
          <w:b w:val="1"/>
          <w:bCs w:val="1"/>
          <w:color w:val="auto"/>
          <w:vertAlign w:val="superscript"/>
        </w:rPr>
        <w:t>(1)</w:t>
      </w:r>
    </w:p>
    <w:p>
      <w:pPr>
        <w:sectPr>
          <w:pgSz w:w="11900" w:h="16838" w:orient="portrait"/>
          <w:cols w:equalWidth="0" w:num="1">
            <w:col w:w="11360"/>
          </w:cols>
          <w:pgMar w:left="280" w:top="98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GAAP OPERATING RESULTS: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sales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Gross profit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from operations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NON-GAAP ADJUSTED OPERATING RESULTS</w:t>
            </w:r>
            <w:r>
              <w:rPr>
                <w:rFonts w:ascii="Times New Roman" w:cs="Times New Roman" w:eastAsia="Times New Roman" w:hAnsi="Times New Roman"/>
                <w:sz w:val="8"/>
                <w:szCs w:val="8"/>
                <w:b w:val="1"/>
                <w:bCs w:val="1"/>
                <w:color w:val="auto"/>
              </w:rPr>
              <w:t>(2)</w:t>
            </w:r>
            <w:r>
              <w:rPr>
                <w:rFonts w:ascii="Times New Roman" w:cs="Times New Roman" w:eastAsia="Times New Roman" w:hAnsi="Times New Roman"/>
                <w:sz w:val="14"/>
                <w:szCs w:val="14"/>
                <w:b w:val="1"/>
                <w:bCs w:val="1"/>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Adjusted income from operations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Adjusted income from continuing operations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Adjusted net income attributable to controlling interest from continuing operations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SLS Divestiture adjusted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POSITION: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Working capital</w:t>
            </w:r>
            <w:r>
              <w:rPr>
                <w:rFonts w:ascii="Times New Roman" w:cs="Times New Roman" w:eastAsia="Times New Roman" w:hAnsi="Times New Roman"/>
                <w:sz w:val="8"/>
                <w:szCs w:val="8"/>
                <w:color w:val="auto"/>
              </w:rPr>
              <w:t>(3)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 ratio</w:t>
            </w:r>
            <w:r>
              <w:rPr>
                <w:rFonts w:ascii="Times New Roman" w:cs="Times New Roman" w:eastAsia="Times New Roman" w:hAnsi="Times New Roman"/>
                <w:sz w:val="8"/>
                <w:szCs w:val="8"/>
                <w:color w:val="auto"/>
              </w:rPr>
              <w:t>(3)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debt to total book capitalization</w:t>
            </w:r>
            <w:r>
              <w:rPr>
                <w:rFonts w:ascii="Times New Roman" w:cs="Times New Roman" w:eastAsia="Times New Roman" w:hAnsi="Times New Roman"/>
                <w:sz w:val="8"/>
                <w:szCs w:val="8"/>
                <w:color w:val="auto"/>
              </w:rPr>
              <w:t>(4)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equity—controlling interest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GAAP CASH FLOWS: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Investments in acquired businesses and payments on seller notes, net of cash</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acquired</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 paid</w:t>
            </w:r>
            <w:r>
              <w:rPr>
                <w:rFonts w:ascii="Times New Roman" w:cs="Times New Roman" w:eastAsia="Times New Roman" w:hAnsi="Times New Roman"/>
                <w:sz w:val="8"/>
                <w:szCs w:val="8"/>
                <w:color w:val="auto"/>
              </w:rPr>
              <w:t>(5)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Common Shares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NON-GAAP CASH FLOWS</w:t>
            </w:r>
            <w:r>
              <w:rPr>
                <w:rFonts w:ascii="Times New Roman" w:cs="Times New Roman" w:eastAsia="Times New Roman" w:hAnsi="Times New Roman"/>
                <w:sz w:val="8"/>
                <w:szCs w:val="8"/>
                <w:b w:val="1"/>
                <w:bCs w:val="1"/>
                <w:color w:val="auto"/>
              </w:rPr>
              <w:t>(2)</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Free cash flow</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Free cash flow productivity</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GAAP earnings per common share from continuing operations: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Non-GAAP adjusted earnings per common share from continuing operations:</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Adjusted diluted</w:t>
            </w:r>
            <w:r>
              <w:rPr>
                <w:rFonts w:ascii="Times New Roman" w:cs="Times New Roman" w:eastAsia="Times New Roman" w:hAnsi="Times New Roman"/>
                <w:sz w:val="8"/>
                <w:szCs w:val="8"/>
                <w:color w:val="auto"/>
              </w:rPr>
              <w:t>(2)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SLS Divestiture adjusted income</w:t>
            </w:r>
            <w:r>
              <w:rPr>
                <w:rFonts w:ascii="Times New Roman" w:cs="Times New Roman" w:eastAsia="Times New Roman" w:hAnsi="Times New Roman"/>
                <w:sz w:val="8"/>
                <w:szCs w:val="8"/>
                <w:color w:val="auto"/>
              </w:rPr>
              <w:t>(2)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 per common share</w:t>
            </w:r>
            <w:r>
              <w:rPr>
                <w:rFonts w:ascii="Times New Roman" w:cs="Times New Roman" w:eastAsia="Times New Roman" w:hAnsi="Times New Roman"/>
                <w:sz w:val="8"/>
                <w:szCs w:val="8"/>
                <w:color w:val="auto"/>
              </w:rPr>
              <w:t>(5)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(2)(6)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Leverage ratio</w:t>
            </w:r>
            <w:r>
              <w:rPr>
                <w:rFonts w:ascii="Times New Roman" w:cs="Times New Roman" w:eastAsia="Times New Roman" w:hAnsi="Times New Roman"/>
                <w:sz w:val="8"/>
                <w:szCs w:val="8"/>
                <w:color w:val="auto"/>
              </w:rPr>
              <w:t>(6)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coverage ratio</w:t>
            </w:r>
            <w:r>
              <w:rPr>
                <w:rFonts w:ascii="Times New Roman" w:cs="Times New Roman" w:eastAsia="Times New Roman" w:hAnsi="Times New Roman"/>
                <w:sz w:val="8"/>
                <w:szCs w:val="8"/>
                <w:color w:val="auto"/>
              </w:rPr>
              <w:t>(6)</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Common shares and dilutive potential common</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shares used in diluted EPS calculation</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24765</wp:posOffset>
            </wp:positionV>
            <wp:extent cx="3961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32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6"/>
                <w:szCs w:val="16"/>
                <w:color w:val="auto"/>
              </w:rPr>
            </w:pPr>
          </w:p>
        </w:tc>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70"/>
        </w:trPr>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8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3,156.0</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2,663.4</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2,642.1</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2,506.2</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2,371.1</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1,019.6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864.6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972.6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900.3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810.8</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409.6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198.9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433.4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447.6</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253.8</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436.7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127.6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246.1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128.7</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23.5</w:t>
            </w:r>
          </w:p>
        </w:tc>
        <w:tc>
          <w:tcPr>
            <w:tcW w:w="3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460.2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314.8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158.7</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460.7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315.3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159.8</w:t>
            </w: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422.9</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351.7</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438.3</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402.1</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334.0</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251.3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211.6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237.4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230.2</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180.4</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251.8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211.6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236.9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230.7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181.5</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251.8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211.6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236.9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221.7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203.4</w:t>
            </w: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421.2</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273.0</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337.2</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325.8</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382.8</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546.0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530.8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467.7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444.9</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413.4</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3,028.7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3,054.5</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2,747.0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2,755.8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2,458.3</w:t>
            </w:r>
          </w:p>
        </w:tc>
      </w:tr>
      <w:tr>
        <w:trPr>
          <w:trHeight w:val="270"/>
        </w:trPr>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69.7%</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68.3%</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1,651.6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2,016.4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1,401.1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1,215.9</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1,061.1</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718.7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354.6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715.2</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620.7</w:t>
            </w: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226.8</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342.5</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363.2</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244.0</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250.1</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61.7</w:t>
            </w:r>
          </w:p>
        </w:tc>
      </w:tr>
      <w:tr>
        <w:trPr>
          <w:trHeight w:val="351"/>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501.8</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150.4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161.2</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181.7</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124.5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120.0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120.3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116.6</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111.3</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327.7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255.2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137.4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184.4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274.3</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293.6</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185.7</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188.4</w:t>
            </w:r>
          </w:p>
        </w:tc>
      </w:tr>
      <w:tr>
        <w:trPr>
          <w:trHeight w:val="270"/>
        </w:trPr>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430.6%</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134.2%</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81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7.88</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2.27</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3.33</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4.04</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7.77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4.47</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3.72</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2.92</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2.230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2.140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2.030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1.910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1.820</w:t>
            </w:r>
          </w:p>
        </w:tc>
      </w:tr>
      <w:tr>
        <w:trPr>
          <w:trHeight w:val="54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558.2</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482.0</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560.5</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517.4</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471.8</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5.55</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7.54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9.34</w:t>
            </w:r>
          </w:p>
        </w:tc>
      </w:tr>
      <w:tr>
        <w:trPr>
          <w:trHeight w:val="270"/>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56.2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r>
      <w:tr>
        <w:trPr>
          <w:trHeight w:val="351"/>
        </w:trPr>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56.3</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57.1</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62.0</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-7642860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-7299325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-6956425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-6613525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-6270625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-5927725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-5584190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-5241290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-4898390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-4555490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-4212590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-3869055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-3526155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-3131820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-2788920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-2445385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-2102485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-1759585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-1416685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-1073785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-730250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-387350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-7814310</wp:posOffset>
            </wp:positionV>
            <wp:extent cx="3961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340"/>
            <w:col w:w="5780"/>
          </w:cols>
          <w:pgMar w:left="280" w:top="981" w:right="259" w:bottom="1440" w:gutter="0" w:footer="0" w:header="0"/>
          <w:type w:val="continuous"/>
        </w:sectPr>
      </w:pP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80" w:top="981" w:right="259" w:bottom="1440" w:gutter="0" w:footer="0" w:header="0"/>
          <w:type w:val="continuous"/>
        </w:sectPr>
      </w:pPr>
    </w:p>
    <w:bookmarkStart w:id="24" w:name="page25"/>
    <w:bookmarkEnd w:id="24"/>
    <w:p>
      <w:pPr>
        <w:ind w:left="660" w:right="3780" w:hanging="652"/>
        <w:spacing w:after="0" w:line="469"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Selected Financial Data has been retrospectively updated to recast activity for the following: </w:t>
      </w:r>
      <w:r>
        <w:rPr>
          <w:rFonts w:ascii="Times New Roman" w:cs="Times New Roman" w:eastAsia="Times New Roman" w:hAnsi="Times New Roman"/>
          <w:sz w:val="18"/>
          <w:szCs w:val="18"/>
          <w:u w:val="single" w:color="auto"/>
          <w:color w:val="auto"/>
        </w:rPr>
        <w:t>Discontinued Operations</w:t>
      </w:r>
    </w:p>
    <w:p>
      <w:pPr>
        <w:spacing w:after="0" w:line="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2016, we completed the contribution of the SLS Business to the TruGreen Joint Venture in exchange for a minority equity interest of approximately 30% in the TruGreen Joint Venture. As a result, effective in our second quarter of fiscal 2016, we classified the SLS Business as a discontinued operation in accordance with GAAP.</w:t>
      </w:r>
    </w:p>
    <w:p>
      <w:pPr>
        <w:spacing w:after="0" w:line="122"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2017, we completed the sale of the International Business. As a result, effective in our fourth quarter of fiscal 2017, we classified the International Business as a discontinued operation in accordance with GAAP.</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We adopted this guidance on a retrospective basis effective October 1, 2016. As a result, debt issuance costs have been presented as a component of the carrying amount of long-term debt in the Consolidated Balance Sheets. These amounts were previously reported within other assets.</w:t>
      </w:r>
    </w:p>
    <w:p>
      <w:pPr>
        <w:spacing w:after="0" w:line="1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2015, the FASB issued an accounting standard update to simplify the presentation of deferred income taxes by requiring that deferred income tax liabilities and assets be classified as noncurrent in a classified statement of financial position. We adopted this guidance on a retrospective basis during the fourth quarter of fiscal 2017. As a result, deferred tax assets have been presented net within other liabilities in the Consolidated Balance Sheets. These amounts were previously reported within prepaid and other current assets.</w:t>
      </w:r>
    </w:p>
    <w:p>
      <w:pPr>
        <w:spacing w:after="0" w:line="126"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amended accounting guidance requires cash paid to a tax authority when shares are withheld to satisfy statutory income tax withholding obligations to be classified as a financing activity in the statement of cash flows. These amounts were previously classified as an operating activity in the statement of cash flows.</w:t>
      </w:r>
    </w:p>
    <w:p>
      <w:pPr>
        <w:spacing w:after="0" w:line="181" w:lineRule="exact"/>
        <w:rPr>
          <w:rFonts w:ascii="Times New Roman" w:cs="Times New Roman" w:eastAsia="Times New Roman" w:hAnsi="Times New Roman"/>
          <w:sz w:val="18"/>
          <w:szCs w:val="18"/>
          <w:color w:val="auto"/>
        </w:rPr>
      </w:pPr>
    </w:p>
    <w:p>
      <w:pPr>
        <w:ind w:left="660" w:right="7920" w:hanging="652"/>
        <w:spacing w:after="0" w:line="531"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6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189" w:lineRule="exact"/>
        <w:rPr>
          <w:rFonts w:ascii="Times New Roman" w:cs="Times New Roman" w:eastAsia="Times New Roman" w:hAnsi="Times New Roman"/>
          <w:sz w:val="17"/>
          <w:szCs w:val="17"/>
          <w:color w:val="auto"/>
        </w:rPr>
      </w:pPr>
    </w:p>
    <w:p>
      <w:pPr>
        <w:jc w:val="both"/>
        <w:ind w:left="6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we use these non-GAAP financial measures to evaluate our performance, engage in financial and operational planning and determine incentive compensation because we believe that these measures provide additional perspective on and, in some circumstances are more closely correlated to, the performance of our underlying, ongoing business.</w:t>
      </w:r>
    </w:p>
    <w:p>
      <w:pPr>
        <w:spacing w:after="0" w:line="176" w:lineRule="exact"/>
        <w:rPr>
          <w:rFonts w:ascii="Times New Roman" w:cs="Times New Roman" w:eastAsia="Times New Roman" w:hAnsi="Times New Roman"/>
          <w:sz w:val="17"/>
          <w:szCs w:val="17"/>
          <w:color w:val="auto"/>
        </w:rPr>
      </w:pPr>
    </w:p>
    <w:p>
      <w:pPr>
        <w:jc w:val="both"/>
        <w:ind w:left="6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measures are also useful to investors as such measures allow investors to evaluate performance using the same metrics that we use to evaluate past performance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23" w:right="2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prospects for future performance. We view free cash flow as an important measure because it is one factor used in determining the amount of cash available for dividends and discretionary investment. We view free cash flow productivity as a useful measure to help investors understand the Company’s ability to generate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25" w:lineRule="exact"/>
        <w:rPr>
          <w:sz w:val="20"/>
          <w:szCs w:val="20"/>
          <w:color w:val="auto"/>
        </w:rPr>
      </w:pPr>
    </w:p>
    <w:p>
      <w:pPr>
        <w:ind w:left="640" w:hanging="320"/>
        <w:spacing w:after="0" w:line="261"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jc w:val="both"/>
        <w:ind w:left="640" w:hanging="320"/>
        <w:spacing w:after="0" w:line="250"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640" w:hanging="320"/>
        <w:spacing w:after="0" w:line="250"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jc w:val="both"/>
        <w:ind w:left="640" w:hanging="320"/>
        <w:spacing w:after="0" w:line="250"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credits incurred by the TruGreen Joint Venture that are apart from and not indicative of the results of its ongoing operations, including transaction related costs, refinancing costs, restructurings and other discrete projects or transactions including a non-cash purchase accounting fair value write-down adjustment related to deferred revenue and advertising (“TruGreen Joint Venture non-GAAP adjustments”). We held a noncontrolling equity interest of approximately 30% in the TruGreen Joint Venture until March 2019. We did not control, nor did we have any legal claim to, the revenues and expenses of the TruGreen Joint Venture or its other unconsolidated affiliates. The use of non-GAAP measures that are subject to TruGreen Joint Venture non-GAAP adjustments is not intended to imply that we had control over the operations and resulting revenue and expenses of the TruGreen Joint Venture or its other unconsolidated affiliates. Moreover, these non-GAAP financial measures have limitations in that they do not reflect all revenue and expenses of the unconsolidated affiliates.</w:t>
      </w:r>
    </w:p>
    <w:p>
      <w:pPr>
        <w:spacing w:after="0" w:line="4" w:lineRule="exact"/>
        <w:rPr>
          <w:rFonts w:ascii="Times New Roman" w:cs="Times New Roman" w:eastAsia="Times New Roman" w:hAnsi="Times New Roman"/>
          <w:sz w:val="18"/>
          <w:szCs w:val="18"/>
          <w:color w:val="auto"/>
        </w:rPr>
      </w:pPr>
    </w:p>
    <w:p>
      <w:pPr>
        <w:ind w:left="640" w:hanging="320"/>
        <w:spacing w:after="0" w:line="261"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 and are utilized by us in evaluating the performance of the business, engaging in financial and operational planning, the determination of incentive compensation, and by investors and analysts in evaluating performance of the business:</w:t>
      </w:r>
    </w:p>
    <w:p>
      <w:pPr>
        <w:spacing w:after="0" w:line="172" w:lineRule="exact"/>
        <w:rPr>
          <w:sz w:val="20"/>
          <w:szCs w:val="20"/>
          <w:color w:val="auto"/>
        </w:rPr>
      </w:pPr>
    </w:p>
    <w:p>
      <w:pPr>
        <w:ind w:left="320"/>
        <w:spacing w:after="0" w:line="259" w:lineRule="auto"/>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w:t>
      </w:r>
      <w:r>
        <w:rPr>
          <w:rFonts w:ascii="Times New Roman" w:cs="Times New Roman" w:eastAsia="Times New Roman" w:hAnsi="Times New Roman"/>
          <w:sz w:val="18"/>
          <w:szCs w:val="18"/>
          <w:b w:val="1"/>
          <w:bCs w:val="1"/>
          <w:color w:val="auto"/>
        </w:rPr>
        <w:t xml:space="preserve"> Adjusted income (loss) from continuing operations</w:t>
      </w:r>
      <w:r>
        <w:rPr>
          <w:rFonts w:ascii="Times New Roman" w:cs="Times New Roman" w:eastAsia="Times New Roman" w:hAnsi="Times New Roman"/>
          <w:sz w:val="18"/>
          <w:szCs w:val="18"/>
          <w:color w:val="auto"/>
        </w:rPr>
        <w:t>: Income (loss) from continuing operations excluding impairment, restructuring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 recoveries, costs related to refinancing and TruGreen Joint Venture non-GAAP adjustments, each net of tax.</w:t>
      </w: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 attributable to controlling interest from continuing operations</w:t>
      </w:r>
      <w:r>
        <w:rPr>
          <w:rFonts w:ascii="Times New Roman" w:cs="Times New Roman" w:eastAsia="Times New Roman" w:hAnsi="Times New Roman"/>
          <w:sz w:val="18"/>
          <w:szCs w:val="18"/>
          <w:color w:val="auto"/>
        </w:rPr>
        <w:t>: Net income (loss) attributable to 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excluding impairment, restructuring and other charges / recoveries, costs related to refinancing, TruGreen Joint Venture non-GAAP adjustments and discontinued operations, each net of tax.</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income (loss) per common share from continuing operations</w:t>
      </w:r>
      <w:r>
        <w:rPr>
          <w:rFonts w:ascii="Times New Roman" w:cs="Times New Roman" w:eastAsia="Times New Roman" w:hAnsi="Times New Roman"/>
          <w:sz w:val="18"/>
          <w:szCs w:val="18"/>
          <w:color w:val="auto"/>
        </w:rPr>
        <w:t>: Diluted net income (loss) per common share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operations excluding impairment, restructuring and other charges / recoveries, costs related to refinancing and TruGreen Joint Venture non-GAAP adjustments, each net of tax.</w:t>
      </w:r>
    </w:p>
    <w:p>
      <w:pPr>
        <w:spacing w:after="0" w:line="1"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8"/>
          <w:szCs w:val="18"/>
          <w:b w:val="1"/>
          <w:bCs w:val="1"/>
          <w:color w:val="auto"/>
        </w:rPr>
        <w:t>SLS Divestiture adjusted income (loss)</w:t>
      </w:r>
      <w:r>
        <w:rPr>
          <w:rFonts w:ascii="Times New Roman" w:cs="Times New Roman" w:eastAsia="Times New Roman" w:hAnsi="Times New Roman"/>
          <w:sz w:val="18"/>
          <w:szCs w:val="18"/>
          <w:color w:val="auto"/>
        </w:rPr>
        <w:t>: Net income (loss) from continuing operations excluding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18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0"/>
          </w:cols>
          <w:pgMar w:left="900" w:top="823" w:right="239" w:bottom="1440" w:gutter="0" w:footer="0" w:header="0"/>
        </w:sectPr>
      </w:pPr>
    </w:p>
    <w:bookmarkStart w:id="26" w:name="page27"/>
    <w:bookmarkEnd w:id="26"/>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SLS Divestiture adjusted income (loss) per common share</w:t>
      </w:r>
      <w:r>
        <w:rPr>
          <w:rFonts w:ascii="Times New Roman" w:cs="Times New Roman" w:eastAsia="Times New Roman" w:hAnsi="Times New Roman"/>
          <w:sz w:val="18"/>
          <w:szCs w:val="18"/>
          <w:color w:val="auto"/>
        </w:rPr>
        <w:t>: Diluted net income (loss) per common share excluding impairment,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charges / 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Net cash provided by (used in) operating activities reduced by investments in property, plant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 productivity</w:t>
      </w:r>
      <w:r>
        <w:rPr>
          <w:rFonts w:ascii="Times New Roman" w:cs="Times New Roman" w:eastAsia="Times New Roman" w:hAnsi="Times New Roman"/>
          <w:sz w:val="18"/>
          <w:szCs w:val="18"/>
          <w:color w:val="auto"/>
        </w:rPr>
        <w:t>: Ratio of free cash flow to net income (loss).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5.00 at September 30, 2019) and an interest coverage ratio (minimum of 3.00 for the twelve months ended September 30, 2019).</w:t>
      </w:r>
    </w:p>
    <w:p>
      <w:pPr>
        <w:spacing w:after="0" w:line="200" w:lineRule="exact"/>
        <w:rPr>
          <w:sz w:val="20"/>
          <w:szCs w:val="20"/>
          <w:color w:val="auto"/>
        </w:rPr>
      </w:pPr>
    </w:p>
    <w:p>
      <w:pPr>
        <w:spacing w:after="0" w:line="36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40"/>
          </w:cols>
          <w:pgMar w:left="1220" w:top="819" w:right="2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A reconciliation of the non-GAAP measures to the most directly comparable GAAP measures is presented in the following table:</w:t>
      </w:r>
    </w:p>
    <w:p>
      <w:pPr>
        <w:spacing w:after="0" w:line="23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3550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3" w:lineRule="exact"/>
        <w:rPr>
          <w:sz w:val="20"/>
          <w:szCs w:val="20"/>
          <w:color w:val="auto"/>
        </w:rPr>
      </w:pPr>
    </w:p>
    <w:tbl>
      <w:tblPr>
        <w:tblLayout w:type="fixed"/>
        <w:tblInd w:w="5820" w:type="dxa"/>
        <w:tblCellMar>
          <w:top w:w="0" w:type="dxa"/>
          <w:left w:w="0" w:type="dxa"/>
          <w:bottom w:w="0" w:type="dxa"/>
          <w:right w:w="0" w:type="dxa"/>
        </w:tblCellMar>
      </w:tblPr>
      <w:tr>
        <w:trPr>
          <w:trHeight w:val="195"/>
        </w:trPr>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1120" w:type="dxa"/>
            <w:vAlign w:val="bottom"/>
          </w:tcPr>
          <w:p>
            <w:pPr>
              <w:spacing w:after="0"/>
              <w:rPr>
                <w:sz w:val="16"/>
                <w:szCs w:val="16"/>
                <w:color w:val="auto"/>
              </w:rPr>
            </w:pPr>
          </w:p>
        </w:tc>
        <w:tc>
          <w:tcPr>
            <w:tcW w:w="342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Income from operations (GAAP)</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charges (recoveries)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Adjusted income from operations (Non-GAAP)</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Income from continuing operations (GAAP)</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non-operating (income) expense,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Adjustment to income tax expense (benefit) from continuing operations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Adjusted income from continuing operations (Non-GAAP)</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Net income attributable to controlling interest (GAAP)</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non-operating (income) expense,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Adjustment to income tax expense (benefit) from continuing operations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409.6</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253.8</w:t>
            </w:r>
          </w:p>
        </w:tc>
      </w:tr>
      <w:tr>
        <w:trPr>
          <w:trHeight w:val="275"/>
        </w:trPr>
        <w:tc>
          <w:tcPr>
            <w:tcW w:w="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80.2</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422.9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334.0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9"/>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436.7</w:t>
            </w:r>
          </w:p>
        </w:tc>
        <w:tc>
          <w:tcPr>
            <w:tcW w:w="12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128.7</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80.2</w:t>
            </w:r>
          </w:p>
        </w:tc>
      </w:tr>
      <w:tr>
        <w:trPr>
          <w:trHeight w:val="270"/>
        </w:trPr>
        <w:tc>
          <w:tcPr>
            <w:tcW w:w="3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251.3</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180.4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9"/>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460.7</w:t>
            </w:r>
          </w:p>
        </w:tc>
        <w:tc>
          <w:tcPr>
            <w:tcW w:w="12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159.8</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80.2</w:t>
            </w:r>
          </w:p>
        </w:tc>
      </w:tr>
      <w:tr>
        <w:trPr>
          <w:trHeight w:val="270"/>
        </w:trPr>
        <w:tc>
          <w:tcPr>
            <w:tcW w:w="3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-2222500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-1879600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-1536700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-1193800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-850900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-507365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-164465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720"/>
            <w:col w:w="5600"/>
          </w:cols>
          <w:pgMar w:left="240" w:top="985" w:right="2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582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Adjusted net income attributable to controlling interest from continuing operations (Non-</w:t>
            </w:r>
          </w:p>
        </w:tc>
        <w:tc>
          <w:tcPr>
            <w:tcW w:w="36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251.8</w:t>
            </w:r>
          </w:p>
        </w:tc>
        <w:tc>
          <w:tcPr>
            <w:tcW w:w="12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230.7</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227"/>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3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582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Income from continuing operations (GAAP)</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436.7</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78"/>
        </w:trPr>
        <w:tc>
          <w:tcPr>
            <w:tcW w:w="58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985"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attributable to controlling interest from continuing operations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charges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Adjustment to income tax expense (benefit) from continuing operations</w:t>
      </w:r>
    </w:p>
    <w:p>
      <w:pPr>
        <w:spacing w:after="0" w:line="27" w:lineRule="exact"/>
        <w:rPr>
          <w:sz w:val="20"/>
          <w:szCs w:val="20"/>
          <w:color w:val="auto"/>
        </w:rPr>
      </w:pPr>
    </w:p>
    <w:p>
      <w:pPr>
        <w:ind w:left="40"/>
        <w:spacing w:after="0" w:line="309" w:lineRule="auto"/>
        <w:rPr>
          <w:sz w:val="20"/>
          <w:szCs w:val="20"/>
          <w:color w:val="auto"/>
        </w:rPr>
      </w:pPr>
      <w:r>
        <w:rPr>
          <w:rFonts w:ascii="Times New Roman" w:cs="Times New Roman" w:eastAsia="Times New Roman" w:hAnsi="Times New Roman"/>
          <w:sz w:val="14"/>
          <w:szCs w:val="14"/>
          <w:b w:val="1"/>
          <w:bCs w:val="1"/>
          <w:color w:val="auto"/>
        </w:rPr>
        <w:t xml:space="preserve">Adjusted income attributable to controlling interest from continuing operations (Non-GAAP)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Income (loss) from discontinued operations from SLS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contribution of SLS Business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 to gain on contribution on SLS Business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 to income tax expense (benefit)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income (loss) from SLS Business in discontinued operations, net of tax</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SLS Divestiture adjusted income (Non-GAAP)</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Diluted income per share from continuing operations (GAAP)</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charges (recoveries)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Costs related to refinancing</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non-operating (income) expense, net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 to income tax expense (benefit) from continuing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diluted income per common share from continuing operations (Non-GAAP)</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from SLS Business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contribution of SLS Business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 to gain on contribution of SLS Business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Impairment, restructuring and other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 to income tax expense (benefit) from SLS Business in discontinued operations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diluted income (loss) from SLS Business in discontinued operations, net of tax</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SLS Divestiture adjusted income per common share (Non-GAAP)</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The sum of the components may not equal the total due to rounding.</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-3208655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-2865755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-2179955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-1837055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-807720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-1493520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-2522855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4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437.2</w:t>
            </w:r>
          </w:p>
        </w:tc>
        <w:tc>
          <w:tcPr>
            <w:tcW w:w="3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129.8</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13.3</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80.2</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7"/>
              </w:rPr>
              <w:t>(260.2)</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61.5</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4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251.8</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230.7</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181.5</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7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5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r>
      <w:tr>
        <w:trPr>
          <w:trHeight w:val="237"/>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251.8</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203.4</w:t>
            </w:r>
          </w:p>
        </w:tc>
      </w:tr>
      <w:tr>
        <w:trPr>
          <w:trHeight w:val="20"/>
        </w:trPr>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9"/>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7.77</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0.24</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(4.62)</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1.09</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(0.46)</w:t>
            </w:r>
          </w:p>
        </w:tc>
      </w:tr>
      <w:tr>
        <w:trPr>
          <w:trHeight w:val="237"/>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4.47</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r>
      <w:tr>
        <w:trPr>
          <w:trHeight w:val="20"/>
        </w:trPr>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9"/>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0.52</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0.02</w:t>
            </w:r>
          </w:p>
        </w:tc>
      </w:tr>
      <w:tr>
        <w:trPr>
          <w:trHeight w:val="27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r>
      <w:tr>
        <w:trPr>
          <w:trHeight w:val="25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0.35</w:t>
            </w:r>
          </w:p>
        </w:tc>
      </w:tr>
      <w:tr>
        <w:trPr>
          <w:trHeight w:val="237"/>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4.47</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3.27</w:t>
            </w:r>
          </w:p>
        </w:tc>
      </w:tr>
      <w:tr>
        <w:trPr>
          <w:trHeight w:val="20"/>
        </w:trPr>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-25400</wp:posOffset>
            </wp:positionV>
            <wp:extent cx="668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-8255</wp:posOffset>
            </wp:positionV>
            <wp:extent cx="668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-187960</wp:posOffset>
            </wp:positionV>
            <wp:extent cx="668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-1208405</wp:posOffset>
            </wp:positionV>
            <wp:extent cx="668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-2237740</wp:posOffset>
            </wp:positionV>
            <wp:extent cx="668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-2589530</wp:posOffset>
            </wp:positionV>
            <wp:extent cx="668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-3618230</wp:posOffset>
            </wp:positionV>
            <wp:extent cx="668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5920" w:space="460"/>
            <w:col w:w="5040"/>
          </w:cols>
          <w:pgMar w:left="240" w:top="98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985" w:right="239" w:bottom="1440" w:gutter="0" w:footer="0" w:header="0"/>
          <w:type w:val="continuous"/>
        </w:sectPr>
      </w:pPr>
    </w:p>
    <w:bookmarkStart w:id="28" w:name="page29"/>
    <w:bookmarkEnd w:id="28"/>
    <w:tbl>
      <w:tblPr>
        <w:tblLayout w:type="fixed"/>
        <w:tblInd w:w="4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6"/>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(GAAP)</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342.5</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363.2</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244.0</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78"/>
        </w:trPr>
        <w:tc>
          <w:tcPr>
            <w:tcW w:w="5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73"/>
        </w:trPr>
        <w:tc>
          <w:tcPr>
            <w:tcW w:w="5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Free cash flow (Non-GAAP)</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274.3</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185.7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59"/>
        </w:trPr>
        <w:tc>
          <w:tcPr>
            <w:tcW w:w="5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Free cash flow (Non-GAAP)</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274.3</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Pr>
          <w:p>
            <w:pPr>
              <w:spacing w:after="0"/>
              <w:rPr>
                <w:sz w:val="13"/>
                <w:szCs w:val="13"/>
                <w:color w:val="auto"/>
              </w:rPr>
            </w:pPr>
          </w:p>
        </w:tc>
        <w:tc>
          <w:tcPr>
            <w:tcW w:w="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185.7</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78"/>
        </w:trPr>
        <w:tc>
          <w:tcPr>
            <w:tcW w:w="5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Free cash flow productivity (Non-GAAP)</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6350</wp:posOffset>
            </wp:positionV>
            <wp:extent cx="3961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-95885</wp:posOffset>
            </wp:positionV>
            <wp:extent cx="3961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1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calculated as current assets minus current liabilities. Current ratio is calculated as current assets divided by current liabilities.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to total book capitalization percentage is calculated by dividing total debt by total debt plus total equity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controlling interest.</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Scotts Miracle-Gro pays a quarterly dividend to the holders of its Common Shares. On August 3, 2015, Scotts Miracle-Gro announced that its Board of Directors had increased our quarterly cash dividend from $0.45 to $0.47 per Common Share, which was first paid in the fourth quarter of fiscal 2015. On August 3, 2016, Scotts Miracle-Gro announced that its Board of Directors had further increased our quarterly cash dividend from $0.47 to $0.50 per Common Share, which was first paid in the fourth quarter of fiscal 2016. On August 1, 2017, Scotts Miracle-Gro announced that its Board of Directors had further increased our quarterly cash dividend from $0.50 to $0.53 per Common Share, which was first paid in the fourth quarter of fiscal 2017. On August 6, 2018, Scotts Miracle-Gro announced that its Board of Directors had further increased our quarterly cash dividend from $0.53 to $0.55 per Common Share, which was first paid in the fourth quarter of fiscal 2018. On July 30, 2019, the Scotts Miracle-Gro Board of Directors approved an increase in our quarterly cash dividend from $0.55 to $0.58 per Common Share, which was first paid in the fourth quarter of fiscal 2019.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w:t>
      </w:r>
    </w:p>
    <w:p>
      <w:pPr>
        <w:spacing w:after="0" w:line="138"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5.00 at September 30, 2019) and an interest coverage ratio (minimum of 3.00 for the twelve months ended September 30, 2019). Leverage ratio is calculated as average total indebtedness divided by Adjusted EBITDA. Interest coverage ratio is calculated as Adjusted EBITDA divided by interest expense, as described in the Fifth A&amp;R Credit Agreement, and excludes costs related to refinancings. Our leverage ratio was 3.67 at September 30, 2019 and our interest coverage ratio was 5.78 for the twelve months ended September 30, 2019. Please refer to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Borrowing Agreements</w:t>
      </w:r>
      <w:r>
        <w:rPr>
          <w:rFonts w:ascii="Times New Roman" w:cs="Times New Roman" w:eastAsia="Times New Roman" w:hAnsi="Times New Roman"/>
          <w:sz w:val="18"/>
          <w:szCs w:val="18"/>
          <w:color w:val="auto"/>
        </w:rPr>
        <w:t>” of this Annual Report on Form 10-K for a discussion of our credit facility.</w:t>
      </w:r>
    </w:p>
    <w:p>
      <w:pPr>
        <w:spacing w:after="0" w:line="136"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from solely for the purpose of complying with SEC regulations and not as an indication that Adjusted EBITDA is a substitute measure for net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09" w:right="23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8"/>
          <w:szCs w:val="18"/>
          <w:color w:val="auto"/>
        </w:rPr>
        <w:t>A numeric reconciliation of net income to Adjusted EBITDA is as follows:</w:t>
      </w:r>
    </w:p>
    <w:p>
      <w:pPr>
        <w:sectPr>
          <w:pgSz w:w="11900" w:h="16838" w:orient="portrait"/>
          <w:cols w:equalWidth="0" w:num="1">
            <w:col w:w="11380"/>
          </w:cols>
          <w:pgMar w:left="280" w:top="9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(GAAP)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(benefit) from continuing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(benefit) from discontinued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 loss on sale / contribution of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related to refinancings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restructuring and other charges (recoveries) from continuing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restructuring and other charges (recoveries) from discontinued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non-operating (income) expense, net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Expense on certain leases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compensation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103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5"/>
        </w:trPr>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460.2</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tcPr>
          <w:p>
            <w:pPr>
              <w:spacing w:after="0"/>
              <w:rPr>
                <w:sz w:val="23"/>
                <w:szCs w:val="2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r>
      <w:tr>
        <w:trPr>
          <w:trHeight w:val="275"/>
        </w:trPr>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558.2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482.0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560.5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517.4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471.8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-2589530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-2245995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-1903095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-1560195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-1217295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-874395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-530860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-187960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260"/>
            <w:col w:w="6160"/>
          </w:cols>
          <w:pgMar w:left="280" w:top="985"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80" w:top="985" w:right="239" w:bottom="1440" w:gutter="0" w:footer="0" w:header="0"/>
          <w:type w:val="continuous"/>
        </w:sectPr>
      </w:pPr>
    </w:p>
    <w:bookmarkStart w:id="30" w:name="page31"/>
    <w:bookmarkEnd w:id="30"/>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108"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We are a leading manufacturer and marketer of branded consumer lawn and garden products. We are the exclusive agent of Monsanto for the marketing and distribution of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Through our Hawthorne segment, we are a leading manufacturer, marketer and distributor of nutrients, growing media, advanced indoor garden, lighting and ventilation systems and accessories for indoor, urban and hydroponic gardening.</w:t>
      </w:r>
    </w:p>
    <w:p>
      <w:pPr>
        <w:spacing w:after="0" w:line="14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Beginning in fiscal 2015, our Hawthorne segment made a series of key acquisitions, including General Hydroponics, Gavita, Botanicare, Vermicrop, Agrolux, Can-Filters and AeroGrow. On June 4, 2018, our Hawthorne segment acquired substantially all of the assets of Sunlight Supply. Prior to the acquisition, Sunlight Supply was the largest distributor of hydroponic products in the United States, and engaged in the business of developing, manufacturing, marketing and distributing horticultural, organics, lighting and hydroponics products, including lighting fixtures, nutrients, seeds and growing media, systems, trays, fans, filters, humidifiers and dehumidifiers, timers, instruments, water pumps, irrigation supplies and hand tools.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1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1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819" w:right="239" w:bottom="1440" w:gutter="0" w:footer="0" w:header="0"/>
        </w:sectPr>
      </w:pPr>
    </w:p>
    <w:bookmarkStart w:id="31" w:name="page32"/>
    <w:bookmarkEnd w:id="31"/>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33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spacing w:after="0" w:line="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gridSpan w:val="2"/>
          </w:tcPr>
          <w:p>
            <w:pPr>
              <w:ind w:left="69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follow a 13-week quarterly accounting cycle pursuant to which the first three fiscal quarters end on a Saturday and the fiscal year always ends on September 30. This fiscal calendar convention requires us to cycle forward the first three fiscal quarter ends every six years.</w:t>
      </w:r>
    </w:p>
    <w:p>
      <w:pPr>
        <w:spacing w:after="0" w:line="10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metrics are evaluated with and without impairment, restructuring and other charges that do not occur in or reflect the ordinary course of our ongoing business operations. Metrics that exclude impairment, restructuring and other charges are used by management to evaluate our performance, engage in financial and operational planning and determine incentive compensation because we believe that these measures provide additional perspective on the performance of our underlying, ongoing business. Refer to “ITEM 6. SELECTED FINANCIAL DATA” for further discussion of non-GAAP measures. We also focus on measures to optimize cash flow and return on invested capital, including the management of working capital and capital expenditures.</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August 11,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of $1.0 billion through March 28, 2020. There were no share repurchases under the program during fiscal 2019. From the inception of this share repurchase program in the fourth quarter of fiscal 2014 through September 30, 2019, Scotts Miracle-Gro repurchased approximately 8.3 million Common Shares for $714.6 million.</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August 6, 2018, Scotts Miracle-Gro announced that its Board of Directors approved an increase in our quarterly cash dividend from $0.53 to $0.55 per Common Share, which was first paid in the fourth quarter of fiscal 2018. On July 30, 2019, the Scotts Miracle-Gro Board of Directors approved an increase in our quarterly cash dividend from $0.55 to $0.58 per Common Share, which was first paid in the fourth quarter of fiscal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985"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Effective in our fourth quarter of fiscal 2017, we classified our results of operations for all periods presented to reflect the International Business as a discontinued operation. As a result, unless otherwise specifically stated, all discussions regarding results for the fiscal years ended September 30, 2019, 2018 and 2017 reflect results from our continuing operations.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income and expense as a percentage of net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80" w:type="dxa"/>
            <w:vAlign w:val="bottom"/>
          </w:tcPr>
          <w:p>
            <w:pPr>
              <w:spacing w:after="0"/>
              <w:rPr>
                <w:sz w:val="22"/>
                <w:szCs w:val="22"/>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240" w:type="dxa"/>
            <w:vAlign w:val="bottom"/>
          </w:tcPr>
          <w:p>
            <w:pPr>
              <w:spacing w:after="0"/>
              <w:rPr>
                <w:sz w:val="22"/>
                <w:szCs w:val="22"/>
                <w:color w:val="auto"/>
              </w:rPr>
            </w:pPr>
          </w:p>
        </w:tc>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4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3,156.0</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2,663.4</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2,642.1</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2,130.5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1,778.3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1,669.5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20.5</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1,019.6</w:t>
            </w:r>
          </w:p>
        </w:tc>
        <w:tc>
          <w:tcPr>
            <w:tcW w:w="10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864.6</w:t>
            </w:r>
          </w:p>
        </w:tc>
        <w:tc>
          <w:tcPr>
            <w:tcW w:w="10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972.6</w:t>
            </w:r>
          </w:p>
        </w:tc>
        <w:tc>
          <w:tcPr>
            <w:tcW w:w="10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601.3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540.1</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550.9</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132.3</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409.6</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198.9</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433.4</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29.0</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101.8</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86.4</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76.1</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13.4</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581.6</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115.7</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314.9</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144.9</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116.6</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436.7</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127.6</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198.3</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460.2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63.7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218.8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0"/>
        </w:trPr>
        <w:tc>
          <w:tcPr>
            <w:tcW w:w="48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-95885</wp:posOffset>
            </wp:positionV>
            <wp:extent cx="42024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Net sales for fiscal 2019 were $3,156.0 million, an increase of 18.5% from net sales of $2,663.4 million for fiscal 2018. Net sales for fiscal 2018 increased 0.8% from net sales of $2,642.1 million for fiscal 2017. These changes in net sales were attributable to the following:</w:t>
      </w:r>
    </w:p>
    <w:p>
      <w:pPr>
        <w:spacing w:after="0" w:line="16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24765</wp:posOffset>
            </wp:positionV>
            <wp:extent cx="22123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96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sales for fiscal 2019 as compared to fiscal 2018 was primarily driven by:</w:t>
      </w:r>
    </w:p>
    <w:p>
      <w:pPr>
        <w:spacing w:after="0" w:line="117"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driven by increased sales of soils, mulch, grass seed and fertilizer products in our U.S. Consumer segment and hydroponic gardening products in our Hawthorne segment excluding the impact of acquisitions, partially offset by decreased sales in our Other segment as a result of the closure of our business in Mexico;</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net sales from the Sunlight Supply acquisition of $231.4 million in our Hawthorne segment;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pricing in our U.S. Consumer and Other segments, partially offset by higher volume-based customer rebates in our U.S. Consumer segment and decreased pricing in our Hawthorne segment primarily driven by increased promotional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819" w:right="239" w:bottom="1440" w:gutter="0" w:footer="0" w:header="0"/>
        </w:sectPr>
      </w:pPr>
    </w:p>
    <w:bookmarkStart w:id="33" w:name="page34"/>
    <w:bookmarkEnd w:id="33"/>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net sales associated with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 and</w:t>
      </w:r>
    </w:p>
    <w:p>
      <w:pPr>
        <w:spacing w:after="0" w:line="45" w:lineRule="exact"/>
        <w:rPr>
          <w:rFonts w:ascii="Times New Roman" w:cs="Times New Roman" w:eastAsia="Times New Roman" w:hAnsi="Times New Roman"/>
          <w:sz w:val="18"/>
          <w:szCs w:val="18"/>
          <w:color w:val="auto"/>
        </w:rPr>
      </w:pPr>
    </w:p>
    <w:p>
      <w:pPr>
        <w:ind w:left="60" w:right="500" w:firstLine="272"/>
        <w:spacing w:after="0" w:line="37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strengthening of the U.S. dollar relative to the euro and the Canadian dollar. The increase in net sales for fiscal 2018 as compared to fiscal 2017 was primarily driven by: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net sales from acquisitions of $136.3 million in our Hawthorne segment, primarily from Sunlight Supply, Agrolux, and Can-Filters;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foreign exchange rates as a result of the weakening of the U.S. dollar relative to the euro and the Canadian dollar;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sales volume driven by decreased sales of fertilizer, controls and plant food products in our U.S. Consumer segment and hydroponic gardening products in our Hawthorne segment excluding the impact of acquisitions, partially offset by increased sales of soils and grass seed products in our U.S. Consumer segment and increased sales in our Other segment from our business in Canada;</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pricing in our U.S. Consumer segment driven by higher customer rebates and sales mix;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sales associated with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1,196.4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966.9</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356.7</w:t>
            </w:r>
          </w:p>
        </w:tc>
      </w:tr>
      <w:tr>
        <w:trPr>
          <w:trHeight w:val="27"/>
        </w:trPr>
        <w:tc>
          <w:tcPr>
            <w:tcW w:w="6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289.8</w:t>
            </w:r>
          </w:p>
        </w:tc>
      </w:tr>
      <w:tr>
        <w:trPr>
          <w:trHeight w:val="270"/>
        </w:trPr>
        <w:tc>
          <w:tcPr>
            <w:tcW w:w="638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tc>
        <w:tc>
          <w:tcPr>
            <w:tcW w:w="9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56.1</w:t>
            </w: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2,130.5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1,669.5</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2,136.4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1,669.5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460" w:type="dxa"/>
            <w:vAlign w:val="bottom"/>
            <w:tcBorders>
              <w:bottom w:val="single" w:sz="8" w:color="auto"/>
            </w:tcBorders>
          </w:tcPr>
          <w:p>
            <w:pPr>
              <w:spacing w:after="0"/>
              <w:rPr>
                <w:sz w:val="16"/>
                <w:szCs w:val="16"/>
                <w:color w:val="auto"/>
              </w:rPr>
            </w:pPr>
          </w:p>
        </w:tc>
      </w:tr>
      <w:tr>
        <w:trPr>
          <w:trHeight w:val="264"/>
        </w:trPr>
        <w:tc>
          <w:tcPr>
            <w:tcW w:w="65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6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4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tcPr>
          <w:p>
            <w:pPr>
              <w:spacing w:after="0"/>
              <w:rPr>
                <w:sz w:val="21"/>
                <w:szCs w:val="21"/>
                <w:color w:val="auto"/>
              </w:rPr>
            </w:pPr>
          </w:p>
        </w:tc>
      </w:tr>
      <w:tr>
        <w:trPr>
          <w:trHeight w:val="255"/>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product mix and other</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580" w:type="dxa"/>
            <w:vAlign w:val="bottom"/>
          </w:tcPr>
          <w:p>
            <w:pPr>
              <w:spacing w:after="0"/>
              <w:rPr>
                <w:sz w:val="21"/>
                <w:szCs w:val="21"/>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5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tc>
        <w:tc>
          <w:tcPr>
            <w:tcW w:w="58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5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6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108.8</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5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6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sales for fiscal 2019 as compared to fiscal 2018 was primarily driven by:</w:t>
      </w:r>
    </w:p>
    <w:p>
      <w:pPr>
        <w:spacing w:after="0" w:line="131"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$199.6 million included within “volume, product mix and other” related to sales from the Sunlight Supply acquisition in our Hawthorne segment;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sales volume in our U.S. Consumer and Hawthorne segments excluding the impact of acquisitions, partially offset by decreased sales in our Other segment;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transportation costs included within “volume, product mix and other” associated with our U.S. Consumer segment;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and Other segments;</w:t>
      </w:r>
    </w:p>
    <w:p>
      <w:pPr>
        <w:sectPr>
          <w:pgSz w:w="11900" w:h="16838" w:orient="portrait"/>
          <w:cols w:equalWidth="0" w:num="1">
            <w:col w:w="11420"/>
          </w:cols>
          <w:pgMar w:left="240" w:top="9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931" w:right="239" w:bottom="1440" w:gutter="0" w:footer="0" w:header="0"/>
          <w:type w:val="continuous"/>
        </w:sectPr>
      </w:pPr>
    </w:p>
    <w:bookmarkStart w:id="34" w:name="page35"/>
    <w:bookmarkEnd w:id="34"/>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costs associated with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foreign exchange rates as a result of the strengthening of the U.S. dollar relative to the euro and the Canadian dollar;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 of $14.6 million as a result of lower costs associated with Project Catalyst.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sales for fiscal 2018 as compared to fiscal 2017 was primarily driven by:</w:t>
      </w:r>
    </w:p>
    <w:p>
      <w:pPr>
        <w:spacing w:after="0" w:line="131"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$125.2 million included within “volume, product mix and other” related to sales from acquisitions in our Hawthorne segment, primarily from Sunlight Supply, Agrolux and Can-Filters, and including $12.2 million related to acquisition date inventory fair value adjustments;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transportation costs included within “volume, product mix and other” associated with our U.S. Consumer, Hawthorne and Other segments;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weakening of the U.S. dollar relative to the euro and the Canadian dollar;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 of $20.5 million related to facility closures, impairment of property, plant and equipment and employee termination benefits associated with Project Catalyst;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sales volume in our U.S. Consumer and Hawthorne segments excluding the impact of acquisitions, partially offset by increased sales volume in our Other segment;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attributable to reimbursements under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As a percentage of net sales, our gross profit rate was 32.3%, 32.5% and 36.8% for fiscal 2019, fiscal 2018 and fiscal 2017, respectively. Factors contributing to the change in gross profit rate are outlined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50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54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costs</w:t>
            </w:r>
          </w:p>
        </w:tc>
        <w:tc>
          <w:tcPr>
            <w:tcW w:w="24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4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 product mix and other</w:t>
            </w:r>
          </w:p>
        </w:tc>
        <w:tc>
          <w:tcPr>
            <w:tcW w:w="2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Pricing</w:t>
            </w:r>
          </w:p>
        </w:tc>
        <w:tc>
          <w:tcPr>
            <w:tcW w:w="24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6360" w:type="dxa"/>
            <w:vAlign w:val="bottom"/>
          </w:tcPr>
          <w:p>
            <w:pPr>
              <w:spacing w:after="0"/>
              <w:rPr>
                <w:sz w:val="20"/>
                <w:szCs w:val="20"/>
                <w:color w:val="auto"/>
              </w:rPr>
            </w:pPr>
          </w:p>
        </w:tc>
        <w:tc>
          <w:tcPr>
            <w:tcW w:w="24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gross profit rate</w:t>
            </w: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gross profit rate for fiscal 2019 as compared to fiscal 2018 was primarily driven by:</w:t>
      </w:r>
    </w:p>
    <w:p>
      <w:pPr>
        <w:spacing w:after="0" w:line="13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impact from acquisitions in our Hawthorne segment related to Sunlight Supply;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and Other segments;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transportation costs included within “volume, product mix and other” associated with our U.S. Consumer segment;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the favorable impact within “volume, product mix and other” of Sunlight Supply acquisition date inventory fair value adjustments of $12.2 million incurred during fiscal 2018;</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pricing in our U.S. Consumer and Other segments, net of higher volume-based customer rebates in our U.S. Consumer segment and decreased pricing in our Hawthorne segment primarily driven by increased promotional activities;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leverage of fixed costs such as warehousing driven by higher sales volume in our U.S. Consumer and Hawthorne segments;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 as a result of lower costs associated with Project Catalyst.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932"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decrease in gross profit rate for fiscal 2018 as compared to fiscal 2017 was primarily driven by:</w:t>
      </w:r>
    </w:p>
    <w:p>
      <w:pPr>
        <w:spacing w:after="0" w:line="13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net impact from acquisitions in our Hawthorne segment, primarily from Sunlight Supply, Agrolux and Can-Filters;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transportation costs included within “volume, product mix and other” associated with our U.S. Consumer, Hawthorne and Other segments;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such as warehousing driven by lower sales volumes in our U.S. Consumer and Hawthorne segments excluding the impact of acquisitions;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 in our U.S. Consumer segment due to decreased sales of fertilizer and plant food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pricing in our U.S. Consumer segment driven by higher customer rebates and sales mix;</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associated with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 and</w:t>
      </w:r>
    </w:p>
    <w:p>
      <w:pPr>
        <w:spacing w:after="0" w:line="45" w:lineRule="exact"/>
        <w:rPr>
          <w:rFonts w:ascii="Times New Roman" w:cs="Times New Roman" w:eastAsia="Times New Roman" w:hAnsi="Times New Roman"/>
          <w:sz w:val="18"/>
          <w:szCs w:val="18"/>
          <w:color w:val="auto"/>
        </w:rPr>
      </w:pPr>
    </w:p>
    <w:p>
      <w:pPr>
        <w:ind w:left="660" w:hanging="328"/>
        <w:spacing w:after="0" w:line="27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 related to facility closures, impairment of property, plant and equipment and employee termination benefits associated with Project Catalyst.</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5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 millions, except percentage figures)</w:t>
            </w:r>
          </w:p>
        </w:tc>
        <w:tc>
          <w:tcPr>
            <w:tcW w:w="1400" w:type="dxa"/>
            <w:vAlign w:val="bottom"/>
          </w:tcPr>
          <w:p>
            <w:pPr>
              <w:spacing w:after="0"/>
              <w:rPr>
                <w:sz w:val="17"/>
                <w:szCs w:val="17"/>
                <w:color w:val="auto"/>
              </w:rPr>
            </w:pPr>
          </w:p>
        </w:tc>
      </w:tr>
      <w:tr>
        <w:trPr>
          <w:trHeight w:val="255"/>
        </w:trPr>
        <w:tc>
          <w:tcPr>
            <w:tcW w:w="55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180" w:type="dxa"/>
            <w:vAlign w:val="bottom"/>
            <w:tcBorders>
              <w:bottom w:val="single" w:sz="8" w:color="BFE4FF"/>
            </w:tcBorders>
            <w:shd w:val="clear" w:color="auto" w:fill="BFE4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400" w:type="dxa"/>
            <w:vAlign w:val="bottom"/>
            <w:tcBorders>
              <w:bottom w:val="single" w:sz="8" w:color="BFE4FF"/>
            </w:tcBorders>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Times New Roman" w:cs="Times New Roman" w:eastAsia="Times New Roman" w:hAnsi="Times New Roman"/>
                <w:sz w:val="18"/>
                <w:szCs w:val="18"/>
                <w:color w:val="auto"/>
              </w:rPr>
              <w:t>123.0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as a percentage of net sales</w:t>
            </w:r>
          </w:p>
        </w:tc>
        <w:tc>
          <w:tcPr>
            <w:tcW w:w="1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Times New Roman" w:cs="Times New Roman" w:eastAsia="Times New Roman" w:hAnsi="Times New Roman"/>
                <w:sz w:val="18"/>
                <w:szCs w:val="18"/>
                <w:color w:val="auto"/>
              </w:rPr>
              <w:t>39.9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8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340.9</w:t>
            </w:r>
          </w:p>
        </w:tc>
      </w:tr>
      <w:tr>
        <w:trPr>
          <w:trHeight w:val="27"/>
        </w:trPr>
        <w:tc>
          <w:tcPr>
            <w:tcW w:w="5540" w:type="dxa"/>
            <w:vAlign w:val="bottom"/>
            <w:tcBorders>
              <w:bottom w:val="single" w:sz="8" w:color="BFE4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400" w:type="dxa"/>
            <w:vAlign w:val="bottom"/>
            <w:tcBorders>
              <w:bottom w:val="single" w:sz="8" w:color="BFE4FF"/>
            </w:tcBorders>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BFE4FF"/>
            </w:tcBorders>
            <w:shd w:val="clear" w:color="auto" w:fill="BFE4FF"/>
          </w:tcPr>
          <w:p>
            <w:pPr>
              <w:jc w:val="right"/>
              <w:ind w:right="94"/>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Borders>
              <w:bottom w:val="single" w:sz="8" w:color="BFE4FF"/>
            </w:tcBorders>
            <w:shd w:val="clear" w:color="auto" w:fill="BFE4FF"/>
          </w:tcPr>
          <w:p>
            <w:pPr>
              <w:spacing w:after="0"/>
              <w:rPr>
                <w:sz w:val="22"/>
                <w:szCs w:val="22"/>
                <w:color w:val="auto"/>
              </w:rPr>
            </w:pP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BFE4FF"/>
            </w:tcBorders>
            <w:shd w:val="clear" w:color="auto" w:fill="BFE4FF"/>
          </w:tcPr>
          <w:p>
            <w:pPr>
              <w:jc w:val="right"/>
              <w:ind w:right="112"/>
              <w:spacing w:after="0"/>
              <w:rPr>
                <w:sz w:val="20"/>
                <w:szCs w:val="20"/>
                <w:color w:val="auto"/>
              </w:rPr>
            </w:pPr>
            <w:r>
              <w:rPr>
                <w:rFonts w:ascii="Times New Roman" w:cs="Times New Roman" w:eastAsia="Times New Roman" w:hAnsi="Times New Roman"/>
                <w:sz w:val="18"/>
                <w:szCs w:val="18"/>
                <w:color w:val="auto"/>
              </w:rPr>
              <w:t>550.9</w:t>
            </w:r>
          </w:p>
        </w:tc>
      </w:tr>
      <w:tr>
        <w:trPr>
          <w:trHeight w:val="20"/>
        </w:trPr>
        <w:tc>
          <w:tcPr>
            <w:tcW w:w="5540" w:type="dxa"/>
            <w:vAlign w:val="bottom"/>
            <w:tcBorders>
              <w:top w:val="single" w:sz="8" w:color="BFE4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SG&amp;A increased $61.2 million, or 11.3%, during fiscal 2019 compared to fiscal 2018. Advertising expense increased $16.1 million, or 15.5%, during fiscal 2019 driven by increased media spending in our U.S. Consumer segment. Share-based compensation expense decreased $2.0 million, or 5.0%, in fiscal 2019 due to a more significant increase in the expected payout percentage on long-term performance-based awards during fiscal 2018 as compared to fiscal 2019. Amortization expense increased $4.0 million, or 13.8%, in fiscal 2019 due to the impact of recent acquisitions. Other SG&amp;A increased $46.0 million, or 14.2%, in fiscal 2019 driven by higher short-term variable cash incentive compensation expense of $33.3 million and the impact of recent acquisitions of $11.8 million.</w:t>
      </w:r>
    </w:p>
    <w:p>
      <w:pPr>
        <w:spacing w:after="0" w:line="5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SG&amp;A decreased $10.8 million, or 2.0%, during fiscal 2018 compared to fiscal 2017. Advertising expense decreased $18.8 million, or 15.3%, during fiscal 2018 as our U.S. Consumer segment increased customer promotional spending with certain retailers, which is recorded as a reduction of net sales, and decreased SG&amp;A media spending. Share-based compensation expense increased $15.2 million, or 60.3%, in fiscal 2018 due to an increase in the expected payout percentage on long-term performance-based awards as a result of strong cash flow performance. Amortization expense increased $7.0 million, or 32.0%, in fiscal 2018 due to the impact of recent acquisitions. Other SG&amp;A decreased $16.8 million, or 4.9%, in fiscal 2018 due to lower short-term variable cash incentive compensation expense of $19.3 million as a result of decreased operating income in fiscal 2018 and lower selling, marketing and fringe benefit expenses of $12.3 million, partially offset by the impact of recent acquisitions of $14.7 million and increased headcount and integration costs for our hydroponic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958" w:right="239" w:bottom="1440" w:gutter="0" w:footer="0" w:header="0"/>
        </w:sectPr>
      </w:pPr>
    </w:p>
    <w:bookmarkStart w:id="36" w:name="page37"/>
    <w:bookmarkEnd w:id="3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impairment, restructuring and other charges (recoveries) recorded in the “Cost of sales—impairment, restructuring and other,” “Impairment, restructuring and other” and “Income (loss) from discontinued operations, net of tax” lines in the Consolidated Statements of Operations: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charges from continuing operations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(recoveries) from discontinued operations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Project Catalyst</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During fiscal 2019, we incurred charges of $13.7 million related to Project Catalyst. We incurred charges of $1.1 million in our U.S. Consumer segment, $4.2 million in our Hawthorne segment and $0.6 million in our Other segment in the “Cost of sales— impairment, restructuring and other” line in the Consolidated Statements of Operations during fiscal 2019 related to employee termination benefits, facility closure costs and impairment of property, plant and equipment. We incurred charges of $0.5 million in our U.S. Consumer segment, $3.9 million in our Hawthorne segment, $0.6 million in our Other segment and $2.8 million at Corporate in the “Impairment, restructuring and other” line in the Consolidated Statements of Operations during fiscal 2019 related to employee termination benefits and facility closure costs.</w:t>
      </w:r>
    </w:p>
    <w:p>
      <w:pPr>
        <w:spacing w:after="0" w:line="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fiscal 2018, we incurred charges of $29.4 million related to Project Catalyst. We incurred charges of $8.2 million in our U.S. Consumer segment and $12.4 million in our Hawthorne segment in the “Cost of sales—impairment, restructuring and other” line in the Consolidated Statements of Operations during fiscal 2018 related to employee termination benefits, facility closure costs and impairment of property, plant and equipment. We incurred charges of $3.4 million in our U.S. Consumer segment and $5.4 million in our Hawthorne segment in the “Impairment, restructuring and other” line in the Consolidated Statements of Operations during fiscal 2018 related to employee termination benefits.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Project Focus</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fiscal 2018, our U.S. Consumer segment recognized adjustments of $0.1 million related to previously recognized termination benefits associated with Project Focus in the “Impairment, restructuring and other” line in the Consolidated Statements of Operations. During fiscal 2017, we recognized restructuring costs related to termination benefits and facility closure costs of $8.3 million in the “Impairment, restructuring and other” line in the Consolidated Statements of Operations, including $6.7 million for our U.S. Consumer segment, $0.9 million for our Hawthorne segment and $0.7 million for our Other segment.</w:t>
      </w:r>
    </w:p>
    <w:p>
      <w:pPr>
        <w:spacing w:after="0" w:line="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31, 2017, we completed the sale of the International Business. Refer to “NOTE 3. DISCONTINUED OPERATIONS” for more information. During fiscal 2018 and fiscal 2017, we recognized $1.8 million and $15.5 million, respectively, in transaction related costs associated with the sale of the International Business as well as termination benefits and facility closure costs of zero and $(0.4) million, respectively, in the “Income (loss) from discontinued operations, net of tax” line in the Consolidated Statements of Operations.</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During fiscal 2019, we recognized a favorable adjustment of $22.5 million as a result of the final resolution of the previously disclosed settlement agreement related to the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xml:space="preserve"> legal matter in the “Income (loss) from discontinued operations, net of tax” line in the Consolidated Statements of Operations. In addition, during fiscal 2019, we recognized insurance recoveries of $13.4 million related to this matter in the “Income (loss) from discontinued operations, net of tax” line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063" w:right="2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Statements of Operations. During fiscal 2018, we recognized a pre-tax charge of $85.0 million for a probable loss related to this matter in the “Income (loss) from discontinued operations, net of tax” line in the Consolidated Statements of Operations. Refer to “NOTE 20. CONTINGENCIES” for more information.</w:t>
      </w:r>
    </w:p>
    <w:p>
      <w:pPr>
        <w:spacing w:after="0" w:line="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During fiscal 2019, we recognized a favorable adjustment of $0.4 million related to the previously disclosed legal matter </w:t>
      </w:r>
      <w:r>
        <w:rPr>
          <w:rFonts w:ascii="Times New Roman" w:cs="Times New Roman" w:eastAsia="Times New Roman" w:hAnsi="Times New Roman"/>
          <w:sz w:val="18"/>
          <w:szCs w:val="18"/>
          <w:i w:val="1"/>
          <w:iCs w:val="1"/>
          <w:color w:val="auto"/>
        </w:rPr>
        <w:t>In re Scotts EZ Seed Litigation</w:t>
      </w:r>
      <w:r>
        <w:rPr>
          <w:rFonts w:ascii="Times New Roman" w:cs="Times New Roman" w:eastAsia="Times New Roman" w:hAnsi="Times New Roman"/>
          <w:sz w:val="18"/>
          <w:szCs w:val="18"/>
          <w:color w:val="auto"/>
        </w:rPr>
        <w:t xml:space="preserve"> in the “Impairment, restructuring and other” line in the Consolidated Statements of Operations. During fiscal 2018, we recognized a charge of $11.7 million for a probable loss related to this matter in the “Impairment, restructuring and other” line in the Consolidated Statements of Operations. Refer to “NOTE 20. CONTINGENCIES” for more information.</w:t>
      </w:r>
    </w:p>
    <w:p>
      <w:pPr>
        <w:spacing w:after="0" w:line="4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2018, we recognized a non-cash impairment charge of $94.6 million related to a goodwill impairment in our Hawthorne segment in the “Impairment, restructuring and other” line in the Consolidated Statements of Operations as a result of the Company’s annual fourth quarter quantitative goodwill impairment test. Refer to “NOTE 5. GOODWILL AND INTANGIBLE ASSETS, NET” for more information.</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2018, we recognized a non-cash impairment charge of $17.5 million related to the settlement of a portion of certain previously acquired customer relationships due to the acquisition of Sunlight Supply in the “Impairment, restructuring and other” line in the Consolidated Statement of Operations. Refer to “NOTE 8. ACQUISITIONS AND INVESTMENTS” for more information.</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2017, we recognized a recovery of $4.4 million related to the reduction of a contingent consideration liability associated with a historical acquisition and recorded a $1.0 million impairment charge on the write-off of a trademark asset due to recent performance and future growth expectations within the “Impairment, restructuring and other” line in the Consolidated Statements of Operations.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Other (income) expense, net is comprised of activities outside our normal business operations, such as royalty income from the licensing of certain of our brand names, foreign exchange transaction gains and losses and gains and losses from the disposition of non-inventory assets. Other (income) expense, net was $1.3 million, $(6.7) million and $(16.6) million in fiscal 2019, fiscal 2018 and fiscal 2017, respectively. The decrease for fiscal 2019 was primarily due to foreign currency transactional losses, a decrease in royalty income earned from Exponent related to its use of our brand names following the divestiture of the International Business due to the adoption of the amended revenue recognition accounting guidance and losses on long-lived assets. The decrease for fiscal 2018 was due to interest income of $10.0 million on loans receivable that was classified in the “Other (income) expense, net” line in the Consolidated Statements of Operations in fiscal 2017 but was classified in the “Other non-operating (income) expense, net” line in the Consolidated Statements of Operations in fiscal 2018, as well as a decrease in royalty income earned from the TruGreen Joint Venture related to its use of our brand names following the divestiture of the SLS Business, partially offset by an increase in royalty income earned from Exponent related to its use of our brand names following the divestiture of the International Business.</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Income from operations was $409.6 million in fiscal 2019, an increase of 105.9% from fiscal 2018 income from operations of $198.9 million. The increase was driven by higher net sales and lower impairment, restructuring and other charges, partially offset by a decrease in gross profit rate, higher SG&amp;A and a decrease in other income.</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Income from operations was $198.9 million in fiscal 2018, a decrease of 54.1% from fiscal 2017 income from operations of $433.4 million. The decrease was driven by higher impairment, restructuring and other charges, a decrease in gross profit and a decrease in other income, partially offset by lower SG&amp;A.</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Loss of Unconsolidated Affiliates</w:t>
      </w:r>
    </w:p>
    <w:p>
      <w:pPr>
        <w:spacing w:after="0" w:line="9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Equity in (income) loss of unconsolidated affiliates was $(3.3) million, $(4.9) million and $29.0 million in fiscal 2019, fiscal 2018 and fiscal 2017, respectively. The decrease for fiscal 2019 was attributable to the sale of our noncontrolling equity interest in the IT&amp;O Joint Venture on April 1, 2019.</w:t>
      </w:r>
    </w:p>
    <w:p>
      <w:pPr>
        <w:spacing w:after="0" w:line="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Fiscal 2017 included our share of restructuring and other charges incurred by the TruGreen Joint Venture of $25.2 million. These charges included $1.3 million for transaction costs, $12.1 million for nonrecurring integration and separation costs, $7.2 million of costs associated with the TruGreen Joint Venture’s August 2017 debt refinancing and $4.6 million for a non-cash purchase accounting fair value write-down adjustment related to deferred revenue and advertising.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904" w:right="239" w:bottom="1440" w:gutter="0" w:footer="0" w:header="0"/>
        </w:sectPr>
      </w:pPr>
    </w:p>
    <w:bookmarkStart w:id="38" w:name="page39"/>
    <w:bookmarkEnd w:id="38"/>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Interest expense was $101.8 million in fiscal 2019, an increase of 17.8% from fiscal 2018 interest expense of $86.4 million. The increase was driven by an increase in average borrowings of $111.9 million and an increase in our weighted average interest rate of 50 basis points. The increase in average borrowings was driven by our acquisition activity and Common Share repurchase activity during fiscal 2018, partially offset by the application of the proceeds from the sale of our equity interests in the TruGreen Joint Venture and the IT&amp;O Joint Venture to reduce our indebtedness. The increase in our weighted average interest rate was driven by higher borrowing rates.</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Interest expense was $86.4 million in fiscal 2018, an increase of 13.5% from fiscal 2017 interest expense of $76.1 million. The increase was driven by an increase in average borrowings of $332.8 million, partially offset by a decrease in our weighted average interest rate of 24 basis points. The increase in average borrowings was driven by acquisition activity and an increase in repurchases of our Common Shares during fiscal 2018.</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 net</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non-operating (income) expense, net was $(270.5) million, $1.7 million and $13.4 million in fiscal 2019, fiscal 2018 and fiscal 2017, respectively.</w:t>
      </w:r>
    </w:p>
    <w:p>
      <w:pPr>
        <w:spacing w:after="0" w:line="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March 19, 2019, we entered into an agreement under which we sold all of our approximately 30% equity interest in the TruGreen Joint Venture. In connection with this transaction, we received cash proceeds of $234.2 million related to the sale of our equity interest in the TruGreen Joint Venture and $18.4 million related to the payoff of second lien term loan financing, which was previously recorded in the “Other assets” line in the Consolidated Balance Sheets. During fiscal 2019, we also received a distribution from the TruGreen Joint Venture intended to cover certain required tax payments of $3.5 million, which was classified as an investing activity in the Consolidated Statements of Cash Flows. During fiscal 2019, we recognized a pre-tax gain of $259.8 million related to this sale. The cash proceeds were applied to reduce our indebtedness. During fiscal 2019, we made cash tax payments of $99.5 million associated with this disposition.</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1, 2019, we sold all of our noncontrolling equity interest in the IT&amp;O Joint Venture for cash proceeds of $36.6 million. During fiscal 2019, we recognized a pre-tax gain of $2.9 million related to this sale. During fiscal 2019, we received a distribution of net earnings from the IT&amp;O Joint Venture of $4.9 million, which was classified as an operating activity in the Consolidated Statements of Cash Flows.</w:t>
      </w:r>
    </w:p>
    <w:p>
      <w:pPr>
        <w:spacing w:after="0" w:line="4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2019, we recognized a charge of $2.5 million related to the write-off of accumulated foreign currency translation loss adjustments of a foreign subsidiary that was substantially liquidated as part of Project Catalyst.</w:t>
      </w:r>
    </w:p>
    <w:p>
      <w:pPr>
        <w:spacing w:after="0" w:line="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enactment of H.R.1 (the “Act,” formerly known as the “Tax Cuts and Jobs Act”) on December 22, 2017, we repatriated cash from a foreign subsidiary during the second quarter of fiscal 2018 resulting in the liquidation of substantially all of the assets of the subsidiary and the write-off of accumulated foreign currency translation loss adjustments of $11.7 million. This was partially offset by interest income on loans receivable of $10.0 million that was classified in the “Other non-operating (income) expense, net” line in the Consolidated Statements of Operations in fiscal 2018, but was classified in the “Other income, net” line in the Consolidated Statements of Operations in fiscal 2017.</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October 2, 2017, we acquired the remaining 25% noncontrolling interest in Gavita and its subsidiaries, including Agrolux, for $72.2 million. We recorded a charge of $13.4 million during the fourth quarter of fiscal 2017 to write-up the fair value of the loan to the noncontrolling ownership group of Gavita to the agreed upon buyout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063" w:right="239" w:bottom="1440" w:gutter="0" w:footer="0" w:header="0"/>
        </w:sectPr>
      </w:pPr>
    </w:p>
    <w:bookmarkStart w:id="39" w:name="page40"/>
    <w:bookmarkEnd w:id="3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 from Continuing Operations</w:t>
      </w:r>
    </w:p>
    <w:p>
      <w:pPr>
        <w:spacing w:after="0" w:line="9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from continuing operations before income taxes is summarized below:</w:t>
      </w:r>
    </w:p>
    <w:p>
      <w:pPr>
        <w:spacing w:after="0" w:line="10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24765</wp:posOffset>
            </wp:positionV>
            <wp:extent cx="31045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gridSpan w:val="2"/>
          </w:tcPr>
          <w:p>
            <w:pPr>
              <w:ind w:left="7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Domestic Production Activities Deduction permanent difference</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tax reform</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7"/>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On December 22, 2017, the Act was signed into law. The Act provides for significant changes to the U.S. Internal Revenue Code of 1986, as amended (the “Code”). Among other items, the Act implements a territorial tax system, imposed a one-time transition tax on deemed repatriated earnings of foreign subsidiaries, and reduces the federal corporate statutory tax rate to 21% effective January 1, 2018. As our fiscal year end falls on September 30, the federal corporate statutory tax rate for fiscal 2018 was prorated to 24.5%, with the statutory rate for fiscal 2019 and beyond at 21%. Included in the effective tax rate for fiscal 2018 are one-time impacts related to the tax law change of $42.8 million. These include a one-time $44.6 million net tax benefit adjustment reflecting the revaluation of our net deferred tax liability at the lower tax rate. In addition, we recognized a one-time tax expense on deemed repatriated earnings and cash of foreign subsidiaries as required by the Act of $21.2 million, partially offset by the recognition and application of foreign tax credits associated with these foreign subsidiaries of $18.2 million. We also reduced the value of deferred tax liabilities associated with the write-off of previously acquired customer relationship intangible assets by $7.3 million, which was recognized in the “Income tax expense (benefit) from continuing operations” line in the Consolidated Statement of Operations in fiscal 2018. During the fourth quarter of fiscal 2018, we recognized a non-cash goodwill impairment charge of $94.6 million, of which $20.0 million was not tax-deductible.</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Income from continuing operations was $436.7 million, or $7.77 per diluted share, in fiscal 2019 compared to $127.6 million, or $2.23 per diluted share, in fiscal 2018. The increase was driven by higher net sales, lower impairment, restructuring and other charges and an increase in other non-operating income, partially offset by a lower gross profit rate, higher SG&amp;A, decreased other income and an increase in interest expense.</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income per common share calculation were 56.3 million for fiscal 2019 compared to 57.1 million for fiscal 2018. The decrease was primarily the result of Common Share repurchase activity during fiscal 2018, partially offset by the exercise and issuance of share-based compensation awards and the payment of a portion of the purchase price of Sunlight Supply in Common Shares. Dilutive equivalent shares for fiscal 2019 and fiscal 2018 were 0.8 million and 0.9 million, respectively.</w:t>
      </w:r>
    </w:p>
    <w:p>
      <w:pPr>
        <w:spacing w:after="0" w:line="4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Income from continuing operations was $127.6 million, or $2.23 per diluted share, in fiscal 2018 compared to $198.3 million, or $3.29 per diluted share, in fiscal 2017. The decrease was driven by higher impairment, restructuring and other charges, a decrease in gross profit, a decrease in other income, an increase in interest expense and an increase in other non-operating expense, partially offset by the lower effective tax rate, an increase in equity in income of unconsolidated affiliates and a decrease in SG&amp;A.</w:t>
      </w:r>
    </w:p>
    <w:p>
      <w:pPr>
        <w:spacing w:after="0" w:line="4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income per common share calculation were 57.1 million for fiscal 2018 compared to 60.2 million for fiscal 2017. The decrease was primarily the result of Common Share repurchase activity, partially offset by the exercise and issuance of share-based compensation awards and the payment of a portion of the purchase price of Sunlight Supply in Common Shares. Dilutive equivalent shares for fiscal 2018 and fiscal 2017 were 0.9 million and 0.8 million, respectively.</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Income (loss) from discontinued operations, net of tax, was $23.5 million, $(63.9) million and $20.5 million for fiscal 2019, fiscal 2018 and fiscal 2017,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063" w:right="239" w:bottom="1440" w:gutter="0" w:footer="0" w:header="0"/>
        </w:sectPr>
      </w:pPr>
    </w:p>
    <w:bookmarkStart w:id="40" w:name="page41"/>
    <w:bookmarkEnd w:id="40"/>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During fiscal 2019, we recognized a favorable pre-tax adjustment of $22.5 million as a result of the final resolution of the previously disclosed settlement agreement related to the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xml:space="preserve"> legal matter and recognized insurance recoveries of $13.4 million related to this matter. During fiscal 2018, we recognized a pre-tax charge of $85.0 million for a probable loss related to this matter. Refer to “NOTE 20. CONTINGENCIES” for more information.</w:t>
      </w:r>
    </w:p>
    <w:p>
      <w:pPr>
        <w:spacing w:after="0" w:line="4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fiscal 2017, we recorded a gain on the sale of the International Business of $32.7 million, partially offset by the provision for income taxes of $12.0 million. During fiscal 2018, we recorded a reduction to the pre-tax gain of $0.7 million related to the resolution of post-closing working capital adjustments. During fiscal 2018 and fiscal 2017, we recognized $1.8 million and $15.5 million, respectively, in transaction related costs associated with the sale of the International Business. Refer to “NOTE 3. DISCONTINUED OPERATIONS”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divide our business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our chief operating decision maker.</w:t>
      </w:r>
    </w:p>
    <w:p>
      <w:pPr>
        <w:spacing w:after="0" w:line="4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they believe this measure is indicative of performance trends and the overall earnings potential of each segment.</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5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5"/>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Consumer</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2,109.6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2,160.5</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Hawthorne</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287.2</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w:t>
            </w:r>
          </w:p>
        </w:tc>
      </w:tr>
      <w:tr>
        <w:trPr>
          <w:trHeight w:val="237"/>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w:t>
            </w:r>
          </w:p>
        </w:tc>
        <w:tc>
          <w:tcPr>
            <w:tcW w:w="112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2,663.4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2,642.1</w:t>
            </w:r>
          </w:p>
        </w:tc>
      </w:tr>
      <w:tr>
        <w:trPr>
          <w:trHeight w:val="27"/>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Segment Profit as well as a reconciliation to income from continuing operations before income taxes, the most directly comparable GAAP measure: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80" w:type="dxa"/>
            <w:vAlign w:val="bottom"/>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5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521.5</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Segment Profit (Non-GAAP)</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570.4</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56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Equity in income (loss) of unconsolidated affiliates </w:t>
            </w:r>
            <w:r>
              <w:rPr>
                <w:rFonts w:ascii="Times New Roman" w:cs="Times New Roman" w:eastAsia="Times New Roman" w:hAnsi="Times New Roman"/>
                <w:sz w:val="25"/>
                <w:szCs w:val="25"/>
                <w:color w:val="auto"/>
                <w:vertAlign w:val="superscript"/>
              </w:rPr>
              <w:t>(a)</w:t>
            </w:r>
          </w:p>
        </w:tc>
        <w:tc>
          <w:tcPr>
            <w:tcW w:w="116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56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from continuing operations before income taxes (GAAP)</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1"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equity in income (loss) of unconsolidated affiliates for fiscal 2017 are charges of $25.2 million, which represent our share of restructuring and other charges incurred by the TruGreen Joint Venture.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905" w:right="239" w:bottom="1440" w:gutter="0" w:footer="0" w:header="0"/>
        </w:sectPr>
      </w:pPr>
    </w:p>
    <w:bookmarkStart w:id="41" w:name="page42"/>
    <w:bookmarkEnd w:id="41"/>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Consumer segment net sales were $2,281.1 million in fiscal 2019, an increase of 8.1% from fiscal 2018 net sales of $2,109.6 million. The increase was driven by the favorable impacts of volume and pricing of 6.3% and 1.8%, respectively. Increased sales volume for fiscal 2019 was driven by increased sales of soils, mulch, grass seed and fertilizer products.</w:t>
      </w:r>
    </w:p>
    <w:p>
      <w:pPr>
        <w:spacing w:after="0" w:line="4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U.S. Consumer Segment Profit was $527.8 million in fiscal 2019, an increase of 6.3% from fiscal 2018 Segment Profit of $496.6 million. The increase for fiscal 2019 was primarily due to higher net sales, partially offset by higher SG&amp;A and lower other income.</w:t>
      </w:r>
    </w:p>
    <w:p>
      <w:pPr>
        <w:spacing w:after="0" w:line="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U.S. Consumer segment net sales were $2,109.6 million in fiscal 2018, a decrease of 2.4% from fiscal 2017 net sales of $2,160.5 million. The decrease was driven by the unfavorable impacts of volume and pricing of 1.0% and 1.4%, respectively. Decreased sales volume for fiscal 2018 was driven by decreased sales of fertilizer, controls and plant food products, partially offset by increased sales of soils and grass seed products. Decreased pricing for fiscal 2018 was primarily driven by higher customer rebates and sales mix.</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Consumer Segment Profit was $496.6 million in fiscal 2018, a decrease of 4.8% from fiscal 2017 Segment Profit of $521.5 million. The decrease for fiscal 2018 was primarily due to a decrease in net sales, gross profit rate and interest income that was classified in the “Other non-operating (income) expense, net” line in the Consolidated Statements of Operations, partially offset by lower SG&amp;A.</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Hawthorne segment net sales were $671.2 million in fiscal 2019, an increase of 94.6% from fiscal 2018 net sales of $344.9 million. The increase was driven by the favorable impacts of acquisitions and volume of 67.1% and 31.7%, respectively, partially offset by the unfavorable impacts of pricing and changes in foreign exchange rates of 2.2% and 2.0%, respectively.</w:t>
      </w:r>
    </w:p>
    <w:p>
      <w:pPr>
        <w:spacing w:after="0" w:line="4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Hawthorne Segment Profit was $53.5 million in fiscal 2019 as compared to fiscal 2018 Segment Loss of $6.1 million. The increase for fiscal 2019 was driven by higher net sales, gross profit rate, cost savings and other synergies as a result of Project Catalyst activities.</w:t>
      </w:r>
    </w:p>
    <w:p>
      <w:pPr>
        <w:spacing w:after="0" w:line="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Hawthorne segment net sales were $344.9 million in fiscal 2018, an increase of 20.1% from fiscal 2017 net sales of $287.2 million. The increase was driven by the favorable impacts of acquisitions and changes in foreign exchange rates of 47.5% and 1.6%, respectively, partially offset by the unfavorable impact of volume of 28.8%. Decreased sales volume for fiscal 2018 was driven by declines in the North American hydroponic business partially offset by growth in the European professional greenhouse market and AeroGrow.</w:t>
      </w:r>
    </w:p>
    <w:p>
      <w:pPr>
        <w:spacing w:after="0" w:line="4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Hawthorne Segment Loss was $6.1 million in fiscal 2018 as compared to fiscal 2017 Segment Profit of $35.5 million. The decrease for fiscal 2018 was primarily due to a decrease in gross profit rate and higher SG&amp;A, partially offset by increased net sales driven by acquisitions. Segment Loss for fiscal 2018 included increased cost of goods sold related to acquisition date inventory fair value adjustments and increased deal costs related to the acquisition of Sunlight Supply.</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segment net sales were $203.7 million in fiscal 2019, a decrease of 2.5% from fiscal 2018 net sales of $208.9 million. The decrease was driven by the unfavorable impacts of foreign exchange rates and volume of 2.9% and 1.8%, respectively, partially offset by the favorable impact of pricing of 2.2%. The decrease in sales volume for fiscal 2019 was driven by the closure of our business in Mexico.</w:t>
      </w:r>
    </w:p>
    <w:p>
      <w:pPr>
        <w:spacing w:after="0" w:line="4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Segment Profit was $10.3 million in fiscal 2019, a decrease of 8.0% from fiscal 2018 Segment Profit of $11.2 million. The decrease was due to lower net sales and lower other income, partially offset by a higher gross profit rate.</w:t>
      </w:r>
    </w:p>
    <w:p>
      <w:pPr>
        <w:spacing w:after="0" w:line="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segment net sales were $208.9 million in fiscal 2018, an increase of 7.5% from fiscal 2017 net sales of $194.4 million. The increase was driven by the favorable impacts of volume and changes in foreign exchange rates of 5.0% and 2.3%, respectively.</w:t>
      </w:r>
    </w:p>
    <w:p>
      <w:pPr>
        <w:spacing w:after="0" w:line="2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Other Segment Profit was $11.2 million in fiscal 2018, a decrease of 16.4% from fiscal 2017 Segment Profit of $13.4 million. The decrease was due to a decrease in gross profit rate, partially offset by higher net sales and lower SG&amp;A.</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Corporate expenses were $135.3 million in fiscal 2019, an increase of 12.0% from fiscal 2018 expenses of $120.8 million. The increase was primarily due to higher short-term variable cash incentive compensation expense and a decrease in royalty income earned from Exponent related to its use of our brand names following our divestiture of the International Business due to the adoption of the amended revenue recognition accounting guidance, partially offset by a decrease in expense related to long-term performance-based awards due to a more significant increase in the expected payout percentage during fiscal 2018 as compared to fiscal 2019.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955" w:right="239" w:bottom="1440" w:gutter="0" w:footer="0" w:header="0"/>
        </w:sectPr>
      </w:pPr>
    </w:p>
    <w:bookmarkStart w:id="42" w:name="page43"/>
    <w:bookmarkEnd w:id="42"/>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Corporate expenses were $120.8 million in fiscal 2018, an increase of 10.2% from fiscal 2017 expenses of $109.6 million. The increase was primarily driven by higher share-based compensation expense due to an increase in the expected payout percentage on long-term performance-based awards, a decrease in royalty income earned from the TruGreen Joint Venture related to its use of our brand names following the divestiture of the SLS Business and interest income that was classified in the “Other non-operating (income) expense, net” line in the Consolidated Statements of Operations for fiscal 2018, partially offset by lower variable incentive compensation expense and an increase in royalty income earned from Exponent related to its use of our brand names following our divestiture of the International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cash activities for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102870</wp:posOffset>
            </wp:positionV>
            <wp:extent cx="26073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363.2</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7"/>
        </w:trPr>
        <w:tc>
          <w:tcPr>
            <w:tcW w:w="7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$226.8 million for fiscal 2019, a decrease of $115.7 million as compared to cash provided by operating activities of $342.5 million for fiscal 2018. This decrease was driven by tax payments made in connection with the sale of our equity interest in the TruGreen Joint Venture of $99.5 million, payments made in connection with litigation settlements of $73.9 million partially offset by insurance reimbursements of $13.4 million, the timing of customer rebate payments, an increase in interest payments and higher SG&amp;A, partially offset by increased net sales, lower short-term variable cash incentive payouts and a distribution of net earnings from the IT&amp;O Joint Venture.</w:t>
      </w:r>
    </w:p>
    <w:p>
      <w:pPr>
        <w:spacing w:after="0" w:line="4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totaled $342.5 million for fiscal 2018, a decrease of $20.7 million as compared to cash provided by operating activities of $363.2 million for fiscal 2017. This decrease was driven by a decrease in gross profit and an increase in interest paid, partially offset by a decrease in income taxes paid, a decrease in payments related to restructuring activities, lower SG&amp;A, the timing of customer rebate payments and cash used in operating activities associated with the International Business during fiscal 2017.</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seasonal nature of our operations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These balances liquidate during the June through September period as the lawn and garden season unwinds.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Cash provided by investing activities totaled $255.2 million for fiscal 2019 as compared to cash used in investing activities of $580.7 million for fiscal 2018. During fiscal 2019, we sold our equity interest in the TruGreen Joint Venture for cash proceeds of $234.2 million related to the sale of the equity interest and $18.4 million related to the payoff of second lien term loan financing, and we sold our equity interest in the IT&amp;O Joint Venture for cash proceeds of $36.6 million. Cash used for investments in property, plant and equipment during fiscal 2019 was $42.4 million. During fiscal 2019, we paid a post-closing net working capital adjustment obligation of $6.6 million related to the fiscal 2018 acquisition of Sunlight Supply and we received cash of $7.0 million associated with currency forward contracts.</w:t>
      </w:r>
    </w:p>
    <w:p>
      <w:pPr>
        <w:spacing w:after="0" w:line="5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totaled $580.7 million for fiscal 2018 as compared to cash provided by investing activities of $22.4 million for fiscal 2017. Cash used for investments in property, plant and equipment during fiscal 2018 was $68.2 million. During fiscal 2018, we completed the acquisitions of Sunlight Supply and Can-Filters which included cash payments of $492.9 million, paid a post-closing working capital adjustment obligation of $35.3 million related to the sale of the International Business and received cash of $13.5 million associated with currency forward contracts.</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three fiscal years ended September 30, 2019, our capital spending was allocated as follows: 68% for expansion and maintenance of existing productive assets; 9% for new productive assets; 11% to expand our information technology and transformation and integration capabilities; and 12% for corporate assets. We expect fiscal 2020 capital expenditures to be consistent with our recent capital spending amounts and allocations.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905" w:right="239" w:bottom="1440" w:gutter="0" w:footer="0" w:header="0"/>
        </w:sectPr>
      </w:pPr>
    </w:p>
    <w:bookmarkStart w:id="43" w:name="page44"/>
    <w:bookmarkEnd w:id="4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totaled $496.5 million in fiscal 2019 as compared to cash provided by financing activities of $151.2 million in fiscal 2018. This change was the result of net repayments under our Fifth A&amp;R Credit Facilities of $389.3 million during fiscal 2019 driven by proceeds from the sale of our equity interests in the TruGreen Joint Venture and the IT&amp;O Joint Venture that were used to reduce our indebtedness and an increase in cash received from the exercise of stock options of $10.9 million, as compared to net borrowings under our Fifth A&amp;R Credit Facilities of $674.1 million during fiscal 2018 driven by the acquisitions of Sunlight Supply and Can-Filters, repurchases of our Common Shares of $327.7 million and a cash outflow of $70.7 million related to the acquisition of the remaining 25% noncontrolling interest in Gavita during fiscal 2018.</w:t>
      </w:r>
    </w:p>
    <w:p>
      <w:pPr>
        <w:spacing w:after="0" w:line="5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Financing activities provided cash of $151.2 million in fiscal 2018, a change of $468.0 million as compared to cash used in financing activities of $316.8 million in fiscal 2017. The change was the result of an increase in net borrowings under our credit facilities of $843.1 million, a decrease in payments on seller notes of $19.8 million and an $8.1 million distribution paid by AeroGrow to its noncontrolling interest holders during fiscal 2017, partially offset by an increase in repurchases of our Common Shares of $72.5 million, the issuance of $250.0 million of 5.250% Senior Notes during fiscal 2017, $70.7 million related to the acquisition of the remaining 25% noncontrolling interest in Gavita and the prospective adoption of a new accounting pronouncement that requires excess tax benefits to be classified as an operating activity.</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$18.8 million and $33.9 million at September 30, 2019 and 2018, respectively, included $7.2 million and $17.7 million, respectively, held by controlled foreign corporations. As of September 30, 2019, we maintain our assertion of indefinite reinvestment of the earnings of all material foreign subsidiaries with the exception of the cumulative earnings of Scotts Luxembourg Sarl, which are generally taxed on a current basis under “Subpart F” of the Code which prevents deferral of recognition of U.S. taxable income through the use of foreign entities.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We maintain a fifth amended and restated credit agreement (the “Fifth A&amp;R Credit Agreement”) that provides senior secured loan facilities in the aggregate principal amount of $2.3 billion, comprised of a revolving credit facility of $1.5 billion and a term loan in the original principal amount of $800.0 million (the “Fifth A&amp;R Credit Facilities”). The Fifth A&amp;R Credit Agreement will terminate on July 5, 2023. The revolving credit facility is available for issuance of letters of credit up to $75.0 million.</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At September 30, 2019, we had letters of credit outstanding in the aggregate principal amount of $26.7 million, and $1,326.2 million of borrowing availability under the Fifth A&amp;R Credit Agreement. The weighted average interest rates on average borrowings under the Fifth A&amp;R Credit Agreement and the former credit agreement were 4.6%, 4.0% and 3.9% for fiscal 2019, fiscal 2018 and fiscal 2017, respectively.</w:t>
      </w:r>
    </w:p>
    <w:p>
      <w:pPr>
        <w:spacing w:after="0" w:line="4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(i) 5.00 for the third quarter of fiscal 2019 through the first quarter of fiscal 2020; (ii) 4.75 for the second quarter of fiscal 2020 through the fourth quarter of fiscal 2020; and (iii) 4.50 for the first quarter of fiscal 2021 and thereafter. Our leverage ratio was 3.67 at September 30, 2019. The Fifth A&amp;R Credit Agreement also contains an affirmative covenant regarding our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2019. Our interest coverage ratio was 5.78 for the twelve months ended September 30, 2019. As of September 30, 2019, we were in compliance with these financial covenants.</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the amount set forth in the Fifth A&amp;R Credit Agreement for such fiscal year ($200.0 million for fiscal 2019 and $225.0 million for fiscal 2020 and thereafter).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2020. However,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063" w:right="2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September 30, 2019, we had senior notes outstanding of $250.0 million aggregate principal amount of 5.250% Senior Notes due 2026 (the “5.250% Senior Notes”) and $400.0 million aggregate principal amount of 6.000% Senior Notes due 2023 (the “6.000% Senior Notes”). These senior notes represent general unsecured senior obligations and rank equal in right of payment with our existing and future unsecured senior debt. Substantially all of our domestic subsidiaries serve as guarantors of the 5.250% and 6.000% Senior Notes.</w:t>
      </w:r>
    </w:p>
    <w:p>
      <w:pPr>
        <w:spacing w:after="0" w:line="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October 22, 2019, we issued $450.0 million aggregate principal amount of 4.500% Senior Notes due 2029.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Substantially all of our domestic subsidiaries serve as guarantors of the 4.500% Senior Notes.</w:t>
      </w:r>
    </w:p>
    <w:p>
      <w:pPr>
        <w:spacing w:after="0" w:line="4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October 23, 2019, we redeemed all of our outstanding 6.000% Senior Notes for a redemption price of $412.5 million, comprised of $0.5 million of accrued and unpaid interest, $12.0 million of redemption premium, and $400.0 million for outstanding principal amount. The $12.0 million redemption premium will be recognized in our first quarter of fiscal 2020. As of September 30, 2019, we classified the $400.0 million of 6.000% Senior Notes as long-term debt on the Consolidated Balance Sheet. Additionally, we had $3.1 million in unamortized bond issuance costs as of September 30, 2019, which are expected to be written-off in the first quarter of fiscal 2020.</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maintain a master repurchase agreement that allows us to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million and the commitment amount during the seasonal commitment period is $160.0 million. This agreement expires on August 21, 2020.</w:t>
      </w:r>
    </w:p>
    <w:p>
      <w:pPr>
        <w:spacing w:after="0" w:line="4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account for the sale of receivables under the Receivables Facility as short-term debt and continue to carry the receivables on our Consolidated Balance Sheet, primarily as a result of our requirement to repurchase receivables sold. As of September 30, 2019 and 2018, there were $76.0 million in borrowings on receivables pledged as collateral under the Receivables Facility, and the carrying value of the receivables pledged as collateral was $84.5 million. As of September 30, 2019 and 2018, there was $0.1 million and $0.4 million, respectively, of availability under the Receivables Facility.</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94"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7"/>
          <w:szCs w:val="17"/>
          <w:color w:val="auto"/>
        </w:rPr>
        <w:t>We enter into interest rate swap agreements with major financial institutions as a means to hedge our variable interest rate risk on our Fifth A&amp;R Credit Agreement. The swap agreements had a maximum total U.S. dollar equivalent notional amount of $850.0 million and $800.0 million at September 30, 2019 and 2018, respectively. Interest payments made between the effective date and expiration date are hedged by the swap agreements, except as noted below. The notional amount, effective date, expiration date and rate of each of these swap agreements outstanding at September 30, 2019 are shown in the table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40" w:type="dxa"/>
            <w:vAlign w:val="bottom"/>
          </w:tcPr>
          <w:p>
            <w:pPr>
              <w:spacing w:after="0"/>
              <w:rPr>
                <w:sz w:val="13"/>
                <w:szCs w:val="13"/>
                <w:color w:val="auto"/>
              </w:rPr>
            </w:pPr>
          </w:p>
        </w:tc>
        <w:tc>
          <w:tcPr>
            <w:tcW w:w="180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00" w:type="dxa"/>
            <w:vAlign w:val="bottom"/>
          </w:tcPr>
          <w:p>
            <w:pPr>
              <w:jc w:val="right"/>
              <w:ind w:right="1155"/>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260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80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800" w:type="dxa"/>
            <w:vAlign w:val="bottom"/>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49"/>
        </w:trPr>
        <w:tc>
          <w:tcPr>
            <w:tcW w:w="26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57"/>
        </w:trPr>
        <w:tc>
          <w:tcPr>
            <w:tcW w:w="2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6/20/2018</w:t>
            </w:r>
          </w:p>
        </w:tc>
        <w:tc>
          <w:tcPr>
            <w:tcW w:w="100" w:type="dxa"/>
            <w:vAlign w:val="bottom"/>
          </w:tcPr>
          <w:p>
            <w:pPr>
              <w:spacing w:after="0"/>
              <w:rPr>
                <w:sz w:val="22"/>
                <w:szCs w:val="22"/>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10/20/2020</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2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w:t>
            </w: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11/7/2018</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6/7/2021</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57"/>
        </w:trPr>
        <w:tc>
          <w:tcPr>
            <w:tcW w:w="2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11/7/2018</w:t>
            </w:r>
          </w:p>
        </w:tc>
        <w:tc>
          <w:tcPr>
            <w:tcW w:w="100" w:type="dxa"/>
            <w:vAlign w:val="bottom"/>
          </w:tcPr>
          <w:p>
            <w:pPr>
              <w:spacing w:after="0"/>
              <w:rPr>
                <w:sz w:val="22"/>
                <w:szCs w:val="22"/>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7/7/2021</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7"/>
        </w:trPr>
        <w:tc>
          <w:tcPr>
            <w:tcW w:w="2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11/7/2018</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10/7/2021</w:t>
            </w: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were first hedged by the applicable swap agreement.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904" w:right="239" w:bottom="1440" w:gutter="0" w:footer="0" w:header="0"/>
        </w:sectPr>
      </w:pPr>
    </w:p>
    <w:bookmarkStart w:id="45" w:name="page46"/>
    <w:bookmarkEnd w:id="45"/>
    <w:p>
      <w:pPr>
        <w:jc w:val="both"/>
        <w:ind w:left="60" w:firstLine="432"/>
        <w:spacing w:after="0" w:line="258" w:lineRule="auto"/>
        <w:rPr>
          <w:sz w:val="20"/>
          <w:szCs w:val="20"/>
          <w:color w:val="auto"/>
        </w:rPr>
      </w:pPr>
      <w:r>
        <w:rPr>
          <w:rFonts w:ascii="Times New Roman" w:cs="Times New Roman" w:eastAsia="Times New Roman" w:hAnsi="Times New Roman"/>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Our indebtedness could limit our flexibility and adversely affect our financial condition” of this Annual Report on Form 10-K.</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future cash outflows for contractual obligations as of 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Cash Obligations</w:t>
            </w: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primarily retirement plan obligations</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2,767.4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8"/>
          <w:szCs w:val="18"/>
          <w:color w:val="auto"/>
        </w:rPr>
        <w:t>We had long-term debt obligations and interest payments due primarily under the 5.250% Senior Notes, 6.000% Senior Notes and our credit facilities. Amounts in the table represent scheduled future maturities of long-term debt principal for the periods indicated. The impacts of the issuance of the 4.500% Senior Notes and the redemption of the 6.000% Senior Notes are not reflected in the table as these events took place subsequent to September 30, 2019.</w:t>
      </w:r>
    </w:p>
    <w:p>
      <w:pPr>
        <w:spacing w:after="0" w:line="26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interest payments for our credit facilities are based on outstanding borrowings as of September 30, 2019. Actual interest expense will likely be higher due to the seasonality of our business and associated higher average borrowings.</w:t>
      </w:r>
    </w:p>
    <w:p>
      <w:pPr>
        <w:spacing w:after="0" w:line="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our manufacturing processes, including urea and packaging, as well as commitments for warehouse services, grass seed and out-sourced information services which comprise the unconditional purchase obligations disclosed in “NOTE 19. COMMITMENTS” of the Notes to Consolidated Financial Statements included in this Annual Report on Form 10-K.</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obligations include actuarially determined retiree benefit payments and pension funding to comply with local funding requirements. Pension funding requirements beyond fiscal 2019 are based on preliminary estimates using actuarial assumptions determined as of September 30, 2019. The above table excludes liabilities for unrecognized tax benefits and insurance accruals as we are unable to estimate the timing of payments for these items.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2019, we have letters of credit in the aggregate face amount of $26.7 million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By their nature, these judgments are subject to uncertainty. We base our estimates on historical experience and on various other sources that we believe to be reasonable under the circumstances.</w:t>
      </w:r>
    </w:p>
    <w:p>
      <w:pPr>
        <w:spacing w:after="0" w:line="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Certain accounting policies are particularly significant, including those related to revenue recognition, income taxes, inventories, goodwill and intangibles, certain associate benefits and contingencies. Our critical accounting policies are reviewed periodically with the Audit Committee of the Board of Directors of Scotts Miracle-Gro.</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Promotional Allowances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revenue is primarily generated from sales of branded and private label lawn and garden care and indoor and hydroponic gardening finished products. Product sales are recognized at a point in time when control of products transfers to customers and we have no further obligation to provide services related to such products. Sales are typically recognized when products are delivered to or picked up by the customer. We are generally the principal in a transaction, therefore revenue is primarily recorded on a gross basis. Revenue for product sales is recorded net of sales returns and allowances. Revenues are measured based on the amount of consideration that we expect to receive as derived from a list price, reduced by estimates for variable consideration. Variable consideration includes the cost of current and continuing promotional programs and expected sales returns.</w:t>
      </w:r>
    </w:p>
    <w:p>
      <w:pPr>
        <w:spacing w:after="0" w:line="5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819" w:right="239" w:bottom="1440" w:gutter="0" w:footer="0" w:header="0"/>
        </w:sectPr>
      </w:pPr>
    </w:p>
    <w:bookmarkStart w:id="47" w:name="page48"/>
    <w:bookmarkEnd w:id="47"/>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principally determined by the first in, first out method of accounting. Inventories acquired through the acquisition of or subsequently produced by Sunlight Supply, which represent approximately 22% of our consolidated inventories, were initially recorded at fair value at the date of the acquisition and subsequently were measured using the average costing method of inventory valuation. Inventories include the cost of raw materials, labor, manufacturing overhead and freight and in-bound handling costs incurred to pre-position goods in our warehouse network. We make provisions for obsolete or slow-moving inventories as necessary to properly reflect inventory at the lower of cost or net realizable value.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 During fiscal 2018, we determined it was preferable to use the first in, first out inventory valuation method and adopted this method for the remaining U.S. Consumer segment inventories not subject to the first in, first out method. The impact on inventory value and cost of goods sold was immaterial.</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based on a combination of income-based and market-based approaches. If it is determined that an impairment has occurred, an impairment loss is recognized for the amount by which the carrying value of the reporting unit or intangible asset exceeds its estimated fair value.</w:t>
      </w:r>
    </w:p>
    <w:p>
      <w:pPr>
        <w:spacing w:after="0" w:line="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the income-based approach, we determine fair value using a discounted cash flow approach that requires significant judgment with respect to revenue and expense growth rates, based upon annual budgets and longer-range strategic plans, and the selection of an appropriate discount rate. These budgets and plans are used for internal purposes and are also the basis for communication with outside parties about future business trends. Under the market-based approach, we determine fair value by comparing our reporting units to similar businesses or guideline companies whose securities are actively traded in public markets. We also use the guideline transaction method to determine fair value based on pricing multiples derived from the sale of companies that are similar to our reporting units.</w:t>
      </w:r>
    </w:p>
    <w:p>
      <w:pPr>
        <w:spacing w:after="0" w:line="13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w:t>
      </w:r>
    </w:p>
    <w:p>
      <w:pPr>
        <w:spacing w:after="0" w:line="2" w:lineRule="exact"/>
        <w:rPr>
          <w:sz w:val="20"/>
          <w:szCs w:val="20"/>
          <w:color w:val="auto"/>
        </w:rPr>
      </w:pPr>
    </w:p>
    <w:p>
      <w:pPr>
        <w:jc w:val="both"/>
        <w:ind w:firstLine="8"/>
        <w:spacing w:after="0" w:line="252" w:lineRule="auto"/>
        <w:tabs>
          <w:tab w:leader="none" w:pos="3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revenues and expenses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therefore, could change impairment determinations.</w:t>
      </w:r>
    </w:p>
    <w:p>
      <w:pPr>
        <w:spacing w:after="0" w:line="13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At September 30, 2019, goodwill totaled $538.7 million, with $228.1 million, $300.0 million and $10.6 million of goodwill for our U.S. Consumer, Hawthorne and Other segments, respectively. We performed annual impairment testing as of the first day of our fourth fiscal quarter in fiscal 2019, 2018 and 2017 and, with the exception of our Hawthorne reporting unit in fiscal 2018, concluded that there were no impairments of goodwill as the estimated fair value of each reporting unit exceeded its carrying value. Based on the results of the annual quantitative evaluation for fiscal 2019, the fair values of our U.S. Consumer, Hawthorne and Other segment reporting units exceeded their respective carrying values by 260%, 5% and 9%, respectively. A 100 basis point change in the discount rate would not have resulted in an impairment for our U.S. Consumer and Other segment reporting units, and would have resulted in a goodwill impairment charge of $11.7 million for our Hawthorne reporting unit. As discussed further in “NOTE 5. GOODWILL AND INTANGIBLE ASSETS, NET,” during the fourth quarter of fiscal 2018 we recognized a non-cash goodwill impairment charge of $94.6 million related to our Hawthorne reporting unit in the “Impairment, restructuring and other” line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063" w:right="239" w:bottom="1440" w:gutter="0" w:footer="0" w:header="0"/>
        </w:sectPr>
      </w:pPr>
    </w:p>
    <w:bookmarkStart w:id="48" w:name="page49"/>
    <w:bookmarkEnd w:id="48"/>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September 30, 2019, indefinite-lived intangible assets consisted of tradenames of $168.2 million and the Marketing Agreement Amendment of $155.7 million. Based on the results of the annual evaluation for fiscal 2019, the fair values of our indefinite-lived intangible assets exceeded their respective carrying values in a range of 17% to over 900%. All of our indefinite-lived intangible assets had an estimated fair value substantially in excess of carrying value as of the annual test date. A 100 basis point change in the discount rate would not have resulted in an impairment of any of our indefinite-lived intangible assets.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Associate Benefits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4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4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 A 100 basis point change in the discount rate would have an immaterial effect on fiscal 2020 pension expense. A 100 basis point change in the discount rate would have a $34.5 million change in our projected benefit obligations as of September 30, 2019.</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described more fully in “NOTE 20. CONTINGENCIES” of the Notes to Consolidated Financial Statements included in this Annual Report on Form 10-K, we are involved in environmental and legal proceedings which have a high degree of uncertainty associated with them. We continually assess the likely outcome of these proceedings and the adequacy of accruals, if any, provided for their resolution. There can be no assurance that the ultimate outcomes of these proceedings will not differ materially from our current assessment of them, nor that all proceedings that may currently be brought against us are known by us at this time.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986" w:right="239" w:bottom="1440" w:gutter="0" w:footer="0" w:header="0"/>
        </w:sectPr>
      </w:pPr>
    </w:p>
    <w:bookmarkStart w:id="49" w:name="page50"/>
    <w:bookmarkEnd w:id="49"/>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7A.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speculative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summarizes information about our debt instruments and derivative financial instruments that are sensitive to changes in interest rates as of September 30, 2019 and 2018.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$850.0 million and $800.0 million at September 30, 2019 and 2018, respectively. Weighted-average variable rates are based on rates in effect at September 30, 2019 and 2018. A change in our variable interest rate of 100 basis points for a full twelve-month period would have a $2.5 million impact on interest expense assuming approximately $250 million of our average fiscal 2019 variable-rate debt had not been hedged via an interest rate swap agreement.</w:t>
      </w: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Expected Maturity Date (in millions)</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3"/>
        </w:trPr>
        <w:tc>
          <w:tcPr>
            <w:tcW w:w="3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5"/>
                <w:szCs w:val="5"/>
                <w:color w:val="auto"/>
              </w:rPr>
            </w:pPr>
          </w:p>
        </w:tc>
        <w:tc>
          <w:tcPr>
            <w:tcW w:w="70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2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21"/>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Fixed rate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Variable rate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973.2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973.2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43"/>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Expected Maturity Date (in millions)</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3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5"/>
                <w:szCs w:val="5"/>
                <w:color w:val="auto"/>
              </w:rPr>
            </w:pPr>
          </w:p>
        </w:tc>
        <w:tc>
          <w:tcPr>
            <w:tcW w:w="7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2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21"/>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Fixed rate debt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Variable rate debt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1,122.2</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1,358.2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1,358.2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Excluded from the information provided above are miscellaneous debt instruments of $10.3 million and $16.9 million and capital lease obligations of $25.8 million and $0.6 million at September 30, 2019 and 2018, respectively. Additionally, the impacts of the issuance of the 4.500% Senior Notes and the redemption of the 6.000% Senior Notes are not reflected in the table as these events took place subsequent to September 30,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subject to market risk from fluctuations in foreign currency exchange rates and fluctuating prices of certain raw materials, including urea and other fertilizer inputs, resins, diesel, gasoline, natural gas, sphagnum peat, bark and grass seed. Refer to “NOTE 16. DERIVATIVE INSTRUMENTS AND HEDGING ACTIVITIES” of the Notes to Consolidated Financial Statements included in this Annual Report on Form 10-K for discussion of these market risks and the derivatives used to manage these risks.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819" w:right="239" w:bottom="1440" w:gutter="0" w:footer="0" w:header="0"/>
        </w:sectPr>
      </w:pPr>
    </w:p>
    <w:bookmarkStart w:id="50" w:name="page51"/>
    <w:bookmarkEnd w:id="50"/>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57 of this Annual Report on Form 10-K.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“Annual Report of Management on Internal Control Over Financial Reporting” required by Item 308(a) of SEC Regulation S-K is included on page 58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“Report of Independent Registered Public Accounting Firm” required by Item 308(b) of SEC Regulation S-K is included on page 59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No changes in the Registrant’s internal control over financial reporting (as defined in Rule 13a-15(f) under the Securities Exchange Act of 1934) occurred during the Registrant’s fiscal quarter ended September 30, 2019, that have materially affected, or are reasonably likely to materially affect, the Registrant’s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98" w:right="239" w:bottom="1440" w:gutter="0" w:footer="0" w:header="0"/>
        </w:sectPr>
      </w:pPr>
    </w:p>
    <w:bookmarkStart w:id="51" w:name="page52"/>
    <w:bookmarkEnd w:id="5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directors of Scotts Miracle-Gro and the nominees for election or re-election as directors of Scotts Miracle-Gro at the Annual Meeting of Shareholders to be held on January 27, 2020 (the “2020 Annual Meeting”) is incorporated herein by reference from the disclosure which will be included under the caption “PROPOSAL NUMBER 1 — ELECTION OF DIRECTORS” in Scotts Miracle-Gro’s definitive Proxy Statement relating to the 2020 Annual Meeting (“Scotts Miracle-Gro’s Definitive Proxy Statement”), which will be filed pursuant to SEC Regulation 14A not later than 120 days after the end of Scotts Miracle-Gro’s fiscal year ended September 30, 2019.</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2019 Annual Meeting of Shareholders held on January 25,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Miracle-Gro on Scotts Miracle-Gro’s Internet website located at http://investor.scotts.com within four business days of the determination to grant any such waiver.</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EXECUTIVE COMPENSATION</w:t>
      </w:r>
    </w:p>
    <w:p>
      <w:pPr>
        <w:spacing w:after="0" w:line="25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12.</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986" w:right="239" w:bottom="1440" w:gutter="0" w:footer="0" w:header="0"/>
        </w:sectPr>
      </w:pPr>
    </w:p>
    <w:bookmarkStart w:id="53" w:name="page54"/>
    <w:bookmarkEnd w:id="53"/>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13.</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819" w:right="239" w:bottom="1440" w:gutter="0" w:footer="0" w:header="0"/>
        </w:sectPr>
      </w:pPr>
    </w:p>
    <w:bookmarkStart w:id="54" w:name="page55"/>
    <w:bookmarkEnd w:id="54"/>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15.</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EXHIBITS, FINANCIAL STATEMENT SCHEDULES</w:t>
      </w:r>
    </w:p>
    <w:p>
      <w:pPr>
        <w:spacing w:after="0" w:line="173" w:lineRule="exact"/>
        <w:rPr>
          <w:sz w:val="20"/>
          <w:szCs w:val="20"/>
          <w:color w:val="auto"/>
        </w:rPr>
      </w:pPr>
    </w:p>
    <w:p>
      <w:pPr>
        <w:ind w:left="680" w:hanging="24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 OF DOCUMENTS FILED AS PART OF THIS REPORT</w:t>
      </w:r>
    </w:p>
    <w:p>
      <w:pPr>
        <w:spacing w:after="0" w:line="92"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82" w:lineRule="auto"/>
        <w:rPr>
          <w:sz w:val="20"/>
          <w:szCs w:val="20"/>
          <w:color w:val="auto"/>
        </w:rPr>
      </w:pPr>
      <w:r>
        <w:rPr>
          <w:rFonts w:ascii="Times New Roman" w:cs="Times New Roman" w:eastAsia="Times New Roman" w:hAnsi="Times New Roman"/>
          <w:sz w:val="18"/>
          <w:szCs w:val="18"/>
          <w:color w:val="auto"/>
        </w:rPr>
        <w:t>The response to this portion of Item 15 is submitted as a separate section of this Annual Report on Form 10-K. Reference is made to the “Index to Consolidated Financial Statements and Financial Statement Schedules” on page 57 of this Annual Report on Form 10-K.</w:t>
      </w:r>
    </w:p>
    <w:p>
      <w:pPr>
        <w:spacing w:after="0" w:line="106" w:lineRule="exact"/>
        <w:rPr>
          <w:sz w:val="20"/>
          <w:szCs w:val="20"/>
          <w:color w:val="auto"/>
        </w:rPr>
      </w:pPr>
    </w:p>
    <w:p>
      <w:pPr>
        <w:ind w:left="700" w:hanging="26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9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beginning on page 125 of this Annual Report on Form 10-K are filed or furnished with this Annual Report on Form 10-K or incorporated herein by reference as noted in the “Index to Exhibits.”</w:t>
      </w:r>
    </w:p>
    <w:p>
      <w:pPr>
        <w:spacing w:after="0" w:line="106" w:lineRule="exact"/>
        <w:rPr>
          <w:sz w:val="20"/>
          <w:szCs w:val="20"/>
          <w:color w:val="auto"/>
        </w:rPr>
      </w:pPr>
    </w:p>
    <w:p>
      <w:pPr>
        <w:ind w:left="680" w:hanging="24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57 of this Annual Report on Form 10-K.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16.</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FORM 10-K SUMMARY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James Hagedorn, Chief Executive Officer and Chairman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 the Board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27, 2019</w:t>
      </w:r>
    </w:p>
    <w:p>
      <w:pPr>
        <w:spacing w:after="0" w:line="9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THOMAS RANDAL COLEMAN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Thomas Randal Coleman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JAMES HAGEDORN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Executive Officer, Chairman of the Board and 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James Hagedorn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DAVID C. EVANS*</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David C. Evans</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BRIAN D. FINN*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Brian D. Finn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ADAM HANFT*</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Adam Hanft</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STEPHEN L. JOHNSON*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Stephen L.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THOMAS N. KELLY JR.*</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Thomas N. Kelly Jr.</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KATHERINE HAGEDORN</w:t>
            </w:r>
          </w:p>
        </w:tc>
        <w:tc>
          <w:tcPr>
            <w:tcW w:w="5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rPr>
              <w:t>November 27, 2019</w:t>
            </w:r>
          </w:p>
        </w:tc>
      </w:tr>
    </w:tbl>
    <w:p>
      <w:pPr>
        <w:ind w:left="40"/>
        <w:spacing w:after="0"/>
        <w:rPr>
          <w:sz w:val="20"/>
          <w:szCs w:val="20"/>
          <w:color w:val="auto"/>
        </w:rPr>
      </w:pPr>
      <w:r>
        <w:rPr>
          <w:rFonts w:ascii="Times New Roman" w:cs="Times New Roman" w:eastAsia="Times New Roman" w:hAnsi="Times New Roman"/>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466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Katherine Hagedorn Littlefield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80" w:type="dxa"/>
            <w:vAlign w:val="bottom"/>
            <w:gridSpan w:val="3"/>
          </w:tcPr>
          <w:p>
            <w:pPr>
              <w:jc w:val="center"/>
              <w:ind w:left="1454"/>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912"/>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NANCY G. MISTRETTA*</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jc w:val="center"/>
              <w:ind w:left="1454"/>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Nancy G. Mistretta</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PETER E. SHUMLIN*</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jc w:val="center"/>
              <w:ind w:left="1454"/>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Peter E. Shumlin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JOHN R. VINES*</w:t>
            </w: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jc w:val="center"/>
              <w:ind w:left="1454"/>
              <w:spacing w:after="0"/>
              <w:rPr>
                <w:sz w:val="20"/>
                <w:szCs w:val="20"/>
                <w:color w:val="auto"/>
              </w:rPr>
            </w:pPr>
            <w:r>
              <w:rPr>
                <w:rFonts w:ascii="Times New Roman" w:cs="Times New Roman" w:eastAsia="Times New Roman" w:hAnsi="Times New Roman"/>
                <w:sz w:val="18"/>
                <w:szCs w:val="18"/>
                <w:color w:val="auto"/>
              </w:rPr>
              <w:t>November 27, 2019</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John R. Vines</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0" w:lineRule="exact"/>
        <w:rPr>
          <w:sz w:val="20"/>
          <w:szCs w:val="20"/>
          <w:color w:val="auto"/>
        </w:rPr>
      </w:pPr>
    </w:p>
    <w:p>
      <w:pPr>
        <w:ind w:left="500" w:hanging="465"/>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Thomas Randal Coleman, Attorney-in-Fact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121" w:right="279" w:bottom="1440" w:gutter="0" w:footer="0" w:header="0"/>
        </w:sectPr>
      </w:pPr>
    </w:p>
    <w:bookmarkStart w:id="57" w:name="page58"/>
    <w:bookmarkEnd w:id="5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 of The Scotts Miracle-Gro Company and Subsidiaries: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Annual Report of Management on Internal Control Over Financial Reporting</w:t>
              </w:r>
            </w:hyperlink>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Reports of Independent Registered Public Accounting Firm</w:t>
              </w:r>
            </w:hyperlink>
          </w:p>
        </w:tc>
        <w:tc>
          <w:tcPr>
            <w:tcW w:w="1260" w:type="dxa"/>
            <w:vAlign w:val="bottom"/>
            <w:gridSpan w:val="2"/>
          </w:tcPr>
          <w:p>
            <w:pPr>
              <w:spacing w:after="0"/>
              <w:rPr>
                <w:sz w:val="21"/>
                <w:szCs w:val="21"/>
                <w:color w:val="auto"/>
              </w:rPr>
            </w:pPr>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240" w:type="dxa"/>
            <w:vAlign w:val="bottom"/>
            <w:gridSpan w:val="9"/>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Statements of Operations for the fiscal years ended September 30, 2019, 2018 and 2017</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760" w:type="dxa"/>
            <w:vAlign w:val="bottom"/>
            <w:gridSpan w:val="8"/>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Consolidated Statements of Comprehensive Income (Loss) for the fiscal years ended September 30, 2019, 2018 and 2017</w:t>
              </w:r>
            </w:hyperlink>
          </w:p>
        </w:tc>
        <w:tc>
          <w:tcPr>
            <w:tcW w:w="148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Statements of Cash Flows for the fiscal years ended September 30, 2019, 2018 and 2017</w:t>
              </w:r>
            </w:hyperlink>
          </w:p>
        </w:tc>
        <w:tc>
          <w:tcPr>
            <w:tcW w:w="13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Consolidated Balance Sheets at September 30, 2019 and 2018</w:t>
              </w:r>
            </w:hyperlink>
          </w:p>
        </w:tc>
        <w:tc>
          <w:tcPr>
            <w:tcW w:w="2900" w:type="dxa"/>
            <w:vAlign w:val="bottom"/>
            <w:gridSpan w:val="3"/>
          </w:tcPr>
          <w:p>
            <w:pPr>
              <w:spacing w:after="0"/>
              <w:rPr>
                <w:sz w:val="21"/>
                <w:szCs w:val="21"/>
                <w:color w:val="auto"/>
              </w:rPr>
            </w:pPr>
          </w:p>
        </w:tc>
        <w:tc>
          <w:tcPr>
            <w:tcW w:w="28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Consolidated Statements of Shareholders’ Equity for the fiscal years ended September 30, 2019, 2018 and 2017</w:t>
              </w:r>
            </w:hyperlink>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Notes to Consolidated Financial Statements</w:t>
              </w:r>
            </w:hyperlink>
          </w:p>
        </w:tc>
        <w:tc>
          <w:tcPr>
            <w:tcW w:w="4900" w:type="dxa"/>
            <w:vAlign w:val="bottom"/>
            <w:gridSpan w:val="6"/>
          </w:tcPr>
          <w:p>
            <w:pPr>
              <w:spacing w:after="0"/>
              <w:rPr>
                <w:sz w:val="21"/>
                <w:szCs w:val="21"/>
                <w:color w:val="auto"/>
              </w:rPr>
            </w:pPr>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Schedules Supporting the Consolidated Financial Statements: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Schedule II—Valuation and Qualifying Accounts for the fiscal years ended September 30, 2019, 2018 and 2017</w:t>
              </w:r>
            </w:hyperlink>
          </w:p>
        </w:tc>
        <w:tc>
          <w:tcPr>
            <w:tcW w:w="21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96"/>
              </w:rPr>
            </w:pPr>
            <w:hyperlink w:anchor="page126">
              <w:r>
                <w:rPr>
                  <w:rFonts w:ascii="Times New Roman" w:cs="Times New Roman" w:eastAsia="Times New Roman" w:hAnsi="Times New Roman"/>
                  <w:sz w:val="18"/>
                  <w:szCs w:val="18"/>
                  <w:color w:val="0000EE"/>
                  <w:w w:val="96"/>
                </w:rPr>
                <w:t>124</w:t>
              </w:r>
            </w:hyperlink>
          </w:p>
        </w:tc>
        <w:tc>
          <w:tcPr>
            <w:tcW w:w="20" w:type="dxa"/>
            <w:vAlign w:val="bottom"/>
          </w:tcPr>
          <w:p>
            <w:pPr>
              <w:spacing w:after="0"/>
              <w:rPr>
                <w:sz w:val="19"/>
                <w:szCs w:val="19"/>
                <w:color w:val="auto"/>
              </w:rPr>
            </w:pPr>
          </w:p>
        </w:tc>
      </w:tr>
    </w:tbl>
    <w:p>
      <w:pPr>
        <w:spacing w:after="0" w:line="2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OF MANAGEMENT ON INTERNAL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OVER FINANCIAL REPORTING</w:t>
      </w:r>
    </w:p>
    <w:p>
      <w:pPr>
        <w:spacing w:after="0" w:line="15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3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Management, with the participation of our principal executive officer and principal financial officer, assessed the effectiveness of our internal control over financial reporting as of September 30, 2019, the end of our fiscal year. Management based its assessment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Management’s assessment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September 30, 2019,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independently audited our internal control over financial reporting as of September 30, 2019 and has issued their attestation report which appears herein.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RANDAL COLEMAN</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Randal Coleman</w:t>
            </w:r>
          </w:p>
        </w:tc>
      </w:tr>
      <w:tr>
        <w:trPr>
          <w:trHeight w:val="27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392"/>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November 27, 2019</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27, 2019</w:t>
            </w:r>
          </w:p>
        </w:tc>
      </w:tr>
      <w:tr>
        <w:trPr>
          <w:trHeight w:val="459"/>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w w:val="88"/>
              </w:rPr>
              <w:t>58</w:t>
            </w:r>
          </w:p>
        </w:tc>
      </w:tr>
    </w:tbl>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Scotts Miracle-Gro Company and subsidiaries (the “Company”) as of September 30, 2019 and 2018, the related consolidated statements of operations, comprehensive income (loss), shareholders’ equity, and cash flows, for each of the three years in the period ended September 30, 2019, and the related notes and the schedules (collectively referred to as the “financial statements”). In our opinion, the financial statements present fairly, in all material respects, the financial position of the Company as of September 30, 2019 and 2018, and the results of its operations and its cash flows for each of the three years in the period ended September 30, 2019, in conformity with accounting principles generally accepted in the United States of America.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27, 2019,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Principle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on June 30, 2018, the Company prospectively adopted the new accounting guidance in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on October 1, 2018, the Company adopted the new accounting guidance in ASU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w:t>
      </w:r>
      <w:r>
        <w:rPr>
          <w:rFonts w:ascii="Times New Roman" w:cs="Times New Roman" w:eastAsia="Times New Roman" w:hAnsi="Times New Roman"/>
          <w:sz w:val="18"/>
          <w:szCs w:val="18"/>
          <w:color w:val="auto"/>
        </w:rPr>
        <w:t>under the modified retrospective approach.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Hawthorne Reporting Unit — Refer to Notes 1 and 5 to the financial statements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evaluating goodwill for impairment, the Company performs either an initial qualitative or quantitative evaluation for each of their reporting units. For the quantitative evaluation, the Company compares fair value of each reporting unit to its carrying value. The Company determines the fair value of its reporting units using a combination of income-based and market-based approaches and incorporates assumptions it believes market participants would utilize. Under the income-based approach, the Company determines fair value using a discounted cash flow approach that requires significant judgment with respect to revenue and expense growth rates based upon annual budgets and longer-range strategic plans and the selection of an appropriate discount rate. Under the market-based approach, the Company determines fair value by comparing its reporting units to similar businesses or guideline companies whose securities are actively traded in public markets. The use of different assumptions would increase or decrease discounted cash flows or earnings projections and could, therefore, change impairment determinations. The goodwill balance was $538.7 million as of September 30, 2019, of which $300 million was allocated to the Hawthorne reporting unit. The fair value of the Hawthorne reporting unit exceeded its carrying value as of the measurement date and, therefore, no impairment was recognized. Hawthorne’s operations are sensitive to changes in the U.S. retail hydroponic market as the demand for its products depends on the uncertain growth of the market.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estimates and assumptions management makes to estimate the fair value of Hawthorne and the sensitivity of Hawthorne’s operations to changes in the U.S. retail hydroponic market, performing audit procedures to evaluate the reasonableness of management’s estimates and assumptions with respect to revenue and expense growth rates, the selection of an appropriate discount rate, and pricing multiples for Hawthorne required a high degree of auditor judgment and an increased extent of effort, including the need to involve our fair value specialists.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with respect to revenue and expense growth rates, the selection of an appropriate discount rate, and pricing multiples for Hawthorne included the following, among others:</w:t>
      </w:r>
    </w:p>
    <w:p>
      <w:pPr>
        <w:spacing w:after="0" w:line="162" w:lineRule="exact"/>
        <w:rPr>
          <w:sz w:val="20"/>
          <w:szCs w:val="20"/>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Hawthorne, such as controls related to revenue and expense growth rates, the selection of an appropriate discount rate and pricing multiples.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 and expense growth rates by comparing actual results to management’s historical forecasts.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uncertain growth in the U.S. retail hydroponic market, we evaluated the reasonableness of management’s forecasts of revenue and expense growth rates by comparing the forecasts to (1) the historical results of Hawthorne, (2) internal communications to management and the board of directors,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external communications made by management to analysts and investors, and (4) industry reports containing analyses of the Company’s markets.</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the impact of changes in the regulatory environment on management’s forecasts of revenue and expense growth rates.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pricing multiples, including testing the source information underlying the determination of the pricing multiples, testing the mathematical accuracy of the calculation, and comparing the multiples selected by management to its guideline companies.</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27, 2019</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Scotts Miracle-Gro Company and subsidiaries (the “Company”) as of September 30,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consolidated financial statements as of and for the year ended September 30, 2019, of the Company and our report dated November 27, 2019, expressed an unqualified opinion on those financial statements and included an explanatory paragraph regarding the Company’s adoption of the new accounting guidance in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and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27, 2019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ind w:left="396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3,156.0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2,642.1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income (loss)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819" w:right="239" w:bottom="1440" w:gutter="0" w:footer="0" w:header="0"/>
        </w:sectPr>
      </w:pPr>
    </w:p>
    <w:bookmarkStart w:id="63" w:name="page64"/>
    <w:bookmarkEnd w:id="63"/>
    <w:p>
      <w:pPr>
        <w:ind w:left="396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460.2</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 including reclassifications to net income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 $11.7 and $18.5 for fiscal 2019, fiscal 2018 and fiscal 2017, 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w:t>
            </w:r>
          </w:p>
        </w:tc>
      </w:tr>
      <w:tr>
        <w:trPr>
          <w:trHeight w:val="225"/>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 of $(5.2), $3.3 and $3.1 for</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fiscal 2019, fiscal 2018 and fiscal 2017,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net unrealized (gains) losses on derivative instruments to net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of tax of $(0.5), $(1.1) and $1.1 for fiscal 2019, fiscal 2018 and fiscal 2017,</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1"/>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gain (loss) in pension and other post-retirement benefits, net of tax of</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 $2.4 and $6.0 for fiscal 2019, fiscal 2018 and fiscal 2017,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net pension and other post-retirement benefit losses to net income,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of tax of $0.7, $0.4 and $2.3 for fiscal 2019, fiscal 2018 and fiscal 2017, respectively</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426.6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820"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THE SCOTTS MIRACLE-GRO COMPANY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ectPr>
          <w:pgSz w:w="11900" w:h="16838" w:orient="portrait"/>
          <w:cols w:equalWidth="0" w:num="1">
            <w:col w:w="11420"/>
          </w:cols>
          <w:pgMar w:left="240" w:top="3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Share-based compensation expense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Amortization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(Gain) loss on long-lived assets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(Gain) loss on sale of business /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Equity in (income) loss and distributions from unconsolidated affiliates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Recognition of accumulated foreign currency translation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3"/>
          <w:szCs w:val="13"/>
          <w:color w:val="auto"/>
        </w:rPr>
        <w:t>Changes in assets and liabilities, net of acquired businesses:</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Inventories</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Restructuring and other</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Other non-current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3"/>
          <w:szCs w:val="13"/>
          <w:color w:val="auto"/>
        </w:rPr>
        <w:t>Other, net</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012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506"/>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460.2</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218.8</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363.2</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sectPr>
          <w:pgSz w:w="11900" w:h="16838" w:orient="portrait"/>
          <w:cols w:equalWidth="0" w:num="2">
            <w:col w:w="7400" w:space="720"/>
            <w:col w:w="3300"/>
          </w:cols>
          <w:pgMar w:left="240" w:top="340" w:right="239"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long-lived assets</w:t>
            </w:r>
          </w:p>
        </w:tc>
        <w:tc>
          <w:tcPr>
            <w:tcW w:w="2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Post-closing working capital payment related to sale of International Business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business, net of cash disposed of</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Investments in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Investments in loans receivable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loans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 of investment in unconsolidated affiliates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distributions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57.4</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Investments in acquired businesses, net of cash acquired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investing,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12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255.2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11"/>
        </w:trPr>
        <w:tc>
          <w:tcPr>
            <w:tcW w:w="8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Borrowings under revolving and bank lines of credit and term loans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1,449.3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Repayments under revolving and bank lines of credit and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issuance of 5.250% Senior Notes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Financing and issuance fees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Dividends paid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Distribution paid by AeroGrow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of Common Shares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Payments on seller notes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Excess tax benefits from share-based payment arrangements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received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and cash equivalents at beginning of year excluding cash classified within assets held for sale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Cash and cash equivalents at beginning of year classified within assets held for sale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50.1</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120.5</w:t>
            </w:r>
          </w:p>
        </w:tc>
      </w:tr>
      <w:tr>
        <w:trPr>
          <w:trHeight w:val="20"/>
        </w:trPr>
        <w:tc>
          <w:tcPr>
            <w:tcW w:w="8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340" w:right="2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-95885</wp:posOffset>
            </wp:positionV>
            <wp:extent cx="21012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340" w:right="239"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019"/>
          </w:cols>
          <w:pgMar w:left="1440" w:top="121" w:right="1440" w:bottom="1440" w:gutter="0" w:footer="0" w:header="0"/>
        </w:sectPr>
      </w:pPr>
    </w:p>
    <w:bookmarkStart w:id="66" w:name="page67"/>
    <w:bookmarkEnd w:id="66"/>
    <w:p>
      <w:pPr>
        <w:ind w:left="396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stated value per share)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34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of $4.2 in 2019 and $3.6 in 2018</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3,028.7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3,054.5</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4"/>
        </w:trPr>
        <w:tc>
          <w:tcPr>
            <w:tcW w:w="8340" w:type="dxa"/>
            <w:vAlign w:val="bottom"/>
            <w:tcBorders>
              <w:bottom w:val="single" w:sz="8" w:color="CCEEFF"/>
            </w:tcBorders>
            <w:shd w:val="clear" w:color="auto" w:fill="CCEEFF"/>
          </w:tcPr>
          <w:p>
            <w:pPr>
              <w:ind w:left="45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1,883.8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in excess of investment in unconsolidated affiliate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2,305.5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2,694.9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(Notes 18, 19 and 20)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shares and capital in excess of $.01 stated value per share; shares outstanding of 55.8 in 2019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55.3 in 2018</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shares, at cost; 12.4 shares in 2019 and 12.8 shares in 2018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3,028.7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3,054.5</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819" w:right="239" w:bottom="1440" w:gutter="0" w:footer="0" w:header="0"/>
        </w:sectPr>
      </w:pPr>
    </w:p>
    <w:bookmarkStart w:id="67" w:name="page68"/>
    <w:bookmarkEnd w:id="67"/>
    <w:p>
      <w:pPr>
        <w:ind w:left="396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152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Treasury Shares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Excess of Stated</w:t>
            </w:r>
          </w:p>
        </w:tc>
        <w:tc>
          <w:tcPr>
            <w:tcW w:w="160" w:type="dxa"/>
            <w:vAlign w:val="bottom"/>
          </w:tcPr>
          <w:p>
            <w:pPr>
              <w:spacing w:after="0"/>
              <w:rPr>
                <w:sz w:val="2"/>
                <w:szCs w:val="2"/>
                <w:color w:val="auto"/>
              </w:rPr>
            </w:pPr>
          </w:p>
        </w:tc>
        <w:tc>
          <w:tcPr>
            <w:tcW w:w="90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5"/>
                <w:szCs w:val="15"/>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September 30, 2016</w:t>
            </w: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881.8</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734.3</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218.3</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 ($2.030 per share)</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Adjustment to noncontrolling interest due to</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ownership change</w:t>
            </w: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 declared by Aerogrow</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September 30, 2017</w:t>
            </w:r>
          </w:p>
        </w:tc>
        <w:tc>
          <w:tcPr>
            <w:tcW w:w="5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407.3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978.2</w:t>
            </w:r>
          </w:p>
        </w:tc>
        <w:tc>
          <w:tcPr>
            <w:tcW w:w="120" w:type="dxa"/>
            <w:vAlign w:val="bottom"/>
          </w:tcPr>
          <w:p>
            <w:pPr>
              <w:spacing w:after="0"/>
              <w:rPr>
                <w:sz w:val="15"/>
                <w:szCs w:val="15"/>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648.8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661.7</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declared ($2.140 per share)</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(122.0)</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Acquisition of remaining noncontrolling</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 Gavita</w:t>
            </w: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September 30, 2018</w:t>
            </w:r>
          </w:p>
        </w:tc>
        <w:tc>
          <w:tcPr>
            <w:tcW w:w="5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420.0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919.9</w:t>
            </w:r>
          </w:p>
        </w:tc>
        <w:tc>
          <w:tcPr>
            <w:tcW w:w="120" w:type="dxa"/>
            <w:vAlign w:val="bottom"/>
          </w:tcPr>
          <w:p>
            <w:pPr>
              <w:spacing w:after="0"/>
              <w:rPr>
                <w:sz w:val="15"/>
                <w:szCs w:val="15"/>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Adoption of new accounting</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pronouncements (see Note 1)</w:t>
            </w: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460.7</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460.2</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 ($2.230 per share)</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(128.8)</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73"/>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78"/>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5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441.9</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1,274.7</w:t>
            </w:r>
          </w:p>
        </w:tc>
        <w:tc>
          <w:tcPr>
            <w:tcW w:w="120" w:type="dxa"/>
            <w:vAlign w:val="bottom"/>
          </w:tcPr>
          <w:p>
            <w:pPr>
              <w:spacing w:after="0"/>
              <w:rPr>
                <w:sz w:val="15"/>
                <w:szCs w:val="15"/>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718.7</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723.2</w:t>
            </w:r>
          </w:p>
        </w:tc>
        <w:tc>
          <w:tcPr>
            <w:tcW w:w="0" w:type="dxa"/>
            <w:vAlign w:val="bottom"/>
          </w:tcPr>
          <w:p>
            <w:pPr>
              <w:spacing w:after="0"/>
              <w:rPr>
                <w:sz w:val="1"/>
                <w:szCs w:val="1"/>
                <w:color w:val="auto"/>
              </w:rPr>
            </w:pPr>
          </w:p>
        </w:tc>
      </w:tr>
      <w:tr>
        <w:trPr>
          <w:trHeight w:val="64"/>
        </w:trPr>
        <w:tc>
          <w:tcPr>
            <w:tcW w:w="264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819" w:right="239" w:bottom="1440" w:gutter="0" w:footer="0" w:header="0"/>
        </w:sectPr>
      </w:pPr>
    </w:p>
    <w:bookmarkStart w:id="68" w:name="page69"/>
    <w:bookmarkEnd w:id="6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the majority of the Company’s sales to customers occur in the Company’s second and third fiscal quarters. On a combined basis, net sales for the second and third quarters of the last three fiscal years represented approximately 75% of the Company’s annual net sales.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Consolidated Balance Sheets, and the other shareholders’ portion of net earnings and other comprehensive income shown as net (income) loss or comprehensive (income) loss attributable to noncontrolling interest in the Consolidated Statements of Operations and Consolidated Statements of Comprehensive Income (Loss), respectively. The results of businesses acquired or disposed of are included in the consolidated financial statements from the date of each acquisition or up to the date of disposal, respectively.</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Advertising</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Costs deferred at September 30, 2019 and 2018 were not material. Advertising expenses were $120.3 million, $104.2 million and $123.0 million for fiscal 2019, fiscal 2018 and fiscal 2017, respectively.</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Costs associated with research and development are generally charged to expense as incurred. Expenses for fiscal 2019, fiscal 2018 and fiscal 2017 were $39.6 million, $42.5 million and $39.9 million, respectively, including product registration costs of $11.0 million, $11.4 million and $10.6 million, respectively.</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Costs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Compensation Awards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fair value of awards is expensed over the requisite service period which is typically the vesting period, generally three to five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classifies share-based compensation expense within selling, general and administrative expenses to correspond with the same line item as cash compensation paid to employees.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per Common Share</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Basic income (loss) per common share of Scotts Miracle-Gro (“Common Share”) is computed by dividing income attributable to controlling interest from continuing operations, income (loss) from discontinued operations or net income attributable to controlling interest by the weighted average number of Common Shares outstanding each period. Diluted income (loss) per Common Share is computed by dividing income attributable to controlling interest from continuing operations, income (loss) from discontinued operations or net income attributable to controlling interest by the weighted average number of Common Shares outstanding plus all dilutive potential Common Shares (stock options, performance shares, performance units, restricted stock and restricted stock units) outstanding each period.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and cash equivalents were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and Allowances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principally determined by the first in, first out method of accounting. Inventories acquired through the acquisition of or subsequently produced by Sunlight Supply (as defined in “NOTE 8. ACQUISITIONS AND INVESTMENTS”), which represent approximately 22% of the Company’s consolidated inventories, were initially recorded at fair value at the date of the acquisition and subsequently were measured using the average costing method of inventory valuation.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Adjustments to reflect inventories at net realizable values were $8.8 million and $8.1 million at September 30, 2019 and 2018, respectively. During fiscal 2018, the Company determined it was preferable to use the first in, first out inventory valuation method and adopted this method for the remaining U.S. Consumer segment inventories not subject to the first in, first out method. The impact of this change in accounting principle on inventory value and cost of goods sold was immaterial.</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Loans Receivable</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Interest income was $8.6 million, $10.0 million and $10.0 million for fiscal 2019, fiscal 2018 and fiscal 2017, respectively. Interest income is recorded on an accrual basis. The Company classified interest income in the “Other non-operating (income) expense, net” line in the Consolidated Statements of Operations in fiscal 2019 and fiscal 2018 and in the “Other (income) expense, net” line in the Consolidated Statements of Operations in fiscal 2017.</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At September 30, 2019, the carrying value and estimated fair value of loans receivable were $95.1 million and $105.4 million, respectively. At September 30, 2018, the carrying value and estimated fair value of loans receivable were $112.6 million and $128.2 million, respectively. The estimated fair value was determined using an income-based approach, which includes market participant expectations of cash flows over the remaining useful life discounted to present value using an appropriate discount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7"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The estimate requires subjective assumptions to be made, including those related to credit risk and discount rates. The fair value measurement is based on significant inputs unobservable in the market and thus represents a Level 3 measurement.</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Interest capitalized in property, plant and equipment amounted to $0.5 million, $0.3 million and $0.1 million during fiscal 2019, fiscal 2018 and fiscal 2017,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Depreciation of property, plant and equipment is provided on the straight-line method and is based on the estimated useful economic lives of the assets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 years</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 years</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 – 8 years</w:t>
            </w:r>
          </w:p>
        </w:tc>
      </w:tr>
      <w:tr>
        <w:trPr>
          <w:trHeight w:val="27"/>
        </w:trPr>
        <w:tc>
          <w:tcPr>
            <w:tcW w:w="61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Intangible assets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spacing w:after="0" w:line="13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$22.1 million, $9.8 million and $16.1 million during fiscal 2019, fiscal 2018 and fiscal 2017, respectively, representing unpaid liabilities incurred during each fiscal year to acquire property, plant and equipment.</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acquired under capital leases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56.3</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111.9</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fiscal 2019, the Company paid a post-closing net working capital adjustment obligation of $6.6 million related to the fiscal 2018 acquisition of Sunlight Supply (as defined in “NOTE 8. ACQUISITIONS AND INVESTMENTS”), which was classified as an investing activity in the “Investments in acquired businesses, net of cash acquired” line in the Consolidated Statements of Cash Flows. During fiscal 2018, the Company paid contingent consideration of $3.0 million related to the fiscal 2016 acquisition of Gavita Holdings B.V., and its subsidiaries (collectively, “Gavita”) and $5.8 million related to the fiscal 2017 acquisition of Agrolux Holding B.V. (now known as Hawthorne Lighting B.V.), and its subsidiaries (collectively, “Agrolux”), which were classified as financing activities in the “Payments on seller notes” line in the Consolidated Statements of Cash Flows. During fiscal 2017, the Company paid contingent consideration of $6.7 million, $6.5 million and $15.5 million, respectively, related to the fiscal 2014 acquisition of Fafard &amp; Brothers Ltd. (“Fafard”), the fiscal 2016 acquisition of a Canadian growing media operation and the fiscal 2017 acquisition of American Agritech, L.L.C., d/b/a Botanicare (“Botanicare”), which were classified as financing activities in the “Payments on seller notes” line in the Consolidated Statements of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7"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Internal Use Software</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costs of internal use software are expensed or capitalized depending on whether they are incurred in the preliminary project stage, application development stage or the post-implementation/operation stage. As of September 30, 2019 and 2018, the Company had $13.6 million and $11.2 million, respectively, in unamortized capitalized internal use software costs. Amortization of these costs was $2.9 million, $3.9 million and $5.1 million during fiscal 2019, fiscal 2018 and fiscal 2017, respectively.</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and Indefinite-lived Intangible Assets</w:t>
      </w:r>
    </w:p>
    <w:p>
      <w:pPr>
        <w:spacing w:after="0" w:line="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has identified seven reporting units. The Company determines the fair value of its reporting units using a combination of income-based and market-based approaches and incorporates assumptions it believes market participants would utilize. The income-based approach utilizes discounted cash flows while the market-based approach utilizes market multiples. These approaches are dependent upon internally-developed forecasts that are based upon annual budgets and longer-range strategic plans. The Company uses discount rates that are commensurate with the risks and uncertainty inherent in the respective reporting units and in the internally-developed forecasts. To further confirm fair value, the Company compares the aggregate fair value of the reporting units to the Company’s total market capitalization.</w:t>
      </w:r>
    </w:p>
    <w:p>
      <w:pPr>
        <w:spacing w:after="0" w:line="5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intangible assets is determined under the income-based approach utilizing discounted cash flows and incorporating assumptions the Company believes market participants would utilize. For tradenames, value was determined using a royalty savings methodology similar to that employed when the associated businesses were acquired but using updated estimates of sales, cash flow and profitability.</w:t>
      </w:r>
    </w:p>
    <w:p>
      <w:pPr>
        <w:spacing w:after="0" w:line="5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and Self-Insurance</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7"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Translation of Foreign Currencies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expense, net” in the Consolidated Statements of Operations. The Company recognized transactional losses of $1.6 million, $0.9 million and $0.8 million during fiscal 2019, fiscal 2018 and fiscal 2017, respectively.</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Instruments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A variety of financial instruments, including forward and swap contracts, are used to manage these exposures. These financial instruments are recognized at fair value in the Consolidated Balance Sheets,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 from Contracts with Customers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results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7"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this guidance effective October 1, 2018 under the modified retrospective approach. The Company’s revenue primarily consists of product sales, which are recognized at a point in time when title transfers to customers and the Company has no further obligation to provide services related to such products. The Company’s timing of recognition of revenue is substantially unchanged under the amended guidance. The new accounting guidance required the Company to recognize earlier certain deferred revenue associated with a license agreement related to the sale of the International Business (as defined in “NOTE 3. DISCONTINUED OPERATIONS”), resulting in a cumulative adjustment to its fiscal 2019 opening balance of retained earnings of $9.1 million, other current liabilities of $1.4 million and other liabilities of $7.7 million. With the exception of this item, the adoption of the amended accounting guidance did not have a significant impact on the Company’s consolidated financial statements. The additional disclosures required by this guidance are presented within “NOTE 2. REVENUE RECOGNITION” and “NOTE 21. SEGMENT INFORMATION.”</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Presentation</w:t>
      </w:r>
    </w:p>
    <w:p>
      <w:pPr>
        <w:spacing w:after="0" w:line="14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August 2016, the FASB issued an accounting standard update that amends the guidance on the classification of certain cash receipts and payments in the statement of cash flows. The Company adopted this guidance on a retrospective basis effective October 1, 2018. The adoption of this guidance did not have a significant impact on the Company’s consolidated cash flows.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Company adopted this guidance on a prospective basis effective October 1, 2018. The adoption of this guidance did not have a significant impact on the Company’s consolidated financial position, results of operations or cash flows.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Benefit Plans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March 2017, the FASB issued an accounting standard update that requires entities to (1) disaggregate the current-service-cost component from the other components of net benefit cost (the “other components”) and present the current-service-cost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required to be applied retrospectively for the presentation of cost components in the income statement and prospectively for the capitalization of cost components. The Company adopted this guidance effective October 1, 2018 and has classified non-service-cost components of net benefit cost/income in the “Other non-operating (income) expense, net” line in the Consolidated Statements of Operations. The adoption of this guidance did not have a significant impact on the Company’s consolidated financial position, results of operations or cash flows.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22, 2017, H.R.1 (the “Act,” formerly known as the “Tax Cuts and Jobs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the Securities and Exchange Commission (the “SEC”) released Staff Accounting Bulletin No. 118 (“SAB 118”) which provides guidance on accounting for the Act’s impact under Accounting Standards Codification (“ASC”) Topic 740, Income Taxes (“ASC 740”). The guidance in SAB 118 allowed companies to use provisional estimates to record the effects of the Act and also provided a measurement period (not to exceed one year from the date of enactment) to complete the accounting for the impacts of the Act. The Company completed its accounting for the impacts of the Act during the first quarter of fiscal 2019.</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discussion of the impacts of the Act that are material to the Company and required disclosures related to the Act pursuant to the guidance provided under SAB 118, refer to “NOTE 15. INCOME TAXES.”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Reporting Comprehensive Income</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2018, the FASB issued an accounting standard update that allows a reclassification from accumulated other comprehensive income to retained earnings for stranded tax effects resulting from the Act. The Company elected to adopt this guidance effective October 1, 2018, resulting in a reclassification of $13.8 million from accumulated other comprehensive income (loss) (“AOCI”) to retained earnings upon adoption.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Compensation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June 2018, the FASB issued an accounting standard update that simplifies the accounting for share-based payments granted to nonemployees for goods and services. Under the amended accounting guidance, most of the guidance on such payments to nonemployees would be aligned with the requirements for share-based payments granted to employees. The Company elected to adopt this guidance effective October 1, 2018. The adoption of this guidance did not have a significant impact on the Company’s consolidated financial position, results of operations or cash flows.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Company adopted this guidance on a prospective basis during the third quarter of fiscal 2018.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its final standard on lease accounting.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either (i) the date of adoption or (ii) the earliest comparative period presented in the financial statements.</w:t>
      </w:r>
    </w:p>
    <w:p>
      <w:pPr>
        <w:spacing w:after="0" w:line="9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adopted the new standard on October 1, 2019 and elected certain practical expedients, including the optional transition method that allows for the application of the new standard at its adoption date with no restatement of prior period amounts. As allowed under the new accounting standard, the Company elected to apply practical expedients to carry forward the original lease determinations, lease classifications and accounting of initial direct costs for all asset classes at the time of adoption. The Company anticipates the adoption of this new standard will result in the recognition of right-of-use (“ROU”) assets of between approximately $120 million and $140 million and aggregate current and non-current liabilities of between approximately $125 million and $145 million on its Consolidated Balance Sheet with the difference largely due to deferred rent that will be reclassified to the ROU asset. The Company expects no material cumulative effect adjustment to its Consolidated Balance Sheet as of the date of adoption. Adoption of the new standard is not expected to have a material impact on the Company’s results of operations or cash flows.</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Losses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June 2016, the FASB issued an accounting standard update related to the measurement of credit losses on financial instruments. The amended accounting guidance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Cloud Computing Costs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August 2018, the FASB issued an accounting standard update that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Benefit Plans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August 2018, the FASB issued an accounting standard update that removes certain disclosures that are not considered cost beneficial, clarifies certain required disclosures and requires certain additional disclosures. The provisions are effective for the Company’s financial statements no later than the fiscal year beginning October 1, 2020. The Company is continuing to assess the impact of the amended guidance.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7"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Goods and Services</w:t>
      </w:r>
    </w:p>
    <w:p>
      <w:pPr>
        <w:spacing w:after="0" w:line="175"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Company (“Monsanto”) for the marketing and distribution of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and performs certain other services under ancillary agreements with Monsanto. The Company also provides marketing, research and development and certain ancillary services to Bonnie Plants, Inc. (“Bonnie”). Refer to “NOTE 21. SEGMENT INFORMATION” for disaggregated revenue information and “NOTE 7. MARKETING AGREEMENT” for revenue information related to the Monsanto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Identification and Satisfaction of Performance Obligations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Product sales are recognized at a point in time when control of products transfers to customers and the Company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therefore revenue is primarily recorded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31" w:lineRule="exact"/>
        <w:rPr>
          <w:sz w:val="20"/>
          <w:szCs w:val="20"/>
          <w:color w:val="auto"/>
        </w:rPr>
      </w:pPr>
    </w:p>
    <w:p>
      <w:pPr>
        <w:jc w:val="both"/>
        <w:ind w:firstLine="405"/>
        <w:spacing w:after="0" w:line="235" w:lineRule="auto"/>
        <w:rPr>
          <w:sz w:val="20"/>
          <w:szCs w:val="20"/>
          <w:color w:val="auto"/>
        </w:rPr>
      </w:pPr>
      <w:r>
        <w:rPr>
          <w:rFonts w:ascii="Times New Roman" w:cs="Times New Roman" w:eastAsia="Times New Roman" w:hAnsi="Times New Roman"/>
          <w:sz w:val="18"/>
          <w:szCs w:val="18"/>
          <w:color w:val="auto"/>
        </w:rPr>
        <w:t>Under the terms of the Second Amended and Restated Exclusive Agency and Marketing Agreement (the “Restated Marketing Agreement”) as amended by the Third Amended and Restated Exclusive Agency and Marketing Agreement (the “Third Restated Agreement”), pursuant to which the Company serves as the exclusive agent of Monsanto for the marketing and distribution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Company is entitled to receive an annual commission from Monsanto as consideration for the performance of the Company’s duties as agent. The Restated Marketing Agreement and Third Restated Agreement also require the Company to make annual payments to Monsanto as a contribution against the overall expenses of its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The gross commission earned under the Restated Marketing Agreement and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15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the terms of the Marketing, R&amp;D and Ancillary Services Agreement (the “Services Agreement”) with Bonnie and its sole shareholder, Alabama Farmers Cooperative, Inc. (“AFC”), the Company provides marketing, research and development and certain ancillary services to Bonnie. In exchange for these services, Bonnie reimburses the Company for certain costs and provides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Transactional Price and Promotional Allowances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and Bonnie agreements is recognized over the program year as the services are being performed based upon the commission income formula in the agreements.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Business</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for approximately $250.0 million (subject to potential adjustment following closing in respect of the actual financial position at closing) and a deferred payment amount of up to $23.8 million. On July 5, 2017, the Company accepted the Offer and entered into the Share and Business Sale Agreement (the “Agreement”) contemplated by the Offer. Pursuant to the Agreement, Scotts-Sierra Investments LLC, an indirect wholly-owned subsidiary of the Company (“Sierra”), and certain of its direct and indirect subsidiaries, entered into separate stock or asset sale transactions with respect to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w:t>
      </w:r>
    </w:p>
    <w:p>
      <w:pPr>
        <w:spacing w:after="0" w:line="5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August 31, 2017, the Company completed the sale of the International Business for cash proceeds of $150.6 million at closing, which was net of a closing statement adjustment for expected financial position at closing and net of seller financing provided by the Company in the form of a $29.7 million loan for seven years bearing interest at 5% for the first three years, with annual 2.5% increases thereafter. The transaction also included contingent consideration, a non-cash investing activity, with a maximum payout of $23.8 million and an initial fair value of $18.2 million, the payment of which will depend on the achievement of certain performance criteria by the International Business following the closing of the transaction through fiscal 2020. The seller financing loan and the contingent consideration receivable are recorded in the “Other assets” line in the Consolidated Balance Sheets. The cash proceeds from the sale were subject to post-closing adjustments related to the expected working capital adjustment obligation in respect of the actual closing date financial position of the International Business. The Company recorded a pre-tax gain on the sale of the International Business of $32.7 million, partially offset by the provision for income taxes of $12.0 million, during fiscal 2017. The fiscal 2017 pre-tax gain included a write-off of accumulated foreign currency translation loss adjustments of $18.5 million. During fiscal 2018, the Company recorded a decrease to the pre-tax gain of $0.7 million related to the resolution of post-closing working capital adjustments.</w:t>
      </w:r>
    </w:p>
    <w:p>
      <w:pPr>
        <w:spacing w:after="0" w:line="5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the Company entered into certain ancillary agreements including a transition services agreement and a material supply agreement, which are not material, as well as a licensing agreement for the use of certain of the Company’s brand names with an initial fair value of $14.1 million. Deferred licensing revenues of $12.1 million were recorded on the Consolidated Balance Sheets as of September 30, 2018. Refer to “NOTE 1. SUMMARY OF SIGNIFICANT ACCOUNTING POLICIES” for further discussion of the impact of the amended revenue recognition accounting guidance that was adopted during the first quarter of fiscal 2019.</w:t>
      </w:r>
    </w:p>
    <w:p>
      <w:pPr>
        <w:spacing w:after="0" w:line="4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2018 and fiscal 2017, the Company recognized $1.8 million and $15.5 million, respectively, in transaction related costs associated with the sale of the International Business as well as termination benefits and facility closure costs of zero and $(0.4) million, respectively, in the “Income (loss) from discontinued operations, net of tax” line in the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Wild Bird Food</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During fiscal 2019, the Company recognized a favorable adjustment of $22.5 million as a result of the final resolution of the previously disclosed settlement agreement related to the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Morning Song Bird Food Litigation </w:t>
      </w:r>
      <w:r>
        <w:rPr>
          <w:rFonts w:ascii="Times New Roman" w:cs="Times New Roman" w:eastAsia="Times New Roman" w:hAnsi="Times New Roman"/>
          <w:sz w:val="18"/>
          <w:szCs w:val="18"/>
          <w:color w:val="auto"/>
        </w:rPr>
        <w:t>legal matter in the “Income (loss) from discontinued operations, net of tax” line in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This matter relates to a class-action lawsuit filed in 2012 in connection with the sale of wild bird food products that were the subject of a voluntary recall in 2008 by the Company’s previously sold wild bird food business. In addition, during fiscal 2019, the Company recognized insurance recoveries of $13.4 million related to this matter in the “Income (loss) from discontinued operations, net of tax” line in the Consolidated Statements of Operations. During fiscal 2018, the Company recognized a pre-tax charge of $85.0 million for a probable loss related to this matter. At September 30, 2019 and 2018, zero and $85.0 million, respectively, was accrued for a probable loss related to this matter in the “Other current liabilities” line in the Consolidated Balance Sheets. Refer to “NOTE 20. CONTINGENCIES” for more information.</w:t>
      </w:r>
    </w:p>
    <w:p>
      <w:pPr>
        <w:spacing w:after="0" w:line="5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discontinued operations described above and reflected within discontinued operations in the Company’s consolidated financial statements for each of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294.1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and exit costs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275.9</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sale / contribution of business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discontinued operations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Consolidated Statements of Cash Flows do not present the cash flows from discontinued operations separately from cash flows from continuing operations. Cash (used in) provided by operating activities related to discontinued operations was $(38.6) million, $(1.6) million and $(11.6) million for fiscal 2019, fiscal 2018 and fiscal 2017, respectively. Cash (used in) provided by investing activities related to discontinued operations was zero, $(35.3) million and $148.1 million for fiscal 2019, fiscal 2018 and fiscal 2017,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IMPAIRMENT, RESTRUCTURING AND OTHER</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restructuring and other charges from continuing operations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(recoveries) from discontinued operations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and other, excluding insurance reimbursement recoveries, for each of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accrued for restructuring and other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from continuing operations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(recoveries) from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and other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accrued for restructuring and other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Included in restructuring accruals, as of September 30, 2019, is $3.1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Project Catalyst</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During fiscal 2019, the Company incurred charges of $13.7 million related to Project Catalyst. The Company incurred charges of $1.1 million in its U.S. Consumer segment, $4.2 million in its Hawthorne segment and $0.6 million in its Other segment in the “Cost of sales—impairment, restructuring and other” line in the Consolidated Statements of Operations during fiscal 2019 related to employee termination benefits, facility closure costs and impairment of property, plant and equipment. The Company incurred charges of $0.5 million in its U.S. Consumer segment, $3.9 million in its Hawthorne segment, $0.6 million in its Other segment and $2.8 million at Corporate in the “Impairment, restructuring and other” line in the Consolidated Statements of Operations during fiscal 2019 related to employee termination benefits and facility closure costs. Costs incurred to date since the inception of Project Catalyst are $25.9 million for the Hawthorne segment, $13.2 million for the U.S. Consumer segment, $1.2 million for the Other segment and $2.8 million for Corporate.</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fiscal 2018, the Company incurred charges of $29.4 million related to Project Catalyst. The Company incurred charges of $8.2 million in its U.S. Consumer segment and $12.4 million in its Hawthorne segment in the “Cost of sales—impairment, restructuring and other” line in the Consolidated Statements of Operations during fiscal 2018 related to employee termination benefits, facility closure costs and impairment of property, plant and equipment. The Company incurred charges of $3.4 million in its U.S. Consumer segment and $5.4 million in its Hawthorne segment in the “Impairment, restructuring and other” line in the Consolidated Statements of Operations during fiscal 2018 related to employee termination benefits.</w:t>
      </w:r>
    </w:p>
    <w:p>
      <w:pPr>
        <w:sectPr>
          <w:pgSz w:w="11900" w:h="16838" w:orient="portrait"/>
          <w:cols w:equalWidth="0" w:num="1">
            <w:col w:w="11420"/>
          </w:cols>
          <w:pgMar w:left="240" w:top="117"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7" w:right="2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Project Focus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2016, the Company announced a series of initiatives called Project Focus designed to maximize the value of its non-core assets and focus on emerging categories of the lawn and garden industry in its core U.S. business. During fiscal 2018, the U.S. Consumer segment recognized adjustments of $0.1 million related to previously recognized termination benefits associated with Project Focus in the “Impairment, restructuring and other” line in the Consolidated Statements of Operations. During fiscal 2017, the Company recognized restructuring costs related to termination benefits and facility closure costs of $8.3 million in the “Impairment, restructuring and other” line in the Consolidated Statements of Operations, including $6.7 million for the U.S. Consumer segment, $0.9 million for the Hawthorne segment and $0.7 million for the Other segment. Costs incurred to date since the inception of the current Project Focus initiatives are $10.0 million for the U.S. Consumer segment, $0.9 million for the Hawthorne segment and $1.2 million for the Other segment.</w:t>
      </w:r>
    </w:p>
    <w:p>
      <w:pPr>
        <w:spacing w:after="0" w:line="10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August 31, 2017, the Company completed the sale of the International Business. Refer to “NOTE 3. DISCONTINUED OPERATIONS” for more information. During fiscal 2018 and fiscal 2017, the Company recognized $1.8 million and $15.5 million, respectively, in transaction related costs associated with the sale of the International Business as well as termination benefits and facility closure costs of zero and $(0.4) million, respectively, in the “Income (loss) from discontinued operations, net of tax” line in the Consolidated Statements of Operations.</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During fiscal 2019, the Company recognized a favorable adjustment of $22.5 million as a result of the final resolution of the previously disclosed settlement agreement related to the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xml:space="preserve"> legal matter in the “Income (loss) from discontinued operations, net of tax” line in the Consolidated Statements of Operations. In addition, during fiscal 2019, the Company recognized insurance recoveries of $13.4 million related to this matter in the “Income (loss) from discontinued operations, net of tax” line in the Consolidated Statements of Operations. During fiscal 2018, the Company recognized a pre-tax charge of $85.0 million for a probable loss related to this matter in the “Income (loss) from discontinued operations, net of tax” line in the Consolidated Statements of Operations. Refer to “NOTE 20. CONTINGENCIES” for more information.</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During fiscal 2019, the Company recognized a favorable adjustment of $0.4 million related to the previously disclosed legal matter </w:t>
      </w:r>
      <w:r>
        <w:rPr>
          <w:rFonts w:ascii="Times New Roman" w:cs="Times New Roman" w:eastAsia="Times New Roman" w:hAnsi="Times New Roman"/>
          <w:sz w:val="18"/>
          <w:szCs w:val="18"/>
          <w:i w:val="1"/>
          <w:iCs w:val="1"/>
          <w:color w:val="auto"/>
        </w:rPr>
        <w:t>In re Scotts EZ Seed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in the “Impairment, restructuring and other” line in the Consolidated Statements of Operations. During fiscal 2018, the Company recognized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of $11.7 million for a probable loss related to this matter in the “Impairment, restructuring and other” line in the Consolidated Statements of Operations. Refer to “NOTE 20. CONTINGENCIES” for more information.</w:t>
      </w:r>
    </w:p>
    <w:p>
      <w:pPr>
        <w:spacing w:after="0" w:line="10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2018, the Company recognized a non-cash impairment charge of $94.6 million related to a goodwill impairment in the Hawthorne segment in the “Impairment, restructuring and other” line in the Consolidated Statements of Operations as a result of the Company’s annual fourth quarter quantitative goodwill impairment test. Refer to “NOTE 5. GOODWILL AND INTANGIBLE ASSETS, NET” for more information.</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2018, the Company recognized a non-cash impairment charge of $17.5 million related to the settlement of a portion of certain previously acquired customer relationships due to the acquisition of Sunlight Supply in the “Impairment, restructuring and other” line in the Consolidated Statement of Operations. Refer to “NOTE 8. ACQUISITIONS AND INVESTMENTS” for more information.</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2017, the Company recognized a recovery of $4.4 million related to the reduction of a contingent consideration liability associated with a historical acquisition and recorded a $1.0 million impairment charge on the write-off of a trademark asset due to operating performance and future growth expectations within the “Impairment, restructuring and other” line in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7"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displays a rollforward of the carrying amount of goodwill by reportable segment: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 Consumer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5"/>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443.4</w:t>
            </w: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441.6</w:t>
            </w: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net of purchase price adjustments</w:t>
            </w: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198.0</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(94.6)</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5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639.4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(96.4)</w:t>
            </w: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543.0</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net of purchase price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5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635.1</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(96.4)</w:t>
            </w: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538.7</w:t>
            </w: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performed annual impairment testing as of the first day of its fourth fiscal quarter in fiscal 2019, 2018 and 2017 and, with the exception of the Hawthorne reporting unit in fiscal 2018, concluded that there were no impairments of goodwill as the estimated fair value of each reporting unit exceeded its carrying value. During the fourth quarter of fiscal 2018, the Company recognized a non-cash goodwill impairment charge of $94.6 million related to the Hawthorne reporting unit in the “Impairment, restructuring and other” line in the Consolidated Statements of Operations. The impairment was primarily driven by a downturn in the U.S. retail hydroponic market. This impairment charge did not impact the Company’s liquidity, cash flows from operations or compliance with debt covenants. The fair value estimates utilize significant unobservable inputs and thus represent Level 3 nonrecurring fair value measurements.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7"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intangible assets,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1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205.2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258.1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210.7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Indefinite-lived tradenames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Marketing Agreement Amendment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Brand Extension Agreement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During the fourth quarter of fiscal 2019, the Company entered into a Brand Extension Agreement Asset Purchase Agreement (the “BEA Purchase Agreement”) under which it sold to Monsanto specified assets related to the development, manufacture, production, advertising, marketing, promotion, distribution, importation, exportation, offer for sale and sale of specified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sold outside the non-selective weedkiller category within the residential lawn and garden market. Refer to “NOTE 7. MARKETING AGREEMENT” for more information.</w:t>
      </w:r>
    </w:p>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2018, the Company’s Hawthorne segment recognized a non-cash impairment charge of $17.5 million related to the settlement of a portion of certain previously acquired customer relationships due to the acquisition of Sunlight Supply.</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Total amortization expense was $33.4 million, $30.0 million and $23.3 million for fiscal 2019, fiscal 2018 and fiscal 2017, respectively. Amortization expense is estimated to be as follows for the years ending September 30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0" w:type="dxa"/>
            <w:vAlign w:val="bottom"/>
            <w:shd w:val="clear" w:color="auto" w:fill="CCEEFF"/>
          </w:tcPr>
          <w:p>
            <w:pPr>
              <w:jc w:val="right"/>
              <w:ind w:right="4510"/>
              <w:spacing w:after="0"/>
              <w:rPr>
                <w:sz w:val="20"/>
                <w:szCs w:val="20"/>
                <w:color w:val="auto"/>
              </w:rPr>
            </w:pPr>
            <w:r>
              <w:rPr>
                <w:rFonts w:ascii="Times New Roman" w:cs="Times New Roman" w:eastAsia="Times New Roman" w:hAnsi="Times New Roman"/>
                <w:sz w:val="18"/>
                <w:szCs w:val="18"/>
                <w:color w:val="auto"/>
              </w:rPr>
              <w:t>2020</w:t>
            </w:r>
          </w:p>
        </w:tc>
        <w:tc>
          <w:tcPr>
            <w:tcW w:w="5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5000" w:type="dxa"/>
            <w:vAlign w:val="bottom"/>
          </w:tcPr>
          <w:p>
            <w:pPr>
              <w:jc w:val="right"/>
              <w:ind w:right="4510"/>
              <w:spacing w:after="0"/>
              <w:rPr>
                <w:sz w:val="20"/>
                <w:szCs w:val="20"/>
                <w:color w:val="auto"/>
              </w:rPr>
            </w:pPr>
            <w:r>
              <w:rPr>
                <w:rFonts w:ascii="Times New Roman" w:cs="Times New Roman" w:eastAsia="Times New Roman" w:hAnsi="Times New Roman"/>
                <w:sz w:val="18"/>
                <w:szCs w:val="18"/>
                <w:color w:val="auto"/>
              </w:rPr>
              <w:t>2021</w:t>
            </w:r>
          </w:p>
        </w:tc>
        <w:tc>
          <w:tcPr>
            <w:tcW w:w="5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50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jc w:val="right"/>
              <w:ind w:right="4510"/>
              <w:spacing w:after="0"/>
              <w:rPr>
                <w:sz w:val="20"/>
                <w:szCs w:val="20"/>
                <w:color w:val="auto"/>
              </w:rPr>
            </w:pPr>
            <w:r>
              <w:rPr>
                <w:rFonts w:ascii="Times New Roman" w:cs="Times New Roman" w:eastAsia="Times New Roman" w:hAnsi="Times New Roman"/>
                <w:sz w:val="18"/>
                <w:szCs w:val="18"/>
                <w:color w:val="auto"/>
              </w:rPr>
              <w:t>2022</w:t>
            </w:r>
          </w:p>
        </w:tc>
        <w:tc>
          <w:tcPr>
            <w:tcW w:w="5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5000" w:type="dxa"/>
            <w:vAlign w:val="bottom"/>
          </w:tcPr>
          <w:p>
            <w:pPr>
              <w:jc w:val="right"/>
              <w:ind w:right="4510"/>
              <w:spacing w:after="0"/>
              <w:rPr>
                <w:sz w:val="20"/>
                <w:szCs w:val="20"/>
                <w:color w:val="auto"/>
              </w:rPr>
            </w:pPr>
            <w:r>
              <w:rPr>
                <w:rFonts w:ascii="Times New Roman" w:cs="Times New Roman" w:eastAsia="Times New Roman" w:hAnsi="Times New Roman"/>
                <w:sz w:val="18"/>
                <w:szCs w:val="18"/>
                <w:color w:val="auto"/>
              </w:rPr>
              <w:t>2023</w:t>
            </w:r>
          </w:p>
        </w:tc>
        <w:tc>
          <w:tcPr>
            <w:tcW w:w="5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50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000" w:type="dxa"/>
            <w:vAlign w:val="bottom"/>
            <w:shd w:val="clear" w:color="auto" w:fill="CCEEFF"/>
          </w:tcPr>
          <w:p>
            <w:pPr>
              <w:jc w:val="right"/>
              <w:ind w:right="4510"/>
              <w:spacing w:after="0"/>
              <w:rPr>
                <w:sz w:val="20"/>
                <w:szCs w:val="20"/>
                <w:color w:val="auto"/>
              </w:rPr>
            </w:pPr>
            <w:r>
              <w:rPr>
                <w:rFonts w:ascii="Times New Roman" w:cs="Times New Roman" w:eastAsia="Times New Roman" w:hAnsi="Times New Roman"/>
                <w:sz w:val="18"/>
                <w:szCs w:val="18"/>
                <w:color w:val="auto"/>
              </w:rPr>
              <w:t>2024</w:t>
            </w:r>
          </w:p>
        </w:tc>
        <w:tc>
          <w:tcPr>
            <w:tcW w:w="5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500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DETAIL OF CERTAIN FINANCIAL STATEMENT ACCOUNTS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detail of certain financial statement accounts: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Finished goods</w:t>
            </w:r>
          </w:p>
        </w:tc>
        <w:tc>
          <w:tcPr>
            <w:tcW w:w="3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Work-in-progress</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Raw materials</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2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 associated with brand extension asset sale</w:t>
            </w:r>
          </w:p>
        </w:tc>
        <w:tc>
          <w:tcPr>
            <w:tcW w:w="31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Land and improvements</w:t>
            </w:r>
          </w:p>
        </w:tc>
        <w:tc>
          <w:tcPr>
            <w:tcW w:w="3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Buildings</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leases</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Aircraft</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1,141.3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28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2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receivable</w:t>
            </w:r>
          </w:p>
        </w:tc>
        <w:tc>
          <w:tcPr>
            <w:tcW w:w="3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assets</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Bonnie Option</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3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restructuring and other</w:t>
            </w:r>
          </w:p>
        </w:tc>
        <w:tc>
          <w:tcPr>
            <w:tcW w:w="3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and promotional accruals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Payroll and other compensation accruals</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insurance and claims</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taxes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licensing revenue</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Unrecognized gain (loss) on derivatives, net of tax of $2.8, $(2.9) and $(1.3),</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Pension and other postretirement liabilities, net of tax of $22.8, $31.4 and $33.4,</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MARKETING AGREEMENT</w:t>
      </w:r>
    </w:p>
    <w:p>
      <w:pPr>
        <w:spacing w:after="0" w:line="175"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8"/>
          <w:szCs w:val="18"/>
          <w:color w:val="auto"/>
        </w:rPr>
        <w:t>The Scotts Company LLC (“Scotts LLC”) is the exclusive agent of Monsanto for the marketing and distribution of certain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On May 15, 2015, the Company and Monsanto entered into an Amendment to the Original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and recorded this amount as intangible assets for which the related economic useful life is indefinite.</w:t>
      </w:r>
    </w:p>
    <w:p>
      <w:pPr>
        <w:spacing w:after="0" w:line="14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August 31, 2017, in connection with and as a condition to the consummation of the Company’s sale of its International Business, the Company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the purchaser of such business of the Company’s rights and responsibilities under the Original Marketing Agreement and the Brand Extension Agreement relating to those countries subject to the sale. The Company included $32.6 million of the carrying amount of the intangible asset associated with the Marketing Agreement Amendment with the International Business disposal unit on the basis of the asset’s historical carrying amount and this amount was disposed of as part of the sale of the International Business.</w:t>
      </w:r>
    </w:p>
    <w:p>
      <w:pPr>
        <w:spacing w:after="0" w:line="135"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The annual commission payable under the Restated Marketing Agreement is equal to (1) 50% of the actual earnings before interest and income taxes of Monsanto’s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in the markets covered by the Restated Marketing Agreement (“Program EBIT”) for program years 2017 and 2018 and (2) 50% of Program EBIT in excess of $40.0 million for program year 2019. The Restated Marketing Agreement also requires the Company to make annual payments of $18.0 million to Monsanto as</w:t>
      </w:r>
    </w:p>
    <w:p>
      <w:pPr>
        <w:sectPr>
          <w:pgSz w:w="11900" w:h="16838" w:orient="portrait"/>
          <w:cols w:equalWidth="0" w:num="1">
            <w:col w:w="11420"/>
          </w:cols>
          <w:pgMar w:left="240" w:top="117"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7" w:right="2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a contribution against the overall expenses of its consumer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business. During fiscal 2019, Monsanto agreed to reimburse the Company for $20.0 million of additional expenses incurred by the Company for certain activities connected to the Restated Marketing Agreement, which was recognized in the “Net sales” line in the Consolidated Statements of Operations.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August 1, 2019, the Company entered into the Third Restated Agreement which, among other things:</w:t>
      </w:r>
    </w:p>
    <w:p>
      <w:pPr>
        <w:spacing w:after="0" w:line="144" w:lineRule="exact"/>
        <w:rPr>
          <w:sz w:val="20"/>
          <w:szCs w:val="20"/>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amount of the commission to which the Company is entitled for program year 2020 and thereafter from 50% of Program EBIT in excess of $40.0 million to 50% of Program EBIT;</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if the Program EBIT for any program year is not at least $36 million the contribution payment to be paid by the Company to Monsanto for such program year will be reduced (i) by an amount equal to 50% of the difference between $36 million and the Program EBIT for such program year or (ii) to zero in the event that the difference between $36 million and the Program EBIT is a negative number;</w:t>
      </w:r>
    </w:p>
    <w:p>
      <w:pPr>
        <w:spacing w:after="0" w:line="95" w:lineRule="exact"/>
        <w:rPr>
          <w:rFonts w:ascii="Times New Roman" w:cs="Times New Roman" w:eastAsia="Times New Roman" w:hAnsi="Times New Roman"/>
          <w:sz w:val="18"/>
          <w:szCs w:val="18"/>
          <w:color w:val="auto"/>
        </w:rPr>
      </w:pPr>
    </w:p>
    <w:p>
      <w:pPr>
        <w:ind w:left="660" w:right="20" w:hanging="328"/>
        <w:spacing w:after="0" w:line="21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the definition of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for which the Company is providing services under the Third Restated Agreement to include BEA products (as defined in the Third Restated Agreement);</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the Company’s termination rights by authorizing the Company to terminate the Third Restated Agreement (i) for any reason effective as of September 30, 2022 by delivery of notice of termination to Monsanto on January 15, 2021 (a “Convenience Termination”) or (ii) upon the insolvency or bankruptcy of Monsanto;</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Monsanto’s termination rights by authorizing Monsanto to terminate the Third Restated Agreement in the event that Monsanto decides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Termination”);</w:t>
      </w:r>
    </w:p>
    <w:p>
      <w:pPr>
        <w:jc w:val="both"/>
        <w:ind w:left="66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the termination fee structure to require Monsanto to pay a termination fee to the Company in an amount equal to (i) $175 million if the Company terminates the Third Restated Agreement for convenience, (ii) $375 million upon a brand decommissioning event, and (iii) the greater of $175 million or four times an amount equal to the average of the Program EBIT for the three program years before the year of termination, minus $186.4 million, if Monsanto or its successor terminates the Third Restated Agreement as a result of a Roundup Sale or Change of Control of Monsanto (each, as defined in the Third Restated Agreement); and</w:t>
      </w:r>
    </w:p>
    <w:p>
      <w:pPr>
        <w:spacing w:after="0" w:line="1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each party to terminate the Third Restated Agreement if Program EBIT falls below $50 million and, in such case, no termination fee would be payable to either party.</w:t>
      </w:r>
    </w:p>
    <w:p>
      <w:pPr>
        <w:spacing w:after="0" w:line="81"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8"/>
          <w:szCs w:val="18"/>
          <w:color w:val="auto"/>
        </w:rPr>
        <w:t>In addition, in connection with the signing of the Third Restated Agreement, the Company also entered into (i) the BEA Purchase Agreement, (ii) a termination agreement regarding the Brand Extension Agreement and (iii) a termination agreement regarding the Commercialization and Technology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branded products sold outside the non-selective weedkiller category within the residential lawn and garden market. The consideration to be paid by Monsanto is the sum of $112.0 million plus the value of finished goods inventory of $3.5 million. This consideration is payable to the Company on January 15, 2020 and has been recorded in the “Prepaid and other current assets” line in the Consolidated Balance Sheets. The carrying value of the assets sold, which included the brand extension agreement intangible asset with a carrying value of $111.7 million, approximated the consideration received, resulting in an insignificant gain on the sale.</w:t>
      </w:r>
    </w:p>
    <w:p>
      <w:pPr>
        <w:spacing w:after="0" w:line="12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elements of the net commission and reimbursements earned under the Restated Marketing Agreement and Third Restated Agreement and included in “Net sales”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commission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marketing fee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commission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w:t>
            </w:r>
          </w:p>
        </w:tc>
      </w:tr>
      <w:tr>
        <w:trPr>
          <w:trHeight w:val="264"/>
        </w:trPr>
        <w:tc>
          <w:tcPr>
            <w:tcW w:w="6740" w:type="dxa"/>
            <w:vAlign w:val="bottom"/>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125.0</w:t>
            </w:r>
          </w:p>
        </w:tc>
      </w:tr>
      <w:tr>
        <w:trPr>
          <w:trHeight w:val="20"/>
        </w:trPr>
        <w:tc>
          <w:tcPr>
            <w:tcW w:w="6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7" w:right="2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ACQUISITIONS AND INVESTMENTS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FISCAL 2018</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Sunlight Supply</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June 4, 2018, the Company’s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a Vancouver, Washington based leading developer, manufacturer, marketer and distributer of horticultural, organics, lighting, and hydroponics products. Prior to the transaction, Sunlight Supply served as a non-exclusive distributor of the Company. The purchase price of Sunlight Supply was $459.1 million, a portion of which was paid by the issuance of 0.3 million Common Shares, a non-cash investing and financing activity, with a fair value of $23.4 million based on the average share price at the time of payment. The purchase price included contingent consideration, a non-cash investing activity, with an initial fair value of $3.1 million and a maximum payout of $20.0 million, which was finalized during the third quarter of fiscal 2019 and resulted in no additional payment by the Company. The purchase price was also subject to a post-closing net working capital adjustment which was paid during the first quarter of fiscal 2019.</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valuation of the acquired assets included (i) $5.3 million of cash, prepaid and other current assets, (ii) $19.3 million of accounts receivable,</w:t>
      </w:r>
    </w:p>
    <w:p>
      <w:pPr>
        <w:spacing w:after="0" w:line="27" w:lineRule="exact"/>
        <w:rPr>
          <w:sz w:val="20"/>
          <w:szCs w:val="20"/>
          <w:color w:val="auto"/>
        </w:rPr>
      </w:pPr>
    </w:p>
    <w:p>
      <w:pPr>
        <w:jc w:val="both"/>
        <w:ind w:firstLine="8"/>
        <w:spacing w:after="0" w:line="251"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 million of inventory, (iv) $64.4 million of fixed assets, (v) $11.7 million of accounts payable and other current liabilities, (vi) $151.1 million of finite-lived identifiable intangible assets, and (vii) $146.4 million of tax-deductible goodwill. Identifiable intangible assets included tradenames of $65.1 million, customer relationships of $84.1 million and non-competes of $1.9 million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The contingent consideration related to the Sunlight Supply acquisition was required to be accounted for as a derivative instrument and was recorded at fair value in the “Other current liabilities” line in the Consolidated Balance Sheets, with changes in fair value recognized in the “Impairment, restructuring and other” line in the Consolidated Statements of Operations. The estimated fair value of the contingent consideration was $0.9 million as of September 30, 2018 and the fair value measurement was classified in Level 3 of the fair value hierarchy.</w:t>
      </w:r>
    </w:p>
    <w:p>
      <w:pPr>
        <w:spacing w:after="0" w:line="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acquisition of Sunlight Supply also resulted in the settlement of a portion of certain previously acquired customer relationships, which resulted in a non-cash impairment charge of $17.5 million recognized in the “Impairment, restructuring and other” line in the Consolidated Statements of Operations during the third quarter of fiscal 2018 to reduce the carrying value of these previously acquired customer relationship intangible assets to an estimated fair value of $30.9 million. The estimated fair value was determined using an income-based approach, which includes market participant expectations of cash flows that an asset will generate over the remaining useful life discounted to present value using an appropriate discount rate, and has been included as part of goodwill. Additionally, the Company reduced the value of deferred tax liabilities associated with the write-off of these previously acquired customer relationship intangible assets by $7.3 million, which was recognized in the “Income tax expense (benefit) from continuing operations” line in the Consolidated Statement of Operations for fiscal 2018.</w:t>
      </w:r>
    </w:p>
    <w:p>
      <w:pPr>
        <w:spacing w:after="0" w:line="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increased cost of goods sold for fiscal 2017 and decreased cost of goods sold for fiscal 2018 related to the acquisition date inventory fair value adjustment, (v) increased interest expense related to the financing of the acquisition, (vi) removal of the non-cash impairment charge of $17.5 million during the third quarter of fiscal 2018 related to the settlement of a portion of certain previously acquired customer relationships due to the acquisition of Sunlight Supply, (vii) adjustments to tax expense based on condensed consolidated pro forma results, and (viii) the impact of additional Common Shares issued as a result of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 they would have been had the acquisitions occurred on the assumed dates, nor are they necessarily an indication of future operating results.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320" w:type="dxa"/>
            <w:vAlign w:val="bottom"/>
            <w:tcBorders>
              <w:bottom w:val="single" w:sz="8" w:color="auto"/>
            </w:tcBorders>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32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9"/>
              </w:rPr>
              <w:t>Unaudited Consolidated Pro Forma Results</w:t>
            </w: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spacing w:after="0"/>
              <w:rPr>
                <w:sz w:val="17"/>
                <w:szCs w:val="17"/>
                <w:color w:val="auto"/>
              </w:rPr>
            </w:pPr>
          </w:p>
        </w:tc>
        <w:tc>
          <w:tcPr>
            <w:tcW w:w="1320" w:type="dxa"/>
            <w:vAlign w:val="bottom"/>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48"/>
        </w:trPr>
        <w:tc>
          <w:tcPr>
            <w:tcW w:w="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gridSpan w:val="3"/>
          </w:tcPr>
          <w:p>
            <w:pPr>
              <w:spacing w:after="0"/>
              <w:rPr>
                <w:sz w:val="4"/>
                <w:szCs w:val="4"/>
                <w:color w:val="auto"/>
              </w:rPr>
            </w:pPr>
          </w:p>
        </w:tc>
      </w:tr>
      <w:tr>
        <w:trPr>
          <w:trHeight w:val="245"/>
        </w:trPr>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94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(In millions, except for common share data)</w:t>
            </w:r>
          </w:p>
        </w:tc>
      </w:tr>
      <w:tr>
        <w:trPr>
          <w:trHeight w:val="255"/>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Proforma net sales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2,879.7</w:t>
            </w:r>
          </w:p>
        </w:tc>
        <w:tc>
          <w:tcPr>
            <w:tcW w:w="9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3,032.4</w:t>
            </w: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Proforma net income attributable to controlling interest</w:t>
            </w:r>
          </w:p>
        </w:tc>
        <w:tc>
          <w:tcPr>
            <w:tcW w:w="500" w:type="dxa"/>
            <w:vAlign w:val="bottom"/>
          </w:tcPr>
          <w:p>
            <w:pPr>
              <w:spacing w:after="0"/>
              <w:rPr>
                <w:sz w:val="21"/>
                <w:szCs w:val="21"/>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90.0</w:t>
            </w:r>
          </w:p>
        </w:tc>
        <w:tc>
          <w:tcPr>
            <w:tcW w:w="9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228.5</w:t>
            </w:r>
          </w:p>
        </w:tc>
      </w:tr>
      <w:tr>
        <w:trPr>
          <w:trHeight w:val="27"/>
        </w:trPr>
        <w:tc>
          <w:tcPr>
            <w:tcW w:w="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Proforma diluted net income per common share</w:t>
            </w: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1.57</w:t>
            </w:r>
          </w:p>
        </w:tc>
        <w:tc>
          <w:tcPr>
            <w:tcW w:w="9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4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Gavita</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Consolidated Balance Sheets. During the fourth quarter of fiscal 2017, the Company recorded a charge of $13.4 million to write-up the fair value of the loan to the noncontrolling ownership group of Gavita to the agreed upon buyout value in the “Other non-operating (income) expense” line in the Consolidated Statements of Operations.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Consolidated Balance Sheets.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Can-Filters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October 11, 2017, the Company’s Hawthorne segment completed the acquisition of substantially all of the U.S. and Canadian assets of Can-Filters Group Inc. (“Can-Filters”) for $74.1 million. Based in British Columbia, Can-Filters is a wholesaler of ventilation products for indoor and hydroponic gardening and industrial market customers. The valuation of the acquired assets included (i) $1.5 million of cash, prepaid and other current assets, (ii) $7.7 million of inventory and accounts receivable, (iii) $4.4 million of fixed assets, (iv) $0.7 million of accounts payable and other current liabilities, (v) $39.7 million of finite-lived identifiable intangible assets, and (vi) $21.5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Can-Filters included within the Hawthorne segment for fiscal 2018 were $10.7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FISCAL 2017</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Agrolux</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May 26, 2017, the Company’s majority-owned subsidiary Gavita completed the acquisition of Agrolux for $21.8 million. Based in the Netherlands, Agrolux is a worldwide supplier of horticultural lighting. The purchase price included contingent consideration, a non-cash investing activity, with a maximum payout and initial fair value of $5.2 million, which was paid during the third quarter of fiscal 2018. The valuation of the acquired assets included (i) $8.0 million of cash, prepaid and other current assets, (ii) $9.9 million of inventory and accounts receivable, (iii) $0.5 million of fixed assets, (iv) $8.6 million of accounts payable and other current liabilities, (v) $6.7 million of short-term debt, (vi) $16.1 million of finite-lived identifiable intangible assets, (vii) $6.6 million of non-deductible goodwill, and (viii) $4.0 million of deferred tax liabilities.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Hawthorne segment for fiscal 2018 and fiscal 2017 were $53.2 million and $16.4 million,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7"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Botanicare</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October 3, 2016, the Company’s Hawthorne segment completed the acquisition of Botanicare, an Arizona-based leading producer of plant nutrients, plant supplements and growing systems used for hydroponic gardening, for $92.6 million. The purchase price included contingent consideration, a non-cash investing activity, of $15.5 million, which was paid during the third quarter of fiscal 2017. The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August 11, 2017, the Company’s Hawthorne segment completed the acquisition of substantially all of the assets of the exclusive manufacturer and formulator of branded Botanicare products for $32.0 million. The valuation of the acquired assets included (i) $0.3 million of inventory, (ii) $5.0 million of finite-lived identifiable intangible assets, and (iii) $26.7 million of tax-deductible goodwill. Identifiable intangible assets included manufacturing know-how and non-compete agreements with useful lives ranging between 5 and 10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5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2017, the Company’s U.S. Consumer segment completed two acquisitions of companies whose products support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Hawthorne segment completed the acquisition of a company focused on the technology supporting hydroponic growing systems for an aggregate purchase price of $3.5 million, which included finite-lived identifiable intangible assets of $3.2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 IN UNCONSOLIDATED AFFILIATES</w:t>
      </w:r>
    </w:p>
    <w:p>
      <w:pPr>
        <w:spacing w:after="0" w:line="14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7"/>
          <w:szCs w:val="17"/>
          <w:color w:val="auto"/>
        </w:rPr>
        <w:t>On April 13, 2016, pursuant to the terms of the Contribution and Distribution Agreement (the “Contribution Agreement”) between the Company and TruGreen Holding Corporation (“TruGreen Holdings”), the Company completed the contribution of the Scotts LawnService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business (the “SLS Business”) to Outdoor Home Services Holdings LLC, a lawn services joint venture between the Company and TruGreen Holding Corporation (the “TruGreen Joint Venture”), in exchange for a minority equity interest of approximately 30% in the TruGreen Joint Venture. The Company’s interest had an initial fair value of $294.0 million and was accounted for using the equity method of accounting. In connection with the closing of the transactions contemplated by the Contribution Agreement on April 13, 2016, the TruGreen Joint Venture obtained debt financing and made a distribution of $196.2 million to the Company and the Company invested $18.0 million in second lien term loan financing to the TruGreen Joint Venture. The Company was reimbursed $1.4 million and $40.2 million during fiscal 2018 and fiscal 2017, respectively, for expenses incurred pursuant to a short-term transition services agreement, payments on claims associated with insurance programs and an employee leasing agreement. During the fourth quarter of fiscal 2017, the Company received an $87.1 million distribution from the TruGreen Joint Venture in connection with its August 2017 debt refinancing. In the first quarter of fiscal 2018, the Company’s net investment and advances were reduced to a liability and subsequently the Company no longer recorded its proportionate share of the TruGreen Joint Venture earnings in the Consolidated Statements of Operations. The Company received cumulative distributions from the TruGreen Joint Venture in excess of its investment balance, which resulted in an amount recorded in the “Distributions in excess of investment in unconsolidated affiliate” line in the Consolidated Balance Sheets of $21.9 million at September 30, 2018. The Company does not have any contractual obligations to fund losses of the TruGreen Joint Venture.</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19, 2019, the Company entered into an agreement under which it sold all of its approximately 30% equity interest in the TruGreen Joint Venture to TruGreen Companies L.L.C., a subsidiary of TruGreen Holding Corporation. In connection with this transaction, the Company received cash proceeds of $234.2 million related to the sale of its equity interest in the TruGreen Joint Venture and $18.4 million related to the payoff of second lien term loan financing, which was previously recorded in the “Other assets” line in the Consolidated Balance Sheets. During fiscal 2019, the Company also received a distribution from the TruGreen Joint Venture intended to cover certain required tax payments of $3.5 million, which was classified as an investing activity in the Consolidated Statements of Cash Flows. During fiscal 2019, the Company recognized a pre-tax gain of $259.8 million related to this sale in the “Other non-operating (income) expense, net” line in the Consolidated Statements of Operations. The Company made cash tax payments of $99.5 million as a result of the sale of the Company’s equity interest, of which $47.1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was previously recorded as deferred tax liabilities and classified in the “Other liabilities” line in the Consolidated Balance Sheets at September 30, 2018.</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2017, the Company made a $29.4 million investment in an unconsolidated subsidiary whose products support the professional U.S. industrial, turf and ornamental market (the “IT&amp;O Joint Venture”). On April 1, 2019, the Company sold all of its interest in the IT&amp;O Joint Venture for cash proceeds of $36.6 million. During fiscal 2019, the Company recognized a pre-tax gain of $2.9 million related to this sale in the “Other non-operating (income) expense, net” line in the Consolidated Statements of Operations. During fiscal 2019, the Company received a distribution of net earnings from the IT&amp;O Joint Venture of $4.9 million, which was classified as an operating activity in the Consolidated Statements of Cash Flows. The Company provided the IT&amp;O Joint Venture with line of credit financing of $14.3 million during fiscal 2018, which was fully repaid as of September 30,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RETIREMENT PLANS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employees on their initial 3% contribution. The Company recorded charges of $18.9 million, $15.3 million and $13.9 million under the plan in fiscal 2019, fiscal 2018 and fiscal 2017, respectively.</w:t>
      </w:r>
    </w:p>
    <w:p>
      <w:pPr>
        <w:spacing w:after="0" w:line="4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consistent with statutory requirements and tax considerations, is based on actuarial computations using the Projected Unit Credit method.</w:t>
      </w:r>
    </w:p>
    <w:p>
      <w:pPr>
        <w:spacing w:after="0" w:line="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gridSpan w:val="3"/>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74"/>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100.1</w:t>
            </w:r>
          </w:p>
        </w:tc>
        <w:tc>
          <w:tcPr>
            <w:tcW w:w="120" w:type="dxa"/>
            <w:vAlign w:val="bottom"/>
          </w:tcPr>
          <w:p>
            <w:pPr>
              <w:spacing w:after="0"/>
              <w:rPr>
                <w:sz w:val="21"/>
                <w:szCs w:val="21"/>
                <w:color w:val="auto"/>
              </w:rPr>
            </w:pP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(gain) loss</w:t>
            </w:r>
          </w:p>
        </w:tc>
        <w:tc>
          <w:tcPr>
            <w:tcW w:w="8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8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8"/>
              </w:rPr>
              <w:t>108.0</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Accumulated benefit obligation at end of year</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contribution</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8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Overfunded (underfunded) status at end of year</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380" w:type="dxa"/>
            <w:vAlign w:val="bottom"/>
          </w:tcPr>
          <w:p>
            <w:pPr>
              <w:spacing w:after="0"/>
              <w:rPr>
                <w:sz w:val="24"/>
                <w:szCs w:val="2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gridSpan w:val="3"/>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395"/>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accumulated benefit obligation in</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excess of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108.0</w:t>
            </w:r>
          </w:p>
        </w:tc>
        <w:tc>
          <w:tcPr>
            <w:tcW w:w="10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8"/>
              </w:rPr>
              <w:t>100.1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amount accrued</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 consist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of:</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amount recognized</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gridSpan w:val="3"/>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center"/>
              <w:ind w:left="576"/>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77"/>
        </w:trPr>
        <w:tc>
          <w:tcPr>
            <w:tcW w:w="54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millions, except percentage figures)</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Total change in other comprehensive loss attributable to:</w:t>
            </w: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benefit gain (loss) during the period</w:t>
            </w: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pension benefit losses to net income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 recognized during the period</w:t>
            </w:r>
          </w:p>
        </w:tc>
        <w:tc>
          <w:tcPr>
            <w:tcW w:w="880" w:type="dxa"/>
            <w:vAlign w:val="bottom"/>
          </w:tcPr>
          <w:p>
            <w:pPr>
              <w:spacing w:after="0"/>
              <w:rPr>
                <w:sz w:val="21"/>
                <w:szCs w:val="21"/>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change in other comprehensive loss</w:t>
            </w:r>
          </w:p>
        </w:tc>
        <w:tc>
          <w:tcPr>
            <w:tcW w:w="88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8"/>
                <w:szCs w:val="18"/>
                <w:b w:val="1"/>
                <w:bCs w:val="1"/>
                <w:color w:val="auto"/>
              </w:rPr>
              <w:t>Amounts in accumulated other comprehensive loss expected to be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recognized as components of net periodic benefit cost in fiscal 2020</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are as follows: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to be amortized into net periodic benefit cost</w:t>
            </w:r>
          </w:p>
        </w:tc>
        <w:tc>
          <w:tcPr>
            <w:tcW w:w="88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8"/>
                <w:szCs w:val="18"/>
                <w:b w:val="1"/>
                <w:bCs w:val="1"/>
                <w:color w:val="auto"/>
              </w:rPr>
              <w:t>Weighted average assumptions used in development of projected</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864"/>
        </w:trPr>
        <w:tc>
          <w:tcPr>
            <w:tcW w:w="5400" w:type="dxa"/>
            <w:vAlign w:val="bottom"/>
          </w:tcPr>
          <w:p>
            <w:pPr>
              <w:spacing w:after="0"/>
              <w:rPr>
                <w:sz w:val="24"/>
                <w:szCs w:val="24"/>
                <w:color w:val="auto"/>
              </w:rPr>
            </w:pPr>
          </w:p>
        </w:tc>
        <w:tc>
          <w:tcPr>
            <w:tcW w:w="8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84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percentage figures)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6"/>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benefit (income) cost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0.1</w:t>
            </w:r>
          </w:p>
        </w:tc>
      </w:tr>
      <w:tr>
        <w:trPr>
          <w:trHeight w:val="67"/>
        </w:trPr>
        <w:tc>
          <w:tcPr>
            <w:tcW w:w="3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74"/>
        </w:trPr>
        <w:tc>
          <w:tcPr>
            <w:tcW w:w="37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8"/>
                <w:szCs w:val="18"/>
                <w:b w:val="1"/>
                <w:bCs w:val="1"/>
                <w:color w:val="auto"/>
              </w:rPr>
              <w:t>Weighted average assumptions used in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6"/>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development of net periodic benefit (income)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 - service cost</w:t>
            </w:r>
          </w:p>
        </w:tc>
        <w:tc>
          <w:tcPr>
            <w:tcW w:w="28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1"/>
                <w:szCs w:val="21"/>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 - 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3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Strategy</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for Long-Term Rate of Return on Asset Assumptions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7"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260" w:type="dxa"/>
            <w:vAlign w:val="bottom"/>
          </w:tcPr>
          <w:p>
            <w:pPr>
              <w:spacing w:after="0"/>
              <w:rPr>
                <w:sz w:val="13"/>
                <w:szCs w:val="13"/>
                <w:color w:val="auto"/>
              </w:rPr>
            </w:pPr>
          </w:p>
        </w:tc>
        <w:tc>
          <w:tcPr>
            <w:tcW w:w="17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00" w:type="dxa"/>
            <w:vAlign w:val="bottom"/>
            <w:gridSpan w:val="3"/>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asset allocations:</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Target for September 30, 2020:</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 estate securities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September 30, 2019</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 estate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30, 2018</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 estate securities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company contributions in fiscal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future benefit payments: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2025 – 2029</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tables set forth the fair value of the Company’s pension plan assets, segregated by level within the fair value hierarchy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vMerge w:val="restart"/>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477"/>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300" w:type="dxa"/>
            <w:vAlign w:val="bottom"/>
          </w:tcPr>
          <w:p>
            <w:pPr>
              <w:spacing w:after="0"/>
              <w:rPr>
                <w:sz w:val="16"/>
                <w:szCs w:val="16"/>
                <w:color w:val="auto"/>
              </w:rPr>
            </w:pPr>
          </w:p>
        </w:tc>
        <w:tc>
          <w:tcPr>
            <w:tcW w:w="232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72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funds—real estate</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funds—equities</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funds—fixed income</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Mutual funds are valued at the exchange-listed year end closing price or at the net asset value of shares held at the end of the year.</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7" w:right="2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ASSOCIATE MEDICAL BENEFITS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major medical benefits to its associates. The Company is self-insured for certain health benefits up to $0.7 million per occurrence per individual. The cost of such benefits is recognized as expense in the period the claim is incurred. This cost was $31.4 million, $31.2 million and $33.4 million in fiscal 2019, fiscal 2018 and fiscal 2017, respectively.</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information about the retiree medical plan for domestic associates. The retiree medical plan is valued using a September 30 measurement date.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330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millions, except percentage figures)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Accumulated Plan Benefit Obligation (APBO):</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(gain) loss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20" w:type="dxa"/>
            <w:vAlign w:val="bottom"/>
            <w:tcBorders>
              <w:top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r>
      <w:tr>
        <w:trPr>
          <w:trHeight w:val="67"/>
        </w:trPr>
        <w:tc>
          <w:tcPr>
            <w:tcW w:w="8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Employer contribution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benefits paid</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20" w:type="dxa"/>
            <w:vAlign w:val="bottom"/>
            <w:tcBorders>
              <w:top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6"/>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Unfunded status at end of year</w:t>
            </w: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980" w:type="dxa"/>
            <w:vAlign w:val="bottom"/>
          </w:tcPr>
          <w:p>
            <w:pPr>
              <w:spacing w:after="0"/>
              <w:rPr>
                <w:sz w:val="21"/>
                <w:szCs w:val="21"/>
                <w:color w:val="auto"/>
              </w:rPr>
            </w:pPr>
          </w:p>
        </w:tc>
        <w:tc>
          <w:tcPr>
            <w:tcW w:w="3440" w:type="dxa"/>
            <w:vAlign w:val="bottom"/>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(In millions, except percentage figures)</w:t>
            </w: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amount accrued</w:t>
            </w:r>
          </w:p>
        </w:tc>
        <w:tc>
          <w:tcPr>
            <w:tcW w:w="1040" w:type="dxa"/>
            <w:vAlign w:val="bottom"/>
            <w:tcBorders>
              <w:top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r>
      <w:tr>
        <w:trPr>
          <w:trHeight w:val="67"/>
        </w:trPr>
        <w:tc>
          <w:tcPr>
            <w:tcW w:w="798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 loss consist of:</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credit</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amount recognized</w:t>
            </w:r>
          </w:p>
        </w:tc>
        <w:tc>
          <w:tcPr>
            <w:tcW w:w="1040" w:type="dxa"/>
            <w:vAlign w:val="bottom"/>
            <w:tcBorders>
              <w:top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r>
      <w:tr>
        <w:trPr>
          <w:trHeight w:val="67"/>
        </w:trPr>
        <w:tc>
          <w:tcPr>
            <w:tcW w:w="798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Total change in other comprehensive (income) loss attributable to:</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loss (gain) during the period</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prior service credit and benefit loss to net income</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change in other comprehensive (income) loss</w:t>
            </w:r>
          </w:p>
        </w:tc>
        <w:tc>
          <w:tcPr>
            <w:tcW w:w="1040" w:type="dxa"/>
            <w:vAlign w:val="bottom"/>
            <w:tcBorders>
              <w:top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67"/>
        </w:trPr>
        <w:tc>
          <w:tcPr>
            <w:tcW w:w="798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Discount rate used in development of APBO</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7" w:right="2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Net periodic benefit (income) cost was $(0.1) million, $0.1 million and $0.3 million during fiscal 2019, fiscal 2018 and fiscal 2017, respectively. The estimated actuarial loss and prior service credit that will be amortized from accumulated loss into net periodic benefit cost over the next fiscal year is $0.2 million and $1.1 million, respectively.</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measurement as of September 30, 2019, management has assumed that health care costs will increase at an annual rate of 6.25%, and thereafter decreasing to an ultimate trend rate of 4.75% in 2026. A 100 basis point change in health cost trend rate assumptions would not have a material effect on service costs, interest costs or the APBO.</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benefit payments under the plan are expected to be paid by the Company and the retirees for the fiscal years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0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Retiree</w:t>
            </w:r>
          </w:p>
        </w:tc>
        <w:tc>
          <w:tcPr>
            <w:tcW w:w="480" w:type="dxa"/>
            <w:vAlign w:val="bottom"/>
          </w:tcPr>
          <w:p>
            <w:pPr>
              <w:spacing w:after="0"/>
              <w:rPr>
                <w:sz w:val="13"/>
                <w:szCs w:val="13"/>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8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08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74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2021</w:t>
            </w:r>
          </w:p>
        </w:tc>
        <w:tc>
          <w:tcPr>
            <w:tcW w:w="6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2022</w:t>
            </w:r>
          </w:p>
        </w:tc>
        <w:tc>
          <w:tcPr>
            <w:tcW w:w="6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2023</w:t>
            </w:r>
          </w:p>
        </w:tc>
        <w:tc>
          <w:tcPr>
            <w:tcW w:w="6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2024</w:t>
            </w:r>
          </w:p>
        </w:tc>
        <w:tc>
          <w:tcPr>
            <w:tcW w:w="6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2025</w:t>
            </w: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11.3</w:t>
            </w:r>
          </w:p>
        </w:tc>
        <w:tc>
          <w:tcPr>
            <w:tcW w:w="44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75"/>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components of debt are as follows: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w:t>
            </w:r>
          </w:p>
        </w:tc>
        <w:tc>
          <w:tcPr>
            <w:tcW w:w="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Revolving loans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7"/>
        </w:trPr>
        <w:tc>
          <w:tcPr>
            <w:tcW w:w="7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loans</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43"/>
        </w:trPr>
        <w:tc>
          <w:tcPr>
            <w:tcW w:w="7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Senior Notes – 5.250%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7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 6.000%</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43"/>
        </w:trPr>
        <w:tc>
          <w:tcPr>
            <w:tcW w:w="7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7"/>
        </w:trPr>
        <w:tc>
          <w:tcPr>
            <w:tcW w:w="7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7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gridSpan w:val="3"/>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2,025.7</w:t>
            </w:r>
          </w:p>
        </w:tc>
        <w:tc>
          <w:tcPr>
            <w:tcW w:w="0" w:type="dxa"/>
            <w:vAlign w:val="bottom"/>
          </w:tcPr>
          <w:p>
            <w:pPr>
              <w:spacing w:after="0"/>
              <w:rPr>
                <w:sz w:val="1"/>
                <w:szCs w:val="1"/>
                <w:color w:val="auto"/>
              </w:rPr>
            </w:pPr>
          </w:p>
        </w:tc>
      </w:tr>
      <w:tr>
        <w:trPr>
          <w:trHeight w:val="243"/>
        </w:trPr>
        <w:tc>
          <w:tcPr>
            <w:tcW w:w="7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current portions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7"/>
        </w:trPr>
        <w:tc>
          <w:tcPr>
            <w:tcW w:w="78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7"/>
        </w:trPr>
        <w:tc>
          <w:tcPr>
            <w:tcW w:w="7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1,523.5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1,883.8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3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32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aggregate scheduled maturities of debt and capital lease obligations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360" w:type="dxa"/>
            <w:vAlign w:val="bottom"/>
          </w:tcPr>
          <w:p>
            <w:pPr>
              <w:spacing w:after="0"/>
              <w:rPr>
                <w:sz w:val="13"/>
                <w:szCs w:val="13"/>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Pr>
          <w:p>
            <w:pPr>
              <w:spacing w:after="0"/>
              <w:rPr>
                <w:sz w:val="13"/>
                <w:szCs w:val="13"/>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1,666.1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September 30, 2019, the Company had letters of credit outstanding in the aggregate principal amount of $26.7 million, and $1,326.2 million of borrowing availability under the Fifth A&amp;R Credit Agreement. The weighted average interest rates on average borrowings under the Fifth A&amp;R Credit Agreement and the former credit agreement were 4.6%, 4.0% and 3.9% for fiscal 2019, fiscal 2018 and fiscal 2017, respectively.</w:t>
      </w:r>
    </w:p>
    <w:p>
      <w:pPr>
        <w:spacing w:after="0" w:line="9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(i) 5.00 for the third quarter of fiscal 2019 through the first quarter of fiscal 2020; (ii) 4.75 for the second quarter of fiscal 2020 through the fourth quarter of fiscal 2020; and (iii) 4.50 for the first quarter of fiscal 2021 and thereafter. The Company’s leverage ratio was 3.67 at September 30, 2019.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2019. The Company’s interest coverage ratio was 5.78 for the twelve months ended September 30, 2019.</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7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October 13, 2015, Scotts Miracle-Gro issued $400.0 million aggregate principal amount of 6.000% Senior Notes due 2023 (the “6.000% Senior Notes”). On December 15, 2016, Scotts Miracle-Gro issued $250.0 million aggregate principal amount of 5.250% Senior Notes due 2026 (the “5.250% Senior Notes”). The 6.000% and 5.250% Senior Notes represent general unsecured senior obligations and rank equal in right of payment with the Company’s existing and future unsecured senior debt. The 6.000% Senior Notes have interest payment dates of April 15 and October 15 of each year. The 5.250% Senior Notes have interest payment dates of June 15 and December 15 of each year. Substantially all of Scotts Miracle-Gro’s domestic subsidiaries serve as guarantors of the 6.000% and 5.250% Senior Notes.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7"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October 22, 2019, Scotts Miracle-Gro issued $450.0 million aggregate principal amount of 4.500% Senior Notes due 2029 (the “4.500% Senior Notes”). The net proceeds of the offering were used to redeem all of our outstanding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commencing April 15, 2020. Substantially all of Scotts Miracle-Gro’s domestic subsidiaries serve as guarantors of the 4.500% Senior Notes.</w:t>
      </w:r>
    </w:p>
    <w:p>
      <w:pPr>
        <w:spacing w:after="0" w:line="1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October 23, 2019, Scotts Miracle-Gro redeemed all of its outstanding 6.000% Senior Notes for a redemption price of $412.5 million, comprised of $0.5 million of accrued and unpaid interest, $12.0 million of redemption premium, and $400.0 million for outstanding principal amount. The $12.0 million redemption premium will be recognized in the Company’s first quarter of fiscal 2020. As of September 30, 2019, the Company classified the $400.0 million of 6.000% Senior Notes as long-term debt on the Consolidated Balance Sheet. Additionally, the Company had $3.1 million in unamortized bond issuance costs as of September 30, 2019, which will be written-off in the Company’s first quarter of fiscal 2020.</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Receivables Facility expires on August 21, 2020. The eligible amount of customer accounts receivables which may be sold under the Receivables Facility is $400.0 million and the commitment amount during the seasonal commitment period beginning on February 28, 2020 and ending on June 19, 2020 is $160.0 million.</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the sale of receivables under the Receivables Facility as short-term debt and continues to carry the receivables on its Consolidated Balance Sheets, primarily as a result of the Company’s requirement to repurchase receivables sold. As of September 30, 2019 and 2018, there were $76.0 million in borrowings on receivables pledged as collateral under the Receivables Facility, and the carrying value of the receivables pledged as collateral was $84.5 million. As of September 30, 2019 and 2018, there was $0.1 million and $0.4 million, respectively, of availability under the Receivables Facility.</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$850.0 million and $800.0 million at September 30, 2019 and 2018, respectively. Interest payments made between the effective date and expiration date are hedged by the swap agreements, except as noted below.</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notional amount, effective date, expiration date and rate of each of these swap agreements outstanding at September 30, 2019 are shown in the table below:</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40" w:type="dxa"/>
            <w:vAlign w:val="bottom"/>
          </w:tcPr>
          <w:p>
            <w:pPr>
              <w:spacing w:after="0"/>
              <w:rPr>
                <w:sz w:val="13"/>
                <w:szCs w:val="13"/>
                <w:color w:val="auto"/>
              </w:rPr>
            </w:pPr>
          </w:p>
        </w:tc>
        <w:tc>
          <w:tcPr>
            <w:tcW w:w="2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78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380" w:type="dxa"/>
            <w:vAlign w:val="bottom"/>
          </w:tcPr>
          <w:p>
            <w:pPr>
              <w:spacing w:after="0"/>
              <w:rPr>
                <w:sz w:val="16"/>
                <w:szCs w:val="16"/>
                <w:color w:val="auto"/>
              </w:rPr>
            </w:pPr>
          </w:p>
        </w:tc>
        <w:tc>
          <w:tcPr>
            <w:tcW w:w="200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2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780" w:type="dxa"/>
            <w:vAlign w:val="bottom"/>
          </w:tcPr>
          <w:p>
            <w:pPr>
              <w:jc w:val="right"/>
              <w:ind w:right="115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49"/>
        </w:trPr>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6/8/2020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2"/>
                <w:szCs w:val="22"/>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6/20/2018</w:t>
            </w:r>
          </w:p>
        </w:tc>
        <w:tc>
          <w:tcPr>
            <w:tcW w:w="3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10/20/2020</w:t>
            </w:r>
          </w:p>
        </w:tc>
        <w:tc>
          <w:tcPr>
            <w:tcW w:w="3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11/7/2018</w:t>
            </w:r>
          </w:p>
        </w:tc>
        <w:tc>
          <w:tcPr>
            <w:tcW w:w="3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6/7/2021</w:t>
            </w:r>
          </w:p>
        </w:tc>
        <w:tc>
          <w:tcPr>
            <w:tcW w:w="34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2"/>
                <w:szCs w:val="22"/>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11/7/2018</w:t>
            </w:r>
          </w:p>
        </w:tc>
        <w:tc>
          <w:tcPr>
            <w:tcW w:w="34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7/7/2021</w:t>
            </w:r>
          </w:p>
        </w:tc>
        <w:tc>
          <w:tcPr>
            <w:tcW w:w="3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7"/>
        </w:trPr>
        <w:tc>
          <w:tcPr>
            <w:tcW w:w="38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22"/>
                <w:szCs w:val="22"/>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11/7/2018</w:t>
            </w:r>
          </w:p>
        </w:tc>
        <w:tc>
          <w:tcPr>
            <w:tcW w:w="34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10/7/2021</w:t>
            </w:r>
          </w:p>
        </w:tc>
        <w:tc>
          <w:tcPr>
            <w:tcW w:w="340" w:type="dxa"/>
            <w:vAlign w:val="bottom"/>
            <w:shd w:val="clear" w:color="auto" w:fill="CCEEFF"/>
          </w:tcPr>
          <w:p>
            <w:pPr>
              <w:spacing w:after="0"/>
              <w:rPr>
                <w:sz w:val="22"/>
                <w:szCs w:val="22"/>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were first hedged by the applicable swap agreement.</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adjusts in accordance with a specified seasonal schedule. This represents the maximum notional amount at any point in time.</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interest rates on the Company’s debt were 4.8%, 4.3% and 4.6% for fiscal 2019, fiscal 2018 and fiscal 2017,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7"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EQUITY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Authorized and issued shares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5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520" w:type="dxa"/>
            <w:vAlign w:val="bottom"/>
            <w:tcBorders>
              <w:bottom w:val="single" w:sz="8" w:color="auto"/>
            </w:tcBorders>
          </w:tcPr>
          <w:p>
            <w:pPr>
              <w:jc w:val="right"/>
              <w:ind w:right="13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660" w:type="dxa"/>
            <w:vAlign w:val="bottom"/>
          </w:tcPr>
          <w:p>
            <w:pPr>
              <w:spacing w:after="0"/>
              <w:rPr>
                <w:sz w:val="17"/>
                <w:szCs w:val="17"/>
                <w:color w:val="auto"/>
              </w:rPr>
            </w:pPr>
          </w:p>
        </w:tc>
        <w:tc>
          <w:tcPr>
            <w:tcW w:w="25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7"/>
                <w:szCs w:val="17"/>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shares, no par value:</w:t>
            </w: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w:t>
            </w:r>
          </w:p>
        </w:tc>
        <w:tc>
          <w:tcPr>
            <w:tcW w:w="25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0.2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shares</w:t>
            </w: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shares</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shares, no par value, $.01 stated value per share:</w:t>
            </w: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Authorized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100.0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shares</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w:t>
            </w:r>
          </w:p>
        </w:tc>
        <w:tc>
          <w:tcPr>
            <w:tcW w:w="25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68.1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shares</w:t>
            </w:r>
          </w:p>
        </w:tc>
      </w:tr>
    </w:tbl>
    <w:p>
      <w:pPr>
        <w:spacing w:after="0" w:line="36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fiscal 1995, The Scotts Company merged with Stern’s Miracle-Gro Products, Inc. (“Miracle-Gro”). At September 30, 2019, the former shareholders of Miracle-Gro, including the Hagedorn Partnership, L.P., owned approximately 26% of Scotts Miracle-Gro’s outstanding Common Shares on a fully diluted basis and, thus, have the ability to significantly influence the election of directors and other actions requiring the approval of Scotts Miracle-Gro’s shareholders.</w:t>
      </w:r>
    </w:p>
    <w:p>
      <w:pPr>
        <w:spacing w:after="0" w:line="9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Accumulated Other Comprehensive Loss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2019, the Company recognized a charge of $2.5 million in the “Other non-operating (income) expense, net” line in the Consolidated Statements of Operations related to the write-off of accumulated foreign currency translation loss adjustments of a foreign subsidiary that was substantially liquidated. During the second quarter of fiscal 2018, the Company repatriated cash from a foreign subsidiary resulting in the liquidation of substantially all of the assets of the subsidiary and the write-off of accumulated foreign currency translation loss adjustments of $11.7 million within the “Other non-operating (income) expense, net” line in the Consolidated Statements of Operations.</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August 6, 2018, Scotts Miracle-Gro announced that its Board of Directors approved an increase in the Company’s quarterly cash dividend from $0.53 to $0.55 per Common Share. On July 30, 2019, the Scotts Miracle-Gro Board of Directors approved an additional increase in the Company’s quarterly cash dividend from $0.55 to $0.58 per Common Share.</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Repurchases</w:t>
      </w:r>
    </w:p>
    <w:p>
      <w:pPr>
        <w:spacing w:after="0" w:line="1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August 2014, Scotts Miracle-Gro announced that its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On August 2, 2019, the Scotts Miracle-Gro Board of Directors authorized an extension of the current share repurchase authorization through March 28, 2020. The amended authorization allows for repurchases of Common Shares of up to an aggregate amount of $1.0 billion through March 28, 2020.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the program during fiscal 2019. During fiscal 2018 and fiscal 2017, Scotts Miracle-Gro repurchased 3.5 million and 2.7 million Common Shares for $323.1 million and $245.8 million, respectively. From the inception of this share repurchase program in the fourth quarter of fiscal 2014 through September 30, 2019, Scotts Miracle-Gro repurchased approximately 8.3 million Common Shares for $714.6 million. The “Treasury share purchases” lines in the Consolidated Statements of Shareholders’ Equity includes cash paid to tax authorities to satisfy statutory income tax</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7" w:right="2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withholding obligations related to share-based compensation of $2.7 million, $3.0 million and $9.2 million for fiscal 2019, fiscal 2018 and fiscal 2017, respectively.</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 of Sunlight Supply</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June 4, 2018, Scotts Miracle-Gro issued 0.3 million Common Shares, which represented a carrying value of $20.7 million, out of its treasury shares for payment of a portion of the purchase price for the acquisition of Sunlight Supply.</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Gavita</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Consolidated Balance Sheets.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Exercise of Outstanding AeroGrow Warrants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$40.5 million distribution ($1.21 per share) payable on January 3, 2017 to shareholders of record on December 20, 2016. On January 3, 2017, AeroGrow paid a distribution of $8.1 million to its noncontrolling interest holders.</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Generally, employee share-based awards provide for three-year cliff vesting. Vesting for non-employee director awards is generally one year from the time of the award. Vesting of performance-based awards is dependent on service and achievement of specified performance targets. Share-based awards are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to 20% of its share-based awards will be forfeited based on an analysis of historical trends. This assumption is re-evaluated on an annual basis and adjusted as appropriate. Stock options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0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January 30, 2017, the Company issued 0.5 million upfront performance-based award units, covering a five-year performance period, with an estimated fair value of $43.3 million on the date of grant to certain senior executives as part of its Project Focus initiative. These awards provide for a five-year vesting period based on achievement of specific performance goals aligned with the strategic objectives of the Company’s Project Focus initiatives. Based on the extent to which the targets are achieved, vested shares may range from 50 to 250 percent of the target award amount. The performance goals include a combination of five year cumulative operating cash flow less capital expenditures; five year average annual non-GAAP diluted EPS growth; and dividend yield. The Company assesses the probability of achievement of performance goals each period and records expense for the awards based on the probable achievement of such metrics. Performance-based award units accrue cash dividend equivalents that are payable upon vesting of the awards.</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October 30, 2017, the Company issued 0.2 million upfront performance-based award units (the “Hawthorne PFAs”), covering a four-year performance period, with an estimated fair value of $20.2 million on the date of grant to certain Hawthorne segment employees as part of its Project Focus initiative. The Hawthorne PFAs were to vest after approximately four years subject to the achievement of specific performance goals aligned with the strategic objectives of the Company’s Project Focus initiatives. Based on the extent to which the performance goals were achieved, vested shares were to range from 50 to 250 percent of the target award amount. The performance goals were based on cumulative Hawthorne non-GAAP adjusted earnings. The Hawthorne PFAs were to accrue cash dividend equivalents payable upon vesting of the awards. During the first quarter of fiscal 2019, in light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7"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Hawthorne’s acquisition of Sunlight Supply and the fiscal 2018 downturn in the Hawthorne business, the Company authorized the cancellation of the Hawthorne PFAs and the issuance of a one-time performance bonus grant for certain Hawthorne segment employees with targets based on specified levels of Hawthorne non-GAAP adjusted earnings, subject to participant consent. The Company issued 0.1 million one-time performance bonus award units to Hawthorne segment employees during fiscal 2019.</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maximum of 7.3 million Common Shares are available for issuance under share-based award plans. At September 30, 2019, approximately 3.0 million Common Shares were not subject to outstanding awards and were available to underlie the grant of new share-based awards. Common Shares held in treasury totaling 0.5 million, 0.4 million and 0.5 million were reissued in support of share-based compensation awards and employee purchases under the employee stock purchase plan during fiscal 2019, fiscal 2018 and fiscal 2017, respectively.</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share-based awards granted during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166,534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198,807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109,708</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Performance units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131,644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246,430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487,809</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of Directors</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stock units</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25,858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24,291</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share-based awards</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330,279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471,095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621,808</w:t>
            </w:r>
          </w:p>
        </w:tc>
      </w:tr>
      <w:tr>
        <w:trPr>
          <w:trHeight w:val="67"/>
        </w:trPr>
        <w:tc>
          <w:tcPr>
            <w:tcW w:w="57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305"/>
        </w:trPr>
        <w:tc>
          <w:tcPr>
            <w:tcW w:w="57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fair value at grant dates (in millions)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57.8</w:t>
            </w:r>
          </w:p>
        </w:tc>
      </w:tr>
    </w:tbl>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40.5</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recognized</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9.8</w:t>
            </w:r>
          </w:p>
        </w:tc>
      </w:tr>
    </w:tbl>
    <w:p>
      <w:pPr>
        <w:spacing w:after="0" w:line="36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tax benefit realized from the tax deductions associated with the exercise of share-based awards and the vesting of restricted stock totaled $2.8 million for fiscal 2019.</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stock option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vMerge w:val="restart"/>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2018</w:t>
            </w:r>
          </w:p>
        </w:tc>
        <w:tc>
          <w:tcPr>
            <w:tcW w:w="48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1,217,092</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820" w:type="dxa"/>
            <w:vAlign w:val="bottom"/>
          </w:tcPr>
          <w:p>
            <w:pPr>
              <w:spacing w:after="0"/>
              <w:rPr>
                <w:sz w:val="21"/>
                <w:szCs w:val="21"/>
                <w:color w:val="auto"/>
              </w:rPr>
            </w:pPr>
          </w:p>
        </w:tc>
        <w:tc>
          <w:tcPr>
            <w:tcW w:w="2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820" w:type="dxa"/>
            <w:vAlign w:val="bottom"/>
          </w:tcPr>
          <w:p>
            <w:pPr>
              <w:spacing w:after="0"/>
              <w:rPr>
                <w:sz w:val="21"/>
                <w:szCs w:val="21"/>
                <w:color w:val="auto"/>
              </w:rPr>
            </w:pPr>
          </w:p>
        </w:tc>
        <w:tc>
          <w:tcPr>
            <w:tcW w:w="2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2019</w:t>
            </w:r>
          </w:p>
        </w:tc>
        <w:tc>
          <w:tcPr>
            <w:tcW w:w="28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862,388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w:t>
            </w:r>
          </w:p>
        </w:tc>
        <w:tc>
          <w:tcPr>
            <w:tcW w:w="28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vMerge w:val="continue"/>
          </w:tcPr>
          <w:p>
            <w:pPr>
              <w:spacing w:after="0"/>
              <w:rPr>
                <w:sz w:val="20"/>
                <w:szCs w:val="20"/>
                <w:color w:val="auto"/>
              </w:rPr>
            </w:pPr>
          </w:p>
        </w:tc>
        <w:tc>
          <w:tcPr>
            <w:tcW w:w="48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862,388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675"/>
        </w:trPr>
        <w:tc>
          <w:tcPr>
            <w:tcW w:w="4380" w:type="dxa"/>
            <w:vAlign w:val="bottom"/>
          </w:tcPr>
          <w:p>
            <w:pPr>
              <w:spacing w:after="0"/>
              <w:rPr>
                <w:sz w:val="24"/>
                <w:szCs w:val="24"/>
                <w:color w:val="auto"/>
              </w:rPr>
            </w:pPr>
          </w:p>
        </w:tc>
        <w:tc>
          <w:tcPr>
            <w:tcW w:w="28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97</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September 30, 2019, the total pre-tax compensation cost, net of estimated forfeitures, related to nonvested stock options not yet recognized was zero. The total intrinsic value of stock options exercised was $17.5 million, $17.2 million and $14.5 million during fiscal 2019, fiscal 2018 and fiscal 2017, respectively. Cash received from the exercise of stock options, including amounts received from employee purchases under the employee stock purchase plan, was $21.4 million, $10.5 million and $11.0 million for fiscal 2019, fiscal 2018 and fiscal 2017, respectively. The following summarizes certain information pertaining to stock option awards outstanding and exercisable at September 30, 2019 (options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22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1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114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22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$45.32 – $49.19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$63.43 – $68.68</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intrinsic values of the stock option awards outstanding and exercisable at September 30, 2019 were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36.5</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w:t>
            </w: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36.5</w:t>
            </w:r>
          </w:p>
        </w:tc>
      </w:tr>
    </w:tbl>
    <w:p>
      <w:pPr>
        <w:spacing w:after="0" w:line="36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No stock options were granted in fiscal 2019, fiscal 2018 or fiscal 2017.</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300" w:type="dxa"/>
            <w:vAlign w:val="bottom"/>
            <w:vMerge w:val="restart"/>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2018</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403,440</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76.46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September 30, 2019</w:t>
            </w:r>
          </w:p>
        </w:tc>
        <w:tc>
          <w:tcPr>
            <w:tcW w:w="1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488,409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At September 30, 2019, the total pre-tax compensation cost, net of estimated forfeitures, related to nonvested restricted share units not yet recognized was $10.2 million, which is expected to be recognized over a weighted-average period of 1.8 years. The total fair value of restricted stock units and deferred stock units vested was $6.3 million during fiscal 2019 and fiscal 2018 and $8.7 million during fiscal 2017.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17"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w w:val="94"/>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7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2018</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755,807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92.96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68.68</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(183,005)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2019</w:t>
            </w:r>
          </w:p>
        </w:tc>
        <w:tc>
          <w:tcPr>
            <w:tcW w:w="1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At September 30, 2019, the total pre-tax compensation cost, net of estimated forfeitures, related to nonvested performance-based units not yet recognized was $26.6 million, which is expected to be recognized over a weighted-average period of 2.1 years. The total fair value of performance-based units vested was $3.9 million, $3.4 million and $8.8 million during fiscal 2019, fiscal 2018 and fiscal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COMMON SHARE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income per Common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60" w:type="dxa"/>
            <w:vAlign w:val="bottom"/>
            <w:gridSpan w:val="6"/>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controlling interest from continuing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BASIC INCOME PER COMMON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6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during the period</w:t>
            </w:r>
          </w:p>
        </w:tc>
        <w:tc>
          <w:tcPr>
            <w:tcW w:w="9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INCOME PER COMMON SHARE:</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during the period</w:t>
            </w:r>
          </w:p>
        </w:tc>
        <w:tc>
          <w:tcPr>
            <w:tcW w:w="960" w:type="dxa"/>
            <w:vAlign w:val="bottom"/>
          </w:tcPr>
          <w:p>
            <w:pPr>
              <w:spacing w:after="0"/>
              <w:rPr>
                <w:sz w:val="20"/>
                <w:szCs w:val="20"/>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5"/>
        </w:trPr>
        <w:tc>
          <w:tcPr>
            <w:tcW w:w="674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9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outstanding and dilutive potential Common Shares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9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There were no Common Shares covered by out-of-the-money options for the year ended September 30, 2019, 2018 or 2017.</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17" w:right="2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 (benefit) for income taxes allocated to continuing operations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domestic and foreign components of income from continuing operations before income taxes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from continuing operations before income taxes is summarized below:</w:t>
      </w:r>
    </w:p>
    <w:p>
      <w:pPr>
        <w:spacing w:after="0" w:line="10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24765</wp:posOffset>
            </wp:positionV>
            <wp:extent cx="31045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gridSpan w:val="2"/>
          </w:tcPr>
          <w:p>
            <w:pPr>
              <w:ind w:left="7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Domestic Production Activities Deduction permanent difference</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tax reform</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27"/>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December 22, 2017, the Act was signed into law. The Act made broad and complex changes to the Code that affected the Company’s financial results in two primary ways.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First, effective January 1, 2018, the Act reduced the U.S. federal corporate statutory income tax rate from 35% to 21%. As the Company’s fiscal year end falls on September 30, the federal corporate statutory tax rate for fiscal 2018 was prorated to 24.5%, with the statutory rate for fiscal 2019 and beyond at 21%. As a result of the lower tax rate, the Company remeasured its U.S. deferred tax assets and liabilities based on the rates at which they are expected to reverse in the future and recognized a one-time $44.6 million net tax benefit adjustment reflecting the revaluation of its net deferred tax liability at the lower tax rate.</w:t>
      </w:r>
    </w:p>
    <w:p>
      <w:pPr>
        <w:sectPr>
          <w:pgSz w:w="11900" w:h="16838" w:orient="portrait"/>
          <w:cols w:equalWidth="0" w:num="1">
            <w:col w:w="11420"/>
          </w:cols>
          <w:pgMar w:left="240" w:top="117" w:right="239" w:bottom="1141"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420"/>
          </w:cols>
          <w:pgMar w:left="240" w:top="117" w:right="239" w:bottom="1141"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Second, due to the move to a territorial tax system, the Act required companies to pay a mandatory one-time U.S. transition tax on deemed repatriation of certain undistributed earnings of foreign subsidiaries. The Company recorded a provisional U.S. transition tax of $21.2 million for the year ended September 30, 2018 based on $97.8 million of undistributed earnings of foreign subsidiaries. This expense was largely offset by $18.2 million of foreign tax credits, $0.5 million of which was carried forward from prior periods and offset by a full valuation allowance. The transitional impact was finalized during the fiscal year ended September 30, 2019, with no material change to tax expense.</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the Act established new tax provisions that became effective for the Company beginning October 1, 2018, including (1) eliminating the U.S. manufacturing deduction; (2) establishing new limitations on deductible interest expense and certain executive compensation; (3) creating the base erosion anti-abuse tax (“BEAT”); (4) creating a new provision designed to tax global intangible low-tax income (“GILTI”); (5) establishing a deduction for foreign-derived intangible income (“FDII”); and (6) generally eliminating U.S. federal income taxes on dividends from foreign subsidiaries. The net effects of these provisions of the Act were immaterial to the Company’s tax provision for the year ended September 30, 2019.</w:t>
      </w:r>
    </w:p>
    <w:p>
      <w:pPr>
        <w:spacing w:after="0" w:line="13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Postretirement benefits</w:t>
            </w:r>
          </w:p>
        </w:tc>
        <w:tc>
          <w:tcPr>
            <w:tcW w:w="9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NOL carryovers</w:t>
            </w:r>
          </w:p>
        </w:tc>
        <w:tc>
          <w:tcPr>
            <w:tcW w:w="9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NOL carryovers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NOL carryovers</w:t>
            </w:r>
          </w:p>
        </w:tc>
        <w:tc>
          <w:tcPr>
            <w:tcW w:w="9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tax credit carryovers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9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91.1</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Outside basis difference in equity investments</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9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$35.8 million and $33.6 million of deferred tax assets as of September 30, 2019 and 2018, respectively. Most of these valuation allowances relate to certain credits and net operating losses (“NOLs”), as explained further below.</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Deferred tax assets related to foreign NOLs of certain controlled foreign corporations were $4.6 million as of September 30, 2019, the majority of which have indefinite carryforward periods. Due to a history of losses in many of these entities, a valuation allowance has been established against $4.0 million of these deferred tax assets. A valuation allowance has also been established against deferred tax assets related to other foreign items of $1.8 million.</w:t>
      </w:r>
    </w:p>
    <w:p>
      <w:pPr>
        <w:sectPr>
          <w:pgSz w:w="11900" w:h="16838" w:orient="portrait"/>
          <w:cols w:equalWidth="0" w:num="1">
            <w:col w:w="11420"/>
          </w:cols>
          <w:pgMar w:left="240" w:top="117"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20"/>
          </w:cols>
          <w:pgMar w:left="240" w:top="117" w:right="2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Foreign tax credits were $16.8 million and $16.4 million at September 30, 2019 and 2018, respectively. A full valuation allowance has been established against these foreign tax credits as the Company does not expect to utilize them prior to their expiration.</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Certain federal NOLs are subject to limitation under IRC §382 from current and prior ownership changes. The Company determined that $10.5 million of these deferred tax assets will expire unutilized due to the closing of statutes of limitation and has established a valuation allowance accordingly. The Company estimates that $0.4 million of deferred tax assets will be available for utilization in tax years ending after September 30, 2019. These remaining NOLs will be utilized gradually through the tax year ending September 30, 2032.</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Deferred tax assets related to state NOLs were $2.1 million as of September 30, 2019, with carryforward periods ranging from 5 to 20 years. Any losses not utilized within a specific state’s carryforward period will expire. A valuation allowance was recorded against $1.5 million of these deferred tax assets as of September 30, 2019 for state NOLs that the Company does not expect to realize within their respective carryforward periods. Tax benefits associated with state tax credits will also expire if not utilized and amounted to $1.7 million and $1.4 million at September 30, 2019 and 2018, respectively. A valuation allowance in the amount of $1.2 million has been established related to state credits the Company does not expect to utilize.</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maintains its assertions of indefinite reinvestment of the earnings of all material foreign subsidiaries with the exception of the cumulative earnings of Scotts Luxembourg Sarl, which are generally taxed on a current basis under “Subpart F” of the Code which prevents deferral of recognition of U.S. taxable income through the use of foreign entities.</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had $29.5 million, $13.9 million and $10.2 million of gross unrecognized tax benefits related to uncertain tax positions at September 30, 2019, 2018 and 2017, respectively. Of these amounts, $6.7 million, $4.8 million and $0.7 million of gross unrecognized tax benefits are related to discontinued operations at September 30, 2019, 2018 and 2017, respectively. Included in the September 30, 2019, 2018 and 2017 balances were $25.2 million, $12.6 million and $8.5 million, respectively, of unrecognized tax benefits that, if recognized, would have an impact on the effective tax rate.</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statutes of limitation</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continues to recognize accrued interest and penalties related to unrecognized tax benefits as a component of the provision for income taxes. As of September 30, 2019, 2018 and 2017, the Company had $2.1 million, $1.5 million and $1.1 million, respectively, accrued for the payment of interest that, if recognized, would impact the effective tax rate. As of September 30, 2019, 2018 and 2017, the Company had $0.4 million, $0.4 million and $0.4 million, respectively, accrued for the payment of penalties.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Scotts Miracle-Gro Company or one of its subsidiaries files income tax returns in the U.S. federal jurisdiction and various state, local and foreign jurisdictions. There are currently no ongoing audits with respect to the U.S. federal or foreign jurisdictions. Subject to the following exceptions, the Company is no longer subject to examination by these tax authorities for fiscal years prior to 2016. The Company is currently under examination by certain U.S. state and local tax authorities covering various periods from fiscal years 2012 through 2018. In addition to the aforementioned audits, certain other tax deficiency notices and refund claims for previous years remain unresolved.</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17"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the resolution of these tax matters or any events related thereto will result in a material change to its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DERIVATIVE INSTRUMENTS AND HEDGING ACTIVITIES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The notional amount of outstanding currency forward contracts was $120.0 million and $117.2 million at September 30, 2019 and 2018, respectively. Contracts outstanding at September 30, 2019 will mature over the next fiscal quarter.</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AOCI within the Consolidated Balance Sheets.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$850.0 million and $800.0 million at September 30, 2019 and 2018, respectively. Refer to “NOTE 12. DEBT” for the terms of the swap agreements outstanding at September 30, 2019. Included in the AOCI balance at September 30, 2019 was a loss of $4.2 million related to interest rate swap agreements that is expected to be reclassified to earnings during the next twelve months, consistent with the timing of the underlying hedged transactions.</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diesel and resin requirements. These financial instruments are carried at fair value within the Consolidated Balance Sheets. Changes in the fair value of derivative contracts that qualify for hedge accounting are recorded in AOCI. Realized gains or losses remain as a component of AOCI until the related inventory is sold. Upon sale of the underlying inventory, the gain or loss is reclassified to cost of sales. Changes in the fair value of derivatives that do not qualify for hedge accounting are recorded as an element of cost of sales. Included in the AOCI balance at September 30, 2019 was a loss of $0.1 million related to commodity hedges that is expected to be reclassified to earnings during the next twelve months, consistent with the timing of the underlying hedged transactions.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70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tcBorders>
              <w:bottom w:val="single" w:sz="8" w:color="auto"/>
            </w:tcBorders>
          </w:tcPr>
          <w:p>
            <w:pPr>
              <w:spacing w:after="0"/>
              <w:rPr>
                <w:sz w:val="16"/>
                <w:szCs w:val="16"/>
                <w:color w:val="auto"/>
              </w:rPr>
            </w:pPr>
          </w:p>
        </w:tc>
      </w:tr>
      <w:tr>
        <w:trPr>
          <w:trHeight w:val="264"/>
        </w:trPr>
        <w:tc>
          <w:tcPr>
            <w:tcW w:w="3260" w:type="dxa"/>
            <w:vAlign w:val="bottom"/>
          </w:tcPr>
          <w:p>
            <w:pPr>
              <w:spacing w:after="0"/>
              <w:rPr>
                <w:sz w:val="22"/>
                <w:szCs w:val="22"/>
                <w:color w:val="auto"/>
              </w:rPr>
            </w:pPr>
          </w:p>
        </w:tc>
        <w:tc>
          <w:tcPr>
            <w:tcW w:w="6020" w:type="dxa"/>
            <w:vAlign w:val="bottom"/>
            <w:gridSpan w:val="2"/>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2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394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Urea</w:t>
            </w:r>
          </w:p>
        </w:tc>
        <w:tc>
          <w:tcPr>
            <w:tcW w:w="3940" w:type="dxa"/>
            <w:vAlign w:val="bottom"/>
          </w:tcPr>
          <w:p>
            <w:pPr>
              <w:spacing w:after="0"/>
              <w:rPr>
                <w:sz w:val="21"/>
                <w:szCs w:val="21"/>
                <w:color w:val="auto"/>
              </w:rPr>
            </w:pPr>
          </w:p>
        </w:tc>
        <w:tc>
          <w:tcPr>
            <w:tcW w:w="27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78,500 tons</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88,000 tons</w:t>
            </w:r>
          </w:p>
        </w:tc>
      </w:tr>
      <w:tr>
        <w:trPr>
          <w:trHeight w:val="27"/>
        </w:trPr>
        <w:tc>
          <w:tcPr>
            <w:tcW w:w="3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Resin</w:t>
            </w:r>
          </w:p>
        </w:tc>
        <w:tc>
          <w:tcPr>
            <w:tcW w:w="39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14,900,000 pounds</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Diesel</w:t>
            </w:r>
          </w:p>
        </w:tc>
        <w:tc>
          <w:tcPr>
            <w:tcW w:w="3940" w:type="dxa"/>
            <w:vAlign w:val="bottom"/>
          </w:tcPr>
          <w:p>
            <w:pPr>
              <w:spacing w:after="0"/>
              <w:rPr>
                <w:sz w:val="21"/>
                <w:szCs w:val="21"/>
                <w:color w:val="auto"/>
              </w:rPr>
            </w:pPr>
          </w:p>
        </w:tc>
        <w:tc>
          <w:tcPr>
            <w:tcW w:w="27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4,956,000 gallons</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5,460,000 gallons</w:t>
            </w:r>
          </w:p>
        </w:tc>
      </w:tr>
      <w:tr>
        <w:trPr>
          <w:trHeight w:val="27"/>
        </w:trPr>
        <w:tc>
          <w:tcPr>
            <w:tcW w:w="3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Heating Oil</w:t>
            </w:r>
          </w:p>
        </w:tc>
        <w:tc>
          <w:tcPr>
            <w:tcW w:w="39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1,344,000 gallons</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1,218,000 gallons</w:t>
            </w:r>
          </w:p>
        </w:tc>
      </w:tr>
      <w:tr>
        <w:trPr>
          <w:trHeight w:val="648"/>
        </w:trPr>
        <w:tc>
          <w:tcPr>
            <w:tcW w:w="3260" w:type="dxa"/>
            <w:vAlign w:val="bottom"/>
          </w:tcPr>
          <w:p>
            <w:pPr>
              <w:spacing w:after="0"/>
              <w:rPr>
                <w:sz w:val="24"/>
                <w:szCs w:val="24"/>
                <w:color w:val="auto"/>
              </w:rPr>
            </w:pPr>
          </w:p>
        </w:tc>
        <w:tc>
          <w:tcPr>
            <w:tcW w:w="394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rPr>
              <w:t>103</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90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50"/>
        </w:trPr>
        <w:tc>
          <w:tcPr>
            <w:tcW w:w="4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70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Borders>
              <w:bottom w:val="single" w:sz="8" w:color="auto"/>
            </w:tcBorders>
          </w:tcPr>
          <w:p>
            <w:pPr>
              <w:spacing w:after="0"/>
              <w:rPr>
                <w:sz w:val="21"/>
                <w:szCs w:val="21"/>
                <w:color w:val="auto"/>
              </w:rPr>
            </w:pPr>
          </w:p>
        </w:tc>
      </w:tr>
      <w:tr>
        <w:trPr>
          <w:trHeight w:val="264"/>
        </w:trPr>
        <w:tc>
          <w:tcPr>
            <w:tcW w:w="46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22"/>
                <w:szCs w:val="22"/>
                <w:color w:val="auto"/>
              </w:rPr>
            </w:pPr>
          </w:p>
        </w:tc>
      </w:tr>
      <w:tr>
        <w:trPr>
          <w:trHeight w:val="25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660" w:type="dxa"/>
            <w:vAlign w:val="bottom"/>
          </w:tcPr>
          <w:p>
            <w:pPr>
              <w:spacing w:after="0"/>
              <w:rPr>
                <w:sz w:val="21"/>
                <w:szCs w:val="21"/>
                <w:color w:val="auto"/>
              </w:rPr>
            </w:pPr>
          </w:p>
        </w:tc>
        <w:tc>
          <w:tcPr>
            <w:tcW w:w="3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spacing w:after="0"/>
              <w:rPr>
                <w:sz w:val="21"/>
                <w:szCs w:val="21"/>
                <w:color w:val="auto"/>
              </w:rPr>
            </w:pPr>
          </w:p>
        </w:tc>
        <w:tc>
          <w:tcPr>
            <w:tcW w:w="3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4660" w:type="dxa"/>
            <w:vAlign w:val="bottom"/>
          </w:tcPr>
          <w:p>
            <w:pPr>
              <w:spacing w:after="0"/>
              <w:rPr>
                <w:sz w:val="21"/>
                <w:szCs w:val="21"/>
                <w:color w:val="auto"/>
              </w:rPr>
            </w:pPr>
          </w:p>
        </w:tc>
        <w:tc>
          <w:tcPr>
            <w:tcW w:w="3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5"/>
        </w:trPr>
        <w:tc>
          <w:tcPr>
            <w:tcW w:w="4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5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2"/>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3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4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6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derivatives</w:t>
            </w:r>
          </w:p>
        </w:tc>
        <w:tc>
          <w:tcPr>
            <w:tcW w:w="3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effect of derivative instruments on AOCI and the Consolidated Statements of Operations for the years ended September 30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Amount Of Gain / (Loss)</w:t>
            </w:r>
          </w:p>
        </w:tc>
      </w:tr>
      <w:tr>
        <w:trPr>
          <w:trHeight w:val="195"/>
        </w:trPr>
        <w:tc>
          <w:tcPr>
            <w:tcW w:w="41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Recognized In AOCI</w:t>
            </w:r>
          </w:p>
        </w:tc>
      </w:tr>
      <w:tr>
        <w:trPr>
          <w:trHeight w:val="264"/>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4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2"/>
                <w:szCs w:val="22"/>
                <w:color w:val="auto"/>
              </w:rPr>
            </w:pPr>
          </w:p>
        </w:tc>
      </w:tr>
      <w:tr>
        <w:trPr>
          <w:trHeight w:val="255"/>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70"/>
        </w:trPr>
        <w:tc>
          <w:tcPr>
            <w:tcW w:w="4100" w:type="dxa"/>
            <w:vAlign w:val="bottom"/>
          </w:tcPr>
          <w:p>
            <w:pPr>
              <w:spacing w:after="0"/>
              <w:rPr>
                <w:sz w:val="24"/>
                <w:szCs w:val="24"/>
                <w:color w:val="auto"/>
              </w:rPr>
            </w:pPr>
          </w:p>
        </w:tc>
        <w:tc>
          <w:tcPr>
            <w:tcW w:w="426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Reclassified From AOCI Into</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426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2"/>
                <w:szCs w:val="22"/>
                <w:color w:val="auto"/>
              </w:rPr>
            </w:pPr>
          </w:p>
        </w:tc>
      </w:tr>
      <w:tr>
        <w:trPr>
          <w:trHeight w:val="255"/>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70"/>
        </w:trPr>
        <w:tc>
          <w:tcPr>
            <w:tcW w:w="4100" w:type="dxa"/>
            <w:vAlign w:val="bottom"/>
          </w:tcPr>
          <w:p>
            <w:pPr>
              <w:spacing w:after="0"/>
              <w:rPr>
                <w:sz w:val="24"/>
                <w:szCs w:val="24"/>
                <w:color w:val="auto"/>
              </w:rPr>
            </w:pPr>
          </w:p>
        </w:tc>
        <w:tc>
          <w:tcPr>
            <w:tcW w:w="426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26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2"/>
                <w:szCs w:val="22"/>
                <w:color w:val="auto"/>
              </w:rPr>
            </w:pPr>
          </w:p>
        </w:tc>
      </w:tr>
      <w:tr>
        <w:trPr>
          <w:trHeight w:val="255"/>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420"/>
          </w:cols>
          <w:pgMar w:left="240" w:top="117" w:right="2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included in Level 1, such as quoted prices for similar assets and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similar assets and liabilities in markets that are not active; or other inputs that are observable or can be corroborated by observable market data.</w:t>
      </w:r>
    </w:p>
    <w:p>
      <w:pPr>
        <w:spacing w:after="0" w:line="3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pricing models, discounted cash flow methodologies and similar techniques that use significant unobservable inputs.</w:t>
      </w:r>
    </w:p>
    <w:p>
      <w:pPr>
        <w:spacing w:after="0" w:line="10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methodologies used for financial assets and liabilities measured or disclosed at fair value on a recurring basis, as well as the general classification within the valuation hierarchy.</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Equivalents</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Other assets include investment securities in non-qualified retirement plan assets and the Company’s option to increase its economic interest in Bonnie Plants, Inc. (the “Bonnie Option”). Other liabilities included the contingent consideration related to the acquisition of Sunlight Supply. Investment securities in non-qualified retirement plan assets are valued using observable market prices in active markets. The fair value of the Bonnie Option is determined using a simulation approach, whereby the total value of the loan receivable and optional exchange for additional equity is estimated considering a distribution of possible future cash flows discounted to present value using an appropriate discount rate.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9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Debt instruments are recorded at cost. The interest rate on borrowings under the Fifth A&amp;R Credit Agreement fluctuates in accordance with the terms of the Fifth A&amp;R Credit Agreement and thus the carrying value is a reasonable estimate of fair value. The fair values of the 5.250% Senior Notes and 6.000% Senior Notes were determined based on the trading of these Senior Notes in the open market. The difference between the carrying value and the fair value of the Senior Notes represents the premium or discount on that date. The interest rate on the short-term debt associated with accounts receivable pledged under the Receivables Facility fluctuates in accordance with the terms of the Receivables Facility and thus the carrying value is a reasonable estimate of fair value.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17" w:right="2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fair value of Company’s assets and liabilities for which disclosure of fair value is required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0" w:type="dxa"/>
            <w:vAlign w:val="bottom"/>
            <w:tcBorders>
              <w:bottom w:val="single" w:sz="8" w:color="auto"/>
            </w:tcBorders>
          </w:tcPr>
          <w:p>
            <w:pPr>
              <w:spacing w:after="0"/>
              <w:rPr>
                <w:sz w:val="20"/>
                <w:szCs w:val="20"/>
                <w:color w:val="auto"/>
              </w:rPr>
            </w:pPr>
          </w:p>
        </w:tc>
      </w:tr>
      <w:tr>
        <w:trPr>
          <w:trHeight w:val="151"/>
        </w:trPr>
        <w:tc>
          <w:tcPr>
            <w:tcW w:w="5500" w:type="dxa"/>
            <w:vAlign w:val="bottom"/>
          </w:tcPr>
          <w:p>
            <w:pPr>
              <w:spacing w:after="0"/>
              <w:rPr>
                <w:sz w:val="13"/>
                <w:szCs w:val="13"/>
                <w:color w:val="auto"/>
              </w:rPr>
            </w:pPr>
          </w:p>
        </w:tc>
        <w:tc>
          <w:tcPr>
            <w:tcW w:w="15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Fair Value Hierarchy</w:t>
            </w:r>
          </w:p>
        </w:tc>
        <w:tc>
          <w:tcPr>
            <w:tcW w:w="160" w:type="dxa"/>
            <w:vAlign w:val="bottom"/>
          </w:tcPr>
          <w:p>
            <w:pPr>
              <w:spacing w:after="0"/>
              <w:rPr>
                <w:sz w:val="13"/>
                <w:szCs w:val="13"/>
                <w:color w:val="auto"/>
              </w:rPr>
            </w:pPr>
          </w:p>
        </w:tc>
        <w:tc>
          <w:tcPr>
            <w:tcW w:w="760" w:type="dxa"/>
            <w:vAlign w:val="bottom"/>
          </w:tcPr>
          <w:p>
            <w:pPr>
              <w:jc w:val="right"/>
              <w:ind w:right="52"/>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80" w:type="dxa"/>
            <w:vAlign w:val="bottom"/>
          </w:tcPr>
          <w:p>
            <w:pPr>
              <w:spacing w:after="0"/>
              <w:rPr>
                <w:sz w:val="13"/>
                <w:szCs w:val="13"/>
                <w:color w:val="auto"/>
              </w:rPr>
            </w:pPr>
          </w:p>
        </w:tc>
        <w:tc>
          <w:tcPr>
            <w:tcW w:w="760" w:type="dxa"/>
            <w:vAlign w:val="bottom"/>
          </w:tcPr>
          <w:p>
            <w:pPr>
              <w:jc w:val="right"/>
              <w:ind w:right="52"/>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95"/>
        </w:trPr>
        <w:tc>
          <w:tcPr>
            <w:tcW w:w="5500" w:type="dxa"/>
            <w:vAlign w:val="bottom"/>
          </w:tcPr>
          <w:p>
            <w:pPr>
              <w:spacing w:after="0"/>
              <w:rPr>
                <w:sz w:val="16"/>
                <w:szCs w:val="16"/>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in non-qualified retirement plan assets</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Bonnie Option</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r>
      <w:tr>
        <w:trPr>
          <w:trHeight w:val="270"/>
        </w:trPr>
        <w:tc>
          <w:tcPr>
            <w:tcW w:w="5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instruments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facilities – revolving loans</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492.2</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790.0</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 – 5.250%</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239.4</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 – 6.000%</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411.0</w:t>
            </w: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facility</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3</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OPERATING LEASES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2019, were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w:t>
      </w:r>
    </w:p>
    <w:p>
      <w:pPr>
        <w:sectPr>
          <w:pgSz w:w="11900" w:h="16838" w:orient="portrait"/>
          <w:cols w:equalWidth="0" w:num="1">
            <w:col w:w="11420"/>
          </w:cols>
          <w:pgMar w:left="240" w:top="117"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420"/>
          </w:cols>
          <w:pgMar w:left="240" w:top="117" w:right="2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compensate the lessor if the leased asset cannot be sold for an amount in excess of a specified minimum value at the conclusion of the lease term. If all such vehicle leases had been canceled as of September 30, 2019, the Company’s residual value guarantee would have approximated $3.4 million.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 expense for fiscal 2019, fiscal 2018 and fiscal 2017 totaled $68.4 million, $62.5 million and $53.6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the following unconditional purchase obligations due during each of the next five fiscal years that have not been recognized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at September 30, 2019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w:t>
            </w: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the Company’s manufacturing processes, including urea and packaging, as well as commitments for warehouse services, grass seed and out-sourced information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CONTINGENCIES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At September 30, 2019, $3.9 million was accrued in the “Other liabilities” line in the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sale of wild bird food products that were the subject of a voluntary recall in 2008, the Company, along with its Chief Executive Officer, had been named as defendants in four actions filed on and after June 27, 2012, which were consolidated, and, on March 31, 2017, certified as a class action in the United States District Court for the Southern District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17" w:right="2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California as </w:t>
      </w:r>
      <w:r>
        <w:rPr>
          <w:rFonts w:ascii="Times New Roman" w:cs="Times New Roman" w:eastAsia="Times New Roman" w:hAnsi="Times New Roman"/>
          <w:sz w:val="18"/>
          <w:szCs w:val="18"/>
          <w:i w:val="1"/>
          <w:iCs w:val="1"/>
          <w:color w:val="auto"/>
        </w:rPr>
        <w:t>In re Morning Song Bird Food Litigation</w:t>
      </w:r>
      <w:r>
        <w:rPr>
          <w:rFonts w:ascii="Times New Roman" w:cs="Times New Roman" w:eastAsia="Times New Roman" w:hAnsi="Times New Roman"/>
          <w:sz w:val="18"/>
          <w:szCs w:val="18"/>
          <w:color w:val="auto"/>
        </w:rPr>
        <w:t>, Lead Case No. 3:12-cv-01592-JAH-AGS. The plaintiffs alleged various statutory and common law claims associated with the Company’s sale of wild bird food products and a plea agreement entered into in previously pending government proceedings associated with such sales. The plaintiffs alleged, among other things, a class action on behalf of all persons and entities in the United States who purchased certain bird food products. The plaintiffs asserted: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disputed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on June 11, 2019, the Court granted final approval of the settlement. The settlement became effective on July 12, 2019. During the second quarter of fiscal 2019, the Company paid $42.5 million to the settlement fund in accordance with the settlement agreement, and the final payment of $20.0 million was made during the fourth quarter of fiscal 2019. At September 30, 2019 and 2018, zero and $85.0 million, respectively, was accrued for a probable loss related to this matter in the “Other current liabilities” line in the Consolidated Balance Sheets. During fiscal 2019, the Company recognized a favorable adjustment of $22.5 million in the “Income (loss) from discontinued operations, net of tax” line in the Consolidated Statements of Operations as a result of the final resolution of the previously disclosed settlement agreement. In addition, during fiscal 2019, the Company recognized insurance recoveries of $13.4 million related to this matter in the “Income (loss) from discontinued operations, net of tax” line in the Consolidated Statements of Operations.</w:t>
      </w:r>
    </w:p>
    <w:p>
      <w:pPr>
        <w:spacing w:after="0" w:line="6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Company was named as a defendant in </w:t>
      </w:r>
      <w:r>
        <w:rPr>
          <w:rFonts w:ascii="Times New Roman" w:cs="Times New Roman" w:eastAsia="Times New Roman" w:hAnsi="Times New Roman"/>
          <w:sz w:val="18"/>
          <w:szCs w:val="18"/>
          <w:i w:val="1"/>
          <w:iCs w:val="1"/>
          <w:color w:val="auto"/>
        </w:rPr>
        <w:t>In re Scotts EZ Seed Litigation</w:t>
      </w:r>
      <w:r>
        <w:rPr>
          <w:rFonts w:ascii="Times New Roman" w:cs="Times New Roman" w:eastAsia="Times New Roman" w:hAnsi="Times New Roman"/>
          <w:sz w:val="18"/>
          <w:szCs w:val="18"/>
          <w:color w:val="auto"/>
        </w:rPr>
        <w:t>, Case No. 12-cv-4727 (VB), a New York and California class action lawsuit filed August 9, 2012 in the United States District Court for the Southern District of New York that asserted claims under false advertising and other legal theories based on a marketing statement on the Company’s EZ Seed grass seed product from 2009 to 2012. The plaintiffs sought, on behalf of themselves and purported class members, various forms of monetary and non-monetary relief, including statutory damages that they contend could amount to hundreds of millions of dollars. The Company defended the action vigorously, and disputed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required the Company to pay certain attorneys’ and administrative fees and provide certain payments to the class members. The preliminary settlement was approved by the court on December 19, 2018. This case is now settled and the Company made final payment of the claims made by class members during the second quarter of fiscal 2019. At September 30, 2019 and 2018, zero and $11.7 million, respectively, was accrued for a probable loss related to this matter in the “Other current liabilities” line in the Consolidated Balance Sheets. During fiscal 2019, the Company recognized a favorable adjustment of $0.4 million related to this matter in the “Impairment, restructuring and other” line in the Consolidated Statements of Operations as a result of the final payment of the claims made by class members.</w:t>
      </w:r>
    </w:p>
    <w:p>
      <w:pPr>
        <w:spacing w:after="0" w:line="14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INFORMATION</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5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17" w:right="2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2,281.1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Hawthorne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3,156.0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Segment Profit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527.8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Hawthorne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Segment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67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Equity in income (loss) of unconsolidated affiliates </w:t>
            </w:r>
            <w:r>
              <w:rPr>
                <w:rFonts w:ascii="Times New Roman" w:cs="Times New Roman" w:eastAsia="Times New Roman" w:hAnsi="Times New Roman"/>
                <w:sz w:val="25"/>
                <w:szCs w:val="25"/>
                <w:color w:val="auto"/>
                <w:vertAlign w:val="superscript"/>
              </w:rPr>
              <w:t>(a)</w:t>
            </w: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Hawthorne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1"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equity in income (loss) of unconsolidated affiliates for fiscal 2017 are charges of $25.2 million, which represent the Company’s share of restructuring and other charges incurred by the TruGreen Joint Venture.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Consumer</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9"/>
              </w:rPr>
              <w:t>1,765.1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1,702.2</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Hawthorne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978.6</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161.3</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212.4</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99"/>
              </w:rPr>
              <w:t>3,028.7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3,054.5</w:t>
            </w:r>
          </w:p>
        </w:tc>
      </w:tr>
      <w:tr>
        <w:trPr>
          <w:trHeight w:val="27"/>
        </w:trPr>
        <w:tc>
          <w:tcPr>
            <w:tcW w:w="8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420"/>
          </w:cols>
          <w:pgMar w:left="240" w:top="117" w:right="239" w:bottom="144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Consumer:</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Growing media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Lawn care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marketing agreement</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primarily gardening and landscape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Hawthorne: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Indoor, urban and hydroponic gardening</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Growing media</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Lawn care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3,156.0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three largest customers accounted for the following percentages of net sales for the fiscal years ended September 30:</w:t>
      </w:r>
    </w:p>
    <w:p>
      <w:pPr>
        <w:spacing w:after="0" w:line="23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Home Depot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Lowe’s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Walmart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5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Accounts receivable for these three largest customers as a percentage of consolidated accounts receivable were 61% and 57% as of September 30, 2019 and 2018,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2,851.9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2,375.5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2,385.1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257.0</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3,156.0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2,642.1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than the United States, no other country accounted for more than 10% of the Company’s net sales for any period presented above.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long-lived assets (property, plant and equipment and finite-lived intangibles) by geographic area: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jc w:val="right"/>
              <w:ind w:right="6690"/>
              <w:spacing w:after="0"/>
              <w:rPr>
                <w:sz w:val="20"/>
                <w:szCs w:val="20"/>
                <w:color w:val="auto"/>
              </w:rPr>
            </w:pPr>
            <w:r>
              <w:rPr>
                <w:rFonts w:ascii="Times New Roman" w:cs="Times New Roman" w:eastAsia="Times New Roman" w:hAnsi="Times New Roman"/>
                <w:sz w:val="18"/>
                <w:szCs w:val="18"/>
                <w:color w:val="auto"/>
              </w:rPr>
              <w:t>Long-lived assets:</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jc w:val="right"/>
              <w:ind w:right="667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789.8</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jc w:val="right"/>
              <w:ind w:right="673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162.7</w:t>
            </w:r>
          </w:p>
        </w:tc>
      </w:tr>
      <w:tr>
        <w:trPr>
          <w:trHeight w:val="237"/>
        </w:trPr>
        <w:tc>
          <w:tcPr>
            <w:tcW w:w="812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952.5</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898"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420"/>
          </w:cols>
          <w:pgMar w:left="240" w:top="117" w:right="239" w:bottom="898"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unaudited quarterly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200" w:type="dxa"/>
            <w:vAlign w:val="bottom"/>
          </w:tcPr>
          <w:p>
            <w:pPr>
              <w:spacing w:after="0"/>
              <w:rPr>
                <w:sz w:val="13"/>
                <w:szCs w:val="13"/>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26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quarters may not equal full year due to rounding.</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420"/>
          </w:cols>
          <w:pgMar w:left="240" w:top="117" w:right="2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 w:lineRule="exact"/>
        <w:rPr>
          <w:sz w:val="20"/>
          <w:szCs w:val="20"/>
          <w:color w:val="auto"/>
        </w:rPr>
      </w:pPr>
    </w:p>
    <w:p>
      <w:pPr>
        <w:spacing w:after="0"/>
        <w:rPr>
          <w:rFonts w:ascii="Times New Roman" w:cs="Times New Roman" w:eastAsia="Times New Roman" w:hAnsi="Times New Roman"/>
          <w:sz w:val="14"/>
          <w:szCs w:val="14"/>
          <w:b w:val="1"/>
          <w:bCs w:val="1"/>
          <w:color w:val="FFFFFF"/>
        </w:rPr>
      </w:pPr>
      <w:hyperlink w:anchor="page2">
        <w:r>
          <w:rPr>
            <w:rFonts w:ascii="Times New Roman" w:cs="Times New Roman" w:eastAsia="Times New Roman" w:hAnsi="Times New Roman"/>
            <w:sz w:val="14"/>
            <w:szCs w:val="14"/>
            <w:b w:val="1"/>
            <w:bCs w:val="1"/>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approximately 75% of net sales occurring in the second and third fiscal quarters. Refer to “NOTE 3. DISCONTINUED OPERATIONS” and “NOTE 4. IMPAIRMENT, RESTRUCTURING AND OTHER” for more information regarding significant impairment, restructuring and other charges / recoveries reflected in the quarterly financial information.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FINANCIAL INFORMATION FOR SUBSIDIARY GUARANTORS AND NON-GUARANTORS</w:t>
      </w:r>
    </w:p>
    <w:p>
      <w:pPr>
        <w:spacing w:after="0" w:line="9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6.000% and 5.250% Senior Notes were issued on October 13, 2015 and December 15, 2016, respectively, and are guaranteed by certain of the Company’s domestic subsidiaries and, therefore, the Company reports consolidating financial information in accordance with SEC Regulation S-X Rule 3-10, </w:t>
      </w:r>
      <w:r>
        <w:rPr>
          <w:rFonts w:ascii="Times New Roman" w:cs="Times New Roman" w:eastAsia="Times New Roman" w:hAnsi="Times New Roman"/>
          <w:sz w:val="18"/>
          <w:szCs w:val="18"/>
          <w:i w:val="1"/>
          <w:iCs w:val="1"/>
          <w:color w:val="auto"/>
        </w:rPr>
        <w:t>Financial Statements of Guarantors and Issuers of Guaranteed Securities Registered or Being Registered</w:t>
      </w:r>
      <w:r>
        <w:rPr>
          <w:rFonts w:ascii="Times New Roman" w:cs="Times New Roman" w:eastAsia="Times New Roman" w:hAnsi="Times New Roman"/>
          <w:sz w:val="18"/>
          <w:szCs w:val="18"/>
          <w:color w:val="auto"/>
        </w:rPr>
        <w:t>.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Fifth A&amp;R Credit Agreement, except a release by or as a result of the repayment of the Fifth A&amp;R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5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following 100% directly or indirectly owned subsidiaries fully and unconditionally guarantee at September 30, 2019 the 6.000% and 5.250% Senior Notes on a joint and several basis: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and GenSource, Inc. (collectively, the “Guarantors”). Effective in the three-month period ending July 1, 2017, American Agritech, L.L.C. was merged into Hawthorne Hydroponics LLC, and has been classified as a Guarantor for all periods presented. Effective in the three-month period ending September 30, 2018, SMG ITO Holdings, Inc. was added as a Guarantor and has been classified as a Guarantor for all periods presented. Effective in the three month period ending March 30, 2019, Gutwein &amp; Co., Inc. was dissolved and its subsidiary guarantee was released. Effective in the three month period ending June 29, 2019, SLS Holdings, Inc. and SMG ITO Holdings, Inc. were dissolved and their subsidiary guarantees were released.</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following information presents Condensed Consolidating Statements of Operations for each of the three years ended September 30, 2019, 2018 and 2017, Condensed Consolidating Statements of Comprehensive Income (Loss) for each of the three years ended September 30, 2019, 2018 and 2017, Condensed Consolidating Statements of Cash Flows for each of the three years ended September 30, 2019, 2018 and 2017, and Condensed Consolidating Balance Sheets as of September 30, 2019 and 2018. The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Fifth A&amp;R Credit Facilities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17" w:right="2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0"/>
              <w:spacing w:after="0" w:line="201" w:lineRule="exact"/>
              <w:rPr>
                <w:sz w:val="20"/>
                <w:szCs w:val="20"/>
                <w:color w:val="auto"/>
              </w:rPr>
            </w:pPr>
            <w:r>
              <w:rPr>
                <w:rFonts w:ascii="Times New Roman" w:cs="Times New Roman" w:eastAsia="Times New Roman" w:hAnsi="Times New Roman"/>
                <w:sz w:val="14"/>
                <w:szCs w:val="14"/>
                <w:color w:val="auto"/>
              </w:rPr>
              <w:t xml:space="preserve">NET CASH PROVIDED BY (USED IN) OPERATING ACTIVITIES </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266.7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226.8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Times New Roman" w:cs="Times New Roman" w:eastAsia="Times New Roman" w:hAnsi="Times New Roman"/>
                <w:sz w:val="15"/>
                <w:szCs w:val="15"/>
                <w:color w:val="auto"/>
              </w:rPr>
              <w:t xml:space="preserve">INVESTING ACTIVITIES </w:t>
            </w:r>
            <w:r>
              <w:rPr>
                <w:rFonts w:ascii="Times New Roman" w:cs="Times New Roman" w:eastAsia="Times New Roman" w:hAnsi="Times New Roman"/>
                <w:sz w:val="25"/>
                <w:szCs w:val="25"/>
                <w:color w:val="auto"/>
                <w:vertAlign w:val="superscript"/>
              </w:rPr>
              <w:t>(a)</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Proceeds from sale of long-lived assets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Investments in property, plant and equipment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Proceeds from loans receivable</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Proceeds from sale of investment in unconsolidated affiliates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274.3</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Investments in acquired businesses, net of cash acquired</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Return of investments from affiliates</w:t>
            </w:r>
          </w:p>
        </w:tc>
        <w:tc>
          <w:tcPr>
            <w:tcW w:w="260" w:type="dxa"/>
            <w:vAlign w:val="bottom"/>
          </w:tcPr>
          <w:p>
            <w:pPr>
              <w:spacing w:after="0"/>
              <w:rPr>
                <w:sz w:val="18"/>
                <w:szCs w:val="18"/>
                <w:color w:val="auto"/>
              </w:rPr>
            </w:pPr>
          </w:p>
        </w:tc>
        <w:tc>
          <w:tcPr>
            <w:tcW w:w="10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3,001.0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Investing cash flows from (to) affiliates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(2,862.0)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2,867.9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investing,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139.0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254.6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255.2</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FINANCING ACTIVITIES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Borrowings under revolving and bank lines of credit and term loans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876.3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1,056.2</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Repayments under revolving and bank lines of credit and term loans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(1,445.5)</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Financing and issuance fees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Dividends paid</w:t>
            </w:r>
          </w:p>
        </w:tc>
        <w:tc>
          <w:tcPr>
            <w:tcW w:w="260" w:type="dxa"/>
            <w:vAlign w:val="bottom"/>
          </w:tcPr>
          <w:p>
            <w:pPr>
              <w:spacing w:after="0"/>
              <w:rPr>
                <w:sz w:val="18"/>
                <w:szCs w:val="18"/>
                <w:color w:val="auto"/>
              </w:rPr>
            </w:pPr>
          </w:p>
        </w:tc>
        <w:tc>
          <w:tcPr>
            <w:tcW w:w="10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(124.5)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3,027.9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(124.5)</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Purchase of Common Shares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Payments on seller notes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Cash received from exercise of stock options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Financing cash flows from (to) affiliates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2,865.7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(2,867.9)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160.0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(496.5)</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260" w:type="dxa"/>
            <w:vAlign w:val="bottom"/>
          </w:tcPr>
          <w:p>
            <w:pPr>
              <w:spacing w:after="0"/>
              <w:rPr>
                <w:sz w:val="16"/>
                <w:szCs w:val="16"/>
                <w:color w:val="auto"/>
              </w:rPr>
            </w:pPr>
          </w:p>
        </w:tc>
        <w:tc>
          <w:tcPr>
            <w:tcW w:w="10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58"/>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6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260" w:type="dxa"/>
            <w:vAlign w:val="bottom"/>
          </w:tcPr>
          <w:p>
            <w:pPr>
              <w:spacing w:after="0"/>
              <w:rPr>
                <w:sz w:val="18"/>
                <w:szCs w:val="18"/>
                <w:color w:val="auto"/>
              </w:rPr>
            </w:pPr>
          </w:p>
        </w:tc>
        <w:tc>
          <w:tcPr>
            <w:tcW w:w="10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33.9</w:t>
            </w:r>
          </w:p>
        </w:tc>
        <w:tc>
          <w:tcPr>
            <w:tcW w:w="0" w:type="dxa"/>
            <w:vAlign w:val="bottom"/>
          </w:tcPr>
          <w:p>
            <w:pPr>
              <w:spacing w:after="0"/>
              <w:rPr>
                <w:sz w:val="1"/>
                <w:szCs w:val="1"/>
                <w:color w:val="auto"/>
              </w:rPr>
            </w:pPr>
          </w:p>
        </w:tc>
      </w:tr>
      <w:tr>
        <w:trPr>
          <w:trHeight w:val="58"/>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at end of year</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jc w:val="both"/>
        <w:ind w:left="660" w:hanging="652"/>
        <w:spacing w:after="0" w:line="256" w:lineRule="auto"/>
        <w:tabs>
          <w:tab w:leader="none" w:pos="6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received by the Parent from the Guarantors and Non-Guarantors in the form of dividends in the amount of $3,001.0 million represent return of investments and are included in cash flows from investing activities. Cash received by the Parent from the Guarantors and Non-Guarantors in the form of dividends in the amount of $24.6 million represent return on investments and are included in cash flows from operating activities. Cash received by the Guarantors from the Non-Guarantors in the form of dividends in the amount of $2.3 million represent return of investments and are included in cash flows from investing activities.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819" w:right="2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6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1,041.7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3,028.7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7"/>
              </w:rPr>
              <w:t>LIABILITIES AND</w:t>
            </w:r>
          </w:p>
        </w:tc>
        <w:tc>
          <w:tcPr>
            <w:tcW w:w="124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13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1,523.5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2,305.5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8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2,564.8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3,028.7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top w:val="single" w:sz="8" w:color="auto"/>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23.2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controlling interest</w:t>
            </w:r>
          </w:p>
        </w:tc>
        <w:tc>
          <w:tcPr>
            <w:tcW w:w="840" w:type="dxa"/>
            <w:vAlign w:val="bottom"/>
            <w:tcBorders>
              <w:top w:val="single" w:sz="8" w:color="auto"/>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88.3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0"/>
              <w:spacing w:after="0" w:line="201" w:lineRule="exact"/>
              <w:rPr>
                <w:sz w:val="20"/>
                <w:szCs w:val="20"/>
                <w:color w:val="auto"/>
              </w:rPr>
            </w:pPr>
            <w:r>
              <w:rPr>
                <w:rFonts w:ascii="Times New Roman" w:cs="Times New Roman" w:eastAsia="Times New Roman" w:hAnsi="Times New Roman"/>
                <w:sz w:val="14"/>
                <w:szCs w:val="14"/>
                <w:color w:val="auto"/>
              </w:rPr>
              <w:t xml:space="preserve">NET CASH PROVIDED BY (USED IN) OPERATING ACTIVITIES </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294.2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68.4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342.5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Times New Roman" w:cs="Times New Roman" w:eastAsia="Times New Roman" w:hAnsi="Times New Roman"/>
                <w:sz w:val="15"/>
                <w:szCs w:val="15"/>
                <w:color w:val="auto"/>
              </w:rPr>
              <w:t xml:space="preserve">INVESTING ACTIVITIES </w:t>
            </w:r>
            <w:r>
              <w:rPr>
                <w:rFonts w:ascii="Times New Roman" w:cs="Times New Roman" w:eastAsia="Times New Roman" w:hAnsi="Times New Roman"/>
                <w:sz w:val="25"/>
                <w:szCs w:val="25"/>
                <w:color w:val="auto"/>
                <w:vertAlign w:val="superscript"/>
              </w:rPr>
              <w:t>(a)</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Proceeds from sale of long-lived assets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Post-closing working capital payment related to sale of International</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Business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Investments in property, plant and equipment</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Investments in loans receivable</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Proceeds from loans receivable</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distributions from (investments in) unconsolidated affiliates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Investments in acquired businesses, net of cash acquired</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(492.9)</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Return of investments from affiliates</w:t>
            </w:r>
          </w:p>
        </w:tc>
        <w:tc>
          <w:tcPr>
            <w:tcW w:w="260" w:type="dxa"/>
            <w:vAlign w:val="bottom"/>
          </w:tcPr>
          <w:p>
            <w:pPr>
              <w:spacing w:after="0"/>
              <w:rPr>
                <w:sz w:val="18"/>
                <w:szCs w:val="18"/>
                <w:color w:val="auto"/>
              </w:rPr>
            </w:pPr>
          </w:p>
        </w:tc>
        <w:tc>
          <w:tcPr>
            <w:tcW w:w="10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1,306.9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Investing cash flows from (to) affiliates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1,042.2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investing,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437.0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(580.7)</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FINANCING ACTIVITIES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Borrowings under revolving and bank lines of credit and term loans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2,658.4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328.6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2,987.0</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Repayments under revolving and bank lines of credit and term loans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(2,005.5)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(2,312.9)</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Financing and issuance fees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Dividends paid</w:t>
            </w:r>
          </w:p>
        </w:tc>
        <w:tc>
          <w:tcPr>
            <w:tcW w:w="260" w:type="dxa"/>
            <w:vAlign w:val="bottom"/>
          </w:tcPr>
          <w:p>
            <w:pPr>
              <w:spacing w:after="0"/>
              <w:rPr>
                <w:sz w:val="18"/>
                <w:szCs w:val="18"/>
                <w:color w:val="auto"/>
              </w:rPr>
            </w:pPr>
          </w:p>
        </w:tc>
        <w:tc>
          <w:tcPr>
            <w:tcW w:w="102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1,333.1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Purchase of Common Shares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(327.7)</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Payments on seller notes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Cash received from exercise of stock options</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Acquisition of noncontrolling interests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Financing cash flows from (to) affiliates</w:t>
            </w:r>
          </w:p>
        </w:tc>
        <w:tc>
          <w:tcPr>
            <w:tcW w:w="2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951.4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(443.1)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297.0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290.9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151.2</w:t>
            </w:r>
          </w:p>
        </w:tc>
        <w:tc>
          <w:tcPr>
            <w:tcW w:w="0" w:type="dxa"/>
            <w:vAlign w:val="bottom"/>
          </w:tcPr>
          <w:p>
            <w:pPr>
              <w:spacing w:after="0"/>
              <w:rPr>
                <w:sz w:val="1"/>
                <w:szCs w:val="1"/>
                <w:color w:val="auto"/>
              </w:rPr>
            </w:pPr>
          </w:p>
        </w:tc>
      </w:tr>
      <w:tr>
        <w:trPr>
          <w:trHeight w:val="58"/>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2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6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(86.6)</w:t>
            </w:r>
          </w:p>
        </w:tc>
        <w:tc>
          <w:tcPr>
            <w:tcW w:w="0" w:type="dxa"/>
            <w:vAlign w:val="bottom"/>
          </w:tcPr>
          <w:p>
            <w:pPr>
              <w:spacing w:after="0"/>
              <w:rPr>
                <w:sz w:val="1"/>
                <w:szCs w:val="1"/>
                <w:color w:val="auto"/>
              </w:rPr>
            </w:pPr>
          </w:p>
        </w:tc>
      </w:tr>
      <w:tr>
        <w:trPr>
          <w:trHeight w:val="5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120.5</w:t>
            </w:r>
          </w:p>
        </w:tc>
        <w:tc>
          <w:tcPr>
            <w:tcW w:w="0" w:type="dxa"/>
            <w:vAlign w:val="bottom"/>
          </w:tcPr>
          <w:p>
            <w:pPr>
              <w:spacing w:after="0"/>
              <w:rPr>
                <w:sz w:val="1"/>
                <w:szCs w:val="1"/>
                <w:color w:val="auto"/>
              </w:rPr>
            </w:pPr>
          </w:p>
        </w:tc>
      </w:tr>
      <w:tr>
        <w:trPr>
          <w:trHeight w:val="62"/>
        </w:trPr>
        <w:tc>
          <w:tcPr>
            <w:tcW w:w="47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and cash equivalents at end of year</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left="660" w:hanging="652"/>
        <w:spacing w:after="0" w:line="293"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Cash received by the Parent from the Guarantors and Non-Guarantors in the form of dividends in the amount of $1,306.9 million represent return of investments and are included in cash flows from investing activities. Cash received by the Parent from the Guarantors and Non-Guarantors in the form of dividends in the amount of $24.4 million represent return on investments and are included in cash flows from operating activities. Cash received by the Guarantors from the Non-Guarantors in the form of dividends in the amount of $1.8 million represent return on investments and are included in cash flows from operating activities.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819" w:right="2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3,054.5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7"/>
              </w:rPr>
              <w:t>LIABILITIES AND</w:t>
            </w:r>
          </w:p>
        </w:tc>
        <w:tc>
          <w:tcPr>
            <w:tcW w:w="124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24" w:name="page125"/>
    <w:bookmarkEnd w:id="12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2017</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millions)</w:t>
      </w:r>
    </w:p>
    <w:p>
      <w:pPr>
        <w:sectPr>
          <w:pgSz w:w="11900" w:h="16838" w:orient="portrait"/>
          <w:cols w:equalWidth="0" w:num="1">
            <w:col w:w="11412"/>
          </w:cols>
          <w:pgMar w:left="248" w:top="8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 w:type="dxa"/>
        <w:tblCellMar>
          <w:top w:w="0" w:type="dxa"/>
          <w:left w:w="0" w:type="dxa"/>
          <w:bottom w:w="0" w:type="dxa"/>
          <w:right w:w="0" w:type="dxa"/>
        </w:tblCellMar>
      </w:tblPr>
      <w:tr>
        <w:trPr>
          <w:trHeight w:val="287"/>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NET CASH PROVIDED BY (USED IN) OPERATING ACTIVITIES </w:t>
            </w:r>
            <w:r>
              <w:rPr>
                <w:rFonts w:ascii="Times New Roman" w:cs="Times New Roman" w:eastAsia="Times New Roman" w:hAnsi="Times New Roman"/>
                <w:sz w:val="25"/>
                <w:szCs w:val="25"/>
                <w:color w:val="auto"/>
                <w:vertAlign w:val="superscript"/>
              </w:rPr>
              <w:t>(a)</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INVESTING ACTIVITIES </w:t>
            </w:r>
            <w:r>
              <w:rPr>
                <w:rFonts w:ascii="Times New Roman" w:cs="Times New Roman" w:eastAsia="Times New Roman" w:hAnsi="Times New Roman"/>
                <w:sz w:val="25"/>
                <w:szCs w:val="25"/>
                <w:color w:val="auto"/>
                <w:vertAlign w:val="superscript"/>
              </w:rPr>
              <w:t>(a)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sale of long-lived assets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sale of business, net of cash disposed of</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Investments in property, plant and equipment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Investments in loans receivable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distributions from (investments in) unconsolidated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Investments in acquired businesses, net of cash acquired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Return of investments from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Investing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Borrowings under revolving and bank lines of credit and term loans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Repayments under revolving and bank lines of credit and term loans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issuance of 5.250% Senior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Financing and issuance fees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Dividends paid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Distribution paid by AeroGrow to noncontrolling interest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 of Common Shares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Payments on seller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Excess tax benefits from share-based payment arrangements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Cash received from exercise of stock options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Financing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 w:right="320"/>
        <w:spacing w:after="0" w:line="261" w:lineRule="auto"/>
        <w:rPr>
          <w:sz w:val="20"/>
          <w:szCs w:val="20"/>
          <w:color w:val="auto"/>
        </w:rPr>
      </w:pPr>
      <w:r>
        <w:rPr>
          <w:rFonts w:ascii="Times New Roman" w:cs="Times New Roman" w:eastAsia="Times New Roman" w:hAnsi="Times New Roman"/>
          <w:sz w:val="15"/>
          <w:szCs w:val="15"/>
          <w:color w:val="auto"/>
        </w:rPr>
        <w:t>Cash and cash equivalents at beginning of year excluding cash classified within assets held for sale</w:t>
      </w:r>
    </w:p>
    <w:p>
      <w:pPr>
        <w:spacing w:after="0" w:line="3" w:lineRule="exact"/>
        <w:rPr>
          <w:sz w:val="20"/>
          <w:szCs w:val="20"/>
          <w:color w:val="auto"/>
        </w:rPr>
      </w:pPr>
    </w:p>
    <w:p>
      <w:pPr>
        <w:ind w:left="32" w:right="140"/>
        <w:spacing w:after="0" w:line="261" w:lineRule="auto"/>
        <w:rPr>
          <w:sz w:val="20"/>
          <w:szCs w:val="20"/>
          <w:color w:val="auto"/>
        </w:rPr>
      </w:pPr>
      <w:r>
        <w:rPr>
          <w:rFonts w:ascii="Times New Roman" w:cs="Times New Roman" w:eastAsia="Times New Roman" w:hAnsi="Times New Roman"/>
          <w:sz w:val="15"/>
          <w:szCs w:val="15"/>
          <w:color w:val="auto"/>
        </w:rPr>
        <w:t>Cash and cash equivalents at beginning of year classified within assets held for sale</w:t>
      </w:r>
    </w:p>
    <w:p>
      <w:pPr>
        <w:spacing w:after="0" w:line="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p>
      <w:pPr>
        <w:spacing w:after="0" w:line="26" w:lineRule="exact"/>
        <w:rPr>
          <w:sz w:val="20"/>
          <w:szCs w:val="20"/>
          <w:color w:val="auto"/>
        </w:rPr>
      </w:pPr>
    </w:p>
    <w:p>
      <w:pPr>
        <w:ind w:left="32"/>
        <w:spacing w:after="0"/>
        <w:tabs>
          <w:tab w:leader="none" w:pos="4692" w:val="left"/>
        </w:tabs>
        <w:rPr>
          <w:sz w:val="20"/>
          <w:szCs w:val="20"/>
          <w:color w:val="auto"/>
        </w:rPr>
      </w:pPr>
      <w:r>
        <w:rPr>
          <w:rFonts w:ascii="Times New Roman" w:cs="Times New Roman" w:eastAsia="Times New Roman" w:hAnsi="Times New Roman"/>
          <w:sz w:val="15"/>
          <w:szCs w:val="15"/>
          <w:color w:val="auto"/>
        </w:rPr>
        <w:t>Cash and cash equivalents at end of year</w:t>
      </w:r>
      <w:r>
        <w:rPr>
          <w:sz w:val="20"/>
          <w:szCs w:val="20"/>
          <w:color w:val="auto"/>
        </w:rPr>
        <w:tab/>
      </w:r>
      <w:r>
        <w:rPr>
          <w:rFonts w:ascii="Times New Roman" w:cs="Times New Roman" w:eastAsia="Times New Roman" w:hAnsi="Times New Roman"/>
          <w:sz w:val="24"/>
          <w:szCs w:val="24"/>
          <w:color w:val="auto"/>
          <w:vertAlign w:val="subscript"/>
        </w:rPr>
        <w: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(48.3)</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471.4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363.2</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178.6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180.3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57.4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918.6</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4"/>
        </w:trPr>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(759.9)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968.5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158.7</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17.5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22.4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1,196.1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253.2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1,449.3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(1,618.3)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(120.3)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962.4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(255.2)</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(255.2)</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7.9</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11.0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74"/>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759.9</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208.6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(968.5)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(110.4)</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65.6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26.3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(316.8)</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46"/>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378"/>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382"/>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47.4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50.1</w:t>
            </w:r>
          </w:p>
        </w:tc>
        <w:tc>
          <w:tcPr>
            <w:tcW w:w="0" w:type="dxa"/>
            <w:vAlign w:val="bottom"/>
          </w:tcPr>
          <w:p>
            <w:pPr>
              <w:spacing w:after="0"/>
              <w:rPr>
                <w:sz w:val="1"/>
                <w:szCs w:val="1"/>
                <w:color w:val="auto"/>
              </w:rPr>
            </w:pPr>
          </w:p>
        </w:tc>
      </w:tr>
      <w:tr>
        <w:trPr>
          <w:trHeight w:val="237"/>
        </w:trPr>
        <w:tc>
          <w:tcPr>
            <w:tcW w:w="9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39.8</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-4965065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-4621530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-4278630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-3935730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-3241040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-2898140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-2555240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-2211705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-1868805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-1525905</wp:posOffset>
            </wp:positionV>
            <wp:extent cx="7246620" cy="15265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-3592830</wp:posOffset>
            </wp:positionV>
            <wp:extent cx="724662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-5316220</wp:posOffset>
            </wp:positionV>
            <wp:extent cx="724662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92" w:space="320"/>
            <w:col w:w="6300"/>
          </w:cols>
          <w:pgMar w:left="248" w:top="819" w:right="239" w:bottom="1440" w:gutter="0" w:footer="0" w:header="0"/>
          <w:type w:val="continuous"/>
        </w:sectPr>
      </w:pPr>
    </w:p>
    <w:p>
      <w:pPr>
        <w:spacing w:after="0" w:line="209" w:lineRule="exact"/>
        <w:rPr>
          <w:sz w:val="20"/>
          <w:szCs w:val="20"/>
          <w:color w:val="auto"/>
        </w:rPr>
      </w:pPr>
    </w:p>
    <w:p>
      <w:pPr>
        <w:jc w:val="both"/>
        <w:ind w:left="652" w:hanging="652"/>
        <w:spacing w:after="0" w:line="251"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received by the Parent from the Guarantors and the Non-Guarantors in the form of distributions in the amount of $918.6 million represent return of investments and are included in cash flows from investing activities. Cash received by the Parent from the Guarantors and Non-Guarantors in the form of dividends in the amount of $28.8 million represent return on investments and are included in cash flows from operating activities. Cash received by the Guarantors from the Non-Guarantors in the form of distributions in the amount of $32.4 million represent return of investments and are included in cash flows from investing activities. Cash received by the Guarantors from the Non-Guarantors in the form of dividends in the amount of $15.0 million represent return on investments and are included in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12"/>
          </w:cols>
          <w:pgMar w:left="248" w:top="819" w:right="239"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27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27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98"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00"/>
            <w:col w:w="5580"/>
          </w:cols>
          <w:pgMar w:left="240" w:top="121" w:right="2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2018</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27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98"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00"/>
            <w:col w:w="5580"/>
          </w:cols>
          <w:pgMar w:left="240" w:top="121" w:right="2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2017</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27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277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98"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Column 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00"/>
            <w:col w:w="5580"/>
          </w:cols>
          <w:pgMar w:left="240" w:top="121"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80" w:type="dxa"/>
            <w:vAlign w:val="bottom"/>
            <w:gridSpan w:val="2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tc>
      </w:tr>
      <w:tr>
        <w:trPr>
          <w:trHeight w:val="37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2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626"/>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gridSpan w:val="27"/>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10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3.1(a)</w:t>
            </w:r>
          </w:p>
        </w:tc>
        <w:tc>
          <w:tcPr>
            <w:tcW w:w="40" w:type="dxa"/>
            <w:vAlign w:val="bottom"/>
          </w:tcPr>
          <w:p>
            <w:pPr>
              <w:spacing w:after="0"/>
              <w:rPr>
                <w:sz w:val="17"/>
                <w:szCs w:val="17"/>
                <w:color w:val="auto"/>
              </w:rPr>
            </w:pPr>
          </w:p>
        </w:tc>
        <w:tc>
          <w:tcPr>
            <w:tcW w:w="59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Initial Articles of Incorporation of The Scotts Miracle-Gro Company as filed with</w:t>
              </w:r>
            </w:hyperlink>
          </w:p>
        </w:tc>
        <w:tc>
          <w:tcPr>
            <w:tcW w:w="2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the Ohio Secretary of State on November 22, 2004</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3.1(b)</w:t>
            </w:r>
          </w:p>
        </w:tc>
        <w:tc>
          <w:tcPr>
            <w:tcW w:w="40" w:type="dxa"/>
            <w:vAlign w:val="bottom"/>
          </w:tcPr>
          <w:p>
            <w:pPr>
              <w:spacing w:after="0"/>
              <w:rPr>
                <w:sz w:val="21"/>
                <w:szCs w:val="21"/>
                <w:color w:val="auto"/>
              </w:rPr>
            </w:pPr>
          </w:p>
        </w:tc>
        <w:tc>
          <w:tcPr>
            <w:tcW w:w="5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Certificate of Amendment by Shareholders to Articles of Incorporation of The</w:t>
              </w:r>
            </w:hyperlink>
          </w:p>
        </w:tc>
        <w:tc>
          <w:tcPr>
            <w:tcW w:w="500" w:type="dxa"/>
            <w:vAlign w:val="bottom"/>
            <w:gridSpan w:val="18"/>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Scotts Miracle-Gro Company as filed with the Ohio Secretary of State on March 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40"/>
              <w:spacing w:after="0" w:line="196" w:lineRule="exact"/>
              <w:rPr>
                <w:rFonts w:ascii="Times New Roman" w:cs="Times New Roman" w:eastAsia="Times New Roman" w:hAnsi="Times New Roman"/>
                <w:sz w:val="18"/>
                <w:szCs w:val="18"/>
                <w:color w:val="0000FF"/>
                <w:w w:val="94"/>
              </w:rPr>
            </w:pPr>
            <w:hyperlink r:id="rId122">
              <w:r>
                <w:rPr>
                  <w:rFonts w:ascii="Times New Roman" w:cs="Times New Roman" w:eastAsia="Times New Roman" w:hAnsi="Times New Roman"/>
                  <w:sz w:val="18"/>
                  <w:szCs w:val="18"/>
                  <w:color w:val="0000FF"/>
                  <w:w w:val="94"/>
                </w:rPr>
                <w:t>2005</w:t>
              </w:r>
            </w:hyperlink>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4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Code of Regulations of The Scotts Miracle-Gro Company</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4.1(a)</w:t>
            </w:r>
          </w:p>
        </w:tc>
        <w:tc>
          <w:tcPr>
            <w:tcW w:w="40" w:type="dxa"/>
            <w:vAlign w:val="bottom"/>
          </w:tcPr>
          <w:p>
            <w:pPr>
              <w:spacing w:after="0"/>
              <w:rPr>
                <w:sz w:val="24"/>
                <w:szCs w:val="24"/>
                <w:color w:val="auto"/>
              </w:rPr>
            </w:pPr>
          </w:p>
        </w:tc>
        <w:tc>
          <w:tcPr>
            <w:tcW w:w="58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Indenture, dated as of December 15, 2016, by and among The Scotts Miracle-Gro</w:t>
              </w:r>
            </w:hyperlink>
          </w:p>
        </w:tc>
        <w:tc>
          <w:tcPr>
            <w:tcW w:w="2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Company, the Guarantors (as defined therein) and U.S. Bank National Association,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8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as trustee</w:t>
              </w:r>
            </w:hyperlink>
          </w:p>
        </w:tc>
        <w:tc>
          <w:tcPr>
            <w:tcW w:w="160" w:type="dxa"/>
            <w:vAlign w:val="bottom"/>
            <w:gridSpan w:val="3"/>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4.1(b)</w:t>
            </w:r>
          </w:p>
        </w:tc>
        <w:tc>
          <w:tcPr>
            <w:tcW w:w="40" w:type="dxa"/>
            <w:vAlign w:val="bottom"/>
          </w:tcPr>
          <w:p>
            <w:pPr>
              <w:spacing w:after="0"/>
              <w:rPr>
                <w:sz w:val="21"/>
                <w:szCs w:val="21"/>
                <w:color w:val="auto"/>
              </w:rPr>
            </w:pPr>
          </w:p>
        </w:tc>
        <w:tc>
          <w:tcPr>
            <w:tcW w:w="55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First Supplemental Indenture, dated July 17, 2018, by and among The Scotts</w:t>
              </w:r>
            </w:hyperlink>
          </w:p>
        </w:tc>
        <w:tc>
          <w:tcPr>
            <w:tcW w:w="620" w:type="dxa"/>
            <w:vAlign w:val="bottom"/>
            <w:gridSpan w:val="21"/>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Miracle-Gro Company, the Guarantors (as defined therein) and U.S. Bank National</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8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Association, as trustee</w:t>
              </w:r>
            </w:hyperlink>
          </w:p>
        </w:tc>
        <w:tc>
          <w:tcPr>
            <w:tcW w:w="160" w:type="dxa"/>
            <w:vAlign w:val="bottom"/>
            <w:gridSpan w:val="3"/>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4.1(c)</w:t>
            </w:r>
          </w:p>
        </w:tc>
        <w:tc>
          <w:tcPr>
            <w:tcW w:w="40" w:type="dxa"/>
            <w:vAlign w:val="bottom"/>
          </w:tcPr>
          <w:p>
            <w:pPr>
              <w:spacing w:after="0"/>
              <w:rPr>
                <w:sz w:val="21"/>
                <w:szCs w:val="21"/>
                <w:color w:val="auto"/>
              </w:rPr>
            </w:pPr>
          </w:p>
        </w:tc>
        <w:tc>
          <w:tcPr>
            <w:tcW w:w="6140" w:type="dxa"/>
            <w:vAlign w:val="bottom"/>
            <w:gridSpan w:val="3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5.250% Senior Notes due 2026</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4.2(a)</w:t>
            </w:r>
          </w:p>
        </w:tc>
        <w:tc>
          <w:tcPr>
            <w:tcW w:w="40" w:type="dxa"/>
            <w:vAlign w:val="bottom"/>
          </w:tcPr>
          <w:p>
            <w:pPr>
              <w:spacing w:after="0"/>
              <w:rPr>
                <w:sz w:val="24"/>
                <w:szCs w:val="24"/>
                <w:color w:val="auto"/>
              </w:rPr>
            </w:pPr>
          </w:p>
        </w:tc>
        <w:tc>
          <w:tcPr>
            <w:tcW w:w="57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Indenture, dated as of October 22, 2019, by and among The Scotts Miracle-Gro</w:t>
              </w:r>
            </w:hyperlink>
          </w:p>
        </w:tc>
        <w:tc>
          <w:tcPr>
            <w:tcW w:w="42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Company, the Guarantors (as defined therein) and U.S. Bank National Association,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80" w:type="dxa"/>
            <w:vAlign w:val="bottom"/>
            <w:tcBorders>
              <w:top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 trustee</w:t>
              </w:r>
            </w:hyperlink>
          </w:p>
        </w:tc>
        <w:tc>
          <w:tcPr>
            <w:tcW w:w="160" w:type="dxa"/>
            <w:vAlign w:val="bottom"/>
            <w:gridSpan w:val="3"/>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4.2(b)</w:t>
            </w:r>
          </w:p>
        </w:tc>
        <w:tc>
          <w:tcPr>
            <w:tcW w:w="40" w:type="dxa"/>
            <w:vAlign w:val="bottom"/>
          </w:tcPr>
          <w:p>
            <w:pPr>
              <w:spacing w:after="0"/>
              <w:rPr>
                <w:sz w:val="21"/>
                <w:szCs w:val="21"/>
                <w:color w:val="auto"/>
              </w:rPr>
            </w:pPr>
          </w:p>
        </w:tc>
        <w:tc>
          <w:tcPr>
            <w:tcW w:w="6140" w:type="dxa"/>
            <w:vAlign w:val="bottom"/>
            <w:gridSpan w:val="3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4.500% Senior Notes due 2029</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4.2(c)</w:t>
            </w:r>
          </w:p>
        </w:tc>
        <w:tc>
          <w:tcPr>
            <w:tcW w:w="40" w:type="dxa"/>
            <w:vAlign w:val="bottom"/>
          </w:tcPr>
          <w:p>
            <w:pPr>
              <w:spacing w:after="0"/>
              <w:rPr>
                <w:sz w:val="24"/>
                <w:szCs w:val="24"/>
                <w:color w:val="auto"/>
              </w:rPr>
            </w:pPr>
          </w:p>
        </w:tc>
        <w:tc>
          <w:tcPr>
            <w:tcW w:w="58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Registration Rights Agreement, dated as of October 22, 2019, by and among The</w:t>
              </w:r>
            </w:hyperlink>
          </w:p>
        </w:tc>
        <w:tc>
          <w:tcPr>
            <w:tcW w:w="3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Scotts Miracle-Gro Company, the guarantors named therein and J.P. Morgan</w:t>
              </w:r>
            </w:hyperlink>
          </w:p>
        </w:tc>
        <w:tc>
          <w:tcPr>
            <w:tcW w:w="640" w:type="dxa"/>
            <w:vAlign w:val="bottom"/>
            <w:gridSpan w:val="2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Securities LLC, as representative of the several initial purchasers named therein</w:t>
              </w:r>
            </w:hyperlink>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131">
              <w:r>
                <w:rPr>
                  <w:rFonts w:ascii="Times New Roman" w:cs="Times New Roman" w:eastAsia="Times New Roman" w:hAnsi="Times New Roman"/>
                  <w:sz w:val="18"/>
                  <w:szCs w:val="18"/>
                  <w:color w:val="0000FF"/>
                  <w:w w:val="99"/>
                </w:rPr>
                <w:t>Agreement to furnish copies of instruments and agreements defining rights of</w:t>
              </w:r>
            </w:hyperlink>
          </w:p>
        </w:tc>
        <w:tc>
          <w:tcPr>
            <w:tcW w:w="140" w:type="dxa"/>
            <w:vAlign w:val="bottom"/>
            <w:tcBorders>
              <w:top w:val="single" w:sz="8" w:color="0000FF"/>
            </w:tcBorders>
            <w:gridSpan w:val="5"/>
          </w:tcPr>
          <w:p>
            <w:pPr>
              <w:spacing w:after="0"/>
              <w:rPr>
                <w:sz w:val="21"/>
                <w:szCs w:val="21"/>
                <w:color w:val="auto"/>
              </w:rPr>
            </w:pPr>
          </w:p>
        </w:tc>
        <w:tc>
          <w:tcPr>
            <w:tcW w:w="400" w:type="dxa"/>
            <w:vAlign w:val="bottom"/>
            <w:gridSpan w:val="14"/>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w:anchor="page131">
              <w:r>
                <w:rPr>
                  <w:rFonts w:ascii="Times New Roman" w:cs="Times New Roman" w:eastAsia="Times New Roman" w:hAnsi="Times New Roman"/>
                  <w:sz w:val="18"/>
                  <w:szCs w:val="18"/>
                  <w:color w:val="0000FF"/>
                </w:rPr>
                <w:t>holders of long-term debt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40" w:type="dxa"/>
            <w:vAlign w:val="bottom"/>
            <w:gridSpan w:val="32"/>
          </w:tcPr>
          <w:p>
            <w:pPr>
              <w:spacing w:after="0"/>
              <w:rPr>
                <w:rFonts w:ascii="Times New Roman" w:cs="Times New Roman" w:eastAsia="Times New Roman" w:hAnsi="Times New Roman"/>
                <w:sz w:val="18"/>
                <w:szCs w:val="18"/>
                <w:color w:val="0000FF"/>
              </w:rPr>
            </w:pPr>
            <w:hyperlink w:anchor="page132">
              <w:r>
                <w:rPr>
                  <w:rFonts w:ascii="Times New Roman" w:cs="Times New Roman" w:eastAsia="Times New Roman" w:hAnsi="Times New Roman"/>
                  <w:sz w:val="18"/>
                  <w:szCs w:val="18"/>
                  <w:color w:val="0000FF"/>
                </w:rPr>
                <w:t>Description of Capital Stock</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10.1(a)</w:t>
            </w:r>
          </w:p>
        </w:tc>
        <w:tc>
          <w:tcPr>
            <w:tcW w:w="40" w:type="dxa"/>
            <w:vAlign w:val="bottom"/>
          </w:tcPr>
          <w:p>
            <w:pPr>
              <w:spacing w:after="0"/>
              <w:rPr>
                <w:sz w:val="21"/>
                <w:szCs w:val="21"/>
                <w:color w:val="auto"/>
              </w:rPr>
            </w:pPr>
          </w:p>
        </w:tc>
        <w:tc>
          <w:tcPr>
            <w:tcW w:w="58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Fifth Amended and Restated Credit Agreement, dated as of July 5, 2018, by and</w:t>
              </w:r>
            </w:hyperlink>
          </w:p>
        </w:tc>
        <w:tc>
          <w:tcPr>
            <w:tcW w:w="340" w:type="dxa"/>
            <w:vAlign w:val="bottom"/>
            <w:gridSpan w:val="11"/>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among The Scotts Miracle-Gro Company, as a Borrower; the Subsidiary Borrowers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tcBorders>
              <w:top w:val="single" w:sz="8" w:color="0000FF"/>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(as defined therein); JPMorgan Chase Bank, N.A., as Administrative Agent; Wells</w:t>
              </w:r>
            </w:hyperlink>
          </w:p>
        </w:tc>
        <w:tc>
          <w:tcPr>
            <w:tcW w:w="60" w:type="dxa"/>
            <w:vAlign w:val="bottom"/>
            <w:tcBorders>
              <w:top w:val="single" w:sz="8" w:color="0000FF"/>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Fargo Bank, National Association, and Mizuho Bank, Ltd. as Co-Syndication</w:t>
              </w:r>
            </w:hyperlink>
          </w:p>
        </w:tc>
        <w:tc>
          <w:tcPr>
            <w:tcW w:w="560" w:type="dxa"/>
            <w:vAlign w:val="bottom"/>
            <w:gridSpan w:val="2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Agents; CoBank, ACB, Bank of America, N.A., Fifth Third Bank, Coöperatieve</w:t>
              </w:r>
            </w:hyperlink>
          </w:p>
        </w:tc>
        <w:tc>
          <w:tcPr>
            <w:tcW w:w="34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Rabobank U.A., New York Branch, Sumitomo Mitsui Banking Corporation and TD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Bank N.A., as Co-Documentation Agents; and the several other banks and other</w:t>
              </w:r>
            </w:hyperlink>
          </w:p>
        </w:tc>
        <w:tc>
          <w:tcPr>
            <w:tcW w:w="280" w:type="dxa"/>
            <w:vAlign w:val="bottom"/>
            <w:tcBorders>
              <w:top w:val="single" w:sz="8" w:color="0000FF"/>
            </w:tcBorders>
            <w:gridSpan w:val="11"/>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financial institutions from time to time parties thereto</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10.1(b)</w:t>
            </w:r>
          </w:p>
        </w:tc>
        <w:tc>
          <w:tcPr>
            <w:tcW w:w="40" w:type="dxa"/>
            <w:vAlign w:val="bottom"/>
          </w:tcPr>
          <w:p>
            <w:pPr>
              <w:spacing w:after="0"/>
              <w:rPr>
                <w:sz w:val="21"/>
                <w:szCs w:val="21"/>
                <w:color w:val="auto"/>
              </w:rPr>
            </w:pPr>
          </w:p>
        </w:tc>
        <w:tc>
          <w:tcPr>
            <w:tcW w:w="614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Fifth Amended and Restated Guarantee and Collateral Agreement, dated as of July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5, 2018, made by The Scotts Miracle-Gro Company, each domestic Subsidiary</w:t>
              </w:r>
            </w:hyperlink>
          </w:p>
        </w:tc>
        <w:tc>
          <w:tcPr>
            <w:tcW w:w="260" w:type="dxa"/>
            <w:vAlign w:val="bottom"/>
            <w:tcBorders>
              <w:top w:val="single" w:sz="8" w:color="0000FF"/>
            </w:tcBorders>
            <w:gridSpan w:val="12"/>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Borrower under the Fifth Amended and Restated Credit Agreement, and certain of</w:t>
              </w:r>
            </w:hyperlink>
          </w:p>
        </w:tc>
        <w:tc>
          <w:tcPr>
            <w:tcW w:w="2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its and their domestic subsidiaries, in favor of JPMorgan Chase Bank, N.A., as</w:t>
              </w:r>
            </w:hyperlink>
          </w:p>
        </w:tc>
        <w:tc>
          <w:tcPr>
            <w:tcW w:w="480" w:type="dxa"/>
            <w:vAlign w:val="bottom"/>
            <w:gridSpan w:val="1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Administrative Agent</w:t>
              </w:r>
            </w:hyperlink>
          </w:p>
        </w:tc>
        <w:tc>
          <w:tcPr>
            <w:tcW w:w="4540" w:type="dxa"/>
            <w:vAlign w:val="bottom"/>
            <w:gridSpan w:val="29"/>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10.2(a)†</w:t>
            </w:r>
          </w:p>
        </w:tc>
        <w:tc>
          <w:tcPr>
            <w:tcW w:w="40" w:type="dxa"/>
            <w:vAlign w:val="bottom"/>
          </w:tcPr>
          <w:p>
            <w:pPr>
              <w:spacing w:after="0"/>
              <w:rPr>
                <w:sz w:val="21"/>
                <w:szCs w:val="21"/>
                <w:color w:val="auto"/>
              </w:rPr>
            </w:pPr>
          </w:p>
        </w:tc>
        <w:tc>
          <w:tcPr>
            <w:tcW w:w="59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The Scotts Miracle-Gro Company Long-Term Incentive Plan (reflects amendment</w:t>
              </w:r>
            </w:hyperlink>
          </w:p>
        </w:tc>
        <w:tc>
          <w:tcPr>
            <w:tcW w:w="220" w:type="dxa"/>
            <w:vAlign w:val="bottom"/>
            <w:gridSpan w:val="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and restatement of plan formerly known as The Scotts Miracle-Gro Company 2006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Long-Term Incentive Plan) [January 17, 2013 through January 26, 2017 version]</w:t>
              </w:r>
            </w:hyperlink>
          </w:p>
        </w:tc>
        <w:tc>
          <w:tcPr>
            <w:tcW w:w="160" w:type="dxa"/>
            <w:vAlign w:val="bottom"/>
            <w:tcBorders>
              <w:top w:val="single" w:sz="8" w:color="0000FF"/>
            </w:tcBorders>
            <w:gridSpan w:val="7"/>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10.2(b)(i)†</w:t>
            </w:r>
          </w:p>
        </w:tc>
        <w:tc>
          <w:tcPr>
            <w:tcW w:w="40" w:type="dxa"/>
            <w:vAlign w:val="bottom"/>
          </w:tcPr>
          <w:p>
            <w:pPr>
              <w:spacing w:after="0"/>
              <w:rPr>
                <w:sz w:val="21"/>
                <w:szCs w:val="21"/>
                <w:color w:val="auto"/>
              </w:rPr>
            </w:pPr>
          </w:p>
        </w:tc>
        <w:tc>
          <w:tcPr>
            <w:tcW w:w="5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Specimen form of Nonqualified Stock Option Award Agreement for Employees</w:t>
              </w:r>
            </w:hyperlink>
          </w:p>
        </w:tc>
        <w:tc>
          <w:tcPr>
            <w:tcW w:w="380" w:type="dxa"/>
            <w:vAlign w:val="bottom"/>
            <w:gridSpan w:val="1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used to evidence grants of Nonqualified Stock Options made under The Scotts</w:t>
              </w:r>
            </w:hyperlink>
          </w:p>
        </w:tc>
        <w:tc>
          <w:tcPr>
            <w:tcW w:w="500" w:type="dxa"/>
            <w:vAlign w:val="bottom"/>
            <w:gridSpan w:val="1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2"/>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Miracle-Gro Company Amended and Restated 2006 Long-Term Incentive Plan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 w:lineRule="exact"/>
        <w:rPr>
          <w:sz w:val="20"/>
          <w:szCs w:val="20"/>
          <w:color w:val="auto"/>
        </w:rPr>
      </w:pPr>
    </w:p>
    <w:p>
      <w:pPr>
        <w:ind w:left="108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(now known as The Scotts Miracle-Gro Company Long-Term Incentive Plan)</w:t>
        </w:r>
      </w:hyperlink>
    </w:p>
    <w:p>
      <w:pPr>
        <w:spacing w:after="0" w:line="27" w:lineRule="exact"/>
        <w:rPr>
          <w:sz w:val="20"/>
          <w:szCs w:val="20"/>
          <w:color w:val="auto"/>
        </w:rPr>
      </w:pPr>
    </w:p>
    <w:p>
      <w:pPr>
        <w:ind w:left="1080"/>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u w:val="single" w:color="auto"/>
            <w:color w:val="0000FF"/>
          </w:rPr>
          <w:t>[January 20, 2010 through January 19, 2012 version</w:t>
        </w:r>
        <w:r>
          <w:rPr>
            <w:rFonts w:ascii="Times New Roman" w:cs="Times New Roman" w:eastAsia="Times New Roman" w:hAnsi="Times New Roman"/>
            <w:sz w:val="18"/>
            <w:szCs w:val="18"/>
            <w:color w:val="000000"/>
          </w:rPr>
          <w:t>]</w:t>
        </w:r>
      </w:hyperlink>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16,</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28,</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11, 2018</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tabs>
          <w:tab w:leader="none" w:pos="800" w:val="left"/>
          <w:tab w:leader="none" w:pos="18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July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2013</w:t>
            </w:r>
          </w:p>
        </w:tc>
      </w:tr>
      <w:tr>
        <w:trPr>
          <w:trHeight w:val="468"/>
        </w:trPr>
        <w:tc>
          <w:tcPr>
            <w:tcW w:w="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February 11,</w:t>
            </w:r>
          </w:p>
        </w:tc>
      </w:tr>
      <w:tr>
        <w:trPr>
          <w:trHeight w:val="234"/>
        </w:trPr>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2010</w:t>
            </w:r>
          </w:p>
        </w:tc>
      </w:tr>
    </w:tbl>
    <w:p>
      <w:pPr>
        <w:sectPr>
          <w:pgSz w:w="11900" w:h="16838" w:orient="portrait"/>
          <w:cols w:equalWidth="0" w:num="2">
            <w:col w:w="7220" w:space="120"/>
            <w:col w:w="4080"/>
          </w:cols>
          <w:pgMar w:left="240" w:top="121" w:right="239" w:bottom="1440" w:gutter="0" w:footer="0" w:header="0"/>
        </w:sectPr>
      </w:pPr>
    </w:p>
    <w:bookmarkStart w:id="127" w:name="page128"/>
    <w:bookmarkEnd w:id="127"/>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20" w:type="dxa"/>
            <w:vAlign w:val="bottom"/>
            <w:gridSpan w:val="31"/>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0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10.2(b)(ii)†</w:t>
            </w:r>
          </w:p>
        </w:tc>
        <w:tc>
          <w:tcPr>
            <w:tcW w:w="40" w:type="dxa"/>
            <w:vAlign w:val="bottom"/>
          </w:tcPr>
          <w:p>
            <w:pPr>
              <w:spacing w:after="0"/>
              <w:rPr>
                <w:sz w:val="17"/>
                <w:szCs w:val="17"/>
                <w:color w:val="auto"/>
              </w:rPr>
            </w:pPr>
          </w:p>
        </w:tc>
        <w:tc>
          <w:tcPr>
            <w:tcW w:w="5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Specimen form of Nonqualified Stock Option Award Agreement for Employees</w:t>
              </w:r>
            </w:hyperlink>
          </w:p>
        </w:tc>
        <w:tc>
          <w:tcPr>
            <w:tcW w:w="38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used to evidence grants of Nonqualified Stock Options made under The Scotts</w:t>
              </w:r>
            </w:hyperlink>
          </w:p>
        </w:tc>
        <w:tc>
          <w:tcPr>
            <w:tcW w:w="500" w:type="dxa"/>
            <w:vAlign w:val="bottom"/>
            <w:gridSpan w:val="1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Miracle-Gro Company Amended and Restated 2006 Long-Term Incentive Plan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(now known as The Scotts Miracle-Gro Company Long-Term Incentive Plan)</w:t>
              </w:r>
            </w:hyperlink>
          </w:p>
        </w:tc>
        <w:tc>
          <w:tcPr>
            <w:tcW w:w="100" w:type="dxa"/>
            <w:vAlign w:val="bottom"/>
            <w:tcBorders>
              <w:top w:val="single" w:sz="8" w:color="0000FF"/>
            </w:tcBorders>
            <w:gridSpan w:val="4"/>
          </w:tcPr>
          <w:p>
            <w:pPr>
              <w:spacing w:after="0"/>
              <w:rPr>
                <w:sz w:val="17"/>
                <w:szCs w:val="17"/>
                <w:color w:val="auto"/>
              </w:rPr>
            </w:pPr>
          </w:p>
        </w:tc>
        <w:tc>
          <w:tcPr>
            <w:tcW w:w="44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[January 20, 2012 through January 16, 2013 version]</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10.2(b)</w:t>
            </w:r>
          </w:p>
        </w:tc>
        <w:tc>
          <w:tcPr>
            <w:tcW w:w="40" w:type="dxa"/>
            <w:vAlign w:val="bottom"/>
          </w:tcPr>
          <w:p>
            <w:pPr>
              <w:spacing w:after="0"/>
              <w:rPr>
                <w:sz w:val="21"/>
                <w:szCs w:val="21"/>
                <w:color w:val="auto"/>
              </w:rPr>
            </w:pPr>
          </w:p>
        </w:tc>
        <w:tc>
          <w:tcPr>
            <w:tcW w:w="57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Specimen form of Nonqualified Stock Option Award Agreement for Employees</w:t>
              </w:r>
            </w:hyperlink>
          </w:p>
        </w:tc>
        <w:tc>
          <w:tcPr>
            <w:tcW w:w="380" w:type="dxa"/>
            <w:vAlign w:val="bottom"/>
            <w:gridSpan w:val="11"/>
          </w:tcPr>
          <w:p>
            <w:pPr>
              <w:spacing w:after="0"/>
              <w:rPr>
                <w:sz w:val="21"/>
                <w:szCs w:val="21"/>
                <w:color w:val="auto"/>
              </w:rPr>
            </w:pPr>
          </w:p>
        </w:tc>
      </w:tr>
      <w:tr>
        <w:trPr>
          <w:trHeight w:val="196"/>
        </w:trPr>
        <w:tc>
          <w:tcPr>
            <w:tcW w:w="10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40" w:type="dxa"/>
            <w:vAlign w:val="bottom"/>
          </w:tcPr>
          <w:p>
            <w:pPr>
              <w:spacing w:after="0"/>
              <w:rPr>
                <w:sz w:val="17"/>
                <w:szCs w:val="17"/>
                <w:color w:val="auto"/>
              </w:rPr>
            </w:pPr>
          </w:p>
        </w:tc>
        <w:tc>
          <w:tcPr>
            <w:tcW w:w="59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used to evidence grants made under The Scotts Miracle-Gro Company Long-Term</w:t>
              </w:r>
            </w:hyperlink>
          </w:p>
        </w:tc>
        <w:tc>
          <w:tcPr>
            <w:tcW w:w="2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Incentive Plan [January 17, 2013 through January 26, 2017 version]</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10.3(a)†</w:t>
            </w:r>
          </w:p>
        </w:tc>
        <w:tc>
          <w:tcPr>
            <w:tcW w:w="40" w:type="dxa"/>
            <w:vAlign w:val="bottom"/>
          </w:tcPr>
          <w:p>
            <w:pPr>
              <w:spacing w:after="0"/>
              <w:rPr>
                <w:sz w:val="21"/>
                <w:szCs w:val="21"/>
                <w:color w:val="auto"/>
              </w:rPr>
            </w:pPr>
          </w:p>
        </w:tc>
        <w:tc>
          <w:tcPr>
            <w:tcW w:w="5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The Scotts Miracle-Gro Company Long-Term Incentive Plan (effective as of</w:t>
              </w:r>
            </w:hyperlink>
          </w:p>
        </w:tc>
        <w:tc>
          <w:tcPr>
            <w:tcW w:w="620" w:type="dxa"/>
            <w:vAlign w:val="bottom"/>
            <w:gridSpan w:val="20"/>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January 27, 2017)</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10.3(b)(i)†</w:t>
            </w:r>
          </w:p>
        </w:tc>
        <w:tc>
          <w:tcPr>
            <w:tcW w:w="40" w:type="dxa"/>
            <w:vAlign w:val="bottom"/>
          </w:tcPr>
          <w:p>
            <w:pPr>
              <w:spacing w:after="0"/>
              <w:rPr>
                <w:sz w:val="21"/>
                <w:szCs w:val="21"/>
                <w:color w:val="auto"/>
              </w:rPr>
            </w:pPr>
          </w:p>
        </w:tc>
        <w:tc>
          <w:tcPr>
            <w:tcW w:w="58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Form of Project Focus Performance Unit Award Agreement which may be made</w:t>
              </w:r>
            </w:hyperlink>
          </w:p>
        </w:tc>
        <w:tc>
          <w:tcPr>
            <w:tcW w:w="340" w:type="dxa"/>
            <w:vAlign w:val="bottom"/>
            <w:gridSpan w:val="9"/>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under The Scotts Miracle-Gro Company Long-Term Incentive Plan</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10.3(b)(ii)†</w:t>
            </w:r>
          </w:p>
        </w:tc>
        <w:tc>
          <w:tcPr>
            <w:tcW w:w="40" w:type="dxa"/>
            <w:vAlign w:val="bottom"/>
          </w:tcPr>
          <w:p>
            <w:pPr>
              <w:spacing w:after="0"/>
              <w:rPr>
                <w:sz w:val="21"/>
                <w:szCs w:val="21"/>
                <w:color w:val="auto"/>
              </w:rPr>
            </w:pPr>
          </w:p>
        </w:tc>
        <w:tc>
          <w:tcPr>
            <w:tcW w:w="6140" w:type="dxa"/>
            <w:vAlign w:val="bottom"/>
            <w:gridSpan w:val="3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Amendment to Project Focus Amendment Award Agreement which may be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8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made under The Scotts Miracle-Gro Company Long-Term Incentive Plan</w:t>
              </w:r>
            </w:hyperlink>
          </w:p>
        </w:tc>
        <w:tc>
          <w:tcPr>
            <w:tcW w:w="6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10.3(c)†</w:t>
            </w:r>
          </w:p>
        </w:tc>
        <w:tc>
          <w:tcPr>
            <w:tcW w:w="40" w:type="dxa"/>
            <w:vAlign w:val="bottom"/>
          </w:tcPr>
          <w:p>
            <w:pPr>
              <w:spacing w:after="0"/>
              <w:rPr>
                <w:sz w:val="21"/>
                <w:szCs w:val="21"/>
                <w:color w:val="auto"/>
              </w:rPr>
            </w:pPr>
          </w:p>
        </w:tc>
        <w:tc>
          <w:tcPr>
            <w:tcW w:w="6140" w:type="dxa"/>
            <w:vAlign w:val="bottom"/>
            <w:gridSpan w:val="3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Standard Performance Unit Award Agreement which may be made under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The Scotts Miracle-Gro Company Long-Term Incentive Plan</w:t>
              </w:r>
            </w:hyperlink>
          </w:p>
        </w:tc>
        <w:tc>
          <w:tcPr>
            <w:tcW w:w="1500" w:type="dxa"/>
            <w:vAlign w:val="bottom"/>
            <w:tcBorders>
              <w:top w:val="single" w:sz="8" w:color="0000FF"/>
            </w:tcBorders>
            <w:gridSpan w:val="20"/>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10.3(d)†</w:t>
            </w:r>
          </w:p>
        </w:tc>
        <w:tc>
          <w:tcPr>
            <w:tcW w:w="40" w:type="dxa"/>
            <w:vAlign w:val="bottom"/>
          </w:tcPr>
          <w:p>
            <w:pPr>
              <w:spacing w:after="0"/>
              <w:rPr>
                <w:sz w:val="21"/>
                <w:szCs w:val="21"/>
                <w:color w:val="auto"/>
              </w:rPr>
            </w:pPr>
          </w:p>
        </w:tc>
        <w:tc>
          <w:tcPr>
            <w:tcW w:w="5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Form of Standard Restricted Stock Unit Award Agreement which may be made</w:t>
              </w:r>
            </w:hyperlink>
          </w:p>
        </w:tc>
        <w:tc>
          <w:tcPr>
            <w:tcW w:w="420" w:type="dxa"/>
            <w:vAlign w:val="bottom"/>
            <w:gridSpan w:val="1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under The Scotts Miracle-Gro Company Long-Term Incentive Plan</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10.3(e)†</w:t>
            </w:r>
          </w:p>
        </w:tc>
        <w:tc>
          <w:tcPr>
            <w:tcW w:w="40" w:type="dxa"/>
            <w:vAlign w:val="bottom"/>
          </w:tcPr>
          <w:p>
            <w:pPr>
              <w:spacing w:after="0"/>
              <w:rPr>
                <w:sz w:val="21"/>
                <w:szCs w:val="21"/>
                <w:color w:val="auto"/>
              </w:rPr>
            </w:pPr>
          </w:p>
        </w:tc>
        <w:tc>
          <w:tcPr>
            <w:tcW w:w="57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Standard Non-Qualified Stock Option Award Agreement which may be</w:t>
              </w:r>
            </w:hyperlink>
          </w:p>
        </w:tc>
        <w:tc>
          <w:tcPr>
            <w:tcW w:w="360" w:type="dxa"/>
            <w:vAlign w:val="bottom"/>
            <w:gridSpan w:val="10"/>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made under The Scotts Miracle-Gro Company Long-Term Incentive Plan</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10.3(f)†</w:t>
            </w:r>
          </w:p>
        </w:tc>
        <w:tc>
          <w:tcPr>
            <w:tcW w:w="40" w:type="dxa"/>
            <w:vAlign w:val="bottom"/>
          </w:tcPr>
          <w:p>
            <w:pPr>
              <w:spacing w:after="0"/>
              <w:rPr>
                <w:sz w:val="21"/>
                <w:szCs w:val="21"/>
                <w:color w:val="auto"/>
              </w:rPr>
            </w:pPr>
          </w:p>
        </w:tc>
        <w:tc>
          <w:tcPr>
            <w:tcW w:w="54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Specimen form of Deferred Stock Unit Award Agreement for Nonemployee</w:t>
              </w:r>
            </w:hyperlink>
          </w:p>
        </w:tc>
        <w:tc>
          <w:tcPr>
            <w:tcW w:w="660" w:type="dxa"/>
            <w:vAlign w:val="bottom"/>
            <w:gridSpan w:val="2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Directors (with Related Dividend Equivalents) used to evidence grants which may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be made under The Scotts Miracle-Gro Company Long-Term Incentive Plan</w:t>
              </w:r>
            </w:hyperlink>
          </w:p>
        </w:tc>
        <w:tc>
          <w:tcPr>
            <w:tcW w:w="420" w:type="dxa"/>
            <w:vAlign w:val="bottom"/>
            <w:tcBorders>
              <w:top w:val="single" w:sz="8" w:color="0000FF"/>
            </w:tcBorders>
            <w:gridSpan w:val="15"/>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10.3(g)†</w:t>
            </w:r>
          </w:p>
        </w:tc>
        <w:tc>
          <w:tcPr>
            <w:tcW w:w="40" w:type="dxa"/>
            <w:vAlign w:val="bottom"/>
          </w:tcPr>
          <w:p>
            <w:pPr>
              <w:spacing w:after="0"/>
              <w:rPr>
                <w:sz w:val="21"/>
                <w:szCs w:val="21"/>
                <w:color w:val="auto"/>
              </w:rPr>
            </w:pPr>
          </w:p>
        </w:tc>
        <w:tc>
          <w:tcPr>
            <w:tcW w:w="54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Specimen form of Deferred Stock Unit Award Agreement for Nonemployee</w:t>
              </w:r>
            </w:hyperlink>
          </w:p>
        </w:tc>
        <w:tc>
          <w:tcPr>
            <w:tcW w:w="660" w:type="dxa"/>
            <w:vAlign w:val="bottom"/>
            <w:gridSpan w:val="2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Directors Retainer Deferrals (with Related Dividend Equivalents) used to evidence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grants which may be made under The Scotts Miracle-Gro Company Long-Term</w:t>
              </w:r>
            </w:hyperlink>
          </w:p>
        </w:tc>
        <w:tc>
          <w:tcPr>
            <w:tcW w:w="1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4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Incentive Plan</w:t>
              </w:r>
            </w:hyperlink>
          </w:p>
        </w:tc>
        <w:tc>
          <w:tcPr>
            <w:tcW w:w="400" w:type="dxa"/>
            <w:vAlign w:val="bottom"/>
            <w:gridSpan w:val="12"/>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10.3(h)(i)†</w:t>
            </w:r>
          </w:p>
        </w:tc>
        <w:tc>
          <w:tcPr>
            <w:tcW w:w="40" w:type="dxa"/>
            <w:vAlign w:val="bottom"/>
          </w:tcPr>
          <w:p>
            <w:pPr>
              <w:spacing w:after="0"/>
              <w:rPr>
                <w:sz w:val="21"/>
                <w:szCs w:val="21"/>
                <w:color w:val="auto"/>
              </w:rPr>
            </w:pPr>
          </w:p>
        </w:tc>
        <w:tc>
          <w:tcPr>
            <w:tcW w:w="60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Specimen form of Restricted Stock Unit Award Agreement for Third Party Service-</w:t>
              </w:r>
            </w:hyperlink>
          </w:p>
        </w:tc>
        <w:tc>
          <w:tcPr>
            <w:tcW w:w="100" w:type="dxa"/>
            <w:vAlign w:val="bottom"/>
            <w:gridSpan w:val="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Providers (with Related Dividend Equivalents) which may be used to evidence</w:t>
              </w:r>
            </w:hyperlink>
          </w:p>
        </w:tc>
        <w:tc>
          <w:tcPr>
            <w:tcW w:w="46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grants made under The Scotts Miracle-Gro Company Long-Term Incentive Plan</w:t>
              </w:r>
            </w:hyperlink>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10.3(h)(ii)†</w:t>
            </w:r>
          </w:p>
        </w:tc>
        <w:tc>
          <w:tcPr>
            <w:tcW w:w="40" w:type="dxa"/>
            <w:vAlign w:val="bottom"/>
          </w:tcPr>
          <w:p>
            <w:pPr>
              <w:spacing w:after="0"/>
              <w:rPr>
                <w:sz w:val="21"/>
                <w:szCs w:val="21"/>
                <w:color w:val="auto"/>
              </w:rPr>
            </w:pPr>
          </w:p>
        </w:tc>
        <w:tc>
          <w:tcPr>
            <w:tcW w:w="554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Form of Standard Restricted Stock Unit Award Agreement for Nonemployee</w:t>
              </w:r>
            </w:hyperlink>
          </w:p>
        </w:tc>
        <w:tc>
          <w:tcPr>
            <w:tcW w:w="220" w:type="dxa"/>
            <w:vAlign w:val="bottom"/>
            <w:tcBorders>
              <w:top w:val="single" w:sz="8" w:color="0000FF"/>
            </w:tcBorders>
            <w:gridSpan w:val="8"/>
          </w:tcPr>
          <w:p>
            <w:pPr>
              <w:spacing w:after="0"/>
              <w:rPr>
                <w:sz w:val="21"/>
                <w:szCs w:val="21"/>
                <w:color w:val="auto"/>
              </w:rPr>
            </w:pPr>
          </w:p>
        </w:tc>
        <w:tc>
          <w:tcPr>
            <w:tcW w:w="380" w:type="dxa"/>
            <w:vAlign w:val="bottom"/>
            <w:gridSpan w:val="11"/>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Directors (with Related Dividend Equivalents) used to evidence grants which may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be made under The Scotts Miracle-Gro Company Long-Term Incentive Plan</w:t>
              </w:r>
            </w:hyperlink>
          </w:p>
        </w:tc>
        <w:tc>
          <w:tcPr>
            <w:tcW w:w="420" w:type="dxa"/>
            <w:vAlign w:val="bottom"/>
            <w:tcBorders>
              <w:top w:val="single" w:sz="8" w:color="0000FF"/>
            </w:tcBorders>
            <w:gridSpan w:val="15"/>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10.4(a)†</w:t>
            </w:r>
          </w:p>
        </w:tc>
        <w:tc>
          <w:tcPr>
            <w:tcW w:w="40" w:type="dxa"/>
            <w:vAlign w:val="bottom"/>
          </w:tcPr>
          <w:p>
            <w:pPr>
              <w:spacing w:after="0"/>
              <w:rPr>
                <w:sz w:val="21"/>
                <w:szCs w:val="21"/>
                <w:color w:val="auto"/>
              </w:rPr>
            </w:pPr>
          </w:p>
        </w:tc>
        <w:tc>
          <w:tcPr>
            <w:tcW w:w="6140" w:type="dxa"/>
            <w:vAlign w:val="bottom"/>
            <w:gridSpan w:val="3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The Scotts Company LLC Amended and Restated Executive Incentive Plan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(effective as of January 30, 2014)</w:t>
              </w:r>
            </w:hyperlink>
          </w:p>
        </w:tc>
        <w:tc>
          <w:tcPr>
            <w:tcW w:w="3020" w:type="dxa"/>
            <w:vAlign w:val="bottom"/>
            <w:tcBorders>
              <w:top w:val="single" w:sz="8" w:color="0000FF"/>
            </w:tcBorders>
            <w:gridSpan w:val="8"/>
          </w:tcPr>
          <w:p>
            <w:pPr>
              <w:spacing w:after="0"/>
              <w:rPr>
                <w:sz w:val="17"/>
                <w:szCs w:val="17"/>
                <w:color w:val="auto"/>
              </w:rPr>
            </w:pPr>
          </w:p>
        </w:tc>
        <w:tc>
          <w:tcPr>
            <w:tcW w:w="700" w:type="dxa"/>
            <w:vAlign w:val="bottom"/>
            <w:gridSpan w:val="23"/>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10.4(b)†</w:t>
            </w:r>
          </w:p>
        </w:tc>
        <w:tc>
          <w:tcPr>
            <w:tcW w:w="40" w:type="dxa"/>
            <w:vAlign w:val="bottom"/>
          </w:tcPr>
          <w:p>
            <w:pPr>
              <w:spacing w:after="0"/>
              <w:rPr>
                <w:sz w:val="21"/>
                <w:szCs w:val="21"/>
                <w:color w:val="auto"/>
              </w:rPr>
            </w:pPr>
          </w:p>
        </w:tc>
        <w:tc>
          <w:tcPr>
            <w:tcW w:w="56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Specimen form of Employee Confidentiality, Noncompetition, Nonsolicitation</w:t>
              </w:r>
            </w:hyperlink>
          </w:p>
        </w:tc>
        <w:tc>
          <w:tcPr>
            <w:tcW w:w="480" w:type="dxa"/>
            <w:vAlign w:val="bottom"/>
            <w:gridSpan w:val="1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Agreement for employees participating in The Scotts Company LLC</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34"/>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Executive/Management Incentive Plan (now known as The Scotts Company LLC</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6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Executive Incentive Plan)</w:t>
              </w:r>
            </w:hyperlink>
          </w:p>
        </w:tc>
        <w:tc>
          <w:tcPr>
            <w:tcW w:w="280" w:type="dxa"/>
            <w:vAlign w:val="bottom"/>
            <w:gridSpan w:val="8"/>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1"/>
                <w:szCs w:val="21"/>
                <w:color w:val="auto"/>
              </w:rPr>
            </w:pPr>
          </w:p>
        </w:tc>
        <w:tc>
          <w:tcPr>
            <w:tcW w:w="60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The Scotts Company LLC Executive Retirement Plan, as Amended and Restated as</w:t>
              </w:r>
            </w:hyperlink>
          </w:p>
        </w:tc>
        <w:tc>
          <w:tcPr>
            <w:tcW w:w="12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of January 1, 2015 (executed December 31, 2014)</w:t>
              </w:r>
            </w:hyperlink>
          </w:p>
        </w:tc>
        <w:tc>
          <w:tcPr>
            <w:tcW w:w="2540" w:type="dxa"/>
            <w:vAlign w:val="bottom"/>
            <w:gridSpan w:val="29"/>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10.6(a)†</w:t>
            </w:r>
          </w:p>
        </w:tc>
        <w:tc>
          <w:tcPr>
            <w:tcW w:w="40" w:type="dxa"/>
            <w:vAlign w:val="bottom"/>
          </w:tcPr>
          <w:p>
            <w:pPr>
              <w:spacing w:after="0"/>
              <w:rPr>
                <w:sz w:val="21"/>
                <w:szCs w:val="21"/>
                <w:color w:val="auto"/>
              </w:rPr>
            </w:pPr>
          </w:p>
        </w:tc>
        <w:tc>
          <w:tcPr>
            <w:tcW w:w="60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Employee Confidentiality, Noncompetition, Nonsolicitation Agreement, dated as of</w:t>
              </w:r>
            </w:hyperlink>
          </w:p>
        </w:tc>
        <w:tc>
          <w:tcPr>
            <w:tcW w:w="100" w:type="dxa"/>
            <w:vAlign w:val="bottom"/>
            <w:gridSpan w:val="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December 12, 2013, by and between The Scotts Company LLC, all companies</w:t>
              </w:r>
            </w:hyperlink>
          </w:p>
        </w:tc>
        <w:tc>
          <w:tcPr>
            <w:tcW w:w="480" w:type="dxa"/>
            <w:vAlign w:val="bottom"/>
            <w:gridSpan w:val="16"/>
          </w:tcPr>
          <w:p>
            <w:pPr>
              <w:spacing w:after="0"/>
              <w:rPr>
                <w:sz w:val="17"/>
                <w:szCs w:val="17"/>
                <w:color w:val="auto"/>
              </w:rPr>
            </w:pPr>
          </w:p>
        </w:tc>
      </w:tr>
    </w:tbl>
    <w:p>
      <w:pPr>
        <w:spacing w:after="0" w:line="9" w:lineRule="exact"/>
        <w:rPr>
          <w:sz w:val="20"/>
          <w:szCs w:val="20"/>
          <w:color w:val="auto"/>
        </w:rPr>
      </w:pPr>
    </w:p>
    <w:p>
      <w:pPr>
        <w:ind w:left="1080" w:right="100"/>
        <w:spacing w:after="0" w:line="282"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controlled by, controlling or under common control with The Scotts Company LLC,</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and James Hagedorn</w:t>
        </w:r>
      </w:hyperlink>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2015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10.3(f)</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10.3(g)</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10.3(h)(i)</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10.3(h)(ii)</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7220" w:space="120"/>
            <w:col w:w="4080"/>
          </w:cols>
          <w:pgMar w:left="240" w:top="121" w:right="239" w:bottom="1440" w:gutter="0" w:footer="0" w:header="0"/>
        </w:sectPr>
      </w:pPr>
    </w:p>
    <w:bookmarkStart w:id="128" w:name="page129"/>
    <w:bookmarkEnd w:id="128"/>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4"/>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0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10.6(b)†</w:t>
            </w: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Executive Severance Agreement, dated as of December 11, 2013, by and between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The Scotts Company LLC and James Hagedorn</w:t>
              </w:r>
            </w:hyperlink>
          </w:p>
        </w:tc>
        <w:tc>
          <w:tcPr>
            <w:tcW w:w="2440" w:type="dxa"/>
            <w:vAlign w:val="bottom"/>
            <w:tcBorders>
              <w:top w:val="single" w:sz="8" w:color="0000FF"/>
            </w:tcBorders>
            <w:gridSpan w:val="12"/>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1"/>
                <w:szCs w:val="21"/>
                <w:color w:val="auto"/>
              </w:rPr>
            </w:pPr>
          </w:p>
        </w:tc>
        <w:tc>
          <w:tcPr>
            <w:tcW w:w="6140" w:type="dxa"/>
            <w:vAlign w:val="bottom"/>
            <w:gridSpan w:val="28"/>
          </w:tcPr>
          <w:p>
            <w:pPr>
              <w:spacing w:after="0"/>
              <w:rPr>
                <w:rFonts w:ascii="Times New Roman" w:cs="Times New Roman" w:eastAsia="Times New Roman" w:hAnsi="Times New Roman"/>
                <w:sz w:val="18"/>
                <w:szCs w:val="18"/>
                <w:color w:val="0000FF"/>
              </w:rPr>
            </w:pPr>
            <w:hyperlink w:anchor="page135">
              <w:r>
                <w:rPr>
                  <w:rFonts w:ascii="Times New Roman" w:cs="Times New Roman" w:eastAsia="Times New Roman" w:hAnsi="Times New Roman"/>
                  <w:sz w:val="18"/>
                  <w:szCs w:val="18"/>
                  <w:color w:val="0000FF"/>
                </w:rPr>
                <w:t>Summary of Compensation for Nonemployee Directors of The Scotts Miracle-Gro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w:anchor="page135">
              <w:r>
                <w:rPr>
                  <w:rFonts w:ascii="Times New Roman" w:cs="Times New Roman" w:eastAsia="Times New Roman" w:hAnsi="Times New Roman"/>
                  <w:sz w:val="18"/>
                  <w:szCs w:val="18"/>
                  <w:color w:val="0000FF"/>
                  <w:w w:val="99"/>
                </w:rPr>
                <w:t>Company (effective as of January 27, 2017)</w:t>
              </w:r>
            </w:hyperlink>
          </w:p>
        </w:tc>
        <w:tc>
          <w:tcPr>
            <w:tcW w:w="2780" w:type="dxa"/>
            <w:vAlign w:val="bottom"/>
            <w:tcBorders>
              <w:top w:val="single" w:sz="8" w:color="0000FF"/>
            </w:tcBorders>
            <w:gridSpan w:val="14"/>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1"/>
                <w:szCs w:val="21"/>
                <w:color w:val="auto"/>
              </w:rPr>
            </w:pPr>
          </w:p>
        </w:tc>
        <w:tc>
          <w:tcPr>
            <w:tcW w:w="60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Consulting Agreement, dated January 28, 2019, between The Scotts Company LLC</w:t>
              </w:r>
            </w:hyperlink>
          </w:p>
        </w:tc>
        <w:tc>
          <w:tcPr>
            <w:tcW w:w="10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and Hanft Projects LLC</w:t>
              </w:r>
            </w:hyperlink>
          </w:p>
        </w:tc>
        <w:tc>
          <w:tcPr>
            <w:tcW w:w="4420" w:type="dxa"/>
            <w:vAlign w:val="bottom"/>
            <w:gridSpan w:val="24"/>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10.9(a)†</w:t>
            </w:r>
          </w:p>
        </w:tc>
        <w:tc>
          <w:tcPr>
            <w:tcW w:w="40" w:type="dxa"/>
            <w:vAlign w:val="bottom"/>
          </w:tcPr>
          <w:p>
            <w:pPr>
              <w:spacing w:after="0"/>
              <w:rPr>
                <w:sz w:val="21"/>
                <w:szCs w:val="21"/>
                <w:color w:val="auto"/>
              </w:rPr>
            </w:pPr>
          </w:p>
        </w:tc>
        <w:tc>
          <w:tcPr>
            <w:tcW w:w="6140" w:type="dxa"/>
            <w:vAlign w:val="bottom"/>
            <w:gridSpan w:val="2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The Scotts Company LLC Executive Severance Plan, adopted on April 25, 2017</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10.9(b)†</w:t>
            </w:r>
          </w:p>
        </w:tc>
        <w:tc>
          <w:tcPr>
            <w:tcW w:w="40" w:type="dxa"/>
            <w:vAlign w:val="bottom"/>
          </w:tcPr>
          <w:p>
            <w:pPr>
              <w:spacing w:after="0"/>
              <w:rPr>
                <w:sz w:val="21"/>
                <w:szCs w:val="21"/>
                <w:color w:val="auto"/>
              </w:rPr>
            </w:pPr>
          </w:p>
        </w:tc>
        <w:tc>
          <w:tcPr>
            <w:tcW w:w="60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Form of Tier 1 Participation Agreement under The Scotts Company LLC Executive</w:t>
              </w:r>
            </w:hyperlink>
          </w:p>
        </w:tc>
        <w:tc>
          <w:tcPr>
            <w:tcW w:w="10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Severance Plan</w:t>
              </w:r>
            </w:hyperlink>
          </w:p>
        </w:tc>
        <w:tc>
          <w:tcPr>
            <w:tcW w:w="5040" w:type="dxa"/>
            <w:vAlign w:val="bottom"/>
            <w:gridSpan w:val="26"/>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10.10(a)</w:t>
            </w:r>
          </w:p>
        </w:tc>
        <w:tc>
          <w:tcPr>
            <w:tcW w:w="40" w:type="dxa"/>
            <w:vAlign w:val="bottom"/>
          </w:tcPr>
          <w:p>
            <w:pPr>
              <w:spacing w:after="0"/>
              <w:rPr>
                <w:sz w:val="21"/>
                <w:szCs w:val="21"/>
                <w:color w:val="auto"/>
              </w:rPr>
            </w:pPr>
          </w:p>
        </w:tc>
        <w:tc>
          <w:tcPr>
            <w:tcW w:w="60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Commercialization and Technology Agreement, dated as of May 15, 2015, between</w:t>
              </w:r>
            </w:hyperlink>
          </w:p>
        </w:tc>
        <w:tc>
          <w:tcPr>
            <w:tcW w:w="10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Monsanto Company and The Scotts Company LLC</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10.10(b)</w:t>
            </w:r>
          </w:p>
        </w:tc>
        <w:tc>
          <w:tcPr>
            <w:tcW w:w="40" w:type="dxa"/>
            <w:vAlign w:val="bottom"/>
          </w:tcPr>
          <w:p>
            <w:pPr>
              <w:spacing w:after="0"/>
              <w:rPr>
                <w:sz w:val="21"/>
                <w:szCs w:val="21"/>
                <w:color w:val="auto"/>
              </w:rPr>
            </w:pPr>
          </w:p>
        </w:tc>
        <w:tc>
          <w:tcPr>
            <w:tcW w:w="614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Termination Agreement regarding Commercialization and Technology Agreement,</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entered into on July 29, 2019 and effective as of August 1, 2019, between Monsanto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Company and The Scotts Company LLC</w:t>
              </w:r>
            </w:hyperlink>
          </w:p>
        </w:tc>
        <w:tc>
          <w:tcPr>
            <w:tcW w:w="3120" w:type="dxa"/>
            <w:vAlign w:val="bottom"/>
            <w:tcBorders>
              <w:top w:val="single" w:sz="8" w:color="0000FF"/>
            </w:tcBorders>
            <w:gridSpan w:val="21"/>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Third Amended and Restated Exclusive Agency and Marketing Agreement, entered</w:t>
              </w:r>
            </w:hyperlink>
          </w:p>
        </w:tc>
        <w:tc>
          <w:tcPr>
            <w:tcW w:w="100" w:type="dxa"/>
            <w:vAlign w:val="bottom"/>
            <w:gridSpan w:val="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into on July 29, 2019 and effective as of August 1, 2019, between Monsanto</w:t>
              </w:r>
            </w:hyperlink>
          </w:p>
        </w:tc>
        <w:tc>
          <w:tcPr>
            <w:tcW w:w="64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Company and The Scotts Company LLC</w:t>
              </w:r>
            </w:hyperlink>
          </w:p>
        </w:tc>
        <w:tc>
          <w:tcPr>
            <w:tcW w:w="3200" w:type="dxa"/>
            <w:vAlign w:val="bottom"/>
            <w:gridSpan w:val="23"/>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10.12(a)</w:t>
            </w:r>
          </w:p>
        </w:tc>
        <w:tc>
          <w:tcPr>
            <w:tcW w:w="40" w:type="dxa"/>
            <w:vAlign w:val="bottom"/>
          </w:tcPr>
          <w:p>
            <w:pPr>
              <w:spacing w:after="0"/>
              <w:rPr>
                <w:sz w:val="21"/>
                <w:szCs w:val="21"/>
                <w:color w:val="auto"/>
              </w:rPr>
            </w:pPr>
          </w:p>
        </w:tc>
        <w:tc>
          <w:tcPr>
            <w:tcW w:w="5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Amended and Restated Lawn and Garden Brand Extension Agreement - Americas,</w:t>
              </w:r>
            </w:hyperlink>
          </w:p>
        </w:tc>
        <w:tc>
          <w:tcPr>
            <w:tcW w:w="160" w:type="dxa"/>
            <w:vAlign w:val="bottom"/>
            <w:gridSpan w:val="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dated as of August 31, 2017, between Monsanto Company and The Scotts Company</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55">
              <w:r>
                <w:rPr>
                  <w:rFonts w:ascii="Times New Roman" w:cs="Times New Roman" w:eastAsia="Times New Roman" w:hAnsi="Times New Roman"/>
                  <w:sz w:val="18"/>
                  <w:szCs w:val="18"/>
                  <w:color w:val="0000FF"/>
                  <w:w w:val="93"/>
                </w:rPr>
                <w:t>LLC</w:t>
              </w:r>
            </w:hyperlink>
          </w:p>
        </w:tc>
        <w:tc>
          <w:tcPr>
            <w:tcW w:w="5800" w:type="dxa"/>
            <w:vAlign w:val="bottom"/>
            <w:gridSpan w:val="27"/>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10.12(b)</w:t>
            </w:r>
          </w:p>
        </w:tc>
        <w:tc>
          <w:tcPr>
            <w:tcW w:w="40" w:type="dxa"/>
            <w:vAlign w:val="bottom"/>
          </w:tcPr>
          <w:p>
            <w:pPr>
              <w:spacing w:after="0"/>
              <w:rPr>
                <w:sz w:val="21"/>
                <w:szCs w:val="21"/>
                <w:color w:val="auto"/>
              </w:rPr>
            </w:pPr>
          </w:p>
        </w:tc>
        <w:tc>
          <w:tcPr>
            <w:tcW w:w="60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Termination Agreement regarding Amended and Restated Lawn and Garden Brand</w:t>
              </w:r>
            </w:hyperlink>
          </w:p>
        </w:tc>
        <w:tc>
          <w:tcPr>
            <w:tcW w:w="120" w:type="dxa"/>
            <w:vAlign w:val="bottom"/>
            <w:gridSpan w:val="4"/>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Extension Agreement - Americas, entered into on July 29, 2019 and effective as of</w:t>
              </w:r>
            </w:hyperlink>
          </w:p>
        </w:tc>
        <w:tc>
          <w:tcPr>
            <w:tcW w:w="18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August 1, 2019, between Monsanto Company and The Scotts Company LLC</w:t>
              </w:r>
            </w:hyperlink>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10.12(c)</w:t>
            </w:r>
          </w:p>
        </w:tc>
        <w:tc>
          <w:tcPr>
            <w:tcW w:w="40" w:type="dxa"/>
            <w:vAlign w:val="bottom"/>
          </w:tcPr>
          <w:p>
            <w:pPr>
              <w:spacing w:after="0"/>
              <w:rPr>
                <w:sz w:val="21"/>
                <w:szCs w:val="21"/>
                <w:color w:val="auto"/>
              </w:rPr>
            </w:pPr>
          </w:p>
        </w:tc>
        <w:tc>
          <w:tcPr>
            <w:tcW w:w="58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Brand Extension Agreement Asset Purchase Agreement, entered into on July 29,</w:t>
              </w:r>
            </w:hyperlink>
          </w:p>
        </w:tc>
        <w:tc>
          <w:tcPr>
            <w:tcW w:w="320" w:type="dxa"/>
            <w:vAlign w:val="bottom"/>
            <w:gridSpan w:val="11"/>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2019 and effective as of August 1, 2019, between Monsanto Company and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Scotts Company LLC</w:t>
              </w:r>
            </w:hyperlink>
          </w:p>
        </w:tc>
        <w:tc>
          <w:tcPr>
            <w:tcW w:w="440" w:type="dxa"/>
            <w:vAlign w:val="bottom"/>
            <w:gridSpan w:val="13"/>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10.13(a)(i)</w:t>
            </w:r>
          </w:p>
        </w:tc>
        <w:tc>
          <w:tcPr>
            <w:tcW w:w="40" w:type="dxa"/>
            <w:vAlign w:val="bottom"/>
          </w:tcPr>
          <w:p>
            <w:pPr>
              <w:spacing w:after="0"/>
              <w:rPr>
                <w:sz w:val="21"/>
                <w:szCs w:val="21"/>
                <w:color w:val="auto"/>
              </w:rPr>
            </w:pPr>
          </w:p>
        </w:tc>
        <w:tc>
          <w:tcPr>
            <w:tcW w:w="60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Master Repurchase Agreement, and Annex I thereto, with Coöperatieve Rabobank,</w:t>
              </w:r>
            </w:hyperlink>
          </w:p>
        </w:tc>
        <w:tc>
          <w:tcPr>
            <w:tcW w:w="140" w:type="dxa"/>
            <w:vAlign w:val="bottom"/>
            <w:gridSpan w:val="5"/>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U.A. (New York Branch), as agent and purchaser, and Sumitomo Mitsui Banking</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4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Corporation (New York Branch), as purchaser, dated as of April 7, 2017</w:t>
              </w:r>
            </w:hyperlink>
          </w:p>
        </w:tc>
        <w:tc>
          <w:tcPr>
            <w:tcW w:w="300" w:type="dxa"/>
            <w:vAlign w:val="bottom"/>
            <w:gridSpan w:val="10"/>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10.13(a)(ii)</w:t>
            </w:r>
          </w:p>
        </w:tc>
        <w:tc>
          <w:tcPr>
            <w:tcW w:w="40" w:type="dxa"/>
            <w:vAlign w:val="bottom"/>
          </w:tcPr>
          <w:p>
            <w:pPr>
              <w:spacing w:after="0"/>
              <w:rPr>
                <w:sz w:val="21"/>
                <w:szCs w:val="21"/>
                <w:color w:val="auto"/>
              </w:rPr>
            </w:pPr>
          </w:p>
        </w:tc>
        <w:tc>
          <w:tcPr>
            <w:tcW w:w="5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Amendment No. 1 to Master Repurchase Agreement with Coöperatieve Rabobank,</w:t>
              </w:r>
            </w:hyperlink>
          </w:p>
        </w:tc>
        <w:tc>
          <w:tcPr>
            <w:tcW w:w="160" w:type="dxa"/>
            <w:vAlign w:val="bottom"/>
            <w:gridSpan w:val="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U.A. (New York Branch), as agent and purchaser, and Sumitomo Mitsui Banking</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Corporation (New York Branch), as purchaser, dated as of August 24, 2018</w:t>
              </w:r>
            </w:hyperlink>
          </w:p>
        </w:tc>
        <w:tc>
          <w:tcPr>
            <w:tcW w:w="420" w:type="dxa"/>
            <w:vAlign w:val="bottom"/>
            <w:tcBorders>
              <w:top w:val="single" w:sz="8" w:color="0000FF"/>
            </w:tcBorders>
            <w:gridSpan w:val="7"/>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10.14(a)(i)</w:t>
            </w:r>
          </w:p>
        </w:tc>
        <w:tc>
          <w:tcPr>
            <w:tcW w:w="40" w:type="dxa"/>
            <w:vAlign w:val="bottom"/>
          </w:tcPr>
          <w:p>
            <w:pPr>
              <w:spacing w:after="0"/>
              <w:rPr>
                <w:sz w:val="21"/>
                <w:szCs w:val="21"/>
                <w:color w:val="auto"/>
              </w:rPr>
            </w:pPr>
          </w:p>
        </w:tc>
        <w:tc>
          <w:tcPr>
            <w:tcW w:w="614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Master Framework Agreement with Coöperatieve Rabobank, U.A. (New York</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gridSpan w:val="2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Branch), as agent and purchaser, and Sumitomo Mitsui Banking Corporation (New</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York Branch), as purchaser, dated as of April 7, 2017</w:t>
              </w:r>
            </w:hyperlink>
          </w:p>
        </w:tc>
        <w:tc>
          <w:tcPr>
            <w:tcW w:w="180" w:type="dxa"/>
            <w:vAlign w:val="bottom"/>
            <w:gridSpan w:val="7"/>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5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10.14(a)(ii)</w:t>
            </w:r>
          </w:p>
        </w:tc>
        <w:tc>
          <w:tcPr>
            <w:tcW w:w="40" w:type="dxa"/>
            <w:vAlign w:val="bottom"/>
          </w:tcPr>
          <w:p>
            <w:pPr>
              <w:spacing w:after="0"/>
              <w:rPr>
                <w:sz w:val="21"/>
                <w:szCs w:val="21"/>
                <w:color w:val="auto"/>
              </w:rPr>
            </w:pPr>
          </w:p>
        </w:tc>
        <w:tc>
          <w:tcPr>
            <w:tcW w:w="6140" w:type="dxa"/>
            <w:vAlign w:val="bottom"/>
            <w:gridSpan w:val="2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1 to Master Framework Agreement with Coöperatieve Rabobank,</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U.A. (New York Branch), as agent and purchaser, and Sumitomo Mitsui Banking</w:t>
              </w:r>
            </w:hyperlink>
          </w:p>
        </w:tc>
        <w:tc>
          <w:tcPr>
            <w:tcW w:w="18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Corporation (New York Branch), as purchaser, dated as of August 25, 2017</w:t>
              </w:r>
            </w:hyperlink>
          </w:p>
        </w:tc>
        <w:tc>
          <w:tcPr>
            <w:tcW w:w="420" w:type="dxa"/>
            <w:vAlign w:val="bottom"/>
            <w:tcBorders>
              <w:top w:val="single" w:sz="8" w:color="0000FF"/>
            </w:tcBorders>
            <w:gridSpan w:val="7"/>
          </w:tcPr>
          <w:p>
            <w:pPr>
              <w:spacing w:after="0"/>
              <w:rPr>
                <w:sz w:val="17"/>
                <w:szCs w:val="17"/>
                <w:color w:val="auto"/>
              </w:rPr>
            </w:pPr>
          </w:p>
        </w:tc>
        <w:tc>
          <w:tcPr>
            <w:tcW w:w="300" w:type="dxa"/>
            <w:vAlign w:val="bottom"/>
            <w:gridSpan w:val="10"/>
          </w:tcPr>
          <w:p>
            <w:pPr>
              <w:spacing w:after="0"/>
              <w:rPr>
                <w:sz w:val="17"/>
                <w:szCs w:val="17"/>
                <w:color w:val="auto"/>
              </w:rPr>
            </w:pPr>
          </w:p>
        </w:tc>
      </w:tr>
    </w:tbl>
    <w:p>
      <w:pPr>
        <w:spacing w:after="0" w:line="63" w:lineRule="exact"/>
        <w:rPr>
          <w:sz w:val="20"/>
          <w:szCs w:val="20"/>
          <w:color w:val="auto"/>
        </w:rPr>
      </w:pPr>
    </w:p>
    <w:p>
      <w:pPr>
        <w:ind w:left="4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10.14(a)</w:t>
      </w:r>
      <w:r>
        <w:rPr>
          <w:sz w:val="20"/>
          <w:szCs w:val="20"/>
          <w:color w:val="auto"/>
        </w:rPr>
        <w:tab/>
      </w:r>
      <w:hyperlink r:id="rId162">
        <w:r>
          <w:rPr>
            <w:rFonts w:ascii="Times New Roman" w:cs="Times New Roman" w:eastAsia="Times New Roman" w:hAnsi="Times New Roman"/>
            <w:sz w:val="17"/>
            <w:szCs w:val="17"/>
            <w:u w:val="single" w:color="auto"/>
            <w:color w:val="0000FF"/>
          </w:rPr>
          <w:t>Amendment No. 2 to Master Framework Agreement with Coöperatieve Rabobank,</w:t>
        </w:r>
      </w:hyperlink>
    </w:p>
    <w:p>
      <w:pPr>
        <w:spacing w:after="0" w:line="27" w:lineRule="exact"/>
        <w:rPr>
          <w:sz w:val="20"/>
          <w:szCs w:val="20"/>
          <w:color w:val="auto"/>
        </w:rPr>
      </w:pPr>
    </w:p>
    <w:p>
      <w:pPr>
        <w:ind w:left="1080" w:right="300" w:hanging="1045"/>
        <w:spacing w:after="0" w:line="287" w:lineRule="auto"/>
        <w:tabs>
          <w:tab w:leader="none" w:pos="1080" w:val="left"/>
        </w:tabs>
        <w:numPr>
          <w:ilvl w:val="0"/>
          <w:numId w:val="39"/>
        </w:numPr>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U.A. (New York Branch), as agent and purchaser, and Sumitomo Mitsui Banking</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Corporation (New York Branch), as purchaser, dated as of August 24, 2018</w:t>
        </w:r>
      </w:hyperlink>
    </w:p>
    <w:p>
      <w:pPr>
        <w:ind w:left="4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10.14(a)</w:t>
      </w:r>
      <w:r>
        <w:rPr>
          <w:sz w:val="20"/>
          <w:szCs w:val="20"/>
          <w:color w:val="auto"/>
        </w:rPr>
        <w:tab/>
      </w:r>
      <w:hyperlink r:id="rId163">
        <w:r>
          <w:rPr>
            <w:rFonts w:ascii="Times New Roman" w:cs="Times New Roman" w:eastAsia="Times New Roman" w:hAnsi="Times New Roman"/>
            <w:sz w:val="17"/>
            <w:szCs w:val="17"/>
            <w:u w:val="single" w:color="auto"/>
            <w:color w:val="0000FF"/>
          </w:rPr>
          <w:t>Amendment No. 3 to Master Framework Agreement with Coöperatieve Rabobank,</w:t>
        </w:r>
      </w:hyperlink>
    </w:p>
    <w:p>
      <w:pPr>
        <w:spacing w:after="0" w:line="27" w:lineRule="exact"/>
        <w:rPr>
          <w:rFonts w:ascii="Times New Roman" w:cs="Times New Roman" w:eastAsia="Times New Roman" w:hAnsi="Times New Roman"/>
          <w:sz w:val="17"/>
          <w:szCs w:val="17"/>
          <w:color w:val="auto"/>
        </w:rPr>
      </w:pPr>
    </w:p>
    <w:p>
      <w:pPr>
        <w:ind w:left="1080" w:right="300" w:hanging="1045"/>
        <w:spacing w:after="0" w:line="287" w:lineRule="auto"/>
        <w:tabs>
          <w:tab w:leader="none" w:pos="1080" w:val="left"/>
        </w:tabs>
        <w:numPr>
          <w:ilvl w:val="0"/>
          <w:numId w:val="40"/>
        </w:numPr>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U.A. (New York Branch), as agent and purchaser, and Sumitomo Mitsui Banking</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Corporation (New York Branch), as purchaser, dated as of August 23, 2019</w:t>
        </w:r>
      </w:hyperlink>
    </w:p>
    <w:tbl>
      <w:tblPr>
        <w:tblLayout w:type="fixed"/>
        <w:tblInd w:w="40" w:type="dxa"/>
        <w:tblCellMar>
          <w:top w:w="0" w:type="dxa"/>
          <w:left w:w="0" w:type="dxa"/>
          <w:bottom w:w="0" w:type="dxa"/>
          <w:right w:w="0" w:type="dxa"/>
        </w:tblCellMar>
      </w:tblPr>
      <w:tr>
        <w:trPr>
          <w:trHeight w:val="194"/>
        </w:trPr>
        <w:tc>
          <w:tcPr>
            <w:tcW w:w="1040" w:type="dxa"/>
            <w:vAlign w:val="bottom"/>
          </w:tcPr>
          <w:p>
            <w:pPr>
              <w:jc w:val="right"/>
              <w:ind w:right="550"/>
              <w:spacing w:after="0" w:line="195" w:lineRule="exact"/>
              <w:rPr>
                <w:sz w:val="20"/>
                <w:szCs w:val="20"/>
                <w:color w:val="auto"/>
              </w:rPr>
            </w:pPr>
            <w:r>
              <w:rPr>
                <w:rFonts w:ascii="Times New Roman" w:cs="Times New Roman" w:eastAsia="Times New Roman" w:hAnsi="Times New Roman"/>
                <w:sz w:val="18"/>
                <w:szCs w:val="18"/>
                <w:color w:val="auto"/>
                <w:w w:val="93"/>
              </w:rPr>
              <w:t>10.15</w:t>
            </w:r>
          </w:p>
        </w:tc>
        <w:tc>
          <w:tcPr>
            <w:tcW w:w="472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Form of Aircraft Time Sharing Agreement for Executive Officers</w:t>
              </w:r>
            </w:hyperlink>
          </w:p>
        </w:tc>
        <w:tc>
          <w:tcPr>
            <w:tcW w:w="1320" w:type="dxa"/>
            <w:vAlign w:val="bottom"/>
          </w:tcPr>
          <w:p>
            <w:pPr>
              <w:spacing w:after="0"/>
              <w:rPr>
                <w:sz w:val="16"/>
                <w:szCs w:val="16"/>
                <w:color w:val="auto"/>
              </w:rPr>
            </w:pPr>
          </w:p>
        </w:tc>
      </w:tr>
      <w:tr>
        <w:trPr>
          <w:trHeight w:val="250"/>
        </w:trPr>
        <w:tc>
          <w:tcPr>
            <w:tcW w:w="1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3"/>
              </w:rPr>
              <w:t>10.16</w:t>
            </w:r>
          </w:p>
        </w:tc>
        <w:tc>
          <w:tcPr>
            <w:tcW w:w="60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Binding and Irrevocable Conditional Offer, dated April 29, 2017, from Garden Care</w:t>
              </w:r>
            </w:hyperlink>
          </w:p>
        </w:tc>
      </w:tr>
      <w:tr>
        <w:trPr>
          <w:trHeight w:val="196"/>
        </w:trPr>
        <w:tc>
          <w:tcPr>
            <w:tcW w:w="1040" w:type="dxa"/>
            <w:vAlign w:val="bottom"/>
          </w:tcPr>
          <w:p>
            <w:pPr>
              <w:spacing w:after="0"/>
              <w:rPr>
                <w:sz w:val="17"/>
                <w:szCs w:val="17"/>
                <w:color w:val="auto"/>
              </w:rPr>
            </w:pPr>
          </w:p>
        </w:tc>
        <w:tc>
          <w:tcPr>
            <w:tcW w:w="3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Bidco Limited to Scotts-Sierra Investments LLC</w:t>
              </w:r>
            </w:hyperlink>
          </w:p>
        </w:tc>
        <w:tc>
          <w:tcPr>
            <w:tcW w:w="2540" w:type="dxa"/>
            <w:vAlign w:val="bottom"/>
            <w:gridSpan w:val="2"/>
          </w:tcPr>
          <w:p>
            <w:pPr>
              <w:spacing w:after="0"/>
              <w:rPr>
                <w:sz w:val="17"/>
                <w:szCs w:val="17"/>
                <w:color w:val="auto"/>
              </w:rPr>
            </w:pPr>
          </w:p>
        </w:tc>
      </w:tr>
      <w:tr>
        <w:trPr>
          <w:trHeight w:val="480"/>
        </w:trPr>
        <w:tc>
          <w:tcPr>
            <w:tcW w:w="1040" w:type="dxa"/>
            <w:vAlign w:val="bottom"/>
          </w:tcPr>
          <w:p>
            <w:pPr>
              <w:spacing w:after="0"/>
              <w:rPr>
                <w:sz w:val="24"/>
                <w:szCs w:val="24"/>
                <w:color w:val="auto"/>
              </w:rPr>
            </w:pPr>
          </w:p>
        </w:tc>
        <w:tc>
          <w:tcPr>
            <w:tcW w:w="604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8, 2019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10, 2017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10, 2017</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8-K/A</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 2015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10.14(b)</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28,</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13, 2017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13, 2017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11, 2016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7220" w:space="120"/>
            <w:col w:w="4080"/>
          </w:cols>
          <w:pgMar w:left="240" w:top="121"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22"/>
          </w:tcPr>
          <w:p>
            <w:pPr>
              <w:spacing w:after="0"/>
              <w:rPr>
                <w:rFonts w:ascii="Times New Roman" w:cs="Times New Roman" w:eastAsia="Times New Roman" w:hAnsi="Times New Roman"/>
                <w:sz w:val="18"/>
                <w:szCs w:val="18"/>
                <w:color w:val="FFFFFF"/>
              </w:rPr>
            </w:pPr>
            <w:hyperlink w:anchor="page2">
              <w:r>
                <w:rPr>
                  <w:rFonts w:ascii="Times New Roman" w:cs="Times New Roman" w:eastAsia="Times New Roman" w:hAnsi="Times New Roman"/>
                  <w:sz w:val="18"/>
                  <w:szCs w:val="18"/>
                  <w:color w:val="FFFFFF"/>
                </w:rPr>
                <w:t>Table of Contents</w:t>
              </w:r>
            </w:hyperlink>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01"/>
        </w:trPr>
        <w:tc>
          <w:tcPr>
            <w:tcW w:w="10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Purchase Agreement, dated April 12, 2018, among Sunlight Supply, Inc., Sunlight</w:t>
              </w:r>
            </w:hyperlink>
          </w:p>
        </w:tc>
        <w:tc>
          <w:tcPr>
            <w:tcW w:w="340" w:type="dxa"/>
            <w:vAlign w:val="bottom"/>
            <w:gridSpan w:val="4"/>
          </w:tcPr>
          <w:p>
            <w:pPr>
              <w:spacing w:after="0"/>
              <w:rPr>
                <w:sz w:val="17"/>
                <w:szCs w:val="17"/>
                <w:color w:val="auto"/>
              </w:rPr>
            </w:pPr>
          </w:p>
        </w:tc>
        <w:tc>
          <w:tcPr>
            <w:tcW w:w="8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60" w:type="dxa"/>
            <w:vAlign w:val="bottom"/>
            <w:gridSpan w:val="1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Garden Supply, Inc., Sunlight Garden Supply, ULC, IP Holdings, LLC, Craig R.</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Hargreaves, Kim E. Hargreaves, Hawthorne Hydroponics LLC and The Scotts</w:t>
              </w:r>
            </w:hyperlink>
          </w:p>
        </w:tc>
        <w:tc>
          <w:tcPr>
            <w:tcW w:w="4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Miracle-Gro Company</w:t>
              </w:r>
            </w:hyperlink>
          </w:p>
        </w:tc>
        <w:tc>
          <w:tcPr>
            <w:tcW w:w="4000" w:type="dxa"/>
            <w:vAlign w:val="bottom"/>
            <w:tcBorders>
              <w:top w:val="single" w:sz="8" w:color="0000FF"/>
            </w:tcBorders>
            <w:gridSpan w:val="5"/>
          </w:tcPr>
          <w:p>
            <w:pPr>
              <w:spacing w:after="0"/>
              <w:rPr>
                <w:sz w:val="17"/>
                <w:szCs w:val="17"/>
                <w:color w:val="auto"/>
              </w:rPr>
            </w:pPr>
          </w:p>
        </w:tc>
        <w:tc>
          <w:tcPr>
            <w:tcW w:w="6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5"/>
                <w:szCs w:val="25"/>
                <w:color w:val="auto"/>
                <w:vertAlign w:val="superscript"/>
              </w:rPr>
              <w:t>†</w:t>
            </w:r>
          </w:p>
        </w:tc>
        <w:tc>
          <w:tcPr>
            <w:tcW w:w="40" w:type="dxa"/>
            <w:vAlign w:val="bottom"/>
          </w:tcPr>
          <w:p>
            <w:pPr>
              <w:spacing w:after="0"/>
              <w:rPr>
                <w:sz w:val="21"/>
                <w:szCs w:val="21"/>
                <w:color w:val="auto"/>
              </w:rPr>
            </w:pPr>
          </w:p>
        </w:tc>
        <w:tc>
          <w:tcPr>
            <w:tcW w:w="6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Retention Agreement, dated August 22, 2018, by and between The Scotts Company</w:t>
              </w:r>
            </w:hyperlink>
          </w:p>
        </w:tc>
        <w:tc>
          <w:tcPr>
            <w:tcW w:w="220" w:type="dxa"/>
            <w:vAlign w:val="bottom"/>
            <w:gridSpan w:val="2"/>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60" w:type="dxa"/>
            <w:vAlign w:val="bottom"/>
            <w:gridSpan w:val="1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LLC and Denise S. Stump</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Purchase Agreement, dated March 19, 2019, among TruGreen Companies L.L.C.,</w:t>
              </w:r>
            </w:hyperlink>
          </w:p>
        </w:tc>
        <w:tc>
          <w:tcPr>
            <w:tcW w:w="360" w:type="dxa"/>
            <w:vAlign w:val="bottom"/>
            <w:gridSpan w:val="5"/>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TruGreen, Inc. TruGreen LLC, SLS Holdings, Inc. and Outdoor Home Services</w:t>
              </w:r>
            </w:hyperlink>
          </w:p>
        </w:tc>
        <w:tc>
          <w:tcPr>
            <w:tcW w:w="5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Holdings LLC</w:t>
              </w:r>
            </w:hyperlink>
          </w:p>
        </w:tc>
        <w:tc>
          <w:tcPr>
            <w:tcW w:w="522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60" w:type="dxa"/>
            <w:vAlign w:val="bottom"/>
            <w:gridSpan w:val="19"/>
          </w:tcPr>
          <w:p>
            <w:pPr>
              <w:spacing w:after="0"/>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Subsidiaries of The Scotts Miracle-Gro Company</w:t>
              </w:r>
            </w:hyperlink>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60" w:type="dxa"/>
            <w:vAlign w:val="bottom"/>
            <w:gridSpan w:val="19"/>
          </w:tcPr>
          <w:p>
            <w:pPr>
              <w:spacing w:after="0"/>
              <w:rPr>
                <w:rFonts w:ascii="Times New Roman" w:cs="Times New Roman" w:eastAsia="Times New Roman" w:hAnsi="Times New Roman"/>
                <w:sz w:val="18"/>
                <w:szCs w:val="18"/>
                <w:color w:val="0000FF"/>
              </w:rPr>
            </w:pPr>
            <w:hyperlink w:anchor="page139">
              <w:r>
                <w:rPr>
                  <w:rFonts w:ascii="Times New Roman" w:cs="Times New Roman" w:eastAsia="Times New Roman" w:hAnsi="Times New Roman"/>
                  <w:sz w:val="18"/>
                  <w:szCs w:val="18"/>
                  <w:color w:val="0000FF"/>
                </w:rPr>
                <w:t>Consent of Independent Registered Public Accounting Firm — Deloitte &amp; Touche</w:t>
              </w:r>
            </w:hyperlink>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w:anchor="page139">
              <w:r>
                <w:rPr>
                  <w:rFonts w:ascii="Times New Roman" w:cs="Times New Roman" w:eastAsia="Times New Roman" w:hAnsi="Times New Roman"/>
                  <w:sz w:val="18"/>
                  <w:szCs w:val="18"/>
                  <w:color w:val="0000FF"/>
                  <w:w w:val="93"/>
                </w:rPr>
                <w:t>LLP</w:t>
              </w:r>
            </w:hyperlink>
          </w:p>
        </w:tc>
        <w:tc>
          <w:tcPr>
            <w:tcW w:w="5600" w:type="dxa"/>
            <w:vAlign w:val="bottom"/>
            <w:tcBorders>
              <w:top w:val="single" w:sz="8" w:color="0000FF"/>
            </w:tcBorders>
            <w:gridSpan w:val="14"/>
          </w:tcPr>
          <w:p>
            <w:pPr>
              <w:spacing w:after="0"/>
              <w:rPr>
                <w:sz w:val="17"/>
                <w:szCs w:val="17"/>
                <w:color w:val="auto"/>
              </w:rPr>
            </w:pPr>
          </w:p>
        </w:tc>
        <w:tc>
          <w:tcPr>
            <w:tcW w:w="3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60" w:type="dxa"/>
            <w:vAlign w:val="bottom"/>
            <w:gridSpan w:val="19"/>
          </w:tcPr>
          <w:p>
            <w:pPr>
              <w:spacing w:after="0"/>
              <w:rPr>
                <w:rFonts w:ascii="Times New Roman" w:cs="Times New Roman" w:eastAsia="Times New Roman" w:hAnsi="Times New Roman"/>
                <w:sz w:val="18"/>
                <w:szCs w:val="18"/>
                <w:color w:val="0000FF"/>
              </w:rPr>
            </w:pPr>
            <w:hyperlink w:anchor="page140">
              <w:r>
                <w:rPr>
                  <w:rFonts w:ascii="Times New Roman" w:cs="Times New Roman" w:eastAsia="Times New Roman" w:hAnsi="Times New Roman"/>
                  <w:sz w:val="18"/>
                  <w:szCs w:val="18"/>
                  <w:color w:val="0000FF"/>
                </w:rPr>
                <w:t>Powers of Attorney of Executive Officers and Directors of The Scotts Miracle-Gro</w:t>
              </w:r>
            </w:hyperlink>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w:anchor="page140">
              <w:r>
                <w:rPr>
                  <w:rFonts w:ascii="Times New Roman" w:cs="Times New Roman" w:eastAsia="Times New Roman" w:hAnsi="Times New Roman"/>
                  <w:sz w:val="18"/>
                  <w:szCs w:val="18"/>
                  <w:color w:val="0000FF"/>
                  <w:w w:val="97"/>
                </w:rPr>
                <w:t>Company</w:t>
              </w:r>
            </w:hyperlink>
          </w:p>
        </w:tc>
        <w:tc>
          <w:tcPr>
            <w:tcW w:w="5260" w:type="dxa"/>
            <w:vAlign w:val="bottom"/>
            <w:tcBorders>
              <w:top w:val="single" w:sz="8" w:color="0000FF"/>
            </w:tcBorders>
            <w:gridSpan w:val="13"/>
          </w:tcPr>
          <w:p>
            <w:pPr>
              <w:spacing w:after="0"/>
              <w:rPr>
                <w:sz w:val="17"/>
                <w:szCs w:val="17"/>
                <w:color w:val="auto"/>
              </w:rPr>
            </w:pPr>
          </w:p>
        </w:tc>
        <w:tc>
          <w:tcPr>
            <w:tcW w:w="3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60" w:type="dxa"/>
            <w:vAlign w:val="bottom"/>
            <w:gridSpan w:val="19"/>
          </w:tcPr>
          <w:p>
            <w:pPr>
              <w:spacing w:after="0"/>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Rule 13a-14(a)/15d-14(a) Certifications (Principal Executive Officer)</w:t>
              </w:r>
            </w:hyperlink>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9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152">
              <w:r>
                <w:rPr>
                  <w:rFonts w:ascii="Times New Roman" w:cs="Times New Roman" w:eastAsia="Times New Roman" w:hAnsi="Times New Roman"/>
                  <w:sz w:val="18"/>
                  <w:szCs w:val="18"/>
                  <w:color w:val="0000FF"/>
                  <w:w w:val="99"/>
                </w:rPr>
                <w:t>Rule 13a-14(a)/15d-14(a) Certifications (Principal Financial Officer)</w:t>
              </w:r>
            </w:hyperlink>
          </w:p>
        </w:tc>
        <w:tc>
          <w:tcPr>
            <w:tcW w:w="40" w:type="dxa"/>
            <w:vAlign w:val="bottom"/>
            <w:tcBorders>
              <w:top w:val="single" w:sz="8" w:color="0000FF"/>
            </w:tcBorders>
          </w:tcPr>
          <w:p>
            <w:pPr>
              <w:spacing w:after="0"/>
              <w:rPr>
                <w:sz w:val="21"/>
                <w:szCs w:val="21"/>
                <w:color w:val="auto"/>
              </w:rPr>
            </w:pPr>
          </w:p>
        </w:tc>
        <w:tc>
          <w:tcPr>
            <w:tcW w:w="1260" w:type="dxa"/>
            <w:vAlign w:val="bottom"/>
            <w:gridSpan w:val="10"/>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0"/>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153">
              <w:r>
                <w:rPr>
                  <w:rFonts w:ascii="Times New Roman" w:cs="Times New Roman" w:eastAsia="Times New Roman" w:hAnsi="Times New Roman"/>
                  <w:sz w:val="18"/>
                  <w:szCs w:val="18"/>
                  <w:color w:val="0000FF"/>
                  <w:w w:val="99"/>
                </w:rPr>
                <w:t>Section 1350 Certifications (Principal Executive Officer and Principal Financial</w:t>
              </w:r>
            </w:hyperlink>
          </w:p>
        </w:tc>
        <w:tc>
          <w:tcPr>
            <w:tcW w:w="500" w:type="dxa"/>
            <w:vAlign w:val="bottom"/>
            <w:gridSpan w:val="7"/>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w:anchor="page153">
              <w:r>
                <w:rPr>
                  <w:rFonts w:ascii="Times New Roman" w:cs="Times New Roman" w:eastAsia="Times New Roman" w:hAnsi="Times New Roman"/>
                  <w:sz w:val="18"/>
                  <w:szCs w:val="18"/>
                  <w:color w:val="0000FF"/>
                  <w:w w:val="96"/>
                </w:rPr>
                <w:t>Officer)</w:t>
              </w:r>
            </w:hyperlink>
          </w:p>
        </w:tc>
        <w:tc>
          <w:tcPr>
            <w:tcW w:w="568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3"/>
                <w:szCs w:val="23"/>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3"/>
                <w:szCs w:val="23"/>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700" w:hanging="665"/>
        <w:spacing w:after="0"/>
        <w:tabs>
          <w:tab w:leader="none" w:pos="70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63625"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063625" cy="222885"/>
                    </a:xfrm>
                    <a:prstGeom prst="rect">
                      <a:avLst/>
                    </a:prstGeom>
                    <a:noFill/>
                  </pic:spPr>
                </pic:pic>
              </a:graphicData>
            </a:graphic>
          </wp:anchor>
        </w:drawing>
        <w:t>Exhibit 4.3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27, 2019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6" w:lineRule="exact"/>
        <w:rPr>
          <w:sz w:val="20"/>
          <w:szCs w:val="20"/>
          <w:color w:val="auto"/>
        </w:rPr>
      </w:pPr>
    </w:p>
    <w:p>
      <w:pPr>
        <w:ind w:left="1960" w:right="300" w:hanging="659"/>
        <w:spacing w:after="0" w:line="271" w:lineRule="auto"/>
        <w:tabs>
          <w:tab w:leader="none" w:pos="19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The Scotts Miracle-Gro Company – Annual Report on Form 10-K for the fiscal year ended September 30,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60" w:lineRule="exact"/>
        <w:rPr>
          <w:sz w:val="20"/>
          <w:szCs w:val="20"/>
          <w:color w:val="auto"/>
        </w:rPr>
      </w:pPr>
    </w:p>
    <w:p>
      <w:pPr>
        <w:ind w:right="760" w:firstLine="648"/>
        <w:spacing w:after="0" w:line="271" w:lineRule="auto"/>
        <w:rPr>
          <w:sz w:val="20"/>
          <w:szCs w:val="20"/>
          <w:color w:val="auto"/>
        </w:rPr>
      </w:pPr>
      <w:r>
        <w:rPr>
          <w:rFonts w:ascii="Times New Roman" w:cs="Times New Roman" w:eastAsia="Times New Roman" w:hAnsi="Times New Roman"/>
          <w:sz w:val="22"/>
          <w:szCs w:val="22"/>
          <w:color w:val="auto"/>
        </w:rPr>
        <w:t>The Scotts Miracle-Gro Company, an Ohio corporation (“Scotts Miracle-Gro”), is today filing its Annual Report on Form 10-K for the fiscal year ended September 30, 2019 (the “Form 10-K”).</w:t>
      </w:r>
    </w:p>
    <w:p>
      <w:pPr>
        <w:spacing w:after="0" w:line="15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1"/>
          <w:szCs w:val="21"/>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2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THOMAS RANDAL COLEMAN</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Thomas Randal Coleman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Executive Vice President and Chief Financial Officer</w:t>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14111 Scottslawn Road Marysville, OH 43041 937-644-0011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www.scotts.com</w:t>
      </w:r>
    </w:p>
    <w:p>
      <w:pPr>
        <w:sectPr>
          <w:pgSz w:w="11900" w:h="16838" w:orient="portrait"/>
          <w:cols w:equalWidth="0" w:num="1">
            <w:col w:w="11420"/>
          </w:cols>
          <w:pgMar w:left="240" w:top="684"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of September 30, 2019, The Scotts Miracle-Gro Company (“Scotts,” the “Company,” “we,” “us” or “our”) had one class of securities registered under Section 12 of the Securities Exchange Act of 1934, as amended: our common shares, without par value (our “common shares”).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describes the material features of our common shares and our preferred shares, without par value (our “preferred shares”). This summary does not describe every aspect of our common shares or preferred shares and is subject to, and qualified in its entirety by reference to, all the provisions of our amended articles of incorporation and code of regulations, each of which is filed as an exhibit to this Annual Report on Form 10-K, and the applicable provisions of Ohio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amended articles of incorporation, we have the authority to issue up to an aggregate amount of 100,000,000 common shares and 195,000 preferred shares. As of September 30, 2019, there were 55,805,211 common shares issued and outstanding and no preferred shares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common shares are entitled to:</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vote for each share held;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 when and if declared by our board of directors from funds legally available therefor, subject to the rights of holders of our preferred shares, if any, and any restrictions contained in our long-term indebtedness;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ratably in our net assets, legally available to our shareholders in the event of our liquidation, dissolution or winding up, after provision for distribution to the holders of any preferred shares and to the payment in full of all amounts required to be paid to creditors or provision for such payment.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shares have no preemptive, subscription, redemption, conversion or cumulative voting rights. All of our outstanding common shares are fully paid and non-assessable. Our amended articles of incorporation contain no restrictions on the alienability of our common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(“NYSE”) under the symbol “SMG.”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amended articles of incorporation, our board of directors is authorized to issue, without any further vote or action by our shareholders, subject to certain limitations prescribed by Ohio law and the rules and regulations of the NYSE, up to an aggregate of 195,000 preferred shares in one or more series. Our board of directors is also authorized to fix or change the rights, preferences and limitations of each series, including the division of such shares into series and the designation and authorized number of each series, dividend and distribution rights, liquidation rights, preferences and price, redemption rights and price, sinking fund requirements, voting rights, preemptive rights, conversion rights and restrictions on issuance of shares. Absent a determination by the board of directors to establish different voting rights, holders of preferred shares are entitled to one vote per share on matters to be voted upon by the holders of common shares and preferred shares voting together as a single class. Ohio law also entitles the holders of preferred shares to exercise a class vote on certain matters.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shares with voting or conversion rights that could adversely affect the voting power or other rights of the holders of our common shares. The issuance of preferred shares could have the effect of decreasing the market price of our common shares. The issuance of preferred shares also could have the effect of delaying, deterring or preventing a change in control of us without further action by our shareholders.</w:t>
      </w:r>
    </w:p>
    <w:p>
      <w:pPr>
        <w:sectPr>
          <w:pgSz w:w="11900" w:h="16838" w:orient="portrait"/>
          <w:cols w:equalWidth="0" w:num="1">
            <w:col w:w="11420"/>
          </w:cols>
          <w:pgMar w:left="240" w:top="765"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Anti-Takeover Effects of Amended Articles of Incorporation, Code of Regulations and Ohio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articles of incorporation and code of regulations and the Ohio Revised Code could discourage potential takeover attempts and make attempts by shareholders to change management more difficult. These provisions could adversely affect the market price of our shares. A description of these provisions is set forth below.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three-year staggered terms. This classification system increases the difficulty of replacing a majority of the directors at any one time and may tend to discourage a third party from making a tender offer or otherwise attempting to gain control of us. It also may maintain the incumbency of our board of directors. Under the Ohio General Corporation Law, our shareholders may not remove any directors on our classified board of directors without cause.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Supermajority Voting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Ohio General Corporation Law, in the case of most mergers, sales of all or substantially all the assets of a corporation and amendments to a corporation’s articles of incorporation, the affirmative vote of two-thirds of the voting power of the corporation is required unless the corporation’s articles of incorporation provide for a lower amount not less than a majority. Our amended articles of incorporation change the default voting requirement provided by the Ohio General Corporation Law to a majority of the voting power, except that the affirmative vote of two-thirds of our voting power is required with respect to any of the following:</w:t>
      </w:r>
    </w:p>
    <w:p>
      <w:pPr>
        <w:spacing w:after="0" w:line="184"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amendments to the supermajority voting provision in our amended articles of incorporation;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of merger or consolidation providing for the proposed merger or consolidation of us with or into one or more other corporations and requiring shareholder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combination or majority share acquisition involving the issuance of our shares and requiring shareholder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sell, exchange, transfer or otherwise dispose of all, or substantially all, of our assets, with or without goodwill;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dissolution of us.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Limited Shareholder Action by Written Consent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Ohio General Corporation Law requires that an action by written consent of the shareholders in lieu of a 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 Share Acquisition 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Ohio General Corporation Law provides that certain notice and informational filings, and special shareholder meeting and voting procedures, must occur prior to any person’s acquisition of an issuer’s shares that would entitle the acquirer to exercise or direct the voting power of the issuer in the election of directors within any of the following ranges:</w:t>
      </w:r>
    </w:p>
    <w:p>
      <w:pPr>
        <w:spacing w:after="0" w:line="176"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or more but less than one-third of such voting power;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voting power;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such voting power.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provision, which is known as the Control Share Acquisition Act, does not apply to a corporation if its articles of incorporation or code of regulations so provide. We have not opted out of the application of the Control Share Acquisition Act.</w:t>
      </w:r>
    </w:p>
    <w:p>
      <w:pPr>
        <w:sectPr>
          <w:pgSz w:w="11900" w:h="16838" w:orient="portrait"/>
          <w:cols w:equalWidth="0" w:num="1">
            <w:col w:w="11420"/>
          </w:cols>
          <w:pgMar w:left="240" w:top="549" w:right="2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i w:val="1"/>
          <w:iCs w:val="1"/>
          <w:color w:val="auto"/>
        </w:rPr>
        <w:t>Merger Moratorium Statute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Chapter 1704 of the Ohio Revised Code, known as the Merger Moratorium Statute, prohibits specified business combinations and other transactions (including mergers, consolidations, asset sales, loans, disproportionate distributions of property and disproportionate issuances or transfers of shares or rights to acquire shares) between an Ohio corporation and an “Interested Shareholder” (as such term is defined in Section 1704.01 of the Ohio Revised Code) for a period of three years after a person becomes an Interested Shareholder, unless, prior to such date, the directors approved either the business combination or other transaction or approved the acquisition that caused the person to become an Interested Shareholder. Under the Merger Moratorium Statute, an Interested Shareholder generally includes any beneficial owner of shares of an Ohio corporation who, alone or with others, may exercise or direct the exercise of at least 10% of the voting power of the corporation in the election of directors.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three-year moratorium period, the corporation may engage in the covered transaction with the Interested Shareholder only if:</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receives the approval of the holders of shares entitling them to exercise at least two-thirds of the voting power of the corporation in the election of directors (or a different proportion specified in the corporation’s articles of incorporation), including at least a majority of the voting shares held by persons other than an Interested Shareholder; or</w:t>
      </w:r>
    </w:p>
    <w:p>
      <w:pPr>
        <w:spacing w:after="0" w:line="17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Merger Moratorium Statute does not apply to a corporation if its articles of incorporation or code of regulations so provide. We have not opted out of the application of the Merger Moratorium Statute.</w:t>
      </w:r>
    </w:p>
    <w:p>
      <w:pPr>
        <w:sectPr>
          <w:pgSz w:w="11900" w:h="16838" w:orient="portrait"/>
          <w:cols w:equalWidth="0" w:num="1">
            <w:col w:w="11420"/>
          </w:cols>
          <w:pgMar w:left="240" w:top="551"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Compensation for Nonemployee Directors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January 27, 2017</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w:t>
      </w:r>
    </w:p>
    <w:p>
      <w:pPr>
        <w:spacing w:after="0" w:line="236" w:lineRule="exact"/>
        <w:rPr>
          <w:sz w:val="20"/>
          <w:szCs w:val="20"/>
          <w:color w:val="auto"/>
        </w:rPr>
      </w:pPr>
    </w:p>
    <w:p>
      <w:pPr>
        <w:ind w:right="520" w:firstLine="648"/>
        <w:spacing w:after="0" w:line="268" w:lineRule="auto"/>
        <w:rPr>
          <w:sz w:val="20"/>
          <w:szCs w:val="20"/>
          <w:color w:val="auto"/>
        </w:rPr>
      </w:pPr>
      <w:r>
        <w:rPr>
          <w:rFonts w:ascii="Times New Roman" w:cs="Times New Roman" w:eastAsia="Times New Roman" w:hAnsi="Times New Roman"/>
          <w:sz w:val="21"/>
          <w:szCs w:val="21"/>
          <w:color w:val="auto"/>
        </w:rPr>
        <w:t>At the meeting of the Board of Directors (the “Board”) of The Scotts Miracle-Gro Company (the “Company”) held on January 27, 2017, the Board approved the recommendations of the Nominating and Governance Committee of the Board (the “Committee”) with respect to compensation for the calendar year for nonemployee members of the Board (“Nonemployee Directors”) and the Lead Independent Director of the Company. The compensation approved by the Board is described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Annual Cash Retainer; Reimbursement of Expenses</w:t>
      </w:r>
    </w:p>
    <w:p>
      <w:pPr>
        <w:spacing w:after="0" w:line="26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Each of the Nonemployee Directors will be paid an annual cash retainer in the amount of $100,000 and the Lead Independent Director will be paid an additional annual cash retainer in the amount of $15,000. The annual cash retainer(s) will be paid on a quarterly basis, in January, April, July and October; provided, that, the Nonemployee Directors have the option to elect, in advance, to receive up to 100% of their quarterly cash retainers in cash or fully-vested restricted stock units. Nonemployee Directors receive reimbursement of all reasonable travel and other expenses associated with attending Board and Board committee meetings.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Units</w:t>
      </w:r>
    </w:p>
    <w:p>
      <w:pPr>
        <w:spacing w:after="0" w:line="266"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2"/>
          <w:szCs w:val="22"/>
          <w:color w:val="auto"/>
        </w:rPr>
        <w:t>Shortly following each of the Company’s annual meetings: (a) each Nonemployee Director will be granted restricted stock units having a value of $185,000, with no additional restricted stock units awarded for serving as Board committee chairs or members; and (b) the Lead Independent Director will be granted additional restricted stock units having a value of $35,000. The number of restricted stock units (and related dividend equivalents) granted to each Nonemployee Director will be calculated by dividing the aggregate value of restricted stock units to be granted to such Nonemployee Director by the closing price of the Company’s common shares on the grant date and rounding any resulting fractional restricted stock unit up to the next whole restricted stock unit.</w:t>
      </w:r>
    </w:p>
    <w:p>
      <w:pPr>
        <w:spacing w:after="0" w:line="223"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The restricted stock units (and related dividend equivalents) will be granted under The Scotts Miracle-Gro Company Long-Term Incentive Plan (Effective as of January 27, 2017) (the “2017 Plan”). Each whole restricted stock unit represents the right to receive one full common share of the Company at the time and in the manner described in the Restricted Stock Unit Award Agreement for Nonemployee Directors (with Related Dividend Equivalents) evidencing the award. Each dividend equivalent represents the right to receive additional restricted stock units (rounded to the nearest whole restricted stock unit) in respect of dividends that are declared and paid during the period beginning on the grant date and ending on the settlement date with respect to the common shares of the Company represented by the related restricted stock units.</w:t>
      </w:r>
    </w:p>
    <w:p>
      <w:pPr>
        <w:spacing w:after="0" w:line="22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1"/>
          <w:szCs w:val="21"/>
          <w:color w:val="auto"/>
        </w:rPr>
        <w:t>In general, the restricted stock units, including any restricted stock units received in respect of dividend equivalents on or prior to the vesting date, will generally become 100% vested on the date of the next annual meeting of the Company’s shareholders (the “Vesting Date”). Any restricted stock units received in respect of dividend equivalents following the vesting date will be 100% vested on the date they are credited to the Nonemployee Director. If a Nonemployee Director ceases to be a member o</w:t>
      </w:r>
    </w:p>
    <w:p>
      <w:pPr>
        <w:sectPr>
          <w:pgSz w:w="11900" w:h="16838" w:orient="portrait"/>
          <w:cols w:equalWidth="0" w:num="1">
            <w:col w:w="11420"/>
          </w:cols>
          <w:pgMar w:left="240" w:top="554" w:right="239" w:bottom="1440" w:gutter="0" w:footer="0" w:header="0"/>
        </w:sectPr>
      </w:pPr>
    </w:p>
    <w:bookmarkStart w:id="135" w:name="page136"/>
    <w:bookmarkEnd w:id="135"/>
    <w:p>
      <w:pPr>
        <w:spacing w:after="0" w:line="250" w:lineRule="auto"/>
        <w:rPr>
          <w:sz w:val="20"/>
          <w:szCs w:val="20"/>
          <w:color w:val="auto"/>
        </w:rPr>
      </w:pPr>
      <w:r>
        <w:rPr>
          <w:rFonts w:ascii="Times New Roman" w:cs="Times New Roman" w:eastAsia="Times New Roman" w:hAnsi="Times New Roman"/>
          <w:sz w:val="22"/>
          <w:szCs w:val="22"/>
          <w:color w:val="auto"/>
        </w:rPr>
        <w:t>f the Board as a result of their death or becoming totally disabled, then all of the Nonemployee Director’s restricted stock units (and related dividend equivalents) will become 100% vested as of the date the Nonemployee Director’s service on the Board terminates. If a Nonemployee Director ceases to be a member of the Board prior to the vesting date for any reason other than a change in control of the Company (except as provided above for death or disability), the Nonemployee Director’s restricted stock units (and related dividend equivalents) will be immediately forfeited.</w:t>
      </w:r>
    </w:p>
    <w:p>
      <w:pPr>
        <w:spacing w:after="0" w:line="22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21"/>
          <w:szCs w:val="21"/>
          <w:color w:val="auto"/>
        </w:rPr>
        <w:t>Subject to the terms of the 2017 Plan, vested restricted stock units (and related dividend equivalents) will be settled in a lump sum as soon as administratively practicable, but no later than 90 days, following the earliest to occur of (a) termination,</w:t>
      </w:r>
    </w:p>
    <w:p>
      <w:pPr>
        <w:spacing w:after="0" w:line="2" w:lineRule="exact"/>
        <w:rPr>
          <w:sz w:val="20"/>
          <w:szCs w:val="20"/>
          <w:color w:val="auto"/>
        </w:rPr>
      </w:pPr>
    </w:p>
    <w:p>
      <w:pPr>
        <w:ind w:firstLine="8"/>
        <w:spacing w:after="0" w:line="246" w:lineRule="auto"/>
        <w:tabs>
          <w:tab w:leader="none" w:pos="30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(c) disability, or (d) the third anniversary of the grant date. Whole restricted stock units (and related dividend equivalents) will be settled in full common shares of the Company and any fractional restricted stock units will be settled in cash, determined based on the fair market value of a common share of the Company on the settlement date.</w:t>
      </w:r>
    </w:p>
    <w:p>
      <w:pPr>
        <w:spacing w:after="0" w:line="224"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21"/>
          <w:szCs w:val="21"/>
          <w:color w:val="auto"/>
        </w:rPr>
        <w:t>If there is a Change in Control (as defined in the 2017 Plan), each Nonemployee Director’s restricted stock units (and related dividend equivalents) will become 100% vested on the date of the Change in Control and will be settled as described above.</w:t>
      </w:r>
    </w:p>
    <w:p>
      <w:pPr>
        <w:spacing w:after="0" w:line="176"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2"/>
          <w:szCs w:val="22"/>
          <w:color w:val="auto"/>
        </w:rPr>
        <w:t>For more information about the restricted stock units (and related dividend equivalents) granted to the Nonemployee Directors, please refer to: (a) the form of Restricted Stock Unit Award Agreement for Nonemployee Directors (with Related Dividend Equivalents) that is included as an exhibit to the Company’s Annual Report on Form 10-K; (b) the form of Restricted Stock Unit Award Agreement for Nonemployee Directors Retainer Deferrals (with Related Dividend Equivalents) that is included as an exhibit to the Company’s Annual Report on Form 10-K; and (c) the 2017 Plan that is included as Exhibit 10.1 to the Company’s Current Report on Form 8-K filed January 30, 2017.</w:t>
      </w:r>
    </w:p>
    <w:p>
      <w:pPr>
        <w:sectPr>
          <w:pgSz w:w="11900" w:h="16838" w:orient="portrait"/>
          <w:cols w:equalWidth="0" w:num="1">
            <w:col w:w="11400"/>
          </w:cols>
          <w:pgMar w:left="240" w:top="558" w:right="2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306"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Directly owned subsidiaries, as of September 30, 2019, are located at the left margin, each subsidiary tier thereunder is indented. Subsidiaries are listed under the names of their respective parent entities. Unless otherwise noted, the subsidiaries are wholly-owned.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GenSource,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OMS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Sanford Scientific,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Luxembourg SARL</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5"/>
                <w:szCs w:val="25"/>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5"/>
                <w:szCs w:val="25"/>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SMG Growing Media,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AeroGrow International, Inc.</w:t>
            </w:r>
            <w:r>
              <w:rPr>
                <w:rFonts w:ascii="Times New Roman" w:cs="Times New Roman" w:eastAsia="Times New Roman" w:hAnsi="Times New Roman"/>
                <w:sz w:val="25"/>
                <w:szCs w:val="25"/>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34"/>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Hyponex Corporation</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Rod McLellan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Gardening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Gavita International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Hawthorne Lighting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Agrolux Nederland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HGCI,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0" w:lineRule="exact"/>
        <w:rPr>
          <w:sz w:val="20"/>
          <w:szCs w:val="20"/>
          <w:color w:val="auto"/>
        </w:rPr>
      </w:pPr>
    </w:p>
    <w:p>
      <w:pPr>
        <w:ind w:left="140" w:hanging="105"/>
        <w:spacing w:after="0"/>
        <w:tabs>
          <w:tab w:leader="none" w:pos="140"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Scotts Professional Products Co. owns 50% and Scotts Products Co. owns 50%.</w:t>
      </w:r>
    </w:p>
    <w:p>
      <w:pPr>
        <w:spacing w:after="0" w:line="1" w:lineRule="exact"/>
        <w:rPr>
          <w:rFonts w:ascii="Times New Roman" w:cs="Times New Roman" w:eastAsia="Times New Roman" w:hAnsi="Times New Roman"/>
          <w:sz w:val="25"/>
          <w:szCs w:val="25"/>
          <w:color w:val="auto"/>
          <w:vertAlign w:val="superscript"/>
        </w:rPr>
      </w:pPr>
    </w:p>
    <w:p>
      <w:pPr>
        <w:ind w:left="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 xml:space="preserve"> SMG Growing Media, Inc.’s ownership is 80.5%.</w:t>
      </w:r>
    </w:p>
    <w:p>
      <w:pPr>
        <w:sectPr>
          <w:pgSz w:w="11900" w:h="16838" w:orient="portrait"/>
          <w:cols w:equalWidth="0" w:num="1">
            <w:col w:w="11420"/>
          </w:cols>
          <w:pgMar w:left="240" w:top="333" w:right="239" w:bottom="1440" w:gutter="0" w:footer="0" w:header="0"/>
        </w:sectPr>
      </w:pPr>
    </w:p>
    <w:bookmarkStart w:id="137" w:name="page138"/>
    <w:bookmarkEnd w:id="137"/>
    <w:p>
      <w:pPr>
        <w:ind w:left="5"/>
        <w:spacing w:after="0"/>
        <w:rPr>
          <w:sz w:val="20"/>
          <w:szCs w:val="20"/>
          <w:color w:val="auto"/>
        </w:rPr>
      </w:pPr>
      <w:r>
        <w:rPr>
          <w:rFonts w:ascii="Times New Roman" w:cs="Times New Roman" w:eastAsia="Times New Roman" w:hAnsi="Times New Roman"/>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Gardening Co., Ltd.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12"/>
          <w:szCs w:val="12"/>
          <w:color w:val="auto"/>
        </w:rPr>
        <w:t>3</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12"/>
          <w:szCs w:val="12"/>
          <w:color w:val="auto"/>
        </w:rPr>
        <w:t>4</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Scotts Holdings Limited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Levington Group Limited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SMG Gardening (UK) Limited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7"/>
          <w:szCs w:val="17"/>
          <w:color w:val="auto"/>
        </w:rPr>
        <w:t>The Scotts Company (Manufacturing) Limited</w:t>
      </w:r>
    </w:p>
    <w:p>
      <w:pPr>
        <w:spacing w:after="0" w:line="75"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Humax Horticulture Limited</w:t>
      </w:r>
    </w:p>
    <w:p>
      <w:pPr>
        <w:spacing w:after="0" w:line="63"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Times New Roman" w:cs="Times New Roman" w:eastAsia="Times New Roman" w:hAnsi="Times New Roman"/>
          <w:sz w:val="18"/>
          <w:szCs w:val="18"/>
          <w:color w:val="auto"/>
        </w:rPr>
        <w:t>The Scotts Miracle-Gro Foundation</w:t>
      </w: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Ohio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4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 w:lineRule="exact"/>
        <w:rPr>
          <w:sz w:val="20"/>
          <w:szCs w:val="20"/>
          <w:color w:val="auto"/>
        </w:rPr>
      </w:pPr>
    </w:p>
    <w:p>
      <w:pPr>
        <w:ind w:left="105" w:hanging="105"/>
        <w:spacing w:after="0"/>
        <w:tabs>
          <w:tab w:leader="none" w:pos="105"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Scotts Canada Ltd.'s ownership is 50.0%.</w:t>
      </w:r>
    </w:p>
    <w:p>
      <w:pPr>
        <w:ind w:left="105" w:hanging="105"/>
        <w:spacing w:after="0" w:line="191" w:lineRule="auto"/>
        <w:tabs>
          <w:tab w:leader="none" w:pos="105"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Scotts Company LLC owns 0.5% and Scotts-Sierra Investments LLC owns the remaining 99.5%.</w:t>
      </w:r>
    </w:p>
    <w:p>
      <w:pPr>
        <w:spacing w:after="0" w:line="2" w:lineRule="exact"/>
        <w:rPr>
          <w:rFonts w:ascii="Times New Roman" w:cs="Times New Roman" w:eastAsia="Times New Roman" w:hAnsi="Times New Roman"/>
          <w:sz w:val="24"/>
          <w:szCs w:val="24"/>
          <w:color w:val="auto"/>
          <w:vertAlign w:val="superscript"/>
        </w:rPr>
      </w:pPr>
    </w:p>
    <w:p>
      <w:pPr>
        <w:ind w:left="5"/>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 xml:space="preserve"> The Scotts Miracle-Gro Foundation is a 501(c)(3) corporation.</w:t>
      </w:r>
    </w:p>
    <w:p>
      <w:pPr>
        <w:sectPr>
          <w:pgSz w:w="11900" w:h="16838" w:orient="portrait"/>
          <w:cols w:equalWidth="0" w:num="1">
            <w:col w:w="10184"/>
          </w:cols>
          <w:pgMar w:left="275" w:top="499" w:right="1440"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Nos. 033-47073, 333-72715, 333-124503, 333-131466, 333-147397, 333-153925, 333-154364, 333-186187, 333-215774, and 333-222840 on Form S-8 and Registration Statement No 333-228854 on Form S-3 of our reports dated November 27, 2019, relating to the consolidated financial statements and consolidated financial statement schedules of The Scotts Miracle-Gro Company and subsidiaries (the “Company”) (which report expresses an unqualified opinion and includes an explanatory paragraph regarding the Company’s adoption of the new accounting guidance in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and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to the effectiveness of the Company's internal control over financial reporting, appearing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of the Company for the fiscal year ended September 30, 2019.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ectPr>
          <w:pgSz w:w="11900" w:h="16838" w:orient="portrait"/>
          <w:cols w:equalWidth="0" w:num="1">
            <w:col w:w="11420"/>
          </w:cols>
          <w:pgMar w:left="240" w:top="1296"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DAVID C. EVANS</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0" w:name="page141"/>
    <w:bookmarkEnd w:id="14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BRIAN D. FINN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1" w:name="page142"/>
    <w:bookmarkEnd w:id="141"/>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JAMES HAGEDORN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2" w:name="page143"/>
    <w:bookmarkEnd w:id="142"/>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ADAM HANFT</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STEPHEN L. JOHNSON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4" w:name="page145"/>
    <w:bookmarkEnd w:id="144"/>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THOMAS N. KELLY JR.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5" w:name="page146"/>
    <w:bookmarkEnd w:id="145"/>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KATHERINE HAGEDORN</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LITTLEFIELD</w:t>
      </w:r>
    </w:p>
    <w:p>
      <w:pPr>
        <w:spacing w:after="0" w:line="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4523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NANCY G. MISTRETTA</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7" w:name="page148"/>
    <w:bookmarkEnd w:id="147"/>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PETER E. SHUMLIN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6" w:right="299" w:bottom="1440" w:gutter="0" w:footer="0" w:header="0"/>
        </w:sectPr>
      </w:pPr>
    </w:p>
    <w:bookmarkStart w:id="148" w:name="page149"/>
    <w:bookmarkEnd w:id="148"/>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JOHN R. VINES</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360"/>
          </w:cols>
          <w:pgMar w:left="240" w:top="327" w:right="29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4" w:lineRule="exact"/>
        <w:rPr>
          <w:sz w:val="20"/>
          <w:szCs w:val="20"/>
          <w:color w:val="auto"/>
        </w:rPr>
      </w:pPr>
      <w:r>
        <w:rPr>
          <w:rFonts w:ascii="Times New Roman" w:cs="Times New Roman" w:eastAsia="Times New Roman" w:hAnsi="Times New Roman"/>
          <w:sz w:val="22"/>
          <w:szCs w:val="22"/>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2019,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THOMAS RANDAL COLEMAN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315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5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2019;</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520" w:val="left"/>
          <w:tab w:leader="none" w:pos="6060" w:val="left"/>
        </w:tabs>
        <w:rPr>
          <w:sz w:val="20"/>
          <w:szCs w:val="20"/>
          <w:color w:val="auto"/>
        </w:rPr>
      </w:pPr>
      <w:r>
        <w:rPr>
          <w:rFonts w:ascii="Times New Roman" w:cs="Times New Roman" w:eastAsia="Times New Roman" w:hAnsi="Times New Roman"/>
          <w:sz w:val="18"/>
          <w:szCs w:val="18"/>
          <w:color w:val="auto"/>
        </w:rPr>
        <w:t>Date: November 27,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p>
      <w:pPr>
        <w:sectPr>
          <w:pgSz w:w="11900" w:h="16838" w:orient="portrait"/>
          <w:cols w:equalWidth="0" w:num="1">
            <w:col w:w="11420"/>
          </w:cols>
          <w:pgMar w:left="240" w:top="549"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Randal Coleman, certify that:</w:t>
      </w:r>
    </w:p>
    <w:p>
      <w:pPr>
        <w:spacing w:after="0" w:line="15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2019;</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5400" w:val="left"/>
          <w:tab w:leader="none" w:pos="6060" w:val="left"/>
        </w:tabs>
        <w:rPr>
          <w:sz w:val="20"/>
          <w:szCs w:val="20"/>
          <w:color w:val="auto"/>
        </w:rPr>
      </w:pPr>
      <w:r>
        <w:rPr>
          <w:rFonts w:ascii="Times New Roman" w:cs="Times New Roman" w:eastAsia="Times New Roman" w:hAnsi="Times New Roman"/>
          <w:sz w:val="18"/>
          <w:szCs w:val="18"/>
          <w:color w:val="auto"/>
        </w:rPr>
        <w:t>Date: November 27,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542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ectPr>
          <w:pgSz w:w="11900" w:h="16838" w:orient="portrait"/>
          <w:cols w:equalWidth="0" w:num="1">
            <w:col w:w="11420"/>
          </w:cols>
          <w:pgMar w:left="240" w:top="549"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The Scotts Miracle-Gro Company (the “Company”) for the fiscal year ended September 30, 2019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 JAMES HAGEDORN</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November 27, 2019</w:t>
            </w:r>
          </w:p>
        </w:tc>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27, 2019</w:t>
            </w:r>
          </w:p>
        </w:tc>
      </w:tr>
    </w:tbl>
    <w:p>
      <w:pPr>
        <w:spacing w:after="0" w:line="333" w:lineRule="exact"/>
        <w:rPr>
          <w:sz w:val="20"/>
          <w:szCs w:val="20"/>
          <w:color w:val="auto"/>
        </w:rPr>
      </w:pPr>
    </w:p>
    <w:p>
      <w:pPr>
        <w:ind w:left="720" w:right="180" w:hanging="685"/>
        <w:spacing w:after="0" w:line="25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bullet"/>
      <w:start w:val="1"/>
    </w:lvl>
  </w:abstractNum>
  <w:abstractNum w:abstractNumId="4">
    <w:nsid w:val="2901D82"/>
    <w:multiLevelType w:val="hybridMultilevel"/>
    <w:lvl w:ilvl="0">
      <w:lvlJc w:val="left"/>
      <w:lvlText w:val="2"/>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Letter"/>
      <w:start w:val="2"/>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3"/>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Roman"/>
      <w:start w:val="3"/>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Letter"/>
      <w:start w:val="2"/>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lowerRoman"/>
      <w:start w:val="3"/>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Roman"/>
      <w:start w:val="3"/>
    </w:lvl>
  </w:abstractNum>
  <w:abstractNum w:abstractNumId="39">
    <w:nsid w:val="542289EC"/>
    <w:multiLevelType w:val="hybridMultilevel"/>
    <w:lvl w:ilvl="0">
      <w:lvlJc w:val="left"/>
      <w:lvlText w:val="(%1)"/>
      <w:numFmt w:val="lowerRoman"/>
      <w:start w:val="4"/>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Letter"/>
      <w:start w:val="2"/>
    </w:lvl>
  </w:abstractNum>
  <w:abstractNum w:abstractNumId="46">
    <w:nsid w:val="749ABB43"/>
    <w:multiLevelType w:val="hybridMultilevel"/>
    <w:lvl w:ilvl="0">
      <w:lvlJc w:val="left"/>
      <w:lvlText w:val="1"/>
      <w:numFmt w:val="bullet"/>
      <w:start w:val="1"/>
    </w:lvl>
  </w:abstractNum>
  <w:abstractNum w:abstractNumId="47">
    <w:nsid w:val="3DC240FB"/>
    <w:multiLevelType w:val="hybridMultilevel"/>
    <w:lvl w:ilvl="0">
      <w:lvlJc w:val="left"/>
      <w:lvlText w:val="3"/>
      <w:numFmt w:val="bullet"/>
      <w:start w:val="1"/>
    </w:lvl>
  </w:abstractNum>
  <w:abstractNum w:abstractNumId="48">
    <w:nsid w:val="1BA026FA"/>
    <w:multiLevelType w:val="hybridMultilevel"/>
    <w:lvl w:ilvl="0">
      <w:lvlJc w:val="left"/>
      <w:lvlText w:val="4"/>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69" Type="http://schemas.openxmlformats.org/officeDocument/2006/relationships/image" Target="media/image114.jpe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21" Type="http://schemas.openxmlformats.org/officeDocument/2006/relationships/hyperlink" Target="http://www.sec.gov/Archives/edgar/data/825542/000095015205002525/l12922aexv3w1.htm" TargetMode="External"/><Relationship Id="rId122" Type="http://schemas.openxmlformats.org/officeDocument/2006/relationships/hyperlink" Target="http://www.sec.gov/Archives/edgar/data/825542/000095015205002525/l12922aexv3w2.htm" TargetMode="External"/><Relationship Id="rId123" Type="http://schemas.openxmlformats.org/officeDocument/2006/relationships/hyperlink" Target="http://www.sec.gov/Archives/edgar/data/825542/000095015205002525/l12922aexv3w3.htm" TargetMode="External"/><Relationship Id="rId124" Type="http://schemas.openxmlformats.org/officeDocument/2006/relationships/hyperlink" Target="http://www.sec.gov/Archives/edgar/data/825542/000144398416000071/exhibit41smg2016-12x168xk.htm" TargetMode="External"/><Relationship Id="rId125" Type="http://schemas.openxmlformats.org/officeDocument/2006/relationships/hyperlink" Target="http://www.sec.gov/Archives/edgar/data/825542/000154638018000022/exhibit104smg6302018q3f18.htm" TargetMode="External"/><Relationship Id="rId126" Type="http://schemas.openxmlformats.org/officeDocument/2006/relationships/hyperlink" Target="http://www.sec.gov/Archives/edgar/data/825542/000144398419000203/exhibit41smg2019-10x28.htm" TargetMode="External"/><Relationship Id="rId127" Type="http://schemas.openxmlformats.org/officeDocument/2006/relationships/hyperlink" Target="http://www.sec.gov/Archives/edgar/data/825542/000144398419000203/exhibit43smg2019-10x28.htm" TargetMode="External"/><Relationship Id="rId128" Type="http://schemas.openxmlformats.org/officeDocument/2006/relationships/hyperlink" Target="http://www.sec.gov/Archives/edgar/data/825542/000144398418000018/exhibit101smg2018-07x118xk.htm" TargetMode="External"/><Relationship Id="rId129" Type="http://schemas.openxmlformats.org/officeDocument/2006/relationships/hyperlink" Target="http://www.sec.gov/Archives/edgar/data/825542/000144398418000018/exhibit102smg2018-07x118xk.htm" TargetMode="External"/><Relationship Id="rId130" Type="http://schemas.openxmlformats.org/officeDocument/2006/relationships/hyperlink" Target="http://www.sec.gov/Archives/edgar/data/825542/000144398413000006/smg2013-01x148xkannualmeet.htm" TargetMode="External"/><Relationship Id="rId131" Type="http://schemas.openxmlformats.org/officeDocument/2006/relationships/hyperlink" Target="http://www.sec.gov/Archives/edgar/data/825542/000095012310011580/c95724exv10w4.htm" TargetMode="External"/><Relationship Id="rId132" Type="http://schemas.openxmlformats.org/officeDocument/2006/relationships/hyperlink" Target="http://www.sec.gov/Archives/edgar/data/825542/000119312512046475/d274946dex103.htm" TargetMode="External"/><Relationship Id="rId133" Type="http://schemas.openxmlformats.org/officeDocument/2006/relationships/hyperlink" Target="http://www.sec.gov/Archives/edgar/data/825542/000154638015000015/exhibit107smg-328201510xq2.htm" TargetMode="External"/><Relationship Id="rId134" Type="http://schemas.openxmlformats.org/officeDocument/2006/relationships/hyperlink" Target="http://www.sec.gov/Archives/edgar/data/825542/000144398417000010/smg2017-01x308xkxexhibit101.htm" TargetMode="External"/><Relationship Id="rId135" Type="http://schemas.openxmlformats.org/officeDocument/2006/relationships/hyperlink" Target="http://www.sec.gov/Archives/edgar/data/825542/000144398417000010/smg2017-01x308xkxexhibit102.htm" TargetMode="External"/><Relationship Id="rId136" Type="http://schemas.openxmlformats.org/officeDocument/2006/relationships/hyperlink" Target="http://www.sec.gov/Archives/edgar/data/825542/000144398419000004/exhibit101smg2019-01x308xk.htm" TargetMode="External"/><Relationship Id="rId137" Type="http://schemas.openxmlformats.org/officeDocument/2006/relationships/hyperlink" Target="http://www.sec.gov/Archives/edgar/data/825542/000144398417000010/smg2017-01x308xkxexhibit103.htm" TargetMode="External"/><Relationship Id="rId138" Type="http://schemas.openxmlformats.org/officeDocument/2006/relationships/hyperlink" Target="http://www.sec.gov/Archives/edgar/data/825542/000144398417000010/smg2017-01x308xkxexhibit104.htm" TargetMode="External"/><Relationship Id="rId139" Type="http://schemas.openxmlformats.org/officeDocument/2006/relationships/hyperlink" Target="http://www.sec.gov/Archives/edgar/data/825542/000144398417000010/smg2017-01x308xkxexhibit105.htm" TargetMode="External"/><Relationship Id="rId140" Type="http://schemas.openxmlformats.org/officeDocument/2006/relationships/hyperlink" Target="http://www.sec.gov/Archives/edgar/data/825542/000154638018000030/exhibit103fsmg930201810kfy.htm" TargetMode="External"/><Relationship Id="rId141" Type="http://schemas.openxmlformats.org/officeDocument/2006/relationships/hyperlink" Target="http://www.sec.gov/Archives/edgar/data/825542/000154638018000030/exhibit103gsmg930201810kfy.htm" TargetMode="External"/><Relationship Id="rId142" Type="http://schemas.openxmlformats.org/officeDocument/2006/relationships/hyperlink" Target="http://www.sec.gov/Archives/edgar/data/825542/000154638018000030/exhibit103hismg930201810kf.htm" TargetMode="External"/><Relationship Id="rId143" Type="http://schemas.openxmlformats.org/officeDocument/2006/relationships/hyperlink" Target="http://www.sec.gov/Archives/edgar/data/825542/000154638018000030/exhibit103hiismg930201810k.htm" TargetMode="External"/><Relationship Id="rId144" Type="http://schemas.openxmlformats.org/officeDocument/2006/relationships/hyperlink" Target="http://www.sec.gov/Archives/edgar/data/825542/000144398414000005/exhibit101smg2014-02x058xk.htm" TargetMode="External"/><Relationship Id="rId145" Type="http://schemas.openxmlformats.org/officeDocument/2006/relationships/hyperlink" Target="http://www.sec.gov/Archives/edgar/data/825542/000095015206006818/l21737aexv10w1.htm" TargetMode="External"/><Relationship Id="rId146" Type="http://schemas.openxmlformats.org/officeDocument/2006/relationships/hyperlink" Target="http://www.sec.gov/Archives/edgar/data/825542/000154638015000006/exhibit102smg12271410qf15.htm" TargetMode="External"/><Relationship Id="rId147" Type="http://schemas.openxmlformats.org/officeDocument/2006/relationships/hyperlink" Target="http://www.sec.gov/Archives/edgar/data/825542/000144398413000030/smg2013-12x178kex102.htm" TargetMode="External"/><Relationship Id="rId148" Type="http://schemas.openxmlformats.org/officeDocument/2006/relationships/hyperlink" Target="http://www.sec.gov/Archives/edgar/data/825542/000144398413000030/smg2013-12x178kex101.htm" TargetMode="External"/><Relationship Id="rId149" Type="http://schemas.openxmlformats.org/officeDocument/2006/relationships/hyperlink" Target="http://www.sec.gov/Archives/edgar/data/825542/000154638019000014/exhibit101smg3302019q2f19.htm" TargetMode="External"/><Relationship Id="rId150" Type="http://schemas.openxmlformats.org/officeDocument/2006/relationships/hyperlink" Target="http://www.sec.gov/Archives/edgar/data/825542/000154638017000016/exhibit109smg412017q2f17.htm" TargetMode="External"/><Relationship Id="rId151" Type="http://schemas.openxmlformats.org/officeDocument/2006/relationships/hyperlink" Target="http://www.sec.gov/Archives/edgar/data/825542/000154638017000016/exhibit1010smg412017q2f17.htm" TargetMode="External"/><Relationship Id="rId152" Type="http://schemas.openxmlformats.org/officeDocument/2006/relationships/hyperlink" Target="http://www.sec.gov/Archives/edgar/data/825542/000144398415000012/exhibit104smg2015-05x208xka.htm" TargetMode="External"/><Relationship Id="rId153" Type="http://schemas.openxmlformats.org/officeDocument/2006/relationships/hyperlink" Target="http://www.sec.gov/Archives/edgar/data/825542/000154638019000021/exhibit107smg2019-07x318xk.htm" TargetMode="External"/><Relationship Id="rId154" Type="http://schemas.openxmlformats.org/officeDocument/2006/relationships/hyperlink" Target="http://www.sec.gov/Archives/edgar/data/825542/000154638019000021/exhibit102smg2019-07x318xk.htm" TargetMode="External"/><Relationship Id="rId155" Type="http://schemas.openxmlformats.org/officeDocument/2006/relationships/hyperlink" Target="http://www.sec.gov/Archives/edgar/data/825542/000154638017000042/exhibit1014bsmg930201710kf.htm" TargetMode="External"/><Relationship Id="rId156" Type="http://schemas.openxmlformats.org/officeDocument/2006/relationships/hyperlink" Target="http://www.sec.gov/Archives/edgar/data/825542/000154638019000021/exhibit105smg2019-07x318xk.htm" TargetMode="External"/><Relationship Id="rId157" Type="http://schemas.openxmlformats.org/officeDocument/2006/relationships/hyperlink" Target="http://www.sec.gov/Archives/edgar/data/825542/000154638019000021/exhibit104smg2019-07x318xk.htm" TargetMode="External"/><Relationship Id="rId158" Type="http://schemas.openxmlformats.org/officeDocument/2006/relationships/hyperlink" Target="http://www.sec.gov/Archives/edgar/data/825542/000144398417000025/smg201704138kexhibit101.htm" TargetMode="External"/><Relationship Id="rId159" Type="http://schemas.openxmlformats.org/officeDocument/2006/relationships/hyperlink" Target="http://www.sec.gov/Archives/edgar/data/825542/000155278118000366/e18323_ex10-1.htm" TargetMode="External"/><Relationship Id="rId160" Type="http://schemas.openxmlformats.org/officeDocument/2006/relationships/hyperlink" Target="http://www.sec.gov/Archives/edgar/data/825542/000144398417000025/smg201704138kexhibit102.htm" TargetMode="External"/><Relationship Id="rId161" Type="http://schemas.openxmlformats.org/officeDocument/2006/relationships/hyperlink" Target="http://www.sec.gov/Archives/edgar/data/825542/000144398417000045/exhibit101smg2017-08x318xk.htm" TargetMode="External"/><Relationship Id="rId162" Type="http://schemas.openxmlformats.org/officeDocument/2006/relationships/hyperlink" Target="http://www.sec.gov/Archives/edgar/data/825542/000155278118000366/e18323_ex10-2.htm" TargetMode="External"/><Relationship Id="rId163" Type="http://schemas.openxmlformats.org/officeDocument/2006/relationships/hyperlink" Target="http://www.sec.gov/Archives/edgar/data/825542/000144398419000150/exhibit101smg2019-08x2.htm" TargetMode="External"/><Relationship Id="rId164" Type="http://schemas.openxmlformats.org/officeDocument/2006/relationships/hyperlink" Target="http://www.sec.gov/Archives/edgar/data/825542/000154638016000053/exhibit104smg422016q2f16.htm" TargetMode="External"/><Relationship Id="rId165" Type="http://schemas.openxmlformats.org/officeDocument/2006/relationships/hyperlink" Target="http://www.sec.gov/Archives/edgar/data/825542/000154638017000042/exhibit1020smg930201710kfy.htm" TargetMode="External"/><Relationship Id="rId166" Type="http://schemas.openxmlformats.org/officeDocument/2006/relationships/hyperlink" Target="http://www.sec.gov/Archives/edgar/data/825542/000154638018000022/exhibit101smg6302018q3f18.htm" TargetMode="External"/><Relationship Id="rId167" Type="http://schemas.openxmlformats.org/officeDocument/2006/relationships/hyperlink" Target="http://www.sec.gov/Archives/edgar/data/825542/000155278118000366/e18323_ex10-3.htm" TargetMode="External"/><Relationship Id="rId168" Type="http://schemas.openxmlformats.org/officeDocument/2006/relationships/hyperlink" Target="http://www.sec.gov/Archives/edgar/data/825542/000144398419000041/exhibit101smg2019-03x20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2019-12-28T01:18:54Z</dcterms:created>
  <dcterms:modified xsi:type="dcterms:W3CDTF">2019-12-28T01:18:54Z</dcterms:modified>
</cp:coreProperties>
</file>