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line="236" w:lineRule="auto"/>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44" w:lineRule="exact"/>
        <w:rPr>
          <w:sz w:val="24"/>
          <w:szCs w:val="24"/>
          <w:color w:val="auto"/>
        </w:rPr>
      </w:pPr>
    </w:p>
    <w:p>
      <w:pPr>
        <w:ind w:left="700" w:hanging="665"/>
        <w:spacing w:after="0"/>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6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1, 2017</w:t>
      </w:r>
    </w:p>
    <w:p>
      <w:pPr>
        <w:spacing w:after="0" w:line="117"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7" w:lineRule="exact"/>
        <w:rPr>
          <w:sz w:val="24"/>
          <w:szCs w:val="24"/>
          <w:color w:val="auto"/>
        </w:rPr>
      </w:pPr>
    </w:p>
    <w:p>
      <w:pPr>
        <w:ind w:left="700" w:hanging="665"/>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93" w:lineRule="exact"/>
        <w:rPr>
          <w:sz w:val="24"/>
          <w:szCs w:val="24"/>
          <w:color w:val="auto"/>
        </w:rPr>
      </w:pPr>
    </w:p>
    <w:p>
      <w:pPr>
        <w:ind w:left="4000"/>
        <w:spacing w:after="0"/>
        <w:tabs>
          <w:tab w:leader="none" w:pos="71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001-11593</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Scotts Miracle-Gro Company</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w:t>
      </w:r>
    </w:p>
    <w:p>
      <w:pPr>
        <w:spacing w:after="0" w:line="145" w:lineRule="exact"/>
        <w:rPr>
          <w:sz w:val="24"/>
          <w:szCs w:val="24"/>
          <w:color w:val="auto"/>
        </w:rPr>
      </w:pPr>
    </w:p>
    <w:tbl>
      <w:tblPr>
        <w:tblLayout w:type="fixed"/>
        <w:tblInd w:w="1460" w:type="dxa"/>
        <w:tblCellMar>
          <w:top w:w="0" w:type="dxa"/>
          <w:left w:w="0" w:type="dxa"/>
          <w:bottom w:w="0" w:type="dxa"/>
          <w:right w:w="0" w:type="dxa"/>
        </w:tblCellMar>
      </w:tblPr>
      <w:tr>
        <w:trPr>
          <w:trHeight w:val="226"/>
        </w:trPr>
        <w:tc>
          <w:tcPr>
            <w:tcW w:w="6320" w:type="dxa"/>
            <w:vAlign w:val="bottom"/>
          </w:tcPr>
          <w:p>
            <w:pPr>
              <w:jc w:val="center"/>
              <w:ind w:right="3860"/>
              <w:spacing w:after="0"/>
              <w:rPr>
                <w:sz w:val="20"/>
                <w:szCs w:val="20"/>
                <w:color w:val="auto"/>
              </w:rPr>
            </w:pPr>
            <w:r>
              <w:rPr>
                <w:rFonts w:ascii="Times New Roman" w:cs="Times New Roman" w:eastAsia="Times New Roman" w:hAnsi="Times New Roman"/>
                <w:sz w:val="17"/>
                <w:szCs w:val="17"/>
                <w:b w:val="1"/>
                <w:bCs w:val="1"/>
                <w:color w:val="auto"/>
                <w:w w:val="99"/>
              </w:rPr>
              <w:t>OHIO</w:t>
            </w: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7"/>
                <w:szCs w:val="17"/>
                <w:b w:val="1"/>
                <w:bCs w:val="1"/>
                <w:color w:val="auto"/>
              </w:rPr>
              <w:t>31-1414921</w:t>
            </w:r>
          </w:p>
        </w:tc>
      </w:tr>
      <w:tr>
        <w:trPr>
          <w:trHeight w:val="180"/>
        </w:trPr>
        <w:tc>
          <w:tcPr>
            <w:tcW w:w="6320" w:type="dxa"/>
            <w:vAlign w:val="bottom"/>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320" w:type="dxa"/>
            <w:vAlign w:val="bottom"/>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89"/>
        </w:trPr>
        <w:tc>
          <w:tcPr>
            <w:tcW w:w="6320" w:type="dxa"/>
            <w:vAlign w:val="bottom"/>
          </w:tcPr>
          <w:p>
            <w:pPr>
              <w:jc w:val="center"/>
              <w:ind w:right="3860"/>
              <w:spacing w:after="0"/>
              <w:rPr>
                <w:sz w:val="20"/>
                <w:szCs w:val="20"/>
                <w:color w:val="auto"/>
              </w:rPr>
            </w:pPr>
            <w:r>
              <w:rPr>
                <w:rFonts w:ascii="Times New Roman" w:cs="Times New Roman" w:eastAsia="Times New Roman" w:hAnsi="Times New Roman"/>
                <w:sz w:val="17"/>
                <w:szCs w:val="17"/>
                <w:b w:val="1"/>
                <w:bCs w:val="1"/>
                <w:color w:val="auto"/>
                <w:w w:val="98"/>
              </w:rPr>
              <w:t>14111 SCOTTSLAWN ROAD,</w:t>
            </w:r>
          </w:p>
        </w:tc>
        <w:tc>
          <w:tcPr>
            <w:tcW w:w="1160" w:type="dxa"/>
            <w:vAlign w:val="bottom"/>
          </w:tcPr>
          <w:p>
            <w:pPr>
              <w:spacing w:after="0"/>
              <w:rPr>
                <w:sz w:val="24"/>
                <w:szCs w:val="24"/>
                <w:color w:val="auto"/>
              </w:rPr>
            </w:pPr>
          </w:p>
        </w:tc>
      </w:tr>
      <w:tr>
        <w:trPr>
          <w:trHeight w:val="226"/>
        </w:trPr>
        <w:tc>
          <w:tcPr>
            <w:tcW w:w="6320" w:type="dxa"/>
            <w:vAlign w:val="bottom"/>
          </w:tcPr>
          <w:p>
            <w:pPr>
              <w:jc w:val="center"/>
              <w:ind w:right="3860"/>
              <w:spacing w:after="0"/>
              <w:rPr>
                <w:sz w:val="20"/>
                <w:szCs w:val="20"/>
                <w:color w:val="auto"/>
              </w:rPr>
            </w:pPr>
            <w:r>
              <w:rPr>
                <w:rFonts w:ascii="Times New Roman" w:cs="Times New Roman" w:eastAsia="Times New Roman" w:hAnsi="Times New Roman"/>
                <w:sz w:val="17"/>
                <w:szCs w:val="17"/>
                <w:b w:val="1"/>
                <w:bCs w:val="1"/>
                <w:color w:val="auto"/>
                <w:w w:val="99"/>
              </w:rPr>
              <w:t>MARYSVILLE, OHIO</w:t>
            </w:r>
          </w:p>
        </w:tc>
        <w:tc>
          <w:tcPr>
            <w:tcW w:w="1160" w:type="dxa"/>
            <w:vAlign w:val="bottom"/>
          </w:tcPr>
          <w:p>
            <w:pPr>
              <w:jc w:val="right"/>
              <w:ind w:right="283"/>
              <w:spacing w:after="0"/>
              <w:rPr>
                <w:sz w:val="20"/>
                <w:szCs w:val="20"/>
                <w:color w:val="auto"/>
              </w:rPr>
            </w:pPr>
            <w:r>
              <w:rPr>
                <w:rFonts w:ascii="Times New Roman" w:cs="Times New Roman" w:eastAsia="Times New Roman" w:hAnsi="Times New Roman"/>
                <w:sz w:val="17"/>
                <w:szCs w:val="17"/>
                <w:b w:val="1"/>
                <w:bCs w:val="1"/>
                <w:color w:val="auto"/>
              </w:rPr>
              <w:t>43041</w:t>
            </w:r>
          </w:p>
        </w:tc>
      </w:tr>
      <w:tr>
        <w:trPr>
          <w:trHeight w:val="222"/>
        </w:trPr>
        <w:tc>
          <w:tcPr>
            <w:tcW w:w="6320" w:type="dxa"/>
            <w:vAlign w:val="bottom"/>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6320" w:type="dxa"/>
            <w:vAlign w:val="bottom"/>
          </w:tcPr>
          <w:p>
            <w:pPr>
              <w:jc w:val="center"/>
              <w:ind w:left="2100"/>
              <w:spacing w:after="0"/>
              <w:rPr>
                <w:sz w:val="20"/>
                <w:szCs w:val="20"/>
                <w:color w:val="auto"/>
              </w:rPr>
            </w:pPr>
            <w:r>
              <w:rPr>
                <w:rFonts w:ascii="Times New Roman" w:cs="Times New Roman" w:eastAsia="Times New Roman" w:hAnsi="Times New Roman"/>
                <w:sz w:val="17"/>
                <w:szCs w:val="17"/>
                <w:b w:val="1"/>
                <w:bCs w:val="1"/>
                <w:color w:val="auto"/>
                <w:w w:val="99"/>
              </w:rPr>
              <w:t>(937) 644-0011</w:t>
            </w:r>
          </w:p>
        </w:tc>
        <w:tc>
          <w:tcPr>
            <w:tcW w:w="1160" w:type="dxa"/>
            <w:vAlign w:val="bottom"/>
          </w:tcPr>
          <w:p>
            <w:pPr>
              <w:spacing w:after="0"/>
              <w:rPr>
                <w:sz w:val="24"/>
                <w:szCs w:val="24"/>
                <w:color w:val="auto"/>
              </w:rPr>
            </w:pPr>
          </w:p>
        </w:tc>
      </w:tr>
      <w:tr>
        <w:trPr>
          <w:trHeight w:val="168"/>
        </w:trPr>
        <w:tc>
          <w:tcPr>
            <w:tcW w:w="6320" w:type="dxa"/>
            <w:vAlign w:val="bottom"/>
          </w:tcPr>
          <w:p>
            <w:pPr>
              <w:jc w:val="center"/>
              <w:ind w:left="2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160" w:type="dxa"/>
            <w:vAlign w:val="bottom"/>
          </w:tcPr>
          <w:p>
            <w:pPr>
              <w:spacing w:after="0"/>
              <w:rPr>
                <w:sz w:val="14"/>
                <w:szCs w:val="14"/>
                <w:color w:val="auto"/>
              </w:rPr>
            </w:pPr>
          </w:p>
        </w:tc>
      </w:tr>
      <w:tr>
        <w:trPr>
          <w:trHeight w:val="231"/>
        </w:trPr>
        <w:tc>
          <w:tcPr>
            <w:tcW w:w="6320" w:type="dxa"/>
            <w:vAlign w:val="bottom"/>
          </w:tcPr>
          <w:p>
            <w:pPr>
              <w:jc w:val="center"/>
              <w:ind w:left="206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w:t>
            </w:r>
          </w:p>
        </w:tc>
        <w:tc>
          <w:tcPr>
            <w:tcW w:w="116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70"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o</w:t>
      </w:r>
    </w:p>
    <w:p>
      <w:pPr>
        <w:spacing w:after="0" w:line="44"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o</w:t>
      </w:r>
    </w:p>
    <w:p>
      <w:pPr>
        <w:spacing w:after="0" w:line="44"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4720" w:type="dxa"/>
            <w:vAlign w:val="bottom"/>
            <w:gridSpan w:val="2"/>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28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Accelerated filer</w:t>
            </w:r>
          </w:p>
        </w:tc>
        <w:tc>
          <w:tcPr>
            <w:tcW w:w="52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70"/>
              </w:rPr>
              <w:t>o</w:t>
            </w:r>
          </w:p>
        </w:tc>
      </w:tr>
      <w:tr>
        <w:trPr>
          <w:trHeight w:val="252"/>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5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o</w:t>
            </w:r>
          </w:p>
        </w:tc>
        <w:tc>
          <w:tcPr>
            <w:tcW w:w="4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(Do not check if a smaller reporting company)</w:t>
            </w:r>
          </w:p>
        </w:tc>
        <w:tc>
          <w:tcPr>
            <w:tcW w:w="328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2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70"/>
              </w:rPr>
              <w:t>o</w:t>
            </w:r>
          </w:p>
        </w:tc>
      </w:tr>
      <w:tr>
        <w:trPr>
          <w:trHeight w:val="270"/>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5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o</w:t>
            </w:r>
          </w:p>
        </w:tc>
        <w:tc>
          <w:tcPr>
            <w:tcW w:w="42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88"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6" w:lineRule="exact"/>
        <w:tabs>
          <w:tab w:leader="none" w:pos="7920" w:val="left"/>
          <w:tab w:leader="none" w:pos="856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Yes o</w:t>
        <w:tab/>
        <w:t xml:space="preserve">No </w:t>
      </w:r>
      <w:r>
        <w:rPr>
          <w:rFonts w:ascii="MS PGothic" w:cs="MS PGothic" w:eastAsia="MS PGothic" w:hAnsi="MS PGothic"/>
          <w:sz w:val="17"/>
          <w:szCs w:val="17"/>
          <w:color w:val="auto"/>
        </w:rPr>
        <w:t>☒</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291" w:lineRule="exact"/>
        <w:rPr>
          <w:sz w:val="24"/>
          <w:szCs w:val="24"/>
          <w:color w:val="auto"/>
        </w:rPr>
      </w:pPr>
    </w:p>
    <w:tbl>
      <w:tblPr>
        <w:tblLayout w:type="fixed"/>
        <w:tblInd w:w="120" w:type="dxa"/>
        <w:tblCellMar>
          <w:top w:w="0" w:type="dxa"/>
          <w:left w:w="0" w:type="dxa"/>
          <w:bottom w:w="0" w:type="dxa"/>
          <w:right w:w="0" w:type="dxa"/>
        </w:tblCellMar>
      </w:tblPr>
      <w:tr>
        <w:trPr>
          <w:trHeight w:val="222"/>
        </w:trPr>
        <w:tc>
          <w:tcPr>
            <w:tcW w:w="7400" w:type="dxa"/>
            <w:vAlign w:val="bottom"/>
            <w:gridSpan w:val="2"/>
          </w:tcPr>
          <w:p>
            <w:pPr>
              <w:jc w:val="center"/>
              <w:ind w:right="2740"/>
              <w:spacing w:after="0"/>
              <w:rPr>
                <w:sz w:val="20"/>
                <w:szCs w:val="20"/>
                <w:color w:val="auto"/>
              </w:rPr>
            </w:pPr>
            <w:r>
              <w:rPr>
                <w:rFonts w:ascii="Times New Roman" w:cs="Times New Roman" w:eastAsia="Times New Roman" w:hAnsi="Times New Roman"/>
                <w:sz w:val="17"/>
                <w:szCs w:val="17"/>
                <w:color w:val="auto"/>
              </w:rPr>
              <w:t>Class</w:t>
            </w:r>
          </w:p>
        </w:tc>
        <w:tc>
          <w:tcPr>
            <w:tcW w:w="3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Outstanding at May 5, 2017</w:t>
            </w:r>
          </w:p>
        </w:tc>
      </w:tr>
      <w:tr>
        <w:trPr>
          <w:trHeight w:val="29"/>
        </w:trPr>
        <w:tc>
          <w:tcPr>
            <w:tcW w:w="464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35"/>
        </w:trPr>
        <w:tc>
          <w:tcPr>
            <w:tcW w:w="7400" w:type="dxa"/>
            <w:vAlign w:val="bottom"/>
            <w:gridSpan w:val="2"/>
          </w:tcPr>
          <w:p>
            <w:pPr>
              <w:jc w:val="center"/>
              <w:ind w:right="2740"/>
              <w:spacing w:after="0"/>
              <w:rPr>
                <w:sz w:val="20"/>
                <w:szCs w:val="20"/>
                <w:color w:val="auto"/>
              </w:rPr>
            </w:pPr>
            <w:r>
              <w:rPr>
                <w:rFonts w:ascii="Times New Roman" w:cs="Times New Roman" w:eastAsia="Times New Roman" w:hAnsi="Times New Roman"/>
                <w:sz w:val="17"/>
                <w:szCs w:val="17"/>
                <w:color w:val="auto"/>
              </w:rPr>
              <w:t>Common Shares, $0.01 stated value, no par value</w:t>
            </w:r>
          </w:p>
        </w:tc>
        <w:tc>
          <w:tcPr>
            <w:tcW w:w="350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59,571,630 Common Shares</w:t>
            </w:r>
          </w:p>
        </w:tc>
      </w:tr>
    </w:tbl>
    <w:p>
      <w:pPr>
        <w:spacing w:after="0" w:line="200" w:lineRule="exact"/>
        <w:rPr>
          <w:sz w:val="24"/>
          <w:szCs w:val="24"/>
          <w:color w:val="auto"/>
        </w:rPr>
      </w:pPr>
    </w:p>
    <w:p>
      <w:pPr>
        <w:sectPr>
          <w:pgSz w:w="11900" w:h="16838" w:orient="portrait"/>
          <w:cols w:equalWidth="0" w:num="1">
            <w:col w:w="11420"/>
          </w:cols>
          <w:pgMar w:left="240" w:top="232" w:right="239" w:bottom="1440" w:gutter="0" w:footer="0" w:header="0"/>
        </w:sectPr>
      </w:pP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32"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10240" w:type="dxa"/>
            <w:vAlign w:val="bottom"/>
            <w:gridSpan w:val="16"/>
            <w:vMerge w:val="restart"/>
          </w:tcPr>
          <w:p>
            <w:pP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PART I. FINANCIAL INFORMATION:</w:t>
              </w:r>
            </w:hyperlink>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240" w:type="dxa"/>
            <w:vAlign w:val="bottom"/>
            <w:gridSpan w:val="16"/>
            <w:vMerge w:val="continue"/>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920" w:type="dxa"/>
            <w:vAlign w:val="bottom"/>
            <w:gridSpan w:val="2"/>
          </w:tcPr>
          <w:p>
            <w:pP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Item 1.</w:t>
              </w:r>
            </w:hyperlink>
          </w:p>
        </w:tc>
        <w:tc>
          <w:tcPr>
            <w:tcW w:w="2420" w:type="dxa"/>
            <w:vAlign w:val="bottom"/>
            <w:tcBorders>
              <w:bottom w:val="single" w:sz="8" w:color="auto"/>
            </w:tcBorders>
            <w:gridSpan w:val="7"/>
          </w:tcPr>
          <w:p>
            <w:pPr>
              <w:spacing w:after="0"/>
              <w:rPr>
                <w:rFonts w:ascii="Times New Roman" w:cs="Times New Roman" w:eastAsia="Times New Roman" w:hAnsi="Times New Roman"/>
                <w:sz w:val="18"/>
                <w:szCs w:val="18"/>
                <w:color w:val="auto"/>
                <w:w w:val="99"/>
              </w:rPr>
            </w:pPr>
            <w:hyperlink w:anchor="page3">
              <w:r>
                <w:rPr>
                  <w:rFonts w:ascii="Times New Roman" w:cs="Times New Roman" w:eastAsia="Times New Roman" w:hAnsi="Times New Roman"/>
                  <w:sz w:val="18"/>
                  <w:szCs w:val="18"/>
                  <w:color w:val="auto"/>
                  <w:w w:val="99"/>
                </w:rPr>
                <w:t xml:space="preserve">Financial Statements </w:t>
              </w:r>
            </w:hyperlink>
            <w:r>
              <w:rPr>
                <w:rFonts w:ascii="Times New Roman" w:cs="Times New Roman" w:eastAsia="Times New Roman" w:hAnsi="Times New Roman"/>
                <w:sz w:val="18"/>
                <w:szCs w:val="18"/>
                <w:color w:val="auto"/>
                <w:w w:val="99"/>
              </w:rPr>
              <w:t>(Unaudited)</w:t>
            </w:r>
          </w:p>
        </w:tc>
        <w:tc>
          <w:tcPr>
            <w:tcW w:w="6900" w:type="dxa"/>
            <w:vAlign w:val="bottom"/>
            <w:gridSpan w:val="7"/>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Operations — Three and six months ended April 1, 2017 and April 2, 2016</w:t>
              </w:r>
            </w:hyperlink>
          </w:p>
        </w:tc>
        <w:tc>
          <w:tcPr>
            <w:tcW w:w="1140" w:type="dxa"/>
            <w:vAlign w:val="bottom"/>
            <w:gridSpan w:val="4"/>
          </w:tcPr>
          <w:p>
            <w:pPr>
              <w:jc w:val="right"/>
              <w:ind w:right="2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Comprehensive Income (Loss) — Three and six months ended April 1, 2017 and</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w:anchor="page4">
              <w:r>
                <w:rPr>
                  <w:rFonts w:ascii="Times New Roman" w:cs="Times New Roman" w:eastAsia="Times New Roman" w:hAnsi="Times New Roman"/>
                  <w:sz w:val="18"/>
                  <w:szCs w:val="18"/>
                  <w:color w:val="0000EE"/>
                  <w:w w:val="95"/>
                </w:rPr>
                <w:t>April 2, 2016</w:t>
              </w:r>
            </w:hyperlink>
          </w:p>
        </w:tc>
        <w:tc>
          <w:tcPr>
            <w:tcW w:w="7740" w:type="dxa"/>
            <w:vAlign w:val="bottom"/>
            <w:tcBorders>
              <w:top w:val="single" w:sz="8" w:color="0000EE"/>
            </w:tcBorders>
            <w:gridSpan w:val="8"/>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line="196" w:lineRule="exact"/>
              <w:rPr>
                <w:rFonts w:ascii="Times New Roman" w:cs="Times New Roman" w:eastAsia="Times New Roman" w:hAnsi="Times New Roman"/>
                <w:sz w:val="18"/>
                <w:szCs w:val="18"/>
                <w:color w:val="auto"/>
                <w:w w:val="88"/>
              </w:rPr>
            </w:pPr>
            <w:hyperlink w:anchor="page4">
              <w:r>
                <w:rPr>
                  <w:rFonts w:ascii="Times New Roman" w:cs="Times New Roman" w:eastAsia="Times New Roman" w:hAnsi="Times New Roman"/>
                  <w:sz w:val="18"/>
                  <w:szCs w:val="18"/>
                  <w:color w:val="auto"/>
                  <w:w w:val="88"/>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 — Six months ended April 1, 2017 and April 2, 2016</w:t>
              </w:r>
            </w:hyperlink>
          </w:p>
        </w:tc>
        <w:tc>
          <w:tcPr>
            <w:tcW w:w="1140" w:type="dxa"/>
            <w:vAlign w:val="bottom"/>
            <w:gridSpan w:val="4"/>
          </w:tcPr>
          <w:p>
            <w:pPr>
              <w:jc w:val="right"/>
              <w:ind w:right="2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Balance Sheets — April 1, 2017, April 2, 2016 and September 30, 2016</w:t>
              </w:r>
            </w:hyperlink>
          </w:p>
        </w:tc>
        <w:tc>
          <w:tcPr>
            <w:tcW w:w="138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auto"/>
            </w:tcBorders>
          </w:tcPr>
          <w:p>
            <w:pPr>
              <w:jc w:val="right"/>
              <w:spacing w:after="0"/>
              <w:rPr>
                <w:rFonts w:ascii="Times New Roman" w:cs="Times New Roman" w:eastAsia="Times New Roman" w:hAnsi="Times New Roman"/>
                <w:sz w:val="18"/>
                <w:szCs w:val="18"/>
                <w:color w:val="auto"/>
                <w:w w:val="88"/>
              </w:rPr>
            </w:pPr>
            <w:hyperlink w:anchor="page6">
              <w:r>
                <w:rPr>
                  <w:rFonts w:ascii="Times New Roman" w:cs="Times New Roman" w:eastAsia="Times New Roman" w:hAnsi="Times New Roman"/>
                  <w:sz w:val="18"/>
                  <w:szCs w:val="18"/>
                  <w:color w:val="auto"/>
                  <w:w w:val="88"/>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Notes to Condensed Consolidated Financial Statements</w:t>
              </w:r>
            </w:hyperlink>
          </w:p>
        </w:tc>
        <w:tc>
          <w:tcPr>
            <w:tcW w:w="3060" w:type="dxa"/>
            <w:vAlign w:val="bottom"/>
            <w:tcBorders>
              <w:top w:val="single" w:sz="8" w:color="0000EE"/>
            </w:tcBorders>
            <w:gridSpan w:val="2"/>
          </w:tcPr>
          <w:p>
            <w:pPr>
              <w:spacing w:after="0"/>
              <w:rPr>
                <w:sz w:val="21"/>
                <w:szCs w:val="21"/>
                <w:color w:val="auto"/>
              </w:rPr>
            </w:pPr>
          </w:p>
        </w:tc>
        <w:tc>
          <w:tcPr>
            <w:tcW w:w="196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rFonts w:ascii="Times New Roman" w:cs="Times New Roman" w:eastAsia="Times New Roman" w:hAnsi="Times New Roman"/>
                <w:sz w:val="18"/>
                <w:szCs w:val="18"/>
                <w:color w:val="auto"/>
                <w:w w:val="88"/>
              </w:rPr>
            </w:pPr>
            <w:hyperlink w:anchor="page7">
              <w:r>
                <w:rPr>
                  <w:rFonts w:ascii="Times New Roman" w:cs="Times New Roman" w:eastAsia="Times New Roman" w:hAnsi="Times New Roman"/>
                  <w:sz w:val="18"/>
                  <w:szCs w:val="18"/>
                  <w:color w:val="auto"/>
                  <w:w w:val="88"/>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Item 2.</w:t>
              </w:r>
            </w:hyperlink>
          </w:p>
        </w:tc>
        <w:tc>
          <w:tcPr>
            <w:tcW w:w="6460" w:type="dxa"/>
            <w:vAlign w:val="bottom"/>
            <w:gridSpan w:val="9"/>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46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Times New Roman" w:cs="Times New Roman" w:eastAsia="Times New Roman" w:hAnsi="Times New Roman"/>
                <w:sz w:val="18"/>
                <w:szCs w:val="18"/>
                <w:color w:val="auto"/>
              </w:rPr>
            </w:pPr>
            <w:hyperlink w:anchor="page59">
              <w:r>
                <w:rPr>
                  <w:rFonts w:ascii="Times New Roman" w:cs="Times New Roman" w:eastAsia="Times New Roman" w:hAnsi="Times New Roman"/>
                  <w:sz w:val="18"/>
                  <w:szCs w:val="18"/>
                  <w:color w:val="auto"/>
                </w:rPr>
                <w:t>Item 3.</w:t>
              </w:r>
            </w:hyperlink>
          </w:p>
        </w:tc>
        <w:tc>
          <w:tcPr>
            <w:tcW w:w="6460" w:type="dxa"/>
            <w:vAlign w:val="bottom"/>
            <w:gridSpan w:val="9"/>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Quantitative and Qualitative Disclosures about Market Risk</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Times New Roman" w:cs="Times New Roman" w:eastAsia="Times New Roman" w:hAnsi="Times New Roman"/>
                <w:sz w:val="18"/>
                <w:szCs w:val="18"/>
                <w:color w:val="auto"/>
              </w:rPr>
            </w:pPr>
            <w:hyperlink w:anchor="page59">
              <w:r>
                <w:rPr>
                  <w:rFonts w:ascii="Times New Roman" w:cs="Times New Roman" w:eastAsia="Times New Roman" w:hAnsi="Times New Roman"/>
                  <w:sz w:val="18"/>
                  <w:szCs w:val="18"/>
                  <w:color w:val="auto"/>
                </w:rPr>
                <w:t>59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Times New Roman" w:cs="Times New Roman" w:eastAsia="Times New Roman" w:hAnsi="Times New Roman"/>
                <w:sz w:val="18"/>
                <w:szCs w:val="18"/>
                <w:color w:val="auto"/>
              </w:rPr>
            </w:pPr>
            <w:hyperlink w:anchor="page60">
              <w:r>
                <w:rPr>
                  <w:rFonts w:ascii="Times New Roman" w:cs="Times New Roman" w:eastAsia="Times New Roman" w:hAnsi="Times New Roman"/>
                  <w:sz w:val="18"/>
                  <w:szCs w:val="18"/>
                  <w:color w:val="auto"/>
                </w:rPr>
                <w:t>Item 4.</w:t>
              </w:r>
            </w:hyperlink>
          </w:p>
        </w:tc>
        <w:tc>
          <w:tcPr>
            <w:tcW w:w="4300" w:type="dxa"/>
            <w:vAlign w:val="bottom"/>
            <w:gridSpan w:val="8"/>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Controls and Procedures</w:t>
              </w:r>
            </w:hyperlink>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Times New Roman" w:cs="Times New Roman" w:eastAsia="Times New Roman" w:hAnsi="Times New Roman"/>
                <w:sz w:val="18"/>
                <w:szCs w:val="18"/>
                <w:color w:val="auto"/>
              </w:rPr>
            </w:pPr>
            <w:hyperlink w:anchor="page60">
              <w:r>
                <w:rPr>
                  <w:rFonts w:ascii="Times New Roman" w:cs="Times New Roman" w:eastAsia="Times New Roman" w:hAnsi="Times New Roman"/>
                  <w:sz w:val="18"/>
                  <w:szCs w:val="18"/>
                  <w:color w:val="auto"/>
                </w:rPr>
                <w:t>60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0240" w:type="dxa"/>
            <w:vAlign w:val="bottom"/>
            <w:gridSpan w:val="16"/>
          </w:tcPr>
          <w:p>
            <w:pPr>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PART II. OTHER INFORMATION:</w:t>
              </w:r>
            </w:hyperlink>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2"/>
          </w:tcPr>
          <w:p>
            <w:pPr>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Item 1.</w:t>
              </w:r>
            </w:hyperlink>
          </w:p>
        </w:tc>
        <w:tc>
          <w:tcPr>
            <w:tcW w:w="9320" w:type="dxa"/>
            <w:vAlign w:val="bottom"/>
            <w:gridSpan w:val="14"/>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Legal Proceedings</w:t>
              </w:r>
            </w:hyperlink>
          </w:p>
        </w:tc>
        <w:tc>
          <w:tcPr>
            <w:tcW w:w="1140" w:type="dxa"/>
            <w:vAlign w:val="bottom"/>
            <w:gridSpan w:val="4"/>
          </w:tcPr>
          <w:p>
            <w:pPr>
              <w:jc w:val="right"/>
              <w:ind w:right="20"/>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61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Item 1A.</w:t>
              </w:r>
            </w:hyperlink>
          </w:p>
        </w:tc>
        <w:tc>
          <w:tcPr>
            <w:tcW w:w="900" w:type="dxa"/>
            <w:vAlign w:val="bottom"/>
            <w:gridSpan w:val="4"/>
          </w:tcPr>
          <w:p>
            <w:pPr>
              <w:spacing w:after="0"/>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Risk Factors</w:t>
              </w:r>
            </w:hyperlink>
          </w:p>
        </w:tc>
        <w:tc>
          <w:tcPr>
            <w:tcW w:w="400" w:type="dxa"/>
            <w:vAlign w:val="bottom"/>
          </w:tcPr>
          <w:p>
            <w:pPr>
              <w:spacing w:after="0"/>
              <w:rPr>
                <w:sz w:val="21"/>
                <w:szCs w:val="21"/>
                <w:color w:val="auto"/>
              </w:rPr>
            </w:pPr>
          </w:p>
        </w:tc>
        <w:tc>
          <w:tcPr>
            <w:tcW w:w="8020" w:type="dxa"/>
            <w:vAlign w:val="bottom"/>
            <w:gridSpan w:val="9"/>
          </w:tcPr>
          <w:p>
            <w:pPr>
              <w:spacing w:after="0"/>
              <w:rPr>
                <w:sz w:val="21"/>
                <w:szCs w:val="21"/>
                <w:color w:val="auto"/>
              </w:rPr>
            </w:pPr>
          </w:p>
        </w:tc>
        <w:tc>
          <w:tcPr>
            <w:tcW w:w="1140" w:type="dxa"/>
            <w:vAlign w:val="bottom"/>
            <w:gridSpan w:val="4"/>
          </w:tcPr>
          <w:p>
            <w:pPr>
              <w:jc w:val="right"/>
              <w:ind w:right="20"/>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61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Times New Roman" w:cs="Times New Roman" w:eastAsia="Times New Roman" w:hAnsi="Times New Roman"/>
                <w:sz w:val="18"/>
                <w:szCs w:val="18"/>
                <w:color w:val="auto"/>
              </w:rPr>
            </w:pPr>
            <w:hyperlink w:anchor="page63">
              <w:r>
                <w:rPr>
                  <w:rFonts w:ascii="Times New Roman" w:cs="Times New Roman" w:eastAsia="Times New Roman" w:hAnsi="Times New Roman"/>
                  <w:sz w:val="18"/>
                  <w:szCs w:val="18"/>
                  <w:color w:val="auto"/>
                </w:rPr>
                <w:t>Item 2.</w:t>
              </w:r>
            </w:hyperlink>
          </w:p>
        </w:tc>
        <w:tc>
          <w:tcPr>
            <w:tcW w:w="9320" w:type="dxa"/>
            <w:vAlign w:val="bottom"/>
            <w:gridSpan w:val="14"/>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Unregistered Sales of Equity Securities and Use of Proceeds</w:t>
              </w:r>
            </w:hyperlink>
          </w:p>
        </w:tc>
        <w:tc>
          <w:tcPr>
            <w:tcW w:w="1140" w:type="dxa"/>
            <w:vAlign w:val="bottom"/>
            <w:gridSpan w:val="4"/>
          </w:tcPr>
          <w:p>
            <w:pPr>
              <w:jc w:val="right"/>
              <w:ind w:right="20"/>
              <w:spacing w:after="0"/>
              <w:rPr>
                <w:rFonts w:ascii="Times New Roman" w:cs="Times New Roman" w:eastAsia="Times New Roman" w:hAnsi="Times New Roman"/>
                <w:sz w:val="18"/>
                <w:szCs w:val="18"/>
                <w:color w:val="auto"/>
              </w:rPr>
            </w:pPr>
            <w:hyperlink w:anchor="page63">
              <w:r>
                <w:rPr>
                  <w:rFonts w:ascii="Times New Roman" w:cs="Times New Roman" w:eastAsia="Times New Roman" w:hAnsi="Times New Roman"/>
                  <w:sz w:val="18"/>
                  <w:szCs w:val="18"/>
                  <w:color w:val="auto"/>
                </w:rPr>
                <w:t>63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4300" w:type="dxa"/>
            <w:vAlign w:val="bottom"/>
            <w:gridSpan w:val="8"/>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Other Information</w:t>
              </w:r>
            </w:hyperlink>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64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2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Times New Roman" w:cs="Times New Roman" w:eastAsia="Times New Roman" w:hAnsi="Times New Roman"/>
                <w:sz w:val="18"/>
                <w:szCs w:val="18"/>
                <w:color w:val="auto"/>
              </w:rPr>
            </w:pPr>
            <w:hyperlink w:anchor="page65">
              <w:r>
                <w:rPr>
                  <w:rFonts w:ascii="Times New Roman" w:cs="Times New Roman" w:eastAsia="Times New Roman" w:hAnsi="Times New Roman"/>
                  <w:sz w:val="18"/>
                  <w:szCs w:val="18"/>
                  <w:color w:val="auto"/>
                </w:rPr>
                <w:t>Item 6.</w:t>
              </w:r>
            </w:hyperlink>
          </w:p>
        </w:tc>
        <w:tc>
          <w:tcPr>
            <w:tcW w:w="600" w:type="dxa"/>
            <w:vAlign w:val="bottom"/>
            <w:gridSpan w:val="3"/>
          </w:tcPr>
          <w:p>
            <w:pPr>
              <w:spacing w:after="0"/>
              <w:rPr>
                <w:rFonts w:ascii="Times New Roman" w:cs="Times New Roman" w:eastAsia="Times New Roman" w:hAnsi="Times New Roman"/>
                <w:sz w:val="18"/>
                <w:szCs w:val="18"/>
                <w:color w:val="0000EE"/>
                <w:w w:val="96"/>
              </w:rPr>
            </w:pPr>
            <w:hyperlink w:anchor="page65">
              <w:r>
                <w:rPr>
                  <w:rFonts w:ascii="Times New Roman" w:cs="Times New Roman" w:eastAsia="Times New Roman" w:hAnsi="Times New Roman"/>
                  <w:sz w:val="18"/>
                  <w:szCs w:val="18"/>
                  <w:color w:val="0000EE"/>
                  <w:w w:val="96"/>
                </w:rPr>
                <w:t>Exhibits</w:t>
              </w:r>
            </w:hyperlink>
          </w:p>
        </w:tc>
        <w:tc>
          <w:tcPr>
            <w:tcW w:w="700" w:type="dxa"/>
            <w:vAlign w:val="bottom"/>
            <w:gridSpan w:val="2"/>
          </w:tcPr>
          <w:p>
            <w:pPr>
              <w:spacing w:after="0"/>
              <w:rPr>
                <w:sz w:val="21"/>
                <w:szCs w:val="21"/>
                <w:color w:val="auto"/>
              </w:rPr>
            </w:pPr>
          </w:p>
        </w:tc>
        <w:tc>
          <w:tcPr>
            <w:tcW w:w="8020" w:type="dxa"/>
            <w:vAlign w:val="bottom"/>
            <w:gridSpan w:val="9"/>
          </w:tcPr>
          <w:p>
            <w:pPr>
              <w:spacing w:after="0"/>
              <w:rPr>
                <w:sz w:val="21"/>
                <w:szCs w:val="21"/>
                <w:color w:val="auto"/>
              </w:rPr>
            </w:pPr>
          </w:p>
        </w:tc>
        <w:tc>
          <w:tcPr>
            <w:tcW w:w="1140" w:type="dxa"/>
            <w:vAlign w:val="bottom"/>
            <w:gridSpan w:val="4"/>
          </w:tcPr>
          <w:p>
            <w:pPr>
              <w:jc w:val="right"/>
              <w:ind w:right="20"/>
              <w:spacing w:after="0"/>
              <w:rPr>
                <w:rFonts w:ascii="Times New Roman" w:cs="Times New Roman" w:eastAsia="Times New Roman" w:hAnsi="Times New Roman"/>
                <w:sz w:val="18"/>
                <w:szCs w:val="18"/>
                <w:color w:val="auto"/>
              </w:rPr>
            </w:pPr>
            <w:hyperlink w:anchor="page65">
              <w:r>
                <w:rPr>
                  <w:rFonts w:ascii="Times New Roman" w:cs="Times New Roman" w:eastAsia="Times New Roman" w:hAnsi="Times New Roman"/>
                  <w:sz w:val="18"/>
                  <w:szCs w:val="18"/>
                  <w:color w:val="auto"/>
                </w:rPr>
                <w:t>65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rFonts w:ascii="Times New Roman" w:cs="Times New Roman" w:eastAsia="Times New Roman" w:hAnsi="Times New Roman"/>
                <w:sz w:val="18"/>
                <w:szCs w:val="18"/>
                <w:color w:val="0000EE"/>
                <w:w w:val="97"/>
              </w:rPr>
            </w:pPr>
            <w:hyperlink w:anchor="page66">
              <w:r>
                <w:rPr>
                  <w:rFonts w:ascii="Times New Roman" w:cs="Times New Roman" w:eastAsia="Times New Roman" w:hAnsi="Times New Roman"/>
                  <w:sz w:val="18"/>
                  <w:szCs w:val="18"/>
                  <w:color w:val="0000EE"/>
                  <w:w w:val="97"/>
                </w:rPr>
                <w:t>Signatures</w:t>
              </w:r>
            </w:hyperlink>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4"/>
          </w:tcPr>
          <w:p>
            <w:pPr>
              <w:jc w:val="right"/>
              <w:ind w:right="20"/>
              <w:spacing w:after="0"/>
              <w:rPr>
                <w:rFonts w:ascii="Times New Roman" w:cs="Times New Roman" w:eastAsia="Times New Roman" w:hAnsi="Times New Roman"/>
                <w:sz w:val="18"/>
                <w:szCs w:val="18"/>
                <w:color w:val="auto"/>
              </w:rPr>
            </w:pPr>
            <w:hyperlink w:anchor="page66">
              <w:r>
                <w:rPr>
                  <w:rFonts w:ascii="Times New Roman" w:cs="Times New Roman" w:eastAsia="Times New Roman" w:hAnsi="Times New Roman"/>
                  <w:sz w:val="18"/>
                  <w:szCs w:val="18"/>
                  <w:color w:val="auto"/>
                </w:rPr>
                <w:t>66</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spacing w:after="0"/>
              <w:rPr>
                <w:rFonts w:ascii="Times New Roman" w:cs="Times New Roman" w:eastAsia="Times New Roman" w:hAnsi="Times New Roman"/>
                <w:sz w:val="18"/>
                <w:szCs w:val="18"/>
                <w:color w:val="0000EE"/>
                <w:w w:val="98"/>
              </w:rPr>
            </w:pPr>
            <w:hyperlink w:anchor="page67">
              <w:r>
                <w:rPr>
                  <w:rFonts w:ascii="Times New Roman" w:cs="Times New Roman" w:eastAsia="Times New Roman" w:hAnsi="Times New Roman"/>
                  <w:sz w:val="18"/>
                  <w:szCs w:val="18"/>
                  <w:color w:val="0000EE"/>
                  <w:w w:val="98"/>
                </w:rPr>
                <w:t>Index to Exhibits</w:t>
              </w:r>
            </w:hyperlink>
          </w:p>
        </w:tc>
        <w:tc>
          <w:tcPr>
            <w:tcW w:w="9000" w:type="dxa"/>
            <w:vAlign w:val="bottom"/>
            <w:gridSpan w:val="13"/>
          </w:tcPr>
          <w:p>
            <w:pPr>
              <w:spacing w:after="0"/>
              <w:rPr>
                <w:sz w:val="21"/>
                <w:szCs w:val="21"/>
                <w:color w:val="auto"/>
              </w:rPr>
            </w:pPr>
          </w:p>
        </w:tc>
        <w:tc>
          <w:tcPr>
            <w:tcW w:w="1140" w:type="dxa"/>
            <w:vAlign w:val="bottom"/>
            <w:gridSpan w:val="4"/>
          </w:tcPr>
          <w:p>
            <w:pPr>
              <w:jc w:val="right"/>
              <w:ind w:right="20"/>
              <w:spacing w:after="0"/>
              <w:rPr>
                <w:rFonts w:ascii="Times New Roman" w:cs="Times New Roman" w:eastAsia="Times New Roman" w:hAnsi="Times New Roman"/>
                <w:sz w:val="18"/>
                <w:szCs w:val="18"/>
                <w:color w:val="auto"/>
              </w:rPr>
            </w:pPr>
            <w:hyperlink w:anchor="page67">
              <w:r>
                <w:rPr>
                  <w:rFonts w:ascii="Times New Roman" w:cs="Times New Roman" w:eastAsia="Times New Roman" w:hAnsi="Times New Roman"/>
                  <w:sz w:val="18"/>
                  <w:szCs w:val="18"/>
                  <w:color w:val="auto"/>
                </w:rPr>
                <w:t>67</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140" w:type="dxa"/>
            <w:vAlign w:val="bottom"/>
            <w:gridSpan w:val="8"/>
          </w:tcPr>
          <w:p>
            <w:pPr>
              <w:jc w:val="right"/>
              <w:ind w:right="166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2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2"/>
                <w:szCs w:val="12"/>
                <w:color w:val="auto"/>
              </w:rPr>
            </w:pPr>
          </w:p>
        </w:tc>
        <w:tc>
          <w:tcPr>
            <w:tcW w:w="1040" w:type="dxa"/>
            <w:vAlign w:val="bottom"/>
          </w:tcPr>
          <w:p>
            <w:pPr>
              <w:jc w:val="right"/>
              <w:ind w:right="271"/>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1,439.7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896.3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502.4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538.3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314.2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from continuing operations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income per common share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during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income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income per common share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060" w:type="dxa"/>
            <w:vAlign w:val="bottom"/>
            <w:shd w:val="clear" w:color="auto" w:fill="CCEEFF"/>
          </w:tcPr>
          <w:p>
            <w:pPr>
              <w:ind w:left="40"/>
              <w:spacing w:after="0" w:line="178" w:lineRule="exact"/>
              <w:rPr>
                <w:sz w:val="20"/>
                <w:szCs w:val="20"/>
                <w:color w:val="auto"/>
              </w:rPr>
            </w:pPr>
            <w:r>
              <w:rPr>
                <w:rFonts w:ascii="Times New Roman" w:cs="Times New Roman" w:eastAsia="Times New Roman" w:hAnsi="Times New Roman"/>
                <w:sz w:val="18"/>
                <w:szCs w:val="18"/>
                <w:color w:val="auto"/>
              </w:rPr>
              <w:t>Weighted-average common shares outstanding during the period plus dilutive</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41"/>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potential common shares</w:t>
            </w: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0.940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6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2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2"/>
                <w:szCs w:val="12"/>
                <w:color w:val="auto"/>
              </w:rPr>
            </w:pPr>
          </w:p>
        </w:tc>
        <w:tc>
          <w:tcPr>
            <w:tcW w:w="1040" w:type="dxa"/>
            <w:vAlign w:val="bottom"/>
          </w:tcPr>
          <w:p>
            <w:pPr>
              <w:jc w:val="right"/>
              <w:ind w:right="274"/>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95"/>
        </w:trPr>
        <w:tc>
          <w:tcPr>
            <w:tcW w:w="6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129.1</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6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unrealized gain (loss) on derivative instruments, net of tax of $0.0, $1.8,</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6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$1.9 and $1.0, respectively</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6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Reclassification of net unrealized losses on derivatives to net income, net of</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6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tax of $0.7, $1.7, $0.9 and $2.2,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w:t>
            </w:r>
          </w:p>
        </w:tc>
      </w:tr>
      <w:tr>
        <w:trPr>
          <w:trHeight w:val="225"/>
        </w:trPr>
        <w:tc>
          <w:tcPr>
            <w:tcW w:w="6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Reclassification of net pension and post-retirement benefit loss to net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6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net of tax of $0.3, $0.1, $0.6 and $0.4, respectively</w:t>
            </w:r>
          </w:p>
        </w:tc>
        <w:tc>
          <w:tcPr>
            <w:tcW w:w="2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168.6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129.3</w:t>
            </w: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80" w:type="dxa"/>
            <w:vAlign w:val="bottom"/>
          </w:tcPr>
          <w:p>
            <w:pPr>
              <w:spacing w:after="0"/>
              <w:rPr>
                <w:sz w:val="12"/>
                <w:szCs w:val="12"/>
                <w:color w:val="auto"/>
              </w:rPr>
            </w:pPr>
          </w:p>
        </w:tc>
        <w:tc>
          <w:tcPr>
            <w:tcW w:w="1200" w:type="dxa"/>
            <w:vAlign w:val="bottom"/>
          </w:tcPr>
          <w:p>
            <w:pPr>
              <w:jc w:val="right"/>
              <w:ind w:right="371"/>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loss on long-lived assets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Adjustment to gain on contribution of SLS Business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Equity in loss and distributions from unconsolidated affiliates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assets and liabilities, net of acquired businesses: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Restructuring reserves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Other non-current items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7"/>
        </w:trPr>
        <w:tc>
          <w:tcPr>
            <w:tcW w:w="83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 in property, plant and equipment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 in loans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 in acquired businesses, net of cash acquired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Borrowings under revolving and bank lines of credit and term loans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1,573.2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Repayments under revolving and bank lines of credit and term loans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issuance of 5.250%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issuance of 6.000% Senior Notes</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 of 6.625%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Financing and issuance fees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 paid by AeroGrow to noncontrolling interest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on seller notes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Excess tax benefits from share-based payment arrangements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received from the exercise of stock options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713.5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5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711"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711" w:gutter="0" w:footer="0" w:header="0"/>
          <w:type w:val="continuous"/>
        </w:sectPr>
      </w:pPr>
    </w:p>
    <w:bookmarkStart w:id="5" w:name="page6"/>
    <w:bookmarkEnd w:id="5"/>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28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140" w:type="dxa"/>
            <w:vAlign w:val="bottom"/>
          </w:tcPr>
          <w:p>
            <w:pPr>
              <w:spacing w:after="0"/>
              <w:rPr>
                <w:sz w:val="13"/>
                <w:szCs w:val="13"/>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4"/>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0"/>
        </w:trPr>
        <w:tc>
          <w:tcPr>
            <w:tcW w:w="6740" w:type="dxa"/>
            <w:vAlign w:val="bottom"/>
          </w:tcPr>
          <w:p>
            <w:pPr>
              <w:ind w:left="5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less allowances of $9.0, $14.9 and $7.2,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196.4</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pledged</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448.2</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Assets held for sale</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122.3</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2,009.6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2,208.8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991.7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101.0</w:t>
            </w:r>
          </w:p>
        </w:tc>
      </w:tr>
      <w:tr>
        <w:trPr>
          <w:trHeight w:val="225"/>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$636.2, $614.5 and</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$633.3, respectively</w:t>
            </w:r>
          </w:p>
        </w:tc>
        <w:tc>
          <w:tcPr>
            <w:tcW w:w="28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470.8</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115.2</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3,838.4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3,679.3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2,802.8</w:t>
            </w:r>
          </w:p>
        </w:tc>
      </w:tr>
      <w:tr>
        <w:trPr>
          <w:trHeight w:val="67"/>
        </w:trPr>
        <w:tc>
          <w:tcPr>
            <w:tcW w:w="67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64"/>
        </w:trPr>
        <w:tc>
          <w:tcPr>
            <w:tcW w:w="67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3"/>
        </w:trPr>
        <w:tc>
          <w:tcPr>
            <w:tcW w:w="7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debt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165.9</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242.2</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985.9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593.1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1,125.1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350.3</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3,147.0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2,991.4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2,068.5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5"/>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shares and capital in excess of $.01 stated value per share; 59.6, 61.2 and 60.3</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28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401.7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881.8</w:t>
            </w:r>
          </w:p>
        </w:tc>
      </w:tr>
      <w:tr>
        <w:trPr>
          <w:trHeight w:val="24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shares, at cost; 8.5, 6.9 and 7.8 shares, respectively</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equity—controlling interest</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715.2</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734.3</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3,838.4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3,679.3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2,802.8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Operations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Scotts Miracle-Gro Company (“Scotts Miracle-Gro” or “Parent”)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food and drug stores, and indoor gardening and hydroponic stores. The Company’s products are sold primarily in North America and the European Union.</w:t>
      </w:r>
    </w:p>
    <w:p>
      <w:pPr>
        <w:spacing w:after="0" w:line="99"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8"/>
          <w:szCs w:val="18"/>
          <w:color w:val="auto"/>
        </w:rPr>
        <w:t>Prior to April 13, 2016, the Company operated the 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(the “SLS Business”), which provided residential and commercial lawn care, tree and shrub care and pest control services in the United States. On April 13, 2016, pursuant to the terms of the Contribution and Distribution Agreement (the “Contribution Agreement”) between the Company and TruGreen Holding Corporation (“TruGreen Holdings”), the Company completed the contribution of the SLS Business to a newly formed subsidiary of TruGreen Holdings (the “TruGreen Joint Venture”) in exchange for a minority equity interest of 30% in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See “NOTE 2. DISCONTINUED OPERATIONS” and “NOTE 4. INVESTMENT IN UNCONSOLIDATED AFFILIATES” for further discussion. Refer to “NOTE 15. SEGMENT INFORMATION” for discussion of the Company’s new reportable segments identified effective in the second quarter of fiscal 2016.</w:t>
      </w:r>
    </w:p>
    <w:p>
      <w:pPr>
        <w:spacing w:after="0" w:line="12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Due to the nature of the consumer lawn and garden business, the majority of the Company’s sales to customers occur in the Company’s second and third fiscal quarters. On a combined basis, net sales for the second and third quarters of the last three fiscal years represented in excess of 75% of the Company’s annual net sales.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Organization and Basis of Presentation</w:t>
      </w:r>
    </w:p>
    <w:p>
      <w:pPr>
        <w:spacing w:after="0" w:line="14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for the three and six months ended April 1, 2017 and April 2, 2016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and Gavita Holdings B.V., and its subsidiaries (collectively, “Gavita”), in which the Company has controlling interests, are consolidated, with the equity owned by other shareholders shown as noncontrolling interest in the Condensed Consolidated Balance Sheets, and the other shareholders’ portion of net earnings and other comprehensive income shown as net income (loss) or comprehensive income attributable to noncontrolling interest in the Condensed Consolidated Statements of Operations and Condensed Consolidated Statements of Comprehensive Income (Loss), respectively. In the opinion of management, interim results reflect all normal and recurring adjustments and are not necessarily indicative of results for a full year.</w:t>
      </w:r>
    </w:p>
    <w:p>
      <w:pPr>
        <w:spacing w:after="0" w:line="10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2016 (the “2016 Annual Report”), which includes a complete set of footnote disclosures, including the Company’s significant accounting policies.</w:t>
      </w:r>
    </w:p>
    <w:p>
      <w:pPr>
        <w:spacing w:after="0" w:line="9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Balance Sheet at September 30, 2016 has been derived from the Company’s audited Consolidated Balance Sheet at that date, but does not include all of the information and footnotes required by GAAP for complete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condensed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Loans Receivable</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Loans receivable are carried at outstanding principal amount, and are recognized in the “Other assets” line in the Condensed Consolidated Balance Sheets. Loans receivable are impaired when, based on current information and events, it is probable that the Company will be unable to collect all amounts due according to the contractual terms of the loan agreement. If it is determined that an impairment has occurred, an impairment loss is recognized for the amount by which the carrying value of the asset exceeds the present value of expected future cash flows and recorded within “Operating expenses” in the Condensed Consolidated Statements of Operations.</w:t>
      </w:r>
    </w:p>
    <w:p>
      <w:pPr>
        <w:spacing w:after="0" w:line="13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is recognized in the “Other income, net” line in the Condensed Consolidated Statements of Operations. Interest income was $2.1 million and $0.4 million for the three months ended April 1, 2017 and April 2, 2016, respectively. Interest income was $4.8 million and $0.4 million for the six months ended April 1, 2017 and April 2, 2016,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Long-Lived Assets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had non-cash investing activities of $2.3 million and $3.7 million during the six months ended April 1, 2017 and April 2, 2016, respectively, representing unpaid liabilities incurred during each period to acquire property, plant and equipment.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Statements of Cash Flows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was as follows for each of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8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40" w:type="dxa"/>
            <w:vAlign w:val="bottom"/>
          </w:tcPr>
          <w:p>
            <w:pPr>
              <w:spacing w:after="0"/>
              <w:rPr>
                <w:sz w:val="12"/>
                <w:szCs w:val="12"/>
                <w:color w:val="auto"/>
              </w:rPr>
            </w:pPr>
          </w:p>
        </w:tc>
        <w:tc>
          <w:tcPr>
            <w:tcW w:w="1100" w:type="dxa"/>
            <w:vAlign w:val="bottom"/>
          </w:tcPr>
          <w:p>
            <w:pPr>
              <w:jc w:val="right"/>
              <w:ind w:right="377"/>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95"/>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gridSpan w:val="2"/>
          </w:tcPr>
          <w:p>
            <w:pPr>
              <w:jc w:val="cente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21"/>
                <w:szCs w:val="2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Call premium on 6.625% Senior Notes</w:t>
            </w:r>
          </w:p>
        </w:tc>
        <w:tc>
          <w:tcPr>
            <w:tcW w:w="28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 paid</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8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1, 2017, Scotts Miracle-Gro’s wholly-owned subsidiary, Scotts Canada Ltd., paid contingent consideration of $6.7 million related to the fiscal 2014 acquisition of Fafard &amp; Brothers Ltd. (“Fafard”).</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uses the “cumulative earnings” approach for determining cash flow presentation of distributions from unconsolidated affiliates. Distributions received are included in the Condensed Consolidated Statements of Cash Flows as operating activities, unless the cumulative distributions exceed the portion of the cumulative equity in the net earnings of the unconsolidated affiliate, in which case the excess distributions are deemed to be returns of the investment and are classified as investing activities in the Condensed Consolidated Statements of Cash Flows.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Debt Issuance Costs</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April 2015, the Financial Accounting Standards Board (“FASB”) issued an accounting standard update that requires debt issuance costs related to a recognized debt liability to be presented in the balance sheet as a direct deduction from the corresponding debt liability rather than as an asset; however debt issuance costs relating to revolving credit facilities will remain in other assets. The Company adopted this guidance on a retrospective basis effective October 1, 2016. As a result, debt issuance costs totaling $6.3 million and $6.0 million have been presented as a component of the carrying amount of long-term debt in the Condensed Consolidated Balance Sheets as of April 2, 2016 and September 30, 2016, respectively. These amounts were previously reported within other assets.</w:t>
      </w:r>
    </w:p>
    <w:p>
      <w:pPr>
        <w:spacing w:after="0" w:line="1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Combinations</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September 2015, the FASB issued an accounting standard update to simplify the accounting for measurement-period adjustments by requiring an acquirer to recognize adjustments to provisional amounts that are identified during the measurement period in the reporting period in which the adjustment amounts are determined, and requiring disclosure of the portion of the amount recorded in current period earnings by line item that would have been recorded in previous reporting periods if the adjustment to the provisional amounts had been recognized as of the acquisition date. The Company adopted this guidance on a prospective basis effective October 1, 2016. The adoption of this guidance did not impact the Company’s consolidated financial position, results of operations or cash flows.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 from Contracts with Customers</w:t>
      </w:r>
    </w:p>
    <w:p>
      <w:pPr>
        <w:spacing w:after="0" w:line="9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May 2014, the FASB issued amended accounting guidance that replaces most existing revenue recognition guidance under GAAP.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Subsequently, additional guidance was issued on several areas including guidance intended to improve the operability and understandability of the implementation of principal versus agent considerations and clarifications on the identification of performance obligations and implementation of guidance related to licensing. The provisions are effective for the Company’s financial statements no later than the fiscal year beginning October 1, 2018. The standard allows for either a full retrospective or a modified retrospective transition method. The Company is currently evaluating the impact of this standard on its consolidated results of operations, financial position and cash flows.</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July 2015, the FASB issued an accounting standard update that requires inventory to be measured “at the lower of cost and net realizable value,” thereby simplifying the current guidance that requires inventory to be measured at the lower of cost or market (market in this context is defined as one of three different measures, one of which is net realizable value). The provisions are effective prospectively for the Company’s financial statements for the fiscal year beginning October 1, 2017, and are not expected to have a significant impact on the Company’s consolidated financial position, results of operations or cash flows.</w:t>
      </w:r>
    </w:p>
    <w:p>
      <w:pPr>
        <w:spacing w:after="0" w:line="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November 2015, the FASB issued an accounting standard update to simplify the presentation of deferred income taxes by requiring that deferred income tax liabilities and assets be classified as noncurrent in a classified statement of financial position. The provisions are effective for the Company’s financial statements no later than the fiscal year beginning October 1, 2017. The standard allows for either a retrospective or prospective transition method and is not expected to have a significant impact on the Company’s consolidated financial position, results of operations or cash flows. At April 1, 2017, April 2, 2016 and September 30, 2016, net current deferred tax assets classified within prepaid and other current assets were $61.4 million, $72.4 million and $62.1 million, respectively.</w:t>
      </w:r>
    </w:p>
    <w:p>
      <w:pPr>
        <w:spacing w:after="0" w:line="1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Leases</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an accounting standard update which significantly changes the accounting for leases. This guidance requires lessees to recognize a lease liability for the obligation to make lease payments and a right-of-use asset for the right to use the underlying asset for the lease term. The provisions are effective for the Company’s financial statements no later than the fiscal year beginning October 1, 2019 and require a modified retrospective transition approach for leases that exist or are entered into after the beginning of the earliest comparative period presented in the financial statements. The Company is currently evaluating the impact of this standard on its consolidated results of operations, financial position and cash flows.</w:t>
      </w:r>
    </w:p>
    <w:p>
      <w:pPr>
        <w:spacing w:after="0" w:line="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Share-Based Compensation</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March 2016, the FASB issued an accounting standard update that simplifies several aspects of the accounting for employee share-based payment transactions, including the accounting for income taxes, forfeitures, and statutory tax withholding requirements, as well as classification in the statement of cash flows. The provisions are effective, using a combination of retrospective, modified retrospective and prospective transition methods, for the Company’s financial statements no later than the fiscal year beginning October 1, 2017. The Company is currently evaluating the impact of this standard on its consolidated results of operations, financial position and cash flows.</w:t>
      </w:r>
    </w:p>
    <w:p>
      <w:pPr>
        <w:spacing w:after="0" w:line="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Presentation</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August 2016, the FASB issued an accounting standard update that amends the guidance on the classification of certain cash receipts and payments in the statement of cash flows. The provisions are effective retrospectively for the Company’s financial statements no later than the fiscal year beginning October 1, 2018, and are not expected to have a significant impact on the Company’s consolidated cash flows.</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Combinations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January 2017, the FASB issued an accounting standard update that clarifies the definition of a business to provide additional guidance to assist in evaluating whether transactions should be accounted for as an acquisition (or disposal) of either an asset or business. The provisions are effective prospectively for the Company’s financial statements no later than the fiscal year beginning October 1, 2018, and are not expected to have a significant impact on the Company’s consolidated financial position, results of operations or cash flows.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an accounting standard update which removes the requirement to compare the implied fair value of goodwill with its carrying amount as part of step 2 of the goodwill impairment test. Goodwill impairment will now be the amount by which a reporting unit’s carrying value exceeds its fair value, not to exceed the carrying amount of the goodwill. The provisions are effective prospectively for the Company’s financial statements no later than the fiscal year beginning October 1, 2020, and are not expected to have a significant impact on the Company’s consolidated financial position, results of operations or cash flows.</w:t>
      </w:r>
    </w:p>
    <w:p>
      <w:pPr>
        <w:spacing w:after="0" w:line="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Employee Benefit Plans</w:t>
      </w:r>
    </w:p>
    <w:p>
      <w:pPr>
        <w:spacing w:after="0" w:line="1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March 2017, the FASB issued an accounting standard update which requires entities to (1) disaggregate the current-service-cost component from the other components of net benefit cost (the “other components”) and present it with other current compensation costs for related employees in the income statement, (2) present the other components elsewhere in the income statement and outside of income from operations if that subtotal is presented and (3) limit the amount of costs eligible for capitalization (e.g., as part of inventory or property, plant, and equipment) to only the service-cost component of net benefit cost. The provisions are effective for the Company’s financial statements no later than the fiscal year beginning October 1, 2018, and are required to be applied retrospectively for the presentation of cost components in the income statement and prospectively for the capitalization of cost components. The provisions are not expected to have a significant impact on the Company’s consolidated financial position, results of operations or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April 13, 2016, pursuant to the terms of the Contribution Agreement, the Company completed the contribution of the SLS Business to the TruGreen Joint Venture in exchange for a minority equity interest of 30% in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The Company recorded a gain on the contribution of $131.2 million, partially offset by the provision for deferred income taxes of $51.9 million, during fiscal 2016 within results from discontinued operations.</w:t>
      </w:r>
    </w:p>
    <w:p>
      <w:pPr>
        <w:spacing w:after="0" w:line="10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April 1, 2017, the Company recognized $0.1 million and $0.7 million, respectively, in transaction related costs associated with the divestiture of the SLS Business. In addition, during the six months ended April 1, 2017, the Company recorded an adjustment to the gain on the contribution of $0.3 million related to a post closing working capital adjustment. During the three and six months ended April 2, 2016, the Company recognized $9.0 million for the resolution of a prior SLS Business litigation matter, as well as $1.6 million and $4.6 million, respectively, in transaction related costs associated with the divestiture of the SLS Business.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results of the SLS Business within discontinued operations for each of the periods presented: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2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2"/>
                <w:szCs w:val="12"/>
                <w:color w:val="auto"/>
              </w:rPr>
            </w:pPr>
          </w:p>
        </w:tc>
        <w:tc>
          <w:tcPr>
            <w:tcW w:w="1040" w:type="dxa"/>
            <w:vAlign w:val="bottom"/>
          </w:tcPr>
          <w:p>
            <w:pPr>
              <w:jc w:val="right"/>
              <w:ind w:right="274"/>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0" w:type="dxa"/>
            <w:vAlign w:val="bottom"/>
          </w:tcPr>
          <w:p>
            <w:pPr>
              <w:spacing w:after="0"/>
              <w:rPr>
                <w:sz w:val="1"/>
                <w:szCs w:val="1"/>
                <w:color w:val="auto"/>
              </w:rPr>
            </w:pPr>
          </w:p>
        </w:tc>
      </w:tr>
      <w:tr>
        <w:trPr>
          <w:trHeight w:val="195"/>
        </w:trPr>
        <w:tc>
          <w:tcPr>
            <w:tcW w:w="5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2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costs</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 to gain on contribution of SLS Business</w:t>
            </w:r>
          </w:p>
        </w:tc>
        <w:tc>
          <w:tcPr>
            <w:tcW w:w="10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10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from discontinued operations</w:t>
            </w:r>
          </w:p>
        </w:tc>
        <w:tc>
          <w:tcPr>
            <w:tcW w:w="10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0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0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major classes of assets and liabilities of the SLS Business held for sale as of April 2, 2016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156.2</w:t>
            </w:r>
          </w:p>
        </w:tc>
      </w:tr>
      <w:tr>
        <w:trPr>
          <w:trHeight w:val="237"/>
        </w:trPr>
        <w:tc>
          <w:tcPr>
            <w:tcW w:w="10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Assets held for sale</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208.7</w:t>
            </w:r>
          </w:p>
        </w:tc>
      </w:tr>
      <w:tr>
        <w:trPr>
          <w:trHeight w:val="67"/>
        </w:trPr>
        <w:tc>
          <w:tcPr>
            <w:tcW w:w="1016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305"/>
        </w:trPr>
        <w:tc>
          <w:tcPr>
            <w:tcW w:w="10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portion of debt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Condensed Consolidated Statements of Cash Flows do not present the cash flows from discontinued operations separately from cash flows from continuing operations. Cash used in operating activities related to the SLS Business was $9.3 million for the six months ended April 1, 2017 primarily due to the payment of a previously accrued SLS Business litigation matter. Cash provided by operating activities related to the SLS Business was $12.2 million for the six months ended April 2, 2016. Cash used in investing activities related to the SLS Business was zero and $0.1 million for the six months ended April 1, 2017 and April 2, 2016,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 AND INVESTMENTS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Fiscal 2017</w:t>
      </w:r>
    </w:p>
    <w:p>
      <w:pPr>
        <w:spacing w:after="0" w:line="14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On October 3, 2016, the Company, through its wholly-owned subsidiary The Hawthorne Gardening Company, completed the acquisition of American Agritech, L.L.C., d/b/a Botanicare (“Botanicare”), an Arizona-based leading producer of plant nutrients, plant supplements and growing systems used for hydroponic gardening, for $92.6 million. The purchase price included contingent consideration, a non-cash investing activity, with a maximum payout and estimated fair value of $15.5 million, which was paid subsequent to April 1, 2017. The preliminary valuation of the acquired assets included (i) $1.2 million of cash, prepaid and other current assets, (ii) $8.4 million of inventory and accounts receivable, (iii) $1.4 million of fixed assets, (iv) $2.3 million of accounts payable and other current liabilities, (v) $53.0 million of finite-lived identifiable intangible assets, and (vi) $30.9 million of tax-deductible goodwill. Identifiable intangible assets included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Botanicare included within the Other segment for the three and six months ended April 1, 2017 were $11.3 million and $21.2 million, respectively.</w:t>
      </w:r>
    </w:p>
    <w:p>
      <w:pPr>
        <w:spacing w:after="0" w:line="105"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2017, the Company’s U.S. Consumer segment completed two acquisitions of companies whose products support the Company’s focus on the emerging areas of water positive landscapes and internet-enabled technology for an aggregate purchase price of $3.2 million. The valuation of the acquired assets for the transactions included finite-lived identifiable intangible assets and goodwill of $2.8 million.</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Fiscal 2016</w:t>
      </w:r>
    </w:p>
    <w:p>
      <w:pPr>
        <w:spacing w:after="0" w:line="14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On May 26, 2016, the Company, through its wholly-owned subsidiary The Hawthorne Gardening Company, acquired majority control and a 75% economic interest in Gavita for $136.2 million. The remaining 25% interest was retained by Gavita’s former ownership group. This transaction provides the Company’s Other segment with a presence in the lighting category of indoor and urban gardening, which is a part of the Company’s long-term growth strategy. Gavita, which is based in the Netherlands, is a leading producer and marketer of indoor lighting used in the greenhouse and hydroponic markets, predominately in the United States and Europe. The purchase price included contingent consideration with an estimated fair value of $2.5 million, the payment of which will depend on the performance of the business through calendar year 2019. The valuation of the acquired assets included (i) $6.4 million of cash, prepaid and other current assets, (ii) $38.3 million of inventory and accounts receivable, (iii) $1.5 million of fixed assets, (iv) $18.7 million of accounts payable and other current liabilities, (v) $5.5 million of short term debt, (vi) $102.6 million of finite-lived identifiable intangible assets, (vii) $82.7 million of non-deductible goodwill, and (viii) $25.7 million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 liabilities. Identifiable intangible assets included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Gavita’s former ownership group has retained a 25% noncontrolling interest in Gavita consisting of ownership of 5% of the outstanding shares of Gavita and a loan with interest payable based on distributions by Gavita. The loan represented a non-cash financing activity and is recorded at fair value in the “Long-term debt” line in the Condensed Consolidated Balance Sheets. The initial valuation of the loan was $37.7 million. The fair value measurement was classified in Level 3 of the fair value hierarchy. Net sales for Gavita included within the Other segment for the three and six months ended April 1, 2017 were $24.1 million and $50.7 million, respectively.</w:t>
      </w:r>
    </w:p>
    <w:p>
      <w:pPr>
        <w:spacing w:after="0" w:line="10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the third quarter of fiscal 2016, the Company completed an acquisition within the Other segment to expand its Canadian growing media operations for $33.9 million. The purchase price included contingent consideration with an estimated fair value of $10.8 million, of which $6.5 million was paid during the first quarter of fiscal 2017. The payment of the remaining amount will depend on the performance of the business in fiscal 2017. The valuation of the acquired assets included (i) $4.7 million of inventory and accounts receivable, (ii) $18.6 million of fixed assets, (iii) $11.4 million of finite-lived identifiable intangible assets, (iv) $1.4 million of deferred tax liabilities, (v) an investment in an unconsolidated joint venture of $0.7 million, and (vi) $2.1 million of tax-deductible goodwill. Identifiable intangible assets included peat bog lease rights,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related to this acquisition included within the Other segment for the three and six months ended April 1, 2017 were $3.6 million and $7.3 million, respectively.</w:t>
      </w:r>
    </w:p>
    <w:p>
      <w:pPr>
        <w:spacing w:after="0" w:line="10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the second quarter of fiscal 2016, the Company entered into definitive agreements with Bonnie Plants, Inc. (“Bonnie”) and its sole shareholder, Alabama Farmers Cooperative, Inc. (“AFC”), providing for the Company’s participation in Bonnie’s business of planting, growing, developing, manufacturing, distributing, marketing, and selling live plants, plant food, fertilizer and potting soil (the “Bonnie Business”). The Company’s participation includes a Term Loan Agreement from the Company to AFC, with Bonnie as guarantor, in the amount of $72.0 million with a fixed coupon rate of 6.95% (the “Term Loan”) as well as a Marketing, R&amp;D and Ancillary Services Agreement (the “Services Agreement”) pursuant to which the Company provides marketing, research and development and certain ancillary services to Bonnie for a commission fee based on the profits of the Bonnie Business and the reimbursement of certain costs. During the three and six months ended April 1, 2017, the Company recognized cost reimbursements of $0.6 million and $1.6 million, respectively, as compared to $0.2 million during the three and six months ended April 2, 2016.</w:t>
      </w:r>
    </w:p>
    <w:p>
      <w:pPr>
        <w:spacing w:after="0" w:line="10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These agreements also include options beginning in fiscal 2020 that provide for either (i) the Company to increase its economic interest in the Bonnie Business or (ii) AFC and Bonnie to repurchase the Company’s economic interest in the Bonnie Business. The Company’s option to increase its economic interest in the Bonnie Business (the “Bonnie Option”) is required to be accounted for as a derivative instrument and is recorded at fair value in the “Other assets” line in the Condensed Consolidated Balance Sheets, with changes in fair value recognized in the “Other income (loss), net” line in the Condensed Consolidated Statement of Operations. The estimated fair value of the Bonnie Option was determined using a simulation approach, whereby the total value of the loan receivable and optional exchange for additional equity was estimated considering a distribution of possible future cash flows discounted to present value using an appropriate discount rate. The estimated fair value of the Bonnie Option was $10.9 million as of April 1, 2017, and the fair value measurement was classified in Level 3 of the fair value hierarchy.</w:t>
      </w:r>
    </w:p>
    <w:p>
      <w:pPr>
        <w:spacing w:after="0" w:line="131" w:lineRule="exact"/>
        <w:rPr>
          <w:sz w:val="20"/>
          <w:szCs w:val="20"/>
          <w:color w:val="auto"/>
        </w:rPr>
      </w:pPr>
    </w:p>
    <w:p>
      <w:pPr>
        <w:ind w:right="340" w:firstLine="405"/>
        <w:spacing w:after="0" w:line="430" w:lineRule="auto"/>
        <w:rPr>
          <w:sz w:val="20"/>
          <w:szCs w:val="20"/>
          <w:color w:val="auto"/>
        </w:rPr>
      </w:pPr>
      <w:r>
        <w:rPr>
          <w:rFonts w:ascii="Times New Roman" w:cs="Times New Roman" w:eastAsia="Times New Roman" w:hAnsi="Times New Roman"/>
          <w:sz w:val="18"/>
          <w:szCs w:val="18"/>
          <w:color w:val="auto"/>
        </w:rPr>
        <w:t xml:space="preserve">The condensed consolidated financial statements include the results of operations for these business combinations from the date of each acquisition. </w:t>
      </w:r>
      <w:r>
        <w:rPr>
          <w:rFonts w:ascii="Times New Roman" w:cs="Times New Roman" w:eastAsia="Times New Roman" w:hAnsi="Times New Roman"/>
          <w:sz w:val="18"/>
          <w:szCs w:val="18"/>
          <w:b w:val="1"/>
          <w:bCs w:val="1"/>
          <w:color w:val="auto"/>
        </w:rPr>
        <w:t>NOTE 4. INVESTMENT IN UNCONSOLIDATED AFFILIATES</w:t>
      </w:r>
    </w:p>
    <w:p>
      <w:pPr>
        <w:spacing w:after="0" w:line="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of April 1, 2017, the Company held a minority equity interest of 30% in the TruGreen Joint Venture. This interest had an initial fair value of $294.0 million and subsequently is accounted for using the equity method of accounting, with the Company’s proportionate share of the TruGreen Joint Venture earnings reflected in the Condensed Consolidated Statements of Operations. In addition, the Company and TruGreen Holdings entered into a limited liability company agreement (the “LLC Agreement”) governing the management of the TruGreen Joint Venture, as well as certain ancillary agreements including a transition services agreement and an employee leasing agreement. The LLC Agreement provides the Company with minority representation on the board of directors of the TruGreen Joint Venture.</w:t>
      </w:r>
    </w:p>
    <w:p>
      <w:pPr>
        <w:spacing w:after="0" w:line="1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transactions contemplated by the Contribution Agreement on April 13, 2016, the TruGreen Joint Venture obtained debt financing and made an excess distribution of $196.2 million to the Company, and the Company invested $18.0 million in second lien term loan financing to the TruGreen Joint Venture. The Company was reimbursed $14.7 million and $33.7 million during the three and six months ended April 1, 2017, respectively, and has accounts receivable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$8.3 million at April 1, 2017, for expenses incurred pursuant to a short-term transition services agreement and an employee leasing agreement, and also has an indemnification asset of $7.4 million at April 1, 2017 for future payments on claims associated with insurance programs. The Company received distributions from unconsolidated affiliates intended to cover required tax payments of zero and $2.2 million during the three and six months ended April 1, 2017, respectively.</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summarized financial information for the TruGreen Joint Venture for each of the periods presented: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6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360" w:type="dxa"/>
            <w:vAlign w:val="bottom"/>
          </w:tcPr>
          <w:p>
            <w:pPr>
              <w:spacing w:after="0"/>
              <w:rPr>
                <w:sz w:val="12"/>
                <w:szCs w:val="12"/>
                <w:color w:val="auto"/>
              </w:rPr>
            </w:pPr>
          </w:p>
        </w:tc>
        <w:tc>
          <w:tcPr>
            <w:tcW w:w="1920" w:type="dxa"/>
            <w:vAlign w:val="bottom"/>
          </w:tcPr>
          <w:p>
            <w:pPr>
              <w:jc w:val="center"/>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2017</w:t>
            </w:r>
          </w:p>
        </w:tc>
      </w:tr>
      <w:tr>
        <w:trPr>
          <w:trHeight w:val="250"/>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920" w:type="dxa"/>
            <w:vAlign w:val="bottom"/>
          </w:tcPr>
          <w:p>
            <w:pPr>
              <w:spacing w:after="0"/>
              <w:rPr>
                <w:sz w:val="21"/>
                <w:szCs w:val="2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406.8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21"/>
                <w:szCs w:val="21"/>
                <w:color w:val="auto"/>
              </w:rPr>
            </w:pPr>
          </w:p>
        </w:tc>
        <w:tc>
          <w:tcPr>
            <w:tcW w:w="2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70.8</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2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33.5</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administrative and other</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78.0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00" w:type="dxa"/>
            <w:vAlign w:val="bottom"/>
          </w:tcPr>
          <w:p>
            <w:pPr>
              <w:spacing w:after="0"/>
              <w:rPr>
                <w:sz w:val="21"/>
                <w:szCs w:val="21"/>
                <w:color w:val="auto"/>
              </w:rPr>
            </w:pP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26.6</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187"/>
        <w:spacing w:after="0" w:line="255" w:lineRule="auto"/>
        <w:rPr>
          <w:sz w:val="20"/>
          <w:szCs w:val="20"/>
          <w:color w:val="auto"/>
        </w:rPr>
      </w:pPr>
      <w:r>
        <w:rPr>
          <w:rFonts w:ascii="Times New Roman" w:cs="Times New Roman" w:eastAsia="Times New Roman" w:hAnsi="Times New Roman"/>
          <w:sz w:val="18"/>
          <w:szCs w:val="18"/>
          <w:color w:val="auto"/>
        </w:rPr>
        <w:t>Net loss does not include income taxes, which are recognized and paid by the partners of the TruGreen Joint Venture. The income taxes associated with the Company’s share of net loss have been recorded in the “Income tax expense from continuing operations” line in the Condensed Consolidated Statement of Operations. The Company recognized equity in loss of unconsolidated affiliates of $24.1 million and $37.3 million for the three and six months ended April 1, 2017, respectively. Included within loss of unconsolidated affiliates for the three and six months ended April 1, 2017 are charges of $2.1 million and $11.7 million, respectively, which represent the Company’s share of restructuring and other charges incurred by the TruGreen Joint Venture. These charges included zero and $7.9 million for nonrecurring integration and separation costs and $2.1 million and $3.8 million for a non-cash purchase accounting fair value write down adjustment related to deferred revenue and advertising for the three and six months ended April 1, 2017,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IMPAIRMENT, RESTRUCTURING AND OTHER</w:t>
      </w:r>
    </w:p>
    <w:p>
      <w:pPr>
        <w:spacing w:after="0" w:line="14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Activity described herein is classified within the “Cost of sales—impairment, restructuring and other,” “Impairment, restructuring and other” and “Income from discontinued operations, net of tax” lines in the Condensed Consolidated Statements of Operations.</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impairment, restructuring and other charges (recoveries) for each of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8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00" w:type="dxa"/>
            <w:vAlign w:val="bottom"/>
          </w:tcPr>
          <w:p>
            <w:pPr>
              <w:spacing w:after="0"/>
              <w:rPr>
                <w:sz w:val="12"/>
                <w:szCs w:val="12"/>
                <w:color w:val="auto"/>
              </w:rPr>
            </w:pPr>
          </w:p>
        </w:tc>
        <w:tc>
          <w:tcPr>
            <w:tcW w:w="10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2"/>
                <w:szCs w:val="12"/>
                <w:color w:val="auto"/>
              </w:rPr>
            </w:pPr>
          </w:p>
        </w:tc>
        <w:tc>
          <w:tcPr>
            <w:tcW w:w="940" w:type="dxa"/>
            <w:vAlign w:val="bottom"/>
          </w:tcPr>
          <w:p>
            <w:pPr>
              <w:jc w:val="right"/>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0" w:type="dxa"/>
            <w:vAlign w:val="bottom"/>
          </w:tcPr>
          <w:p>
            <w:pPr>
              <w:spacing w:after="0"/>
              <w:rPr>
                <w:sz w:val="1"/>
                <w:szCs w:val="1"/>
                <w:color w:val="auto"/>
              </w:rPr>
            </w:pPr>
          </w:p>
        </w:tc>
      </w:tr>
      <w:tr>
        <w:trPr>
          <w:trHeight w:val="195"/>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Restructuring and other charges (recoveries)</w:t>
            </w:r>
          </w:p>
        </w:tc>
        <w:tc>
          <w:tcPr>
            <w:tcW w:w="20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restructuring and other charges (recoveries)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 from discontinued operations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impairment, restructuring and other charges (recoveries)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562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liabilities associated with restructuring and other, excluding insurance reimbursement recoveries, during the six months ended April 1, 2017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reserved for restructuring and other at September 30, 2016</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 from continuing operations</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 from discontinued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and other</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10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reserved for restructuring and other at April 1, 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10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Included in the restructuring reserves, as of April 1, 2017, is $1.3 million that is classified as long-term. Payments against the long-term reserves will be incurred as the employees covered by the restructuring plan retire or through the passage of time. The remaining amounts reserved will continue to be paid out over the course of the next twelve months.</w:t>
      </w:r>
    </w:p>
    <w:p>
      <w:pPr>
        <w:spacing w:after="0" w:line="9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the first quarter of fiscal 2016, the Company announced a series of initiatives called Project Focus designed to maximize the value of its non-core assets and focus on emerging categories of the lawn and garden industry in its core U.S. business. During the three and six months ended April 1, 2017, the Company’s Corporate function recognized costs of $3.3 million and $4.7 million, respectively, as compared to costs of $1.7 million and $2.6 million for the three and six months ended April 2, 2016, respectively, related to Project Focus transaction activity within the “Impairment, restructuring and other” line in the Condensed Consolidated Statements of Operations. Costs incurred to date since the inception of the current initiatives are $3.4 million for the U.S. Consumer segment related to termination benefits, $2.0 million for the Europe Consumer segment related to termination benefits and $9.3 million for Corporate related to transaction activity.</w:t>
      </w:r>
    </w:p>
    <w:p>
      <w:pPr>
        <w:spacing w:after="0" w:line="108"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During the third quarter of fiscal 2015, the Company’s U.S. Consumer segment began experiencing an increase in certain consumer complaints related to the reformulated Bonus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 fertilizer product sold in the southeastern United States during fiscal 2015 indicating customers were experiencing damage to their lawns after application. There have been no costs recognized by the Company related to this matter during the three and six months ended April 1, 2017. During the three and six months ended April 2, 2016, the Company incurred $1.0 million and $6.4 million, respectively, in costs related to resolving these consumer complaints and the recognition of costs the Company expected to incur for consumer claims within the “Impairment, restructuring and other” and the “Cost of sales—impairment, restructuring and other” lines in the Condensed Consolidated Statements of Operations. Additionally, the Company recorded offsetting insurance reimbursement recoveries of $50.0 million in the second quarter of fiscal 2016 within the “Impairment, restructuring and other” line in the Condensed Consolidated Statements of Operations. Costs incurred to date since the inception of this matter were $73.8 million, partially offset by insurance reimbursement recoveries of $60.8 million.</w:t>
      </w:r>
    </w:p>
    <w:p>
      <w:pPr>
        <w:spacing w:after="0" w:line="12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April 13, 2016, as part of Project Focus, the Company completed the contribution of the SLS Business to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Refer to “NOTE 2. DISCONTINUED OPERATIONS” for more information. During the three and six months ended April 1, 2017, the Company recognized $0.1 million and $0.7 million, respectively, in transaction related costs associated with the divestiture of the SLS Business within the “Loss from discontinued operations, net of tax” line in the Condensed Consolidated Statements of Operations. During the three and six months ended April 2, 2016, the Company recognized $9.0 million for the resolution of a prior SLS Business litigation matter, as well as $1.6 million and $4.6 million, respectively, in transaction related costs associated with the divestiture of the SLS Business within the “Loss from discontinued operations, net of tax” line in the Condensed Consolidated Statements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consisted of the following for each of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24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140" w:type="dxa"/>
            <w:vAlign w:val="bottom"/>
          </w:tcPr>
          <w:p>
            <w:pPr>
              <w:spacing w:after="0"/>
              <w:rPr>
                <w:sz w:val="13"/>
                <w:szCs w:val="13"/>
                <w:color w:val="auto"/>
              </w:rPr>
            </w:pPr>
          </w:p>
        </w:tc>
        <w:tc>
          <w:tcPr>
            <w:tcW w:w="13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248.7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28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142.6</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619.6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448.2</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Adjustments to reflect inventories at net realizable values were $11.3 million at April 1, 2017, $21.2 million at April 2, 2016 and $10.8 million at September 30, 2016.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MARKETING AGREEMENT</w:t>
      </w:r>
    </w:p>
    <w:p>
      <w:pPr>
        <w:spacing w:after="0" w:line="148" w:lineRule="exact"/>
        <w:rPr>
          <w:sz w:val="20"/>
          <w:szCs w:val="20"/>
          <w:color w:val="auto"/>
        </w:rPr>
      </w:pPr>
    </w:p>
    <w:p>
      <w:pPr>
        <w:jc w:val="both"/>
        <w:ind w:firstLine="405"/>
        <w:spacing w:after="0" w:line="226" w:lineRule="auto"/>
        <w:rPr>
          <w:sz w:val="20"/>
          <w:szCs w:val="20"/>
          <w:color w:val="auto"/>
        </w:rPr>
      </w:pPr>
      <w:r>
        <w:rPr>
          <w:rFonts w:ascii="Times New Roman" w:cs="Times New Roman" w:eastAsia="Times New Roman" w:hAnsi="Times New Roman"/>
          <w:sz w:val="18"/>
          <w:szCs w:val="18"/>
          <w:color w:val="auto"/>
        </w:rPr>
        <w:t>The Scotts Company LLC (“Scotts LLC”) and the Monsanto Company (“Monsanto”) are parties to the Amended and Restated Exclusive Agency and Marketing Agreement (the “Marketing Agreement”), pursuant to which the Company has served since its 1998 fiscal year, as Monsanto’s exclusive agent for the marketing and distribution of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herbicide products (with additional rights to new products containing glyphosate or other similar non-selective herbicides) in the consumer lawn and garden market.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of the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in the markets covered by the Marketing Agreement subject to the achievement of annual earnings thresholds. The Marketing Agreement also requires the Company to make annual payments of $20.0 million to Monsanto as a contribution against the overall expenses of the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From 1998 until May 15, 2015, the Marketing Agreement covered the United States and other specified countries, including Australia, Austria, Belgium, Canada, France, Germany, the Netherlands and the United Kingdom. On May 15, 2015, the territories were expanded to cover additional countries as outlined below.</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consideration for the rights granted to the Company under the Marketing Agreement in 1998, the Company paid a marketing fee of $32 million to Monsanto. The Company deferred this amount on the basis that the payment will provide a future benefit through commissions that will be earned under the Marketing Agreement. The economic useful life over which the marketing fee is being amortized is twenty years, with a remaining unamortized amount of $1.2 million and remaining amortization period of less than two years as of April 1, 2017.</w:t>
      </w:r>
    </w:p>
    <w:p>
      <w:pPr>
        <w:spacing w:after="0" w:line="9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May 15, 2015, the Company and Monsanto entered into an Amendment to the Marketing Agreement (the “Marketing Agreement Amendment”), a Lawn and Garden Brand Extension Agreement (the “Brand Extension Agreement”) and a Commercialization and Technology Agreement (the “Commercialization and Technology Agreement”). In consideration for these agreements, the Company paid $300.0 million to Monsanto on August 14, 2015 using borrowings under its credit facility.</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Among other things, the Marketing Agreement Amendment amends the Marketing Agreement in the following significant respects:</w:t>
      </w:r>
    </w:p>
    <w:p>
      <w:pPr>
        <w:spacing w:after="0" w:line="144" w:lineRule="exact"/>
        <w:rPr>
          <w:sz w:val="20"/>
          <w:szCs w:val="20"/>
          <w:color w:val="auto"/>
        </w:rPr>
      </w:pPr>
    </w:p>
    <w:p>
      <w:pPr>
        <w:ind w:left="820" w:hanging="326"/>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the territories in which the Company may serve as Monsanto’s exclusive agent in the consumer lawn and garden market to include all countries other than Japan and countries subject to a comprehensive U.S. trade embargo or certain other embargoes and trade restrictions.</w:t>
      </w:r>
    </w:p>
    <w:p>
      <w:pPr>
        <w:spacing w:after="0" w:line="80"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Eliminates the initial and renewal terms that the original Marketing Agreement applied to European Union (“EU”) countries. As amended, the term of the Marketing Agreement will now continue indefinitely for all included markets, including EU countries within the included markets, unless and until otherwise terminated in accordance with the Marketing Agreement.</w:t>
      </w:r>
    </w:p>
    <w:p>
      <w:pPr>
        <w:spacing w:after="0" w:line="95" w:lineRule="exact"/>
        <w:rPr>
          <w:rFonts w:ascii="Times New Roman" w:cs="Times New Roman" w:eastAsia="Times New Roman" w:hAnsi="Times New Roman"/>
          <w:sz w:val="18"/>
          <w:szCs w:val="18"/>
          <w:i w:val="1"/>
          <w:iCs w:val="1"/>
          <w:color w:val="auto"/>
        </w:rPr>
      </w:pPr>
    </w:p>
    <w:p>
      <w:pPr>
        <w:jc w:val="both"/>
        <w:ind w:left="820" w:hanging="326"/>
        <w:spacing w:after="0" w:line="201" w:lineRule="auto"/>
        <w:tabs>
          <w:tab w:leader="none" w:pos="8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Revises the procedures of the Marketing Agreement relating to a potential sale of the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to (1) require Monsanto to negotiate exclusively with the Company with respect to any potential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 for 60 days after the Company receives notice from Monsanto regarding a potential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 and (2) provide the Company with a right of first offer and a right of last look in connection with a potential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 to a third party. In addition, if the Company makes a bid in connection with a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 the then-applicable termination fee would serve as a credit against the purchase price and the Monsanto board of directors would not be permitted to discount the value of the Company’s bid compared to a competing bid as a result of the termination fee discount.</w:t>
      </w:r>
    </w:p>
    <w:p>
      <w:pPr>
        <w:spacing w:after="0" w:line="121" w:lineRule="exact"/>
        <w:rPr>
          <w:rFonts w:ascii="Times New Roman" w:cs="Times New Roman" w:eastAsia="Times New Roman" w:hAnsi="Times New Roman"/>
          <w:sz w:val="18"/>
          <w:szCs w:val="18"/>
          <w:i w:val="1"/>
          <w:iCs w:val="1"/>
          <w:color w:val="auto"/>
        </w:rPr>
      </w:pPr>
    </w:p>
    <w:p>
      <w:pPr>
        <w:ind w:left="820" w:hanging="326"/>
        <w:spacing w:after="0" w:line="282" w:lineRule="auto"/>
        <w:tabs>
          <w:tab w:leader="none" w:pos="8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Requires the Company to (1) provide notice to Monsanto of certain proposals and processes that may result in a sale of the Company and (2) conduct non-exclusive negotiations with Monsanto with respect to such a sale.</w:t>
      </w:r>
    </w:p>
    <w:p>
      <w:pPr>
        <w:spacing w:after="0" w:line="80" w:lineRule="exact"/>
        <w:rPr>
          <w:rFonts w:ascii="Times New Roman" w:cs="Times New Roman" w:eastAsia="Times New Roman" w:hAnsi="Times New Roman"/>
          <w:sz w:val="18"/>
          <w:szCs w:val="18"/>
          <w:i w:val="1"/>
          <w:iCs w:val="1"/>
          <w:color w:val="auto"/>
        </w:rPr>
      </w:pPr>
    </w:p>
    <w:p>
      <w:pPr>
        <w:jc w:val="both"/>
        <w:ind w:left="820" w:hanging="326"/>
        <w:spacing w:after="0" w:line="266" w:lineRule="auto"/>
        <w:tabs>
          <w:tab w:leader="none" w:pos="8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Increases the minimum termination fee payable under the Marketing Agreement to the greater of (1) $200.0 million or (2) four times (A) the average of the program earnings before interest or income taxes for the three trailing program years prior to the year of termination, minus (B) the 2015 program earnings before interest or income taxes.</w:t>
      </w:r>
    </w:p>
    <w:p>
      <w:pPr>
        <w:spacing w:after="0" w:line="95" w:lineRule="exact"/>
        <w:rPr>
          <w:rFonts w:ascii="Times New Roman" w:cs="Times New Roman" w:eastAsia="Times New Roman" w:hAnsi="Times New Roman"/>
          <w:sz w:val="18"/>
          <w:szCs w:val="18"/>
          <w:i w:val="1"/>
          <w:iCs w:val="1"/>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Amends Monsanto’s termination rights and provides additional rights to the Company in the event of a termination, as follows:</w:t>
      </w:r>
    </w:p>
    <w:p>
      <w:pPr>
        <w:spacing w:after="0" w:line="144" w:lineRule="exact"/>
        <w:rPr>
          <w:rFonts w:ascii="Times New Roman" w:cs="Times New Roman" w:eastAsia="Times New Roman" w:hAnsi="Times New Roman"/>
          <w:sz w:val="18"/>
          <w:szCs w:val="18"/>
          <w:i w:val="1"/>
          <w:iCs w:val="1"/>
          <w:color w:val="auto"/>
        </w:rPr>
      </w:pPr>
    </w:p>
    <w:p>
      <w:pPr>
        <w:jc w:val="both"/>
        <w:ind w:left="1300" w:hanging="320"/>
        <w:spacing w:after="0" w:line="228"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the effectiveness of a notice of termination given by Monsanto as a result of a change of control with respect to Monsanto or a sale of the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to a third party from (1) the end of the later of 12 months or the next program year to (2) the end of the fifth full program year after Monsanto gives such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7" w:lineRule="exact"/>
        <w:rPr>
          <w:sz w:val="20"/>
          <w:szCs w:val="20"/>
          <w:color w:val="auto"/>
        </w:rPr>
      </w:pPr>
    </w:p>
    <w:p>
      <w:pPr>
        <w:ind w:left="1300" w:hanging="320"/>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Monsanto’s termination rights for a regional performance default, a change of significant ownership of the Company or an uncured or incurable egregious injury (as each is defined in the Marketing Agreement); and</w:t>
      </w:r>
    </w:p>
    <w:p>
      <w:pPr>
        <w:spacing w:after="0" w:line="80"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Monsanto’s termination rights in connection with a change in control of the Company or Scotts Miracle-Gro as long as the Company has determined, in its reasonable commercial opinion, that the acquirer can and will fully perform the duties and obligations of the Company under the Marketing Agreement.</w:t>
      </w:r>
    </w:p>
    <w:p>
      <w:pPr>
        <w:spacing w:after="0" w:line="9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the Company’s termination rights to include termination for a brand decline event (as defined in the Marketing Agreement Amendment) occurring before program year 2023.</w:t>
      </w:r>
    </w:p>
    <w:p>
      <w:pPr>
        <w:spacing w:after="0" w:line="80"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Expands the Company’s assignment rights to allow the Company to transfer its rights, interests and obligations under the Marketing Agreement with respect to (1) the North America territories and (2) one or more other included markets for up to three other assignments.</w:t>
      </w:r>
    </w:p>
    <w:p>
      <w:pPr>
        <w:spacing w:after="0" w:line="80" w:lineRule="exact"/>
        <w:rPr>
          <w:rFonts w:ascii="Times New Roman" w:cs="Times New Roman" w:eastAsia="Times New Roman" w:hAnsi="Times New Roman"/>
          <w:sz w:val="18"/>
          <w:szCs w:val="18"/>
          <w:i w:val="1"/>
          <w:iCs w:val="1"/>
          <w:color w:val="auto"/>
        </w:rPr>
      </w:pPr>
    </w:p>
    <w:p>
      <w:pPr>
        <w:jc w:val="both"/>
        <w:ind w:left="820" w:hanging="326"/>
        <w:spacing w:after="0" w:line="266" w:lineRule="auto"/>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Amends the commission structure by (1) eliminating the commission threshold for program years 2016, 2017 and 2018, (2) setting the commission threshold for the subsequent program years at $40 million and (3) establishing the commission payable by Monsanto to the Company for each program year at an amount equal to 50% of the program earnings before interest and income taxes for such program year.</w:t>
      </w:r>
    </w:p>
    <w:p>
      <w:pPr>
        <w:spacing w:after="0" w:line="95" w:lineRule="exact"/>
        <w:rPr>
          <w:sz w:val="20"/>
          <w:szCs w:val="20"/>
          <w:color w:val="auto"/>
        </w:rPr>
      </w:pPr>
    </w:p>
    <w:p>
      <w:pPr>
        <w:jc w:val="both"/>
        <w:ind w:firstLine="405"/>
        <w:spacing w:after="0" w:line="224" w:lineRule="auto"/>
        <w:rPr>
          <w:sz w:val="20"/>
          <w:szCs w:val="20"/>
          <w:color w:val="auto"/>
        </w:rPr>
      </w:pPr>
      <w:r>
        <w:rPr>
          <w:rFonts w:ascii="Times New Roman" w:cs="Times New Roman" w:eastAsia="Times New Roman" w:hAnsi="Times New Roman"/>
          <w:sz w:val="18"/>
          <w:szCs w:val="18"/>
          <w:color w:val="auto"/>
        </w:rPr>
        <w:t>The Brand Extension Agreement provides the Company a worldwide, exclusive license to use the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on additional products offered by the Company outside of the non-selective weed category within the residential lawn and garden market. The application of the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to these additional products is subject to a product review and approval process developed between the Company and Monsanto. Monsanto will maintain oversight of its brand, the handling of brand registrations covering these new products and new territories, as well as primary responsibility for brand enforcement. The Brand Extension Agreement has an initial term of twenty years, which will automatically renew for additional successive twenty year terms, at the Company’s sole option, for no additional monetary consideration.</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Commercialization and Technology Agreement provides for the Company and Monsanto to further develop and commercialize new products and technology developed at Monsanto and intended for introduction into the residential lawn and garden market. Under the Commercialization and Technology Agreement, the Company receives an exclusive first look at new Monsanto technology and products and an annual review of Monsanto’s developing products and technologies. The Commercialization and Technology Agreement has a term of thirty years (subject to early termination upon a termination event under the Marketing Agreement or the Brand Extension Agreement).</w:t>
      </w:r>
    </w:p>
    <w:p>
      <w:pPr>
        <w:spacing w:after="0" w:line="10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recorded the $300.0 million consideration paid by the Company to Monsanto in connection with the entry into the Marketing Agreement Amendment, the Brand Extension Agreement and the Commercialization and Technology Agreement as intangible assets and the related economic useful life of such assets is indefinite. The identifiable intangible assets include the Marketing Agreement Amendment and the Brand Extension Agreement with allocated fair value of $188.3 million and $111.7 million, respectively.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w:t>
      </w:r>
    </w:p>
    <w:p>
      <w:pPr>
        <w:spacing w:after="0" w:line="107" w:lineRule="exact"/>
        <w:rPr>
          <w:sz w:val="20"/>
          <w:szCs w:val="20"/>
          <w:color w:val="auto"/>
        </w:rPr>
      </w:pPr>
    </w:p>
    <w:p>
      <w:pPr>
        <w:jc w:val="both"/>
        <w:ind w:firstLine="405"/>
        <w:spacing w:after="0" w:line="236" w:lineRule="auto"/>
        <w:rPr>
          <w:sz w:val="20"/>
          <w:szCs w:val="20"/>
          <w:color w:val="auto"/>
        </w:rPr>
      </w:pPr>
      <w:r>
        <w:rPr>
          <w:rFonts w:ascii="Times New Roman" w:cs="Times New Roman" w:eastAsia="Times New Roman" w:hAnsi="Times New Roman"/>
          <w:sz w:val="18"/>
          <w:szCs w:val="18"/>
          <w:color w:val="auto"/>
        </w:rPr>
        <w:t>Under the terms of the Marketing Agreement, the Company performs certain functions, primarily manufacturing conversion services (in North America), distribution and logistics, and selling and marketing support, on behalf of Monsanto in the conduct of the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the “Cost of sales” line and the reimbursement of these costs in the “Net sales” line in the Condensed Consolidated Statements of Operations, with no effect on gross profit dollars or net income.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gross commission earned under the Marketing Agreement, the contribution payments to Monsanto and the amortization of the initial marketing fee paid to Monsanto in 1998 are included in the calculation of net sales in the Company’s Condensed Consolidated Statements of Operations. The elements of the net commission and reimbursements earned under the Marketing Agreement and included in “Net sales”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8"/>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12"/>
                <w:szCs w:val="12"/>
                <w:color w:val="auto"/>
              </w:rPr>
            </w:pPr>
          </w:p>
        </w:tc>
        <w:tc>
          <w:tcPr>
            <w:tcW w:w="1260" w:type="dxa"/>
            <w:vAlign w:val="bottom"/>
            <w:gridSpan w:val="3"/>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commission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46.8</w:t>
            </w:r>
          </w:p>
        </w:tc>
        <w:tc>
          <w:tcPr>
            <w:tcW w:w="940" w:type="dxa"/>
            <w:vAlign w:val="bottom"/>
            <w:tcBorders>
              <w:bottom w:val="single" w:sz="8" w:color="CCEEFF"/>
            </w:tcBorders>
            <w:gridSpan w:val="2"/>
            <w:shd w:val="clear" w:color="auto" w:fill="CCEEFF"/>
          </w:tcPr>
          <w:p>
            <w:pPr>
              <w:jc w:val="center"/>
              <w:ind w:right="4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w w:val="95"/>
              </w:rPr>
              <w:t>54.9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 expenses</w:t>
            </w:r>
          </w:p>
        </w:tc>
        <w:tc>
          <w:tcPr>
            <w:tcW w:w="2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marketing fee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commission</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w w:val="95"/>
              </w:rPr>
              <w:t>49.7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Reimbursements associated with Marketing Agreement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w w:val="95"/>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sales associated with Marketing Agreement</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center"/>
              <w:ind w:right="5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w w:val="95"/>
              </w:rPr>
              <w:t>72.5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DEBT</w:t>
            </w: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components of long-term debt are as follows:</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49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9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Facilities:</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Revolving loans</w:t>
            </w:r>
          </w:p>
        </w:tc>
        <w:tc>
          <w:tcPr>
            <w:tcW w:w="220" w:type="dxa"/>
            <w:vAlign w:val="bottom"/>
          </w:tcPr>
          <w:p>
            <w:pPr>
              <w:spacing w:after="0"/>
              <w:rPr>
                <w:sz w:val="21"/>
                <w:szCs w:val="21"/>
                <w:color w:val="auto"/>
              </w:rPr>
            </w:pPr>
          </w:p>
        </w:tc>
        <w:tc>
          <w:tcPr>
            <w:tcW w:w="104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1,109.0</w:t>
            </w:r>
          </w:p>
        </w:tc>
        <w:tc>
          <w:tcPr>
            <w:tcW w:w="4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417.4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Term loans</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 – 5.250%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 6.000%</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Master Accounts Receivable Purchase Agreement</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2,096.4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1,967.7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1,316.1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portions</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2,055.1</w:t>
            </w:r>
          </w:p>
        </w:tc>
        <w:tc>
          <w:tcPr>
            <w:tcW w:w="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1,758.5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1,125.1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14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December 20, 2013, the Company entered into the third amended and restated credit agreement, providing the Company and certain of its subsidiaries with a five-year senior secured revolving loan facility in the aggregate principal amount of up to $1.7 billion (the “former credit facility”). On October 29, 2015, the Company entered into the fourth amended and restated credit agreement (the “credit agreement”), providing the Company and certain of its subsidiaries with five-year senior secured loan facilities in the aggregate principal amount of $1.9 billion, comprised of a revolving credit facility of $1.6 billion and a term loan in the original principal amount of $300.0 million (the “credit facilities”). The credit agreement also provides the Company with the right to seek additional committed credit under the agreement in an aggregate amount of up to $500.0 million plus an unlimited additional amount, subject to certain specified financial and other conditions. Under the credit agreement, the Company has the ability to obtain letters of credit up to $100.0 million. The credit agreement replaces the former credit facility, and will terminate on October 29, 2020. Borrowings on the revolving credit facility may be made in various currencies, including U.S. dollars, euro, British pounds, Australian dollars and Canadian dollars. The terms of the credit agreement include customary representations and warranties, affirmative and negative covenants, financial covenants and events of default. The proceeds of borrowings on the credit facilities may be used: (i) to finance working capital requirements and other general corporate purposes of the Company and its subsidiaries; and (ii) to refinance the amounts outstanding under the former credit facility.</w:t>
      </w:r>
    </w:p>
    <w:p>
      <w:pPr>
        <w:spacing w:after="0" w:line="11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terms of the credit agreement, loans bear interest, at the Company’s election, at a rate per annum equal to either the ABR or Adjusted LIBO Rate (both as defined in the credit agreement) plus the applicable margin. The credit facilities are guaranteed by substantially all of the Company’s domestic subsidiaries, and are secured by (i) a perfected first priority security interest in all of the accounts receivable, inventory and equipment of the Company and the Company’s domestic subsidiaries that are guarantors and (ii) the pledge of all of the capital stock of the Company’s domestic subsidiaries that are guarantors.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April 1, 2017, the Company had letters of credit outstanding in the aggregate principal amount of $23.8 million, and $0.5 billion of availability under the credit agreement, subject to the Company’s continued compliance with the covenants discussed below. The weighted average interest rate on average borrowings under the credit agreement and the former credit facility was 3.7% for the six months ended April 1, 2017 and April 2, 2016.</w:t>
      </w:r>
    </w:p>
    <w:p>
      <w:pPr>
        <w:spacing w:after="0" w:line="9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credit agreement (“Adjusted EBITDA”). The maximum leverage ratio was 4.50 as of April 1, 2017. The Company’s leverage ratio was 3.20 at April 1, 2017. The credit agreement also includes an affirmative covenant regarding its interest coverage ratio. The interest coverage ratio is calculated as Adjusted EBITDA divided by interest expense, as described in the credit agreement, and excludes costs related to refinancings. The minimum interest coverage ratio was 3.00 for the twelve months ended April 1, 2017. The Company’s interest coverage ratio was 7.81 for the twelve months ended April 1, 2017. The credit agreement allows the Company to make unlimited restricted payments (as defined in the credit agreement), including increased or one-time dividend payments and Common Share repurchases, as long as the leverage ratio resulting from the making of such restricted payments is 4.00 or less. Otherwise the Company may only make restricted payments in an aggregate amount for each fiscal year not to exceed the amount set forth in the credit agreement for such fiscal year ($175.0 million for fiscal 2017 and $200.0 million for fiscal 2018 and each fiscal year thereafter).</w:t>
      </w:r>
    </w:p>
    <w:p>
      <w:pPr>
        <w:spacing w:after="0" w:line="1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 - 5.250%</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December 15, 2016, Scotts Miracle-Gro issued $250.0 million aggregate principal amount of 5.250% senior notes due 2026 (the “5.250% Senior Notes”). The net proceeds of the offering were used to repay outstanding borrowings under the credit facilities. The 5.250% Senior Notes represent general unsecured senior obligations and rank equal in right of payment with the Company’s existing and future unsecured senior debt. The 5.250% Senior Notes have interest payment dates of June 15 and December 15 of each year, commencing June 15, 2017. The 5.250% Senior Notes may be redeemed, in whole or in part, on or after December 15, 2021 at applicable redemption premiums. The 5.250% Senior Notes contain customary covenants and events of default and mature on December 15, 2026. Substantially all of Scotts Miracle-Gro’s domestic subsidiaries serve as guarantors of the 5.250% Senior Notes.</w:t>
      </w:r>
    </w:p>
    <w:p>
      <w:pPr>
        <w:spacing w:after="0" w:line="1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 - 6.625%</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December 15, 2015, Scotts Miracle-Gro redeemed all $200.0 million aggregate principal amount of its outstanding 6.625% senior notes due 2020 (the “6.625% Senior Notes”) paying a redemption price of $213.2 million, comprised of $6.6 million of accrued and unpaid interest, $6.6 million of call premium and $200.0 million for outstanding principal amount. The $6.6 million call premium charge was recognized within the “Costs related to refinancing” line on the Condensed Consolidated Statement of Operations in the first quarter of fiscal 2016. Additionally, the Company had $2.2 million in unamortized bond discount and issuance costs associated with the 6.625% Senior Notes that were written off and recognized in the “Costs related to refinancing” line on the Condensed Consolidated Statement of Operations in the first quarter of fiscal 2016.</w:t>
      </w:r>
    </w:p>
    <w:p>
      <w:pPr>
        <w:spacing w:after="0" w:line="1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 - 6.000%</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October 13, 2015, Scotts Miracle-Gro issued $400.0 million aggregate principal amount of 6.000% senior notes due 2023 (the “6.000% Senior Notes”). The net proceeds of the offering were used to repay outstanding borrowings under the former credit facility. The 6.000% Senior Notes represent general unsecured senior obligations and rank equal in right of payment with the Company’s existing and future unsecured senior debt. The 6.000% Senior Notes have interest payment dates of April 15 and October 15 of each year. The 6.000% Senior Notes may be redeemed, in whole or in part, on or after October 15, 2018 at applicable redemption premiums. The 6.000% Senior Notes contain customary covenants and events of default and mature on October 15, 2023. Substantially all of Scotts Miracle-Gro’s domestic subsidiaries serve as guarantors of the 6.000% Senior Notes.</w:t>
      </w:r>
    </w:p>
    <w:p>
      <w:pPr>
        <w:spacing w:after="0" w:line="1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Receivables Facility</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September 25, 2015, the Company entered into an amended and restated master accounts receivable purchase agreement (the “MARP Agreement”). The MARP Agreement provided for the discretionary sale by the Company, and the discretionary purchase by the participating banks, on a revolving basis, of accounts receivable generated by sales to three specified debtors in an aggregate amount not to exceed $400.0 million. The MARP Agreement terminated effective October 14, 2016 in accordance with its terms upon the Company’s repayment of its outstanding obligations thereunder using $133.5 million borrowed under the credit agreement. There were $166.7 million in borrowings or receivables pledged as collateral under the MARP Agreement as of April 2, 2016. The carrying value of the receivables pledged as collateral was $208.4 million as of April 2, 2016.</w:t>
      </w:r>
    </w:p>
    <w:p>
      <w:pPr>
        <w:spacing w:after="0" w:line="1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April 7, 2017, the Company entered into a Master Repurchase Agreement (including the annexes thereto, the “Repurchase Agreement”) and a Master Framework Agreement (the “Framework Agreement” and, together with the Repurchase Agreement, the “Receivables Facility”). Under the Receivables Facility, the Company may sell a portfolio of available and eligible outstanding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customer accounts receivable to the purchasers and simultaneously agrees to repurchase the receivables on a weekly basis. The eligible accounts receivable consist of up to $250.0 million in accounts receivable generated by sales to three specified customers. The Receivables Facility is committed up to $100.0 million during the commitment period beginning on April 7, 2017 and ending on June 16, 2017. The Receivables Facility is considered a secured financing with the customer accounts receivable, related contract rights and proceeds thereof (and the collection accounts into which the same are deposited) constituting the collateral therefor. The repurchase price for customer accounts receivable bears interest at LIBOR (with a zero floor) plus 0.90%. The Receivables Facility expires on August 25, 2017.</w:t>
      </w:r>
    </w:p>
    <w:p>
      <w:pPr>
        <w:spacing w:after="0" w:line="1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acquisition of a controlling interest in Gavita, the Company recorded a loan to the noncontrolling ownership group of Gavita.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loan was $37.2 million and $38.3 million at April 1, 2017 and September 30, 2016, respectively.</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has outstanding interest rate swap agreements with major financial institutions that effectively convert a portion of the Company’s variable-rate debt to a fixed rate. The swap agreements had a total U.S. dollar equivalent notional amount of $1,150.0 million at April 1, 2017, $1,250.0 million at April 2, 2016 and $650.0 million at September 30, 2016. Interest payments made between the effective date and expiration date are hedged by the swap agreements, except as noted below, respectively.</w:t>
      </w:r>
    </w:p>
    <w:p>
      <w:pPr>
        <w:spacing w:after="0" w:line="9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notional amount, effective date, expiration date and rate of each of these swap agreements outstanding at April 1, 2017 are shown in the table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216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340" w:type="dxa"/>
            <w:vAlign w:val="bottom"/>
          </w:tcPr>
          <w:p>
            <w:pPr>
              <w:spacing w:after="0"/>
              <w:rPr>
                <w:sz w:val="13"/>
                <w:szCs w:val="13"/>
                <w:color w:val="auto"/>
              </w:rPr>
            </w:pPr>
          </w:p>
        </w:tc>
        <w:tc>
          <w:tcPr>
            <w:tcW w:w="174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2800" w:type="dxa"/>
            <w:vAlign w:val="bottom"/>
          </w:tcPr>
          <w:p>
            <w:pPr>
              <w:jc w:val="right"/>
              <w:ind w:right="1154"/>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195"/>
        </w:trPr>
        <w:tc>
          <w:tcPr>
            <w:tcW w:w="4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Date (a)</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right"/>
              <w:ind w:right="1134"/>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tcPr>
          <w:p>
            <w:pPr>
              <w:jc w:val="right"/>
              <w:ind w:right="1174"/>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49"/>
        </w:trPr>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9/6/2017</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2/7/2014</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11/7/2017</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6/20/2018</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200</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11/7/2016</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8/7/2018</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5/7/2019</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2/7/2017</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5/7/2019</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43"/>
        </w:trPr>
        <w:tc>
          <w:tcPr>
            <w:tcW w:w="46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200</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12/20/2016</w:t>
            </w: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6/20/2019</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4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 date refers to the date on which interest payments were first hedged by the applicable swap agreement.</w:t>
      </w:r>
    </w:p>
    <w:p>
      <w:pPr>
        <w:spacing w:after="0" w:line="23"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made during the three-month period of each year that begins with the month and day of the effective date are hedged by the swap agreement.</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made during the six-month period of each year that begins with the month and day of the effective date are hedged by the swap agreement.</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made during the nine-month period of each year that begins with the month and day of the effective date are hedged by the swap agreement.</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Notional amount adjusts in accordance with a specified seasonal schedule. This represents the maximum notional amount at any point in time.</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Estimated Fair Values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methods and assumptions used to estimate the fair values of the Company’s debt instruments are described below:</w:t>
      </w:r>
    </w:p>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4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interest rate currently available to the Company fluctuates with the applicable LIBO rate, prime rate or Federal Funds Effective Rate and thus the carrying value is a reasonable estimate of fair value. The fair value measurement for the credit facilities was classified in Level 2 of the fair value hierarchy.</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5.250% Senior Notes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 of the 5.250% Senior Notes was determined based on the trading of the 5.250% Senior Notes in the open market. The difference between the carrying value and the fair value of the 5.250% Senior Notes represents the premium or discount on that date. Based on the trading value on or around April 1, 2017, the fair value of the 5.250% Senior Notes was approximately $252.8 million. The fair value measurement for the 5.250% Senior Notes was classified in Level 1 of the fair value hierarchy.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6.000% Senior Notes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 of the 6.000% Senior Notes was determined based on the trading of the 6.000% Senior Notes in the open market. The difference between the carrying value and the fair value of the 6.000% Senior Notes represents the premium or discount on that date. Based on the trading value on or around April 1, 2017, the fair value of the 6.000% Senior Notes was approximately $425.0 million. The fair value measurement for the 6.000% Senior Notes was classified in Level 1 of the fair value hierarchy.</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Pledged</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interest rate on the short-term debt associated with accounts receivable pledged under the MARP Agreement fluctuated with the applicable LIBO rate and thus the carrying value is a reasonable estimate of fair value. The fair value measurement for the MARP Agreement was classified in Level 2 of the fair value hierarchy.</w:t>
      </w:r>
    </w:p>
    <w:p>
      <w:pPr>
        <w:spacing w:after="0" w:line="1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Weighted Average Interest Rate</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interest rates on the Company’s debt were 4.3% and 4.6% for the six months ended April 1, 2017 and April 2, 2016,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the weighted average interest rate is due to the redemption of the 6.625% Senior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RETIREMENT AND RETIREE MEDICAL PLANS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the components of net periodic benefit (income) cost for the retirement and retiree medical plans sponsored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APRIL 1, 2017</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APRIL 2, 2016</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49"/>
        </w:trPr>
        <w:tc>
          <w:tcPr>
            <w:tcW w:w="4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2"/>
                <w:szCs w:val="12"/>
                <w:color w:val="auto"/>
              </w:rPr>
            </w:pPr>
          </w:p>
        </w:tc>
        <w:tc>
          <w:tcPr>
            <w:tcW w:w="92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95"/>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Medical</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amortization</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benefit (income)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448"/>
        </w:trPr>
        <w:tc>
          <w:tcPr>
            <w:tcW w:w="4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APRIL 1, 2017</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APRIL 2, 2016</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49"/>
        </w:trPr>
        <w:tc>
          <w:tcPr>
            <w:tcW w:w="4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2"/>
                <w:szCs w:val="12"/>
                <w:color w:val="auto"/>
              </w:rPr>
            </w:pPr>
          </w:p>
        </w:tc>
        <w:tc>
          <w:tcPr>
            <w:tcW w:w="92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95"/>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Medical</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amortization</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benefit (income)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w:t>
      </w:r>
    </w:p>
    <w:p>
      <w:pPr>
        <w:spacing w:after="0" w:line="9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$1.0 billion through September 30, 2019.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which expires September 30, 2019, may be suspended or discontinued at any time, and there can be no guarantee as to the timing or amount of any repurchases. During the three and six months ended April 1, 2017, Scotts Miracle-Gro repurchased 0.5 million and 1.0 million Common Shares for $47.2 million and $90.6 million, respectively. From the inception of this share repurchase program in the fourth quarter of fiscal 2014 through April 1, 2017, Scotts Miracle-Gro repurchased approximately 3.1 million Common Shares for $236.2 million.</w:t>
      </w:r>
    </w:p>
    <w:p>
      <w:pPr>
        <w:sectPr>
          <w:pgSz w:w="11900" w:h="16838" w:orient="portrait"/>
          <w:cols w:equalWidth="0" w:num="1">
            <w:col w:w="11420"/>
          </w:cols>
          <w:pgMar w:left="240" w:top="121"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changes in total equity, shareholders’ equity attributable to controlling interest, and equity attributable to noncontrolling interests for the six months ended April 1, 2017 and April 2, 2016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Common Shares</w:t>
            </w: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and Capital in</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Total Equity -</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Excess of Stated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2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5"/>
                <w:szCs w:val="15"/>
                <w:color w:val="auto"/>
              </w:rPr>
            </w:pPr>
          </w:p>
        </w:tc>
        <w:tc>
          <w:tcPr>
            <w:tcW w:w="960" w:type="dxa"/>
            <w:vAlign w:val="bottom"/>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79"/>
        </w:trPr>
        <w:tc>
          <w:tcPr>
            <w:tcW w:w="27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September 30, 2015</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400.4</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684.2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(357.1)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620.7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633.1</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6"/>
                <w:szCs w:val="16"/>
                <w:color w:val="auto"/>
              </w:rPr>
            </w:pP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129.0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129.1</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6"/>
                <w:szCs w:val="16"/>
                <w:color w:val="auto"/>
              </w:rPr>
            </w:pPr>
          </w:p>
        </w:tc>
        <w:tc>
          <w:tcPr>
            <w:tcW w:w="106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Dividends declared ($0.940 per share)</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0" w:type="dxa"/>
            <w:vAlign w:val="bottom"/>
          </w:tcPr>
          <w:p>
            <w:pPr>
              <w:spacing w:after="0"/>
              <w:rPr>
                <w:sz w:val="1"/>
                <w:szCs w:val="1"/>
                <w:color w:val="auto"/>
              </w:rPr>
            </w:pPr>
          </w:p>
        </w:tc>
      </w:tr>
      <w:tr>
        <w:trPr>
          <w:trHeight w:val="19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Treasury share purchases</w:t>
            </w:r>
          </w:p>
        </w:tc>
        <w:tc>
          <w:tcPr>
            <w:tcW w:w="120" w:type="dxa"/>
            <w:vAlign w:val="bottom"/>
          </w:tcPr>
          <w:p>
            <w:pPr>
              <w:spacing w:after="0"/>
              <w:rPr>
                <w:sz w:val="16"/>
                <w:szCs w:val="16"/>
                <w:color w:val="auto"/>
              </w:rPr>
            </w:pP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Treasury share issuances</w:t>
            </w:r>
          </w:p>
        </w:tc>
        <w:tc>
          <w:tcPr>
            <w:tcW w:w="1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at April 2, 2016</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401.9</w:t>
            </w:r>
          </w:p>
        </w:tc>
        <w:tc>
          <w:tcPr>
            <w:tcW w:w="120" w:type="dxa"/>
            <w:vAlign w:val="bottom"/>
          </w:tcPr>
          <w:p>
            <w:pPr>
              <w:spacing w:after="0"/>
              <w:rPr>
                <w:sz w:val="15"/>
                <w:szCs w:val="15"/>
                <w:color w:val="auto"/>
              </w:rPr>
            </w:pPr>
          </w:p>
        </w:tc>
        <w:tc>
          <w:tcPr>
            <w:tcW w:w="40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756.4</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(376.3)</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675.4</w:t>
            </w:r>
          </w:p>
        </w:tc>
        <w:tc>
          <w:tcPr>
            <w:tcW w:w="12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687.9</w:t>
            </w:r>
          </w:p>
        </w:tc>
        <w:tc>
          <w:tcPr>
            <w:tcW w:w="0" w:type="dxa"/>
            <w:vAlign w:val="bottom"/>
          </w:tcPr>
          <w:p>
            <w:pPr>
              <w:spacing w:after="0"/>
              <w:rPr>
                <w:sz w:val="1"/>
                <w:szCs w:val="1"/>
                <w:color w:val="auto"/>
              </w:rPr>
            </w:pPr>
          </w:p>
        </w:tc>
      </w:tr>
      <w:tr>
        <w:trPr>
          <w:trHeight w:val="99"/>
        </w:trPr>
        <w:tc>
          <w:tcPr>
            <w:tcW w:w="27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vMerge w:val="continue"/>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at September 30, 2016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401.7</w:t>
            </w:r>
          </w:p>
        </w:tc>
        <w:tc>
          <w:tcPr>
            <w:tcW w:w="120" w:type="dxa"/>
            <w:vAlign w:val="bottom"/>
          </w:tcPr>
          <w:p>
            <w:pPr>
              <w:spacing w:after="0"/>
              <w:rPr>
                <w:sz w:val="23"/>
                <w:szCs w:val="23"/>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881.8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(451.4)</w:t>
            </w:r>
          </w:p>
        </w:tc>
        <w:tc>
          <w:tcPr>
            <w:tcW w:w="12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715.2</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734.3</w:t>
            </w:r>
          </w:p>
        </w:tc>
        <w:tc>
          <w:tcPr>
            <w:tcW w:w="0" w:type="dxa"/>
            <w:vAlign w:val="bottom"/>
          </w:tcPr>
          <w:p>
            <w:pPr>
              <w:spacing w:after="0"/>
              <w:rPr>
                <w:sz w:val="1"/>
                <w:szCs w:val="1"/>
                <w:color w:val="auto"/>
              </w:rPr>
            </w:pPr>
          </w:p>
        </w:tc>
      </w:tr>
      <w:tr>
        <w:trPr>
          <w:trHeight w:val="27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99.8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100.3</w:t>
            </w:r>
          </w:p>
        </w:tc>
        <w:tc>
          <w:tcPr>
            <w:tcW w:w="0" w:type="dxa"/>
            <w:vAlign w:val="bottom"/>
          </w:tcPr>
          <w:p>
            <w:pPr>
              <w:spacing w:after="0"/>
              <w:rPr>
                <w:sz w:val="1"/>
                <w:szCs w:val="1"/>
                <w:color w:val="auto"/>
              </w:rPr>
            </w:pPr>
          </w:p>
        </w:tc>
      </w:tr>
      <w:tr>
        <w:trPr>
          <w:trHeight w:val="19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tcPr>
          <w:p>
            <w:pPr>
              <w:spacing w:after="0"/>
              <w:rPr>
                <w:sz w:val="16"/>
                <w:szCs w:val="16"/>
                <w:color w:val="auto"/>
              </w:rPr>
            </w:pP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Dividends declared ($1.000 per share)</w:t>
            </w:r>
          </w:p>
        </w:tc>
        <w:tc>
          <w:tcPr>
            <w:tcW w:w="12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27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Treasury share purchases</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265"/>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Treasury share issuances</w:t>
            </w:r>
          </w:p>
        </w:tc>
        <w:tc>
          <w:tcPr>
            <w:tcW w:w="1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Adjustment to noncontrolling interest due to</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ownership change</w:t>
            </w: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Distribution declared by AeroGrow</w:t>
            </w:r>
          </w:p>
        </w:tc>
        <w:tc>
          <w:tcPr>
            <w:tcW w:w="12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42"/>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April 1, 2017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399.8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678.9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691.4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November 29, 2016, the Company’s wholly-owned subsidiary SMG Growing Media, Inc. fully exercised its outstanding warrants to acquire additional shares of common stock of AeroGrow for an aggregate warrant exercise price of $47.8 million in exchange for the issuance of 21.6 million shares of common stock of AeroGrow, which increased the Company’s percentage ownership of AeroGrow’s outstanding shares of common stock (on a fully diluted basis) from 45% to 80%. The financial results of AeroGrow have been consolidated into the Company’s consolidated financial statements since the fourth quarter of fiscal 2014, when the Company obtained control of AeroGrow’s operations through increased involvement, influence and a working capital loan provided to AeroGrow. Following the exercise of the warrants, the Board of Directors of AeroGrow declared a $41 million distribution ($1.21 per share) payable on January 3, 2017 to shareholders of record on December 20, 2016. On January 3, 2017, AeroGrow paid a distribution of $8.1 million to its noncontrolling interest holders.</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Share-Based Awards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Scotts Miracle-Gro grants share-based awards annually to officers and certain other employees of the Company and non-employee directors of Scotts Miracle-Gro. The share-based awards have consisted of stock options, restricted stock units, deferred stock units and performance-based awards. All of these share-based awards have been made under plans approved by the shareholders. If available, Scotts Miracle-Gro will typically use treasury shares, or if not available, newly-issued Common Shares, in satisfaction of its share-based awards.</w:t>
      </w:r>
    </w:p>
    <w:p>
      <w:pPr>
        <w:spacing w:after="0" w:line="4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January 30, 2017, the Company issued 0.5 million performance-based award units to certain senior executives as part of its Project Focus initiative. These awards provide for a five-year vesting period based on achievement of specific performance goals aligned with the strategic objectives of the Company’s Project Focus initiatives. The performance goals include a combination of five year cumulative operating cash flow less capital expenditures; five year non-GAAP diluted EPS growth; and dividend yield. The Company assesses the probability of achievement of performance goals each period and records expense for the awards based on the probable achievement of such metrics. Performance-based award units accrue cash dividend equivalents that are payable upon vesting of the awards.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share-based awards granted during each of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5"/>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360" w:type="dxa"/>
            <w:vAlign w:val="bottom"/>
          </w:tcPr>
          <w:p>
            <w:pPr>
              <w:spacing w:after="0"/>
              <w:rPr>
                <w:sz w:val="12"/>
                <w:szCs w:val="12"/>
                <w:color w:val="auto"/>
              </w:rPr>
            </w:pPr>
          </w:p>
        </w:tc>
        <w:tc>
          <w:tcPr>
            <w:tcW w:w="1100" w:type="dxa"/>
            <w:vAlign w:val="bottom"/>
          </w:tcPr>
          <w:p>
            <w:pPr>
              <w:jc w:val="right"/>
              <w:ind w:right="376"/>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95"/>
        </w:trPr>
        <w:tc>
          <w:tcPr>
            <w:tcW w:w="60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444,890</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stock units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102,143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70,594</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Performance units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487,674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56,315</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Board of Directors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stock units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22,902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26,560</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share-based awards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612,719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598,359</w:t>
            </w:r>
          </w:p>
        </w:tc>
      </w:tr>
      <w:tr>
        <w:trPr>
          <w:trHeight w:val="297"/>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Aggregate fair value at grant dates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16.0</w:t>
            </w:r>
          </w:p>
        </w:tc>
      </w:tr>
      <w:tr>
        <w:trPr>
          <w:trHeight w:val="324"/>
        </w:trPr>
        <w:tc>
          <w:tcPr>
            <w:tcW w:w="6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share-based compensation was as follows for each of the periods indicated:</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0"/>
        </w:trPr>
        <w:tc>
          <w:tcPr>
            <w:tcW w:w="6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000" w:type="dxa"/>
            <w:vAlign w:val="bottom"/>
          </w:tcPr>
          <w:p>
            <w:pPr>
              <w:jc w:val="center"/>
              <w:ind w:left="342"/>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360" w:type="dxa"/>
            <w:vAlign w:val="bottom"/>
          </w:tcPr>
          <w:p>
            <w:pPr>
              <w:spacing w:after="0"/>
              <w:rPr>
                <w:sz w:val="12"/>
                <w:szCs w:val="12"/>
                <w:color w:val="auto"/>
              </w:rPr>
            </w:pPr>
          </w:p>
        </w:tc>
        <w:tc>
          <w:tcPr>
            <w:tcW w:w="1100" w:type="dxa"/>
            <w:vAlign w:val="bottom"/>
          </w:tcPr>
          <w:p>
            <w:pPr>
              <w:jc w:val="right"/>
              <w:ind w:right="276"/>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95"/>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12.8</w:t>
            </w:r>
          </w:p>
        </w:tc>
        <w:tc>
          <w:tcPr>
            <w:tcW w:w="100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benefit recognized</w:t>
            </w:r>
          </w:p>
        </w:tc>
        <w:tc>
          <w:tcPr>
            <w:tcW w:w="260" w:type="dxa"/>
            <w:vAlign w:val="bottom"/>
          </w:tcPr>
          <w:p>
            <w:pPr>
              <w:spacing w:after="0"/>
              <w:rPr>
                <w:sz w:val="21"/>
                <w:szCs w:val="21"/>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4.9</w:t>
            </w:r>
          </w:p>
        </w:tc>
        <w:tc>
          <w:tcPr>
            <w:tcW w:w="10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4.3</w:t>
            </w: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April 1, 2017, total unrecognized compensation cost related to non-vested share-based awards amounted to $52.1 million. This cost is expected to be recognized over a weighted-average period of 4.0 years. The tax benefit realized from the tax deductions associated with the exercise of share-based awards and the vesting of restricted stock totaled $4.0 million for the six months ended April 1, 2017.</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Aggregate stock option activity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20" w:type="dxa"/>
            <w:vAlign w:val="bottom"/>
          </w:tcPr>
          <w:p>
            <w:pPr>
              <w:jc w:val="center"/>
              <w:ind w:right="358"/>
              <w:spacing w:after="0"/>
              <w:rPr>
                <w:sz w:val="20"/>
                <w:szCs w:val="20"/>
                <w:color w:val="auto"/>
              </w:rPr>
            </w:pPr>
            <w:r>
              <w:rPr>
                <w:rFonts w:ascii="Times New Roman" w:cs="Times New Roman" w:eastAsia="Times New Roman" w:hAnsi="Times New Roman"/>
                <w:sz w:val="14"/>
                <w:szCs w:val="14"/>
                <w:b w:val="1"/>
                <w:bCs w:val="1"/>
                <w:color w:val="auto"/>
              </w:rPr>
              <w:t>Wtd.</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2060" w:type="dxa"/>
            <w:vAlign w:val="bottom"/>
            <w:vMerge w:val="restart"/>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rPr>
              <w:t>Avg.</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5"/>
        </w:trPr>
        <w:tc>
          <w:tcPr>
            <w:tcW w:w="72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outstanding at September 30, 2016</w:t>
            </w:r>
          </w:p>
        </w:tc>
        <w:tc>
          <w:tcPr>
            <w:tcW w:w="2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1,801,041</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51.38</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42.95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62.86</w:t>
            </w:r>
          </w:p>
        </w:tc>
        <w:tc>
          <w:tcPr>
            <w:tcW w:w="0" w:type="dxa"/>
            <w:vAlign w:val="bottom"/>
          </w:tcPr>
          <w:p>
            <w:pPr>
              <w:spacing w:after="0"/>
              <w:rPr>
                <w:sz w:val="1"/>
                <w:szCs w:val="1"/>
                <w:color w:val="auto"/>
              </w:rPr>
            </w:pPr>
          </w:p>
        </w:tc>
      </w:tr>
      <w:tr>
        <w:trPr>
          <w:trHeight w:val="297"/>
        </w:trPr>
        <w:tc>
          <w:tcPr>
            <w:tcW w:w="7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Awards outstanding at April 1, 2017</w:t>
            </w:r>
          </w:p>
        </w:tc>
        <w:tc>
          <w:tcPr>
            <w:tcW w:w="20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1,752,697</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18"/>
                <w:szCs w:val="18"/>
                <w:color w:val="auto"/>
              </w:rPr>
              <w:t>51.44</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Exercisable</w:t>
            </w:r>
          </w:p>
        </w:tc>
        <w:tc>
          <w:tcPr>
            <w:tcW w:w="2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928,489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38.30</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intrinsic value of stock options exercised was $1.9 million during the six months ended April 1, 2017.</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3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At April 1, 2017, the Company expects 0.8 million of the remaining unexercisable stock options (after forfeitures), with a weighted-average exercise price of $66.13, intrinsic value of $21.1 million and average remaining term of 8.3 years, to vest in the future. The following summarizes certain information pertaining to stock option awards outstanding and exercisable at April 1,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Outstanding</w:t>
            </w: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Exercisable</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Wtd.</w:t>
            </w:r>
          </w:p>
        </w:tc>
        <w:tc>
          <w:tcPr>
            <w:tcW w:w="220" w:type="dxa"/>
            <w:vAlign w:val="bottom"/>
          </w:tcPr>
          <w:p>
            <w:pPr>
              <w:spacing w:after="0"/>
              <w:rPr>
                <w:sz w:val="12"/>
                <w:szCs w:val="12"/>
                <w:color w:val="auto"/>
              </w:rPr>
            </w:pPr>
          </w:p>
        </w:tc>
        <w:tc>
          <w:tcPr>
            <w:tcW w:w="102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Wtd.</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Wtd.</w:t>
            </w:r>
          </w:p>
        </w:tc>
        <w:tc>
          <w:tcPr>
            <w:tcW w:w="220" w:type="dxa"/>
            <w:vAlign w:val="bottom"/>
          </w:tcPr>
          <w:p>
            <w:pPr>
              <w:spacing w:after="0"/>
              <w:rPr>
                <w:sz w:val="12"/>
                <w:szCs w:val="12"/>
                <w:color w:val="auto"/>
              </w:rPr>
            </w:pPr>
          </w:p>
        </w:tc>
        <w:tc>
          <w:tcPr>
            <w:tcW w:w="92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Wtd.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116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Avg.</w:t>
            </w:r>
          </w:p>
        </w:tc>
        <w:tc>
          <w:tcPr>
            <w:tcW w:w="220" w:type="dxa"/>
            <w:vAlign w:val="bottom"/>
          </w:tcPr>
          <w:p>
            <w:pPr>
              <w:spacing w:after="0"/>
              <w:rPr>
                <w:sz w:val="12"/>
                <w:szCs w:val="12"/>
                <w:color w:val="auto"/>
              </w:rPr>
            </w:pPr>
          </w:p>
        </w:tc>
        <w:tc>
          <w:tcPr>
            <w:tcW w:w="102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Avg.</w:t>
            </w:r>
          </w:p>
        </w:tc>
        <w:tc>
          <w:tcPr>
            <w:tcW w:w="144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Avg.</w:t>
            </w:r>
          </w:p>
        </w:tc>
        <w:tc>
          <w:tcPr>
            <w:tcW w:w="220" w:type="dxa"/>
            <w:vAlign w:val="bottom"/>
          </w:tcPr>
          <w:p>
            <w:pPr>
              <w:spacing w:after="0"/>
              <w:rPr>
                <w:sz w:val="12"/>
                <w:szCs w:val="12"/>
                <w:color w:val="auto"/>
              </w:rPr>
            </w:pPr>
          </w:p>
        </w:tc>
        <w:tc>
          <w:tcPr>
            <w:tcW w:w="920" w:type="dxa"/>
            <w:vAlign w:val="bottom"/>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Avg.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02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40" w:type="dxa"/>
            <w:vAlign w:val="bottom"/>
            <w:gridSpan w:val="3"/>
            <w:vMerge w:val="continue"/>
          </w:tcPr>
          <w:p>
            <w:pPr>
              <w:spacing w:after="0"/>
              <w:rPr>
                <w:sz w:val="12"/>
                <w:szCs w:val="12"/>
                <w:color w:val="auto"/>
              </w:rPr>
            </w:pPr>
          </w:p>
        </w:tc>
        <w:tc>
          <w:tcPr>
            <w:tcW w:w="104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920" w:type="dxa"/>
            <w:vAlign w:val="bottom"/>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$20.59 – $20.59</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210,386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210,386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$36.37 – $36.86</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157,940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157,940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$38.81 – $49.19</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557,647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557,647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$63.43 – $68.68</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826,724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66.23</w:t>
            </w:r>
          </w:p>
        </w:tc>
        <w:tc>
          <w:tcPr>
            <w:tcW w:w="10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1,752,697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928,489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9220" w:type="dxa"/>
            <w:vAlign w:val="bottom"/>
            <w:gridSpan w:val="14"/>
          </w:tcPr>
          <w:p>
            <w:pPr>
              <w:ind w:left="440"/>
              <w:spacing w:after="0"/>
              <w:rPr>
                <w:sz w:val="20"/>
                <w:szCs w:val="20"/>
                <w:color w:val="auto"/>
              </w:rPr>
            </w:pPr>
            <w:r>
              <w:rPr>
                <w:rFonts w:ascii="Times New Roman" w:cs="Times New Roman" w:eastAsia="Times New Roman" w:hAnsi="Times New Roman"/>
                <w:sz w:val="18"/>
                <w:szCs w:val="18"/>
                <w:color w:val="auto"/>
              </w:rPr>
              <w:t>The intrinsic values of stock option awards outstanding and exercisable at April 1, 2017 were as follows (in millions):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00" w:type="dxa"/>
            <w:vAlign w:val="bottom"/>
            <w:gridSpan w:val="2"/>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Exercisable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0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share-based awards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20" w:type="dxa"/>
            <w:vAlign w:val="bottom"/>
            <w:gridSpan w:val="14"/>
          </w:tcPr>
          <w:p>
            <w:pPr>
              <w:ind w:left="440"/>
              <w:spacing w:after="0"/>
              <w:rPr>
                <w:sz w:val="20"/>
                <w:szCs w:val="20"/>
                <w:color w:val="auto"/>
              </w:rPr>
            </w:pPr>
            <w:r>
              <w:rPr>
                <w:rFonts w:ascii="Times New Roman" w:cs="Times New Roman" w:eastAsia="Times New Roman" w:hAnsi="Times New Roman"/>
                <w:sz w:val="18"/>
                <w:szCs w:val="18"/>
                <w:color w:val="auto"/>
              </w:rPr>
              <w:t>Restricted share-based award activity (including restricted stock units and deferred stock units) was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outstanding at September 30, 2016</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305,663</w:t>
            </w:r>
          </w:p>
        </w:tc>
        <w:tc>
          <w:tcPr>
            <w:tcW w:w="940" w:type="dxa"/>
            <w:vAlign w:val="bottom"/>
            <w:tcBorders>
              <w:bottom w:val="single" w:sz="8" w:color="CCEEFF"/>
            </w:tcBorders>
            <w:gridSpan w:val="3"/>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125,045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gridSpan w:val="2"/>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outstanding at April 1, 2017</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297,341</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4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Performance-based award activity was as follows (based on target award amounts):</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outstanding at September 30, 2016</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266,598</w:t>
            </w:r>
          </w:p>
        </w:tc>
        <w:tc>
          <w:tcPr>
            <w:tcW w:w="940" w:type="dxa"/>
            <w:vAlign w:val="bottom"/>
            <w:tcBorders>
              <w:bottom w:val="single" w:sz="8" w:color="CCEEFF"/>
            </w:tcBorders>
            <w:gridSpan w:val="3"/>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0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5"/>
                <w:szCs w:val="25"/>
                <w:color w:val="auto"/>
                <w:vertAlign w:val="superscript"/>
              </w:rPr>
              <w:t>(a)</w:t>
            </w: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487,674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gridSpan w:val="2"/>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outstanding at April 1, 2017</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597,633</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465,461 units issued to certain senior executives as part of the Company’s Project Focus initiative.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effective tax rate related to continuing operations for the six months ended April 1, 2017 and April 2, 2016 was 35.5%. The effective tax rate used for interim reporting purposes is based on management’s best estimate of factors impacting the effective tax rate for the full fiscal year. There can be no assurance that the effective tax rate estimated for interim financial reporting purposes will approximate the effective tax rate determined at fiscal year end. Final Treasury Regulations under Internal Revenue Code §987 were enacted on December 7, 2016, governing the methodology to be used in calculating deferred translation gain or loss for certain entities treated as U.S. branches for U.S. tax purposes. The Company has determined that the impact of adopting these regulations is immaterial to the Company's deferred tax balances and financial statements.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2013. The Company is currently under examination by the Internal Revenue Service and certain foreign and U.S. state and local tax authorities. The U.S. federal examination is limited to fiscal years 2011 and 2012. With respect to foreign jurisdictions, a German audit is currently ongoing covering fiscal years 2009 through 2012. In regard to the multiple U.S. state and local audits, the tax periods under examination are limited to fiscal years 2008 through 2015. In addition to the aforementioned audits, certain other tax deficiency notices and refund claims for previous years remain unresolved.</w:t>
      </w:r>
    </w:p>
    <w:p>
      <w:pPr>
        <w:spacing w:after="0" w:line="1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CONTINGENCIES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reserves, in the aggregate, are adequate; however, there can be no assurance that final resolution of these matters will not have a material effect on the Company’s financial condition, results of operations or cash flows.</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Regulatory Matters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April 1, 2017, $5.1 million was accrued in the “Other liabilities” line in the Condensed Consolidated Balance Sheets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It is not currently possible to reasonably estimate a probable loss, if any, associated with these cases and, accordingly, no reserves have been recorded in the Company’s condensed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sale of wild bird food products that were the subject of a voluntary recall in 2008, the Company, along with its Chief Executive Officer, have been named as defendants in four actions filed on and after June 27, 2012, which have been consolidated and, on March 31, 2017, certified as a class action in the United States District Court for the Southern District of California as </w:t>
      </w:r>
      <w:r>
        <w:rPr>
          <w:rFonts w:ascii="Times New Roman" w:cs="Times New Roman" w:eastAsia="Times New Roman" w:hAnsi="Times New Roman"/>
          <w:sz w:val="18"/>
          <w:szCs w:val="18"/>
          <w:i w:val="1"/>
          <w:iCs w:val="1"/>
          <w:color w:val="auto"/>
        </w:rPr>
        <w:t>In re Morning Song Bird Food Litigation</w:t>
      </w:r>
      <w:r>
        <w:rPr>
          <w:rFonts w:ascii="Times New Roman" w:cs="Times New Roman" w:eastAsia="Times New Roman" w:hAnsi="Times New Roman"/>
          <w:sz w:val="18"/>
          <w:szCs w:val="18"/>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class action on behalf of all persons and entities in the United States who purchased certain bird food products. The plaintiffs assert: (i) hundreds of millions of dollars in monetary damages (actual, compensatory, consequential, and restitution); (ii) punitive and treble damages; (iii) injunctive and declaratory relief; (iv) pre-judgment and post-judgment interest; and (v) costs and attorneys’ fees. The Company and its Chief Executive Officer dispute the plaintiffs’ assertions and intend to vigorously defend the consolidated action. At this point in the proceedings, it is not currently possible to reasonably estimate a probable loss, if any, associated with the action and, accordingly, no reserves have been recorded in the consolidated financial statements with respect to the action. There can be no assurance that this action, whether as a result of an adverse outcome or as a result of significant defense costs, will not have a material adverse effect on the Company’s financial condition, results of operations or cash flows.</w:t>
      </w:r>
    </w:p>
    <w:p>
      <w:pPr>
        <w:spacing w:after="0" w:line="13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DERIVATIVE INSTRUMENTS AND HEDGING ACTIVITIES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Exchange Rate Risk Management</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uses currency forward contracts to manage the exchange rate risk associated with intercompany loans with foreign subsidiaries that are denominated in local currencies. At April 1, 2017, the notional amount of outstanding currency forward contracts was $288.4 million, with a negative fair value of $3.5 million. At April 2, 2016, the notional amount of outstanding currency forward contracts was $54.3 million, with a negative fair value of $0.2 million. At September 30, 2016, the notional amount of outstanding currency forward contracts was $165.8 million, with a fair value of $0.4 million. The fair value of currency forward contracts is determined using forward rates in commonly quoted intervals for the full term of the contracts. The outstanding contracts will mature over the next fiscal year.</w:t>
      </w:r>
    </w:p>
    <w:p>
      <w:pPr>
        <w:spacing w:after="0" w:line="1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 Management</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except for any ineffective portion of the change in fair value, which is immediately recorded in interest expense. The fair value of the swap agreements is determined based on the present value of the estimated future net cash flows using implied rates in the applicable yield curve as of the valuation date.</w:t>
      </w:r>
    </w:p>
    <w:p>
      <w:pPr>
        <w:spacing w:after="0" w:line="10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has outstanding interest rate swap agreements with major financial institutions that effectively convert a portion of the Company’s variable-rate debt to a fixed rate. The swap agreements had a total U.S. dollar equivalent notional amount of $1,150.0 million at April 1, 2017, $1,250.0 million at April 2, 2016 and $650.0 million at September 30, 2016. Refer to “NOTE 8. DEBT” for the terms of the swap agreements outstanding at April 1, 2017. Included in the AOCI balance at April 1, 2017 was a loss of $0.5 million related to interest rate swap agreements that is expected to be reclassified to earnings during the next twelve months, consistent with the timing of the underlying hedged transactions.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 Management</w:t>
      </w:r>
    </w:p>
    <w:p>
      <w:pPr>
        <w:spacing w:after="0" w:line="1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enters into hedging arrangements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Since the contracts have been designated as hedging instruments, unrealized gains or losses resulting from adjusting these contracts to fair value are recorded as elements of AOCI within the Condensed Consolidated Balance Sheets. Realized gains or losses remain as a component of AOCI until the related inventory is sold. Upon sale of the underlying inventory, the gain or loss is reclassified to cost of sales. Included in the AOCI balance at April 1, 2017 was a loss of $0.1 million related to urea derivatives that is expected to be reclassified to earnings during the next twelve months, consistent with the timing of the underlying hedged transactions.</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also uses derivatives to partially mitigate the effect of fluctuating diesel costs on operating results. These financial instruments are carried at fair value within the Condensed Consolidated Balance Sheets. Changes in the fair value of derivative contracts that qualify for hedge accounting are recorded in AOCI except for any ineffective portion of the change in fair value, which is immediately recorded in earnings. The effective portion of the change in fair value remains as a component of AOCI until the related fuel is consumed, at which time the accumulated gain or loss on the derivative contract is reclassified to cost of sales. Changes in the fair value of derivatives that do not qualify for hedge accounting are recorded as an element of cost of sales. At April 1, 2017, there were no amounts included within AOCI.</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had the following outstanding commodity contracts that were entered into to hedge forecasted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102870</wp:posOffset>
            </wp:positionV>
            <wp:extent cx="40474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120" w:type="dxa"/>
            <w:vAlign w:val="bottom"/>
            <w:vMerge w:val="restart"/>
          </w:tcPr>
          <w:p>
            <w:pPr>
              <w:spacing w:after="0"/>
              <w:rPr>
                <w:sz w:val="13"/>
                <w:szCs w:val="13"/>
                <w:color w:val="auto"/>
              </w:rPr>
            </w:pPr>
          </w:p>
        </w:tc>
        <w:tc>
          <w:tcPr>
            <w:tcW w:w="216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216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20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6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Urea</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28,500 tons</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21,000 tons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 tons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Diesel</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5,544,000 gallons</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5,922,000 gallons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6,384,000 gallons</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Heating Oil</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1,680,000 gallons</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1,974,000 gallons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1,722,000 gallons</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Values of Derivative Instruments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values of the Company’s derivative instruments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140" w:type="dxa"/>
            <w:vAlign w:val="bottom"/>
          </w:tcPr>
          <w:p>
            <w:pPr>
              <w:spacing w:after="0"/>
              <w:rPr>
                <w:sz w:val="12"/>
                <w:szCs w:val="12"/>
                <w:color w:val="auto"/>
              </w:rPr>
            </w:pPr>
          </w:p>
        </w:tc>
        <w:tc>
          <w:tcPr>
            <w:tcW w:w="134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3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HEDGING</w:t>
            </w: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55"/>
        </w:trPr>
        <w:tc>
          <w:tcPr>
            <w:tcW w:w="3560" w:type="dxa"/>
            <w:vAlign w:val="bottom"/>
            <w:gridSpan w:val="2"/>
            <w:vMerge w:val="continue"/>
          </w:tcPr>
          <w:p>
            <w:pPr>
              <w:spacing w:after="0"/>
              <w:rPr>
                <w:sz w:val="4"/>
                <w:szCs w:val="4"/>
                <w:color w:val="auto"/>
              </w:rPr>
            </w:pPr>
          </w:p>
        </w:tc>
        <w:tc>
          <w:tcPr>
            <w:tcW w:w="3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22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7"/>
        </w:trPr>
        <w:tc>
          <w:tcPr>
            <w:tcW w:w="678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1040" w:type="dxa"/>
            <w:vAlign w:val="bottom"/>
            <w:tcBorders>
              <w:top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67"/>
        </w:trPr>
        <w:tc>
          <w:tcPr>
            <w:tcW w:w="34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356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DERIVATIVES NOT DESIGNATED AS HEDGING</w:t>
            </w:r>
          </w:p>
        </w:tc>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vMerge w:val="restart"/>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Borders>
              <w:bottom w:val="single" w:sz="8" w:color="CCEEFF"/>
            </w:tcBorders>
          </w:tcPr>
          <w:p>
            <w:pPr>
              <w:spacing w:after="0"/>
              <w:rPr>
                <w:sz w:val="16"/>
                <w:szCs w:val="16"/>
                <w:color w:val="auto"/>
              </w:rPr>
            </w:pPr>
          </w:p>
        </w:tc>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678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derivatives</w:t>
            </w:r>
          </w:p>
        </w:tc>
        <w:tc>
          <w:tcPr>
            <w:tcW w:w="3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ind w:left="206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effect of derivative instruments on AOCI and the Condensed Consolidated Statements of Operations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gridSpan w:val="10"/>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AMOUNT OF GAIN / (LOSS) RECOGNIZED IN AOCI</w:t>
            </w: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20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2"/>
                <w:szCs w:val="12"/>
                <w:color w:val="auto"/>
              </w:rPr>
            </w:pPr>
          </w:p>
        </w:tc>
        <w:tc>
          <w:tcPr>
            <w:tcW w:w="104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0" w:type="dxa"/>
            <w:vAlign w:val="bottom"/>
          </w:tcPr>
          <w:p>
            <w:pPr>
              <w:spacing w:after="0"/>
              <w:rPr>
                <w:sz w:val="1"/>
                <w:szCs w:val="1"/>
                <w:color w:val="auto"/>
              </w:rPr>
            </w:pPr>
          </w:p>
        </w:tc>
      </w:tr>
      <w:tr>
        <w:trPr>
          <w:trHeight w:val="195"/>
        </w:trPr>
        <w:tc>
          <w:tcPr>
            <w:tcW w:w="60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500" w:type="dxa"/>
            <w:vAlign w:val="bottom"/>
            <w:tcBorders>
              <w:top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 OF GAIN / (LOSS)</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RECLASSIFIED FROM AOCI</w:t>
            </w: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51"/>
        </w:trPr>
        <w:tc>
          <w:tcPr>
            <w:tcW w:w="378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DERIVATIVES IN CASH FLOW HEDGING</w:t>
            </w:r>
          </w:p>
        </w:tc>
        <w:tc>
          <w:tcPr>
            <w:tcW w:w="230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INTO</w:t>
            </w:r>
          </w:p>
        </w:tc>
        <w:tc>
          <w:tcPr>
            <w:tcW w:w="200" w:type="dxa"/>
            <w:vAlign w:val="bottom"/>
          </w:tcPr>
          <w:p>
            <w:pPr>
              <w:spacing w:after="0"/>
              <w:rPr>
                <w:sz w:val="13"/>
                <w:szCs w:val="13"/>
                <w:color w:val="auto"/>
              </w:rPr>
            </w:pPr>
          </w:p>
        </w:tc>
        <w:tc>
          <w:tcPr>
            <w:tcW w:w="116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3"/>
                <w:szCs w:val="13"/>
                <w:color w:val="auto"/>
              </w:rPr>
            </w:pPr>
          </w:p>
        </w:tc>
        <w:tc>
          <w:tcPr>
            <w:tcW w:w="114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20" w:type="dxa"/>
            <w:vAlign w:val="bottom"/>
          </w:tcPr>
          <w:p>
            <w:pPr>
              <w:spacing w:after="0"/>
              <w:rPr>
                <w:sz w:val="13"/>
                <w:szCs w:val="13"/>
                <w:color w:val="auto"/>
              </w:rPr>
            </w:pPr>
          </w:p>
        </w:tc>
        <w:tc>
          <w:tcPr>
            <w:tcW w:w="114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3"/>
                <w:szCs w:val="13"/>
                <w:color w:val="auto"/>
              </w:rPr>
            </w:pPr>
          </w:p>
        </w:tc>
        <w:tc>
          <w:tcPr>
            <w:tcW w:w="1040" w:type="dxa"/>
            <w:vAlign w:val="bottom"/>
          </w:tcPr>
          <w:p>
            <w:pPr>
              <w:jc w:val="center"/>
              <w:ind w:right="177"/>
              <w:spacing w:after="0" w:line="15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0" w:type="dxa"/>
            <w:vAlign w:val="bottom"/>
          </w:tcPr>
          <w:p>
            <w:pPr>
              <w:spacing w:after="0"/>
              <w:rPr>
                <w:sz w:val="1"/>
                <w:szCs w:val="1"/>
                <w:color w:val="auto"/>
              </w:rPr>
            </w:pPr>
          </w:p>
        </w:tc>
      </w:tr>
      <w:tr>
        <w:trPr>
          <w:trHeight w:val="195"/>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00" w:type="dxa"/>
            <w:vAlign w:val="bottom"/>
          </w:tcPr>
          <w:p>
            <w:pPr>
              <w:spacing w:after="0"/>
              <w:rPr>
                <w:sz w:val="16"/>
                <w:szCs w:val="16"/>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500" w:type="dxa"/>
            <w:vAlign w:val="bottom"/>
            <w:tcBorders>
              <w:top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 OF GAIN / (LOSS)</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51"/>
        </w:trPr>
        <w:tc>
          <w:tcPr>
            <w:tcW w:w="378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DERIVATIVES NOT DESIGNATED AS HEDGING</w:t>
            </w:r>
          </w:p>
        </w:tc>
        <w:tc>
          <w:tcPr>
            <w:tcW w:w="230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200" w:type="dxa"/>
            <w:vAlign w:val="bottom"/>
          </w:tcPr>
          <w:p>
            <w:pPr>
              <w:spacing w:after="0"/>
              <w:rPr>
                <w:sz w:val="13"/>
                <w:szCs w:val="13"/>
                <w:color w:val="auto"/>
              </w:rPr>
            </w:pPr>
          </w:p>
        </w:tc>
        <w:tc>
          <w:tcPr>
            <w:tcW w:w="116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3"/>
                <w:szCs w:val="13"/>
                <w:color w:val="auto"/>
              </w:rPr>
            </w:pPr>
          </w:p>
        </w:tc>
        <w:tc>
          <w:tcPr>
            <w:tcW w:w="114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20" w:type="dxa"/>
            <w:vAlign w:val="bottom"/>
          </w:tcPr>
          <w:p>
            <w:pPr>
              <w:spacing w:after="0"/>
              <w:rPr>
                <w:sz w:val="13"/>
                <w:szCs w:val="13"/>
                <w:color w:val="auto"/>
              </w:rPr>
            </w:pPr>
          </w:p>
        </w:tc>
        <w:tc>
          <w:tcPr>
            <w:tcW w:w="114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3"/>
                <w:szCs w:val="13"/>
                <w:color w:val="auto"/>
              </w:rPr>
            </w:pPr>
          </w:p>
        </w:tc>
        <w:tc>
          <w:tcPr>
            <w:tcW w:w="1040" w:type="dxa"/>
            <w:vAlign w:val="bottom"/>
          </w:tcPr>
          <w:p>
            <w:pPr>
              <w:jc w:val="center"/>
              <w:ind w:right="177"/>
              <w:spacing w:after="0" w:line="15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0" w:type="dxa"/>
            <w:vAlign w:val="bottom"/>
          </w:tcPr>
          <w:p>
            <w:pPr>
              <w:spacing w:after="0"/>
              <w:rPr>
                <w:sz w:val="1"/>
                <w:szCs w:val="1"/>
                <w:color w:val="auto"/>
              </w:rPr>
            </w:pPr>
          </w:p>
        </w:tc>
      </w:tr>
      <w:tr>
        <w:trPr>
          <w:trHeight w:val="195"/>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00" w:type="dxa"/>
            <w:vAlign w:val="bottom"/>
          </w:tcPr>
          <w:p>
            <w:pPr>
              <w:spacing w:after="0"/>
              <w:rPr>
                <w:sz w:val="16"/>
                <w:szCs w:val="16"/>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500" w:type="dxa"/>
            <w:vAlign w:val="bottom"/>
            <w:tcBorders>
              <w:top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gridSpan w:val="2"/>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MEASUREMENTS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prices in active markets for identical assets or liabilities.</w:t>
      </w:r>
    </w:p>
    <w:p>
      <w:pPr>
        <w:spacing w:after="0" w:line="144"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Observable inputs other than quoted prices included in Level 1, such as quoted prices for similar assets and liabilities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for similar assets and liabilities in markets that are not active; or other inputs that are observable or can be corroborated by observable market data.</w:t>
      </w:r>
    </w:p>
    <w:p>
      <w:pPr>
        <w:spacing w:after="0" w:line="92"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pricing models, discounted cash flow methodologies and similar techniques that use significant unobservable inputs.</w:t>
      </w:r>
    </w:p>
    <w:p>
      <w:pPr>
        <w:spacing w:after="0" w:line="7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Equivalents</w:t>
      </w:r>
    </w:p>
    <w:p>
      <w:pPr>
        <w:spacing w:after="0" w:line="14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Other consists of investment securities in non-qualified retirement plan assets and the Bonnie Option. Investment securities in non-qualified retirement plan assets are valued using observable market prices in active markets and are classified within Level 1 of the valuation hierarchy. The fair value of the Bonnie Option is determined using a simulation approach, whereby the total value of the loan receivable and optional exchange for additional equity was estimated considering a distribution of possible future cash flows discounted to present value using an appropriate discount rate, and is classified in Level 3 of the fair value hierarchy.</w:t>
      </w:r>
    </w:p>
    <w:p>
      <w:pPr>
        <w:spacing w:after="0" w:line="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Long-Term Debt</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Long-term debt consists of a loan provided to the noncontrolling ownership group of Gavita. The estimated fair value of the loan was determined using an income-based approach, which includes market participant expectations of cash flows over the remaining useful life discounted to present value using an appropriate discount rate. The estimate requires subjective assumptions to be made, including those related to future business results and discount rates. The fair value measurement is based on significant inputs unobservable in the market and thus represents a Level 3 measurement.</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and liabilities measured at fair value on a recurring basis at April 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7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60" w:type="dxa"/>
            <w:vAlign w:val="bottom"/>
          </w:tcPr>
          <w:p>
            <w:pPr>
              <w:spacing w:after="0"/>
              <w:rPr>
                <w:sz w:val="13"/>
                <w:szCs w:val="13"/>
                <w:color w:val="auto"/>
              </w:rPr>
            </w:pPr>
          </w:p>
        </w:tc>
        <w:tc>
          <w:tcPr>
            <w:tcW w:w="13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and liabilities measured at fair value on a recurring basis at April 2,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60" w:type="dxa"/>
            <w:vAlign w:val="bottom"/>
          </w:tcPr>
          <w:p>
            <w:pPr>
              <w:spacing w:after="0"/>
              <w:rPr>
                <w:sz w:val="13"/>
                <w:szCs w:val="13"/>
                <w:color w:val="auto"/>
              </w:rPr>
            </w:pPr>
          </w:p>
        </w:tc>
        <w:tc>
          <w:tcPr>
            <w:tcW w:w="13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and liabilities measured at fair value on a recurring basis at September 30,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7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60" w:type="dxa"/>
            <w:vAlign w:val="bottom"/>
          </w:tcPr>
          <w:p>
            <w:pPr>
              <w:spacing w:after="0"/>
              <w:rPr>
                <w:sz w:val="13"/>
                <w:szCs w:val="13"/>
                <w:color w:val="auto"/>
              </w:rPr>
            </w:pPr>
          </w:p>
        </w:tc>
        <w:tc>
          <w:tcPr>
            <w:tcW w:w="13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INFORMATION</w:t>
      </w:r>
    </w:p>
    <w:p>
      <w:pPr>
        <w:spacing w:after="0" w:line="1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divides its business into three reportable segments: U.S. Consumer, Europe Consumer and Other. U.S. Consumer consists of the Company’s consumer lawn and garden business located in the geographic United States. Europe Consumer consists of the Company’s consumer lawn and garden business located in geographic Europe. Other consists of the Company’s consumer lawn and garden businesses in geographies other than the U.S. and Europe, the Company’s indoor, urban and hydroponic gardening business, and revenues and expenses associated with the Company’s supply agreements with Israel Chemicals, Ltd. Corporate consists of general and administrative expenses and certain other income/expense items not allocated to the business segments. This division of reportable segments is consistent with how the segments report to and are managed by the chief operating decision maker of the Company.</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Segment performance is evaluated based on several factors, including income (loss) from continuing operations before income taxes, amortization, impairment, restructuring and other charges (“Segment Profit (Loss)”). Senior management uses this measure of profit (loss) to evaluate segment performance because the Company believes this measure is indicative of performance trends and the overall earnings potential of each segment.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summarized financial information concerning the Company’s reportable segments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6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2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2"/>
                <w:szCs w:val="12"/>
                <w:color w:val="auto"/>
              </w:rPr>
            </w:pPr>
          </w:p>
        </w:tc>
        <w:tc>
          <w:tcPr>
            <w:tcW w:w="104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95"/>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Consumer</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962.5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1,088.0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1,152.9</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 Consumer</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140.7</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146.1</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1,450.3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1,439.7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Profit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Consumer</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281.8</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 Consumer</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Segment Profit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299.3</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40.5</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6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Equity in loss of unconsolidated affiliates </w:t>
            </w:r>
            <w:r>
              <w:rPr>
                <w:rFonts w:ascii="Times New Roman" w:cs="Times New Roman" w:eastAsia="Times New Roman" w:hAnsi="Times New Roman"/>
                <w:sz w:val="25"/>
                <w:szCs w:val="25"/>
                <w:color w:val="auto"/>
                <w:vertAlign w:val="superscript"/>
              </w:rPr>
              <w:t>(a)</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227.3</w:t>
            </w: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hanging="652"/>
        <w:spacing w:after="0" w:line="281"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within loss of unconsolidated affiliates for the three and six months ended April 1, 2017 are charges of $2.1 million and $11.7 million, respectively, which represent the Company’s share of restructuring and other charges incurred by the TruGreen Joint Venture.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24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140" w:type="dxa"/>
            <w:vAlign w:val="bottom"/>
          </w:tcPr>
          <w:p>
            <w:pPr>
              <w:spacing w:after="0"/>
              <w:rPr>
                <w:sz w:val="13"/>
                <w:szCs w:val="13"/>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Consumer</w:t>
            </w:r>
          </w:p>
        </w:tc>
        <w:tc>
          <w:tcPr>
            <w:tcW w:w="3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2,601.3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2,636.0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1,770.7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Europe Consumer</w:t>
            </w:r>
          </w:p>
        </w:tc>
        <w:tc>
          <w:tcPr>
            <w:tcW w:w="3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568.1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Corporate</w:t>
            </w:r>
          </w:p>
        </w:tc>
        <w:tc>
          <w:tcPr>
            <w:tcW w:w="3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271.9</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Assets held for sale</w:t>
            </w:r>
          </w:p>
        </w:tc>
        <w:tc>
          <w:tcPr>
            <w:tcW w:w="3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Consolidated</w:t>
            </w:r>
          </w:p>
        </w:tc>
        <w:tc>
          <w:tcPr>
            <w:tcW w:w="3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3,838.4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3,679.3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2,802.8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April 29, 2017, the Company received a binding and irrevocable conditional offer (the “Offer”) from Exponent Private Equity LLP (“Exponent”) to purchase its consumer lawn and garden business carried on in certain international jurisdictions (the “International Business”). The Offer remains valid until the earlier of (i) October 6, 2017, and (ii) the fifth business day after the date of completion of the compulsory process in respect of France SAS of notice, information and consultation with the French Works Council (</w:t>
      </w:r>
      <w:r>
        <w:rPr>
          <w:rFonts w:ascii="Times New Roman" w:cs="Times New Roman" w:eastAsia="Times New Roman" w:hAnsi="Times New Roman"/>
          <w:sz w:val="18"/>
          <w:szCs w:val="18"/>
          <w:i w:val="1"/>
          <w:iCs w:val="1"/>
          <w:color w:val="auto"/>
        </w:rPr>
        <w:t>Comité Central d’Entreprise at Scotts France SAS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If accepted by the Company, pursuant to the terms of the Share and Business Sale Agreement (the “Agreement”) contemplated by the Offer, Scotts-Sierra Investments LLC, an indirect wholly-owned subsidiary of the Company (“Sierra”) and certain of its direct and indirect subsidiaries, will enter into separate stock or asset sale transactions with respect to the consumer lawn and garden businesses located in Australia, Austria, Benelux, Czech Republic, France, Germany, Poland and the United Kingdom. Upon closing of the transaction, Exponent would pay the Company approximately EUR 210.0 million (subject to potential adjustment following closing in respect of the actual financial position at closing) and a deferred payment amount of up to EUR 20.0 million, contingent on the achievement of certain performance criteria by the International Business following the closing of the transaction.</w:t>
      </w:r>
    </w:p>
    <w:p>
      <w:pPr>
        <w:spacing w:after="0" w:line="1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Following completion of the French Works Council consultation, if Sierra does not accept the binding offer, Sierra will be required to pay a break fee of EUR 10.0 million in cash.</w:t>
      </w:r>
    </w:p>
    <w:p>
      <w:pPr>
        <w:spacing w:after="0" w:line="81"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Upon acceptance of the Offer by the Company, the parties’ obligations to consummate the transaction would be conditioned upon (i) the Monsanto Company entering into a certain exclusive agency and marketing agreement and a certain lawn and garden brand extension agreement, each with Exponent, relating to the marketing and distribution of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(ii) the receipt of landlord consents to the transfer of/change of control in respect of certain material real estate leases, (iii) evidence of the waiver by the relevant municipal authority of its pre-emption right in relation to the properties of the International Business in Bourth and Hautmont in France, or the expiry of the period during which the relevant municipal authority may exercise such right of pre-emption, (iv) specific third party written consent in respect of the assignment of certain supply agreements and the sub-licensing of certain intellectual property, and (v) the receipt of formal clearance from the competition authorities in France, Germany and Poland.</w:t>
      </w:r>
    </w:p>
    <w:p>
      <w:pPr>
        <w:spacing w:after="0" w:line="11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part of the transaction, Exponent received vendor financing from Sierra in the form of a EUR 25.0 million loan for seven years bearing interest at 5% for the first three years, with annual 250 basis point increases thereafter.</w:t>
      </w:r>
    </w:p>
    <w:p>
      <w:pPr>
        <w:spacing w:after="0" w:line="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Agreement also includes customary representations, warranties and covenants. Among other things, Sierra will provide customary business warranties regarding the International Business subject to certain financial limitations. Also, Sierra has agreed to certain customary pre-closing covenants, including with respect to the operation of the International Business prior to closing and the assistance with and delivery of certain regulatory approvals and third party consents.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FINANCIAL INFORMATION FOR SUBSIDIARY GUARANTORS AND NON-GUARANTORS</w:t>
      </w:r>
    </w:p>
    <w:p>
      <w:pPr>
        <w:spacing w:after="0" w:line="148"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 xml:space="preserve">The 6.000% and 5.250% Senior Notes were issued on October 13, 2015 and December 15, 2016, respectively, and are guaranteed by certain of the Company’s domestic subsidiaries and, therefore, the Company reports condensed consolidating financial information in accordance with SEC Regulation S-X Rule 3-10, </w:t>
      </w:r>
      <w:r>
        <w:rPr>
          <w:rFonts w:ascii="Times New Roman" w:cs="Times New Roman" w:eastAsia="Times New Roman" w:hAnsi="Times New Roman"/>
          <w:sz w:val="18"/>
          <w:szCs w:val="18"/>
          <w:i w:val="1"/>
          <w:iCs w:val="1"/>
          <w:color w:val="auto"/>
        </w:rPr>
        <w:t>Financial Statements of Guarantors and Issuers of Guaranteed Securities Registered or Being Registered.</w:t>
      </w:r>
      <w:r>
        <w:rPr>
          <w:rFonts w:ascii="Times New Roman" w:cs="Times New Roman" w:eastAsia="Times New Roman" w:hAnsi="Times New Roman"/>
          <w:sz w:val="18"/>
          <w:szCs w:val="18"/>
          <w:color w:val="auto"/>
        </w:rPr>
        <w:t xml:space="preserve"> On December 15, 2015, Scotts Miracle-Gro redeemed all of its outstanding $200.0 million aggregate principal amount of 6.625% Senior Notes, which were previously guaranteed by certain of its domestic subsidiaries. The guarantees are “full and unconditional,” as those terms are used in Regulation S-X Rule 3-10, except that a subsidiary’s guarantee will be released in certain customary circumstances, such as (1) upon any sale or other disposition of all or substantially all of the assets of the subsidiary (including by way of merger or consolidation) to any person other than Scotts Miracle-Gro or any “restricted subsidiary” under the indentures governing the 6.000% and 5.250% Senior Notes; (2) if the subsidiary merges with and into Scotts Miracle-Gro, with Scotts Miracle-Gro surviving such merger; (3) if the subsidiary is designated an “unrestricted subsidiary” in accordance with the indentures governing the 6.000% and 5.250% Senior Notes or otherwise ceases to be a “restricted subsidiary” (including by way of liquidation or dissolution) in a transaction permitted by such indenture; (4) upon legal or covenant defeasance; (5) at the election of Scotts Miracle-Gro following the subsidiary’s release as a guarantor under the new credit agreement, except a release by or as a result of the repayment of the new credit agreement; or (6) if the subsidiary ceases to be a “restricted subsidiary” and the subsidiary is not otherwise required to provide a guarantee of the 6.000% and 5.250% Senior Notes pursuant to the indentures governing the 6.000% and 5.250% Senior Notes. SLS Holdings, Inc. was added as a guarantor effective in the three-month period ending July 2, 2016, and HGCI, Inc. and GenSource, Inc. were added as guarantors effective in the three-month period ending January 2, 2016, and have been classified as Guarantors for all periods presented.</w:t>
      </w:r>
    </w:p>
    <w:p>
      <w:pPr>
        <w:spacing w:after="0" w:line="11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following 100% directly or indirectly owned subsidiaries fully and unconditionally guarantee at April 1, 2017 the 6.000% and 5.250% Senior Notes on a joint and several basis: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The Scotts Company LLC; The Hawthorne Gardening Company; Hawthorne Hydroponics LLC; HGCI, Inc.; GenSource, Inc.; and SLS Holdings, Inc. (collectively, the “Guarantors”). Effective in the three-month period ending July 2, 2016, the SLS Business was contributed to the TruGreen Joint Venture and the Company classified its results of operations for all periods presented to reflect the SLS Business as a discontinued operation and classified the assets and liabilities as held for sale within the financial information of the Guarantors. Subsequent to their contribution to the TruGreen Joint Venture, EG Systems, LLC (formerly known as EG Systems, Inc.) and SLS Franchise Systems LLC are no longer guarantors of the 6.000% Senior Notes.</w:t>
      </w:r>
    </w:p>
    <w:p>
      <w:pPr>
        <w:spacing w:after="0" w:line="108"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The following information presents Condensed Consolidating Statements of Operations for the three and six months ended April 1, 2017 and April 2, 2016, Condensed Consolidating Statements of Comprehensive Income (Loss) for the three and six months ended April 1, 2017 and April 2, 2016, Condensed Consolidating Statements of Cash Flows for the six months ended April 1, 2017 and April 2, 2016, and Condensed Consolidating Balance Sheets as of April 1, 2017, April 2, 2016 and September 30, 2016.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Flows for the six months ended April 1, 2017 are $351.5 million of dividends paid by the Guarantors and Non-Guarantors to the Parent representing return of investments and as such are classified within cash flows used in investing activities. Included in the Parent Condensed Consolidating Statement of Cash Flows for the six months ended April 2, 2016 are $313.8 million of dividends paid by the Guarantors and Non-Guarantors to the Parent representing return on investments and as such are classified within cash flows from operating activities.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April 1, 2017</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1,203.5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701.1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502.4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 loss,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April 1, 2017</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903.7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546.6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 loss,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April 1, 2017</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April 1, 2017</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April 1, 2017</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INVESTING ACTIVITIES </w:t>
            </w:r>
            <w:r>
              <w:rPr>
                <w:rFonts w:ascii="Times New Roman" w:cs="Times New Roman" w:eastAsia="Times New Roman" w:hAnsi="Times New Roman"/>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5"/>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Distributions from (investments in) unconsolidated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affiliates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 in acquired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Return of investments from affiliates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Borrowings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944.6</w:t>
            </w:r>
          </w:p>
        </w:tc>
        <w:tc>
          <w:tcPr>
            <w:tcW w:w="0" w:type="dxa"/>
            <w:vAlign w:val="bottom"/>
          </w:tcPr>
          <w:p>
            <w:pPr>
              <w:spacing w:after="0"/>
              <w:rPr>
                <w:sz w:val="1"/>
                <w:szCs w:val="1"/>
                <w:color w:val="auto"/>
              </w:rPr>
            </w:pPr>
          </w:p>
        </w:tc>
      </w:tr>
      <w:tr>
        <w:trPr>
          <w:trHeight w:val="225"/>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issuance of 5.250%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Financing and issuance fees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 paid by AeroGrow</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on seller notes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Excess tax benefits from share-based payment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arrangements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received from the exercise of stock options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Financing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629.8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652"/>
        <w:spacing w:after="0" w:line="263"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received by the Parent from the Guarantors and Non-Guarantors in the form of dividends in the amount of $351.5 million represent return of investments and are included in cash flows from investing activities. Cash received by the Guarantors from the Non-Guarantors in the form of distributions in the amount of $32.4 million represent return of investments and are included in cash flows from investing activities.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April 1, 2017</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1,121.3</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658.5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1,513.9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2,009.6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460.9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785.7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 in subsidiaries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assets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2,728.5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2,919.8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3,838.4</w:t>
            </w:r>
          </w:p>
        </w:tc>
        <w:tc>
          <w:tcPr>
            <w:tcW w:w="0" w:type="dxa"/>
            <w:vAlign w:val="bottom"/>
          </w:tcPr>
          <w:p>
            <w:pPr>
              <w:spacing w:after="0"/>
              <w:rPr>
                <w:sz w:val="1"/>
                <w:szCs w:val="1"/>
                <w:color w:val="auto"/>
              </w:rPr>
            </w:pPr>
          </w:p>
        </w:tc>
      </w:tr>
      <w:tr>
        <w:trPr>
          <w:trHeight w:val="67"/>
        </w:trPr>
        <w:tc>
          <w:tcPr>
            <w:tcW w:w="370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7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3740" w:type="dxa"/>
            <w:vAlign w:val="bottom"/>
            <w:gridSpan w:val="7"/>
          </w:tcPr>
          <w:p>
            <w:pPr>
              <w:ind w:left="8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debt</w:t>
            </w: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322.6</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390.0</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744.7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2,055.1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 in subsidiaries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2,049.6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2,205.5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3,147.0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equity—controlling interest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678.9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691.4</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2,728.5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2,919.8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3,838.4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April 2, 2016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1,245.2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loss,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April 2, 2016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1,439.7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loss,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April 2, 2016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April 2, 2016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April 2, 2016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700" w:type="dxa"/>
            <w:vAlign w:val="bottom"/>
            <w:shd w:val="clear" w:color="auto" w:fill="CCEEFF"/>
          </w:tcPr>
          <w:p>
            <w:pPr>
              <w:ind w:left="40"/>
              <w:spacing w:after="0" w:line="262" w:lineRule="exact"/>
              <w:rPr>
                <w:sz w:val="20"/>
                <w:szCs w:val="20"/>
                <w:color w:val="auto"/>
              </w:rPr>
            </w:pPr>
            <w:r>
              <w:rPr>
                <w:rFonts w:ascii="Times New Roman" w:cs="Times New Roman" w:eastAsia="Times New Roman" w:hAnsi="Times New Roman"/>
                <w:sz w:val="18"/>
                <w:szCs w:val="18"/>
                <w:color w:val="auto"/>
              </w:rPr>
              <w:t xml:space="preserve">ACTIVITIES </w:t>
            </w:r>
            <w:r>
              <w:rPr>
                <w:rFonts w:ascii="Times New Roman" w:cs="Times New Roman" w:eastAsia="Times New Roman" w:hAnsi="Times New Roman"/>
                <w:sz w:val="25"/>
                <w:szCs w:val="25"/>
                <w:color w:val="auto"/>
                <w:vertAlign w:val="superscript"/>
              </w:rPr>
              <w:t>(a)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292.6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 in loan receivable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Distributions from (investments in) unconsolidated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affiliates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Investing cash flows from (to) affiliates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Borrowings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issuance of 6.000% Senior Notes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 of 6.625%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Financing and issuance fees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Common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on seller notes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5"/>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Excess tax benefits from share-based payment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arrangements</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received from the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Financing cash flows from (to)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713.5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81"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received by the Parent from its subsidiaries in the form of dividends in the amount of $313.8 million represent return on investments and are included in cash flows from operating activities.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April 2, 2016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954.7</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pledged</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619.6</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Assets held for sale</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1,761.3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2,208.8</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646.8</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investment in subsidiaries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assets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3,679.3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7"/>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debt</w:t>
            </w:r>
          </w:p>
        </w:tc>
        <w:tc>
          <w:tcPr>
            <w:tcW w:w="1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427.1</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985.9</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1,758.5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247.0</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 in subsidiaries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liabilities</w:t>
            </w:r>
          </w:p>
        </w:tc>
        <w:tc>
          <w:tcPr>
            <w:tcW w:w="1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1,789.0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2,620.6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2,991.4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equity—controlling interest</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675.4</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1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687.9</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2,464.4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3,093.3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3,679.3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2016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pledged</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448.2</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991.7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470.8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investment in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2,802.8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7"/>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debt</w:t>
            </w:r>
          </w:p>
        </w:tc>
        <w:tc>
          <w:tcPr>
            <w:tcW w:w="1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593.1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1,125.1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investment in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2,068.5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equity—controlling interest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715.2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734.3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2,802.8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68" w:lineRule="exact"/>
        <w:rPr>
          <w:sz w:val="20"/>
          <w:szCs w:val="20"/>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results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14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“Management’s Discussion and Analysis of Financial Condition and Results of Operations” included in Scotts Miracle-Gro’s Annual Report on Form 10-K for the fiscal year ended September 30, 2016 (the “2016 Annual Report”).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5"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8"/>
          <w:szCs w:val="18"/>
          <w:color w:val="auto"/>
        </w:rPr>
        <w:t>We are dedicated to delivering strong, long-term financial results and outstanding shareholder returns by providing products of superior quality and value to enhance consumers’ lawn and garden environments. We are a leading manufacturer and marketer of branded consumer lawn and garden products in North America and Europe. We are the exclusive agent of the Monsanto Company (“Monsanto”) for the marketing and distribution of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non-selective herbicide products within the United States and other contractually specified countries. We have a presence in similar consumer branded product categories in Australia, the Far East and Latin America. In addition, with our recent acquisitions of General Hydroponics, Vermicrop, Gavita, Botanicare and our control of AeroGrow, we are a leading producer of liquid plant food products, growing media, advanced indoor garden and lighting systems and accessories for hydroponic gardening. Our operations are divided into three reportable segments: U.S. Consumer, Europe Consumer and Other.</w:t>
      </w:r>
    </w:p>
    <w:p>
      <w:pPr>
        <w:spacing w:after="0" w:line="145"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18"/>
          <w:szCs w:val="18"/>
          <w:color w:val="auto"/>
        </w:rPr>
        <w:t>In the first quarter of fiscal 2016, we announced a series of initiatives called Project Focus designed to maximize the value of our non-core assets and focus on emerging categories of the lawn and garden industry in our core U.S. business. On April 13, 2016, as part of this project, pursuant to the terms of the Contribution and Distribution Agreement (the “Contribution Agreement”) between the Company and TruGreen Holding Corporation (“TruGreen Holdings”), we completed the contribution of the 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(the “SLS Business”) to a newly formed subsidiary of TruGreen Holdings (the “TruGreen Joint Venture”) in exchange for a minority equity interest of 30% in the TruGreen Joint Venture. The fair value of this interest was estimated to be $294.0 million, resulting in a pre-tax gain of $131.2 million during fiscal 2016. As a result of this transaction, effective in our second quarter of fiscal 2016, we classified our results of operations for all periods presented to reflect the SLS Business as a discontinued operation and classified the assets and liabilities of the SLS Business as held for sale. Prior to being reported as a discontinued operation, the SLS Business was referred to as our former 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segment. For additional information, see “NOTE 2. DISCONTINUED OPERATIONS” of the Notes to Condensed Consolidated Financial Statements included in this Quarterly Report on Form 10-Q. We now participate in the residential and commercial lawn care, tree and shrub care and pest control services segment in the United States and Canada through our interest in the TruGreen Joint Venture.</w:t>
      </w:r>
    </w:p>
    <w:p>
      <w:pPr>
        <w:spacing w:after="0" w:line="12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April 29, 2017, we received a binding and irrevocable conditional offer (the “Offer”) from Exponent Private Equity LLP (“Exponent”) to purchase our consumer lawn and garden business carried on in certain international jurisdictions (the “International Business”). If accepted by us, pursuant to the terms of the Share and Business Sale Agreement (the “Agreement”) contemplated by the Offer, Scotts-Sierra Investments LLC, our indirect wholly-owned subsidiary (“Sierra”) and certain of its direct and indirect subsidiaries, will enter into separate stock or asset sale transactions with respect to the consumer lawn and garden businesses located in Australia, Austria, Benelux, Czech Republic, France, Germany, Poland and the United Kingdom. Upon closing of the transaction, Exponent would pay us approximately EUR 210.0 million (subject to potential adjustment following closing in respect of the actual financial position at closing) and a deferred payment amount of up to EUR 20.0 million, contingent on the achievement of certain performance criteria by the International Business following the closing of the transaction. For additional information, see “NOTE 16. SUBSEQUENT EVENTS” of the Notes to Condensed Consolidated Financial Statements included in this Quarterly Report on Form 10-Q.</w:t>
      </w:r>
    </w:p>
    <w:p>
      <w:pPr>
        <w:spacing w:after="0" w:line="10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a leading consumer branded lawn and garden company, our product development and marketing efforts are largely focused on providing innovative and differentiated products and continually increasing brand and product awareness to inspire consumers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to create retail demand. We have implemented this model for a number of years by focusing on research and development and investing approximately 4-5% of our annual net sales in advertising to support and promote our products and brands. We continually explore new and innovative ways to communicate with consumers. We believe that we receive a significant benefit from these expenditures and anticipate a similar commitment to research and development, advertising and marketing investments in the future, with the continuing objective of driving category growth and profitably increasing market share.</w:t>
      </w:r>
    </w:p>
    <w:p>
      <w:pPr>
        <w:spacing w:after="0" w:line="12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net sales in any one year are susceptible to weather conditions in the markets in which our products are sold and our services are offered. For instance, periods of abnormally wet or dry weather can adversely impact the sale of certain products, while increasing demand for other products, or delay the timing of the provision of certain services. We believe that our diversified product line and our broad geographic diversification reduce this risk, although to a lesser extent in a year in which unfavorable weather is geographically widespread and extends across a significant portion of the lawn and garden season. We also believe that weather conditions in any one year, positive or negative, do not materially impact longer-term category growth trends.</w:t>
      </w:r>
    </w:p>
    <w:p>
      <w:pPr>
        <w:spacing w:after="0" w:line="1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spacing w:after="0" w:line="116"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Percent of Net Sales from Continuing</w:t>
      </w:r>
    </w:p>
    <w:p>
      <w:pPr>
        <w:spacing w:after="0" w:line="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13335</wp:posOffset>
            </wp:positionV>
            <wp:extent cx="32759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gridSpan w:val="2"/>
          </w:tcPr>
          <w:p>
            <w:pPr>
              <w:ind w:left="69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7"/>
        </w:trPr>
        <w:tc>
          <w:tcPr>
            <w:tcW w:w="6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43"/>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bl>
    <w:p>
      <w:pPr>
        <w:spacing w:after="0" w:line="14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August 2014, the Scotts Miracle-Gro Board of Directors authorized the repurchase of up to $500.0 million of Common Shares over a five-year period (starting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$1.0 billion through September 30, 2019. During the three and six months ended April 1, 2017, Scotts Miracle-Gro repurchased 0.5 million and 1.0 million Common Shares for $47.2 million and $90.6 million, respectively. From the inception of this share repurchase program in the fourth quarter of fiscal 2014 through April 1, 2017, Scotts Miracle-Gro repurchased approximately 3.1 million Common Shares for $236.2 million.</w:t>
      </w:r>
    </w:p>
    <w:p>
      <w:pPr>
        <w:spacing w:after="0" w:line="107"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On August 3, 2016, we announced that the Scotts Miracle-Gro Board of Directors approved an increase in our quarterly cash dividend from $0.47 to $0.50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8"/>
          <w:szCs w:val="18"/>
          <w:color w:val="auto"/>
        </w:rPr>
        <w:t>Effective in our second quarter of fiscal 2016, we classified our results of operations for all periods presented to reflect the SLS Business as a discontinued operation. As a result, and unless specifically stated, all discussions regarding results for the three and six months ended April 1, 2017 and April 2, 2016 reflect results from our continuing operations. The following table sets forth the components of income and expense as a percentage of net sales: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6180" w:type="dxa"/>
            <w:vAlign w:val="bottom"/>
          </w:tcPr>
          <w:p>
            <w:pPr>
              <w:spacing w:after="0"/>
              <w:rPr>
                <w:sz w:val="12"/>
                <w:szCs w:val="12"/>
                <w:color w:val="auto"/>
              </w:rPr>
            </w:pPr>
          </w:p>
        </w:tc>
        <w:tc>
          <w:tcPr>
            <w:tcW w:w="13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3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13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2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95"/>
        </w:trPr>
        <w:tc>
          <w:tcPr>
            <w:tcW w:w="61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62.3</w:t>
            </w:r>
          </w:p>
        </w:tc>
      </w:tr>
      <w:tr>
        <w:trPr>
          <w:trHeight w:val="27"/>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r>
      <w:tr>
        <w:trPr>
          <w:trHeight w:val="237"/>
        </w:trPr>
        <w:tc>
          <w:tcPr>
            <w:tcW w:w="6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37.4</w:t>
            </w:r>
          </w:p>
        </w:tc>
      </w:tr>
      <w:tr>
        <w:trPr>
          <w:trHeight w:val="27"/>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21.8</w:t>
            </w:r>
          </w:p>
        </w:tc>
      </w:tr>
      <w:tr>
        <w:trPr>
          <w:trHeight w:val="27"/>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1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18.9</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61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from continuing operations</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61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1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0"/>
        </w:trPr>
        <w:tc>
          <w:tcPr>
            <w:tcW w:w="6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-95885</wp:posOffset>
            </wp:positionV>
            <wp:extent cx="3327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48"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Net sales for the three months ended April 1, 2017 were $1,203.5 million, a decrease of 3.3% from net sales of $1,245.2 million for the three months ended April 2, 2016. Net sales for the six months ended April 1, 2017 were $1,450.3 million, an increase of 0.7% from net sales of $1,439.7 million for the six months ended April 2, 2016. The change in net sales was attributable to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75"/>
        </w:trPr>
        <w:tc>
          <w:tcPr>
            <w:tcW w:w="6560" w:type="dxa"/>
            <w:vAlign w:val="bottom"/>
          </w:tcPr>
          <w:p>
            <w:pPr>
              <w:spacing w:after="0"/>
              <w:rPr>
                <w:sz w:val="23"/>
                <w:szCs w:val="23"/>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APRIL 1, 2017</w:t>
            </w:r>
          </w:p>
        </w:tc>
        <w:tc>
          <w:tcPr>
            <w:tcW w:w="236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APRIL 1, 2017</w:t>
            </w:r>
          </w:p>
        </w:tc>
      </w:tr>
      <w:tr>
        <w:trPr>
          <w:trHeight w:val="249"/>
        </w:trPr>
        <w:tc>
          <w:tcPr>
            <w:tcW w:w="6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2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43"/>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Pricing</w:t>
            </w:r>
          </w:p>
        </w:tc>
        <w:tc>
          <w:tcPr>
            <w:tcW w:w="23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5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rates</w:t>
            </w:r>
          </w:p>
        </w:tc>
        <w:tc>
          <w:tcPr>
            <w:tcW w:w="23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Volume</w:t>
            </w:r>
          </w:p>
        </w:tc>
        <w:tc>
          <w:tcPr>
            <w:tcW w:w="23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23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65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69"/>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net sales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decrease in net sales for the three months ended April 1, 2017 was primarily driven by:</w:t>
      </w:r>
    </w:p>
    <w:p>
      <w:pPr>
        <w:spacing w:after="0" w:line="117" w:lineRule="exact"/>
        <w:rPr>
          <w:sz w:val="20"/>
          <w:szCs w:val="20"/>
          <w:color w:val="auto"/>
        </w:rPr>
      </w:pPr>
    </w:p>
    <w:p>
      <w:pPr>
        <w:jc w:val="both"/>
        <w:ind w:left="980" w:hanging="324"/>
        <w:spacing w:after="0" w:line="228"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in our U.S. Consumer segment, driven by decreased sales of fertilizer, growing media, grass seed and controls products, partially offset by increased sales of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Lawns products in our U.S. Consumer segment and increased sales of hydroponic gardening products in our Other segment;</w:t>
      </w:r>
    </w:p>
    <w:p>
      <w:pPr>
        <w:spacing w:after="0" w:line="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net sales associated with our Marketing Agreement for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w:t>
      </w:r>
    </w:p>
    <w:p>
      <w:pPr>
        <w:spacing w:after="0" w:line="45" w:lineRule="exact"/>
        <w:rPr>
          <w:rFonts w:ascii="Times New Roman" w:cs="Times New Roman" w:eastAsia="Times New Roman" w:hAnsi="Times New Roman"/>
          <w:sz w:val="18"/>
          <w:szCs w:val="18"/>
          <w:color w:val="auto"/>
        </w:rPr>
      </w:pPr>
    </w:p>
    <w:p>
      <w:pPr>
        <w:ind w:left="980" w:hanging="324"/>
        <w:spacing w:after="0" w:line="27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impact of foreign exchange rates as a result of the strengthening of the U.S. dollar relative to other currencies including Canadian dollar, euro and British pound;</w:t>
      </w:r>
    </w:p>
    <w:p>
      <w:pPr>
        <w:spacing w:after="0" w:line="6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the addition of net sales from acquisitions in our Other segment, primarily from Gavita, Botanicare and a Canadian growing media operation; and</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60"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impact of increased pricing in our U.S. Consumer segment.</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increase in net sales for the six months ended April 1, 2017 was primarily driven by:</w:t>
      </w:r>
    </w:p>
    <w:p>
      <w:pPr>
        <w:spacing w:after="0" w:line="117" w:lineRule="exact"/>
        <w:rPr>
          <w:sz w:val="20"/>
          <w:szCs w:val="20"/>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net sales from acquisitions in our Other segment, primarily from Gavita, Botanicare and a Canadian growing media operation;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impact of increased pricing in our U.S. Consumer segment;</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28"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decreased sales volume in our U.S. Consumer segment, driven by decreased sales of fertilizer, growing media, grass seed and controls products, partially offset by increased sales of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Lawns products in our U.S. Consumer segment and increased sales of hydroponic gardening products in our Other segment;</w:t>
      </w:r>
    </w:p>
    <w:p>
      <w:pPr>
        <w:spacing w:after="0" w:line="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net sales associated with our Marketing Agreement for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w:t>
      </w:r>
    </w:p>
    <w:p>
      <w:pPr>
        <w:spacing w:after="0" w:line="45" w:lineRule="exact"/>
        <w:rPr>
          <w:rFonts w:ascii="Times New Roman" w:cs="Times New Roman" w:eastAsia="Times New Roman" w:hAnsi="Times New Roman"/>
          <w:sz w:val="18"/>
          <w:szCs w:val="18"/>
          <w:color w:val="auto"/>
        </w:rPr>
      </w:pPr>
    </w:p>
    <w:p>
      <w:pPr>
        <w:ind w:left="980" w:hanging="324"/>
        <w:spacing w:after="0" w:line="27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impact of foreign exchange rates as a result of the strengthening of the U.S. dollar relative to other currencies including Canadian dollar, euro and British pound.</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shows the major components of cost of sales: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6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80" w:type="dxa"/>
            <w:vAlign w:val="bottom"/>
          </w:tcPr>
          <w:p>
            <w:pPr>
              <w:spacing w:after="0"/>
              <w:rPr>
                <w:sz w:val="12"/>
                <w:szCs w:val="12"/>
                <w:color w:val="auto"/>
              </w:rPr>
            </w:pPr>
          </w:p>
        </w:tc>
        <w:tc>
          <w:tcPr>
            <w:tcW w:w="94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95"/>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511.4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515.0</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 and warehousing</w:t>
            </w:r>
          </w:p>
        </w:tc>
        <w:tc>
          <w:tcPr>
            <w:tcW w:w="22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172.7</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Manufacturing labor and overhead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171.7</w:t>
            </w:r>
          </w:p>
        </w:tc>
      </w:tr>
      <w:tr>
        <w:trPr>
          <w:trHeight w:val="270"/>
        </w:trPr>
        <w:tc>
          <w:tcPr>
            <w:tcW w:w="652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reimbursements</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36.9</w:t>
            </w:r>
          </w:p>
        </w:tc>
      </w:tr>
      <w:tr>
        <w:trPr>
          <w:trHeight w:val="244"/>
        </w:trPr>
        <w:tc>
          <w:tcPr>
            <w:tcW w:w="6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903.7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896.3</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701.1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903.7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901.4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Factors contributing to the change in cost of sales are outlined in the following table:</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5"/>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75"/>
        </w:trPr>
        <w:tc>
          <w:tcPr>
            <w:tcW w:w="6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APRIL 1, 2017</w:t>
            </w: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APRIL 1, 2017</w:t>
            </w:r>
          </w:p>
        </w:tc>
      </w:tr>
      <w:tr>
        <w:trPr>
          <w:trHeight w:val="250"/>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Volume and product mix</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23.2</w:t>
            </w:r>
          </w:p>
        </w:tc>
      </w:tr>
      <w:tr>
        <w:trPr>
          <w:trHeight w:val="270"/>
        </w:trPr>
        <w:tc>
          <w:tcPr>
            <w:tcW w:w="65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reimbursements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Material costs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rates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cost of sales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decrease in cost of sales for the three months ended April 1, 2017 was primarily driven by:</w:t>
      </w:r>
    </w:p>
    <w:p>
      <w:pPr>
        <w:spacing w:after="0" w:line="131"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material costs in our U.S. Consumer segment driven by lower commodity costs primarily related to fertilizer inputs and resin;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sales volume in our U.S. Consumer segment, partially offset by increased sales in our Other segment;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sales attributable to reimbursements under our Marketing Agreement for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w:t>
      </w:r>
    </w:p>
    <w:p>
      <w:pPr>
        <w:spacing w:after="0" w:line="45" w:lineRule="exact"/>
        <w:rPr>
          <w:rFonts w:ascii="Times New Roman" w:cs="Times New Roman" w:eastAsia="Times New Roman" w:hAnsi="Times New Roman"/>
          <w:sz w:val="18"/>
          <w:szCs w:val="18"/>
          <w:color w:val="auto"/>
        </w:rPr>
      </w:pPr>
    </w:p>
    <w:p>
      <w:pPr>
        <w:ind w:left="980" w:right="20" w:hanging="324"/>
        <w:spacing w:after="0" w:line="27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impact of foreign exchange rates as a result of the strengthening of the U.S. dollar relative to other currencies including Canadian dollar, euro and British pound;</w:t>
      </w:r>
    </w:p>
    <w:p>
      <w:pPr>
        <w:spacing w:after="0" w:line="6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costs related to sales from acquisitions in our Other segment of $29.6 million, primarily from Gavita, Botanicare and a Canadian growing media operation.</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increase in cost of sales for the six months ended April 1, 2017 was primarily driven by:</w:t>
      </w:r>
    </w:p>
    <w:p>
      <w:pPr>
        <w:spacing w:after="0" w:line="131" w:lineRule="exact"/>
        <w:rPr>
          <w:sz w:val="20"/>
          <w:szCs w:val="20"/>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sales from acquisitions in our Other segment of $59.9 million, primarily from Gavita, Botanicare and a Canadian growing media operation;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 sales attributable to reimbursements under our Marketing Agreement for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spacing w:after="0" w:line="45" w:lineRule="exact"/>
        <w:rPr>
          <w:rFonts w:ascii="Times New Roman" w:cs="Times New Roman" w:eastAsia="Times New Roman" w:hAnsi="Times New Roman"/>
          <w:sz w:val="18"/>
          <w:szCs w:val="18"/>
          <w:color w:val="auto"/>
        </w:rPr>
      </w:pPr>
    </w:p>
    <w:p>
      <w:pPr>
        <w:ind w:left="980" w:hanging="324"/>
        <w:spacing w:after="0" w:line="27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lower material costs in our U.S. Consumer segment driven by lower commodity costs primarily related to fertilizer inputs and resin;</w:t>
      </w:r>
    </w:p>
    <w:p>
      <w:pPr>
        <w:spacing w:after="0" w:line="6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sales volume in our U.S. Consumer segment, partially offset by increased sales in our Other segment;</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distribution costs in our U.S. Consumer segment due to a $4.2 million favorable change in mark-to-market adjustments associated with our fuel hedges;</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impact of foreign exchange rates as a result of the strengthening of the U.S. dollar relative to other currencies including Canadian dollar, euro and British pound; and</w:t>
      </w:r>
    </w:p>
    <w:p>
      <w:pPr>
        <w:spacing w:after="0" w:line="53" w:lineRule="exact"/>
        <w:rPr>
          <w:rFonts w:ascii="Times New Roman" w:cs="Times New Roman" w:eastAsia="Times New Roman" w:hAnsi="Times New Roman"/>
          <w:sz w:val="18"/>
          <w:szCs w:val="18"/>
          <w:color w:val="auto"/>
        </w:rPr>
      </w:pPr>
    </w:p>
    <w:p>
      <w:pPr>
        <w:ind w:left="980" w:hanging="324"/>
        <w:spacing w:after="0" w:line="273"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other charges of $5.1 million related to costs incurred during the six months ended April 2, 2016 to address consumer complaints regarding our reformulated Bonus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 product sold during fiscal 2015.</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a percentage of net sales, our gross profit rate was 41.7% and 41.9% for the three months ended April 1, 2017 and April 2, 2016, respectively. As a percentage of net sales, our gross profit rate was 37.7% and 37.4% for the six months ended April 1, 2017 and April 2, 2016, respectively. Factors contributing to the change in gross profit rate are outlined in the following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75"/>
        </w:trPr>
        <w:tc>
          <w:tcPr>
            <w:tcW w:w="6580" w:type="dxa"/>
            <w:vAlign w:val="bottom"/>
          </w:tcPr>
          <w:p>
            <w:pPr>
              <w:spacing w:after="0"/>
              <w:rPr>
                <w:sz w:val="23"/>
                <w:szCs w:val="23"/>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APRIL 1, 2017</w:t>
            </w:r>
          </w:p>
        </w:tc>
        <w:tc>
          <w:tcPr>
            <w:tcW w:w="236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APRIL 1, 2017</w:t>
            </w:r>
          </w:p>
        </w:tc>
      </w:tr>
      <w:tr>
        <w:trPr>
          <w:trHeight w:val="249"/>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Material costs</w:t>
            </w: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Volume and product mix</w:t>
            </w:r>
          </w:p>
        </w:tc>
        <w:tc>
          <w:tcPr>
            <w:tcW w:w="23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3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Pricing</w:t>
            </w:r>
          </w:p>
        </w:tc>
        <w:tc>
          <w:tcPr>
            <w:tcW w:w="23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23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3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65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commissions and reimbursements</w:t>
            </w:r>
          </w:p>
        </w:tc>
        <w:tc>
          <w:tcPr>
            <w:tcW w:w="23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3"/>
                <w:szCs w:val="23"/>
                <w:color w:val="auto"/>
              </w:rPr>
            </w:pPr>
          </w:p>
        </w:tc>
        <w:tc>
          <w:tcPr>
            <w:tcW w:w="23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(0.3)</w:t>
            </w:r>
          </w:p>
        </w:tc>
      </w:tr>
      <w:tr>
        <w:trPr>
          <w:trHeight w:val="237"/>
        </w:trPr>
        <w:tc>
          <w:tcPr>
            <w:tcW w:w="65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0.4</w:t>
            </w:r>
          </w:p>
        </w:tc>
      </w:tr>
      <w:tr>
        <w:trPr>
          <w:trHeight w:val="237"/>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gross profit rate</w:t>
            </w:r>
          </w:p>
        </w:tc>
        <w:tc>
          <w:tcPr>
            <w:tcW w:w="2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7"/>
        </w:trPr>
        <w:tc>
          <w:tcPr>
            <w:tcW w:w="658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0"/>
        </w:trPr>
        <w:tc>
          <w:tcPr>
            <w:tcW w:w="65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decrease in gross profit rate for the three months ended April 1, 2017 was primarily driven by:</w:t>
      </w:r>
    </w:p>
    <w:p>
      <w:pPr>
        <w:spacing w:after="0" w:line="131"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net impact from acquisitions in our Other segment, primarily from Gavita, Botanicare and a Canadian growing media operation;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sales attributable to our Marketing Agreement for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w:t>
      </w:r>
    </w:p>
    <w:p>
      <w:pPr>
        <w:spacing w:after="0" w:line="4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leverage of fixed costs such as warehousing driven by sales volumes, partially offset by favorable product mix;</w:t>
      </w:r>
    </w:p>
    <w:p>
      <w:pPr>
        <w:spacing w:after="0" w:line="10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lower material costs in our U.S. Consumer segment driven by lower commodity costs primarily related to fertilizer inputs and resin;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impact of increased pricing in our U.S. Consumer segment.</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increase in the gross profit rate for the six months ended April 1, 2017 was primarily driven by:</w:t>
      </w:r>
    </w:p>
    <w:p>
      <w:pPr>
        <w:spacing w:after="0" w:line="117"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material costs in our U.S. Consumer segment driven by lower commodity costs primarily related to fertilizer inputs and resin;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product mix, partially offset by unfavorable leverage of fixed costs such as warehousing driven by sales volumes;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distribution costs in our U.S. Consumer segment due to a $4.2 million favorable change in mark-to-market adjustments associated with our fuel hedges;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impact of increased pricing in our U.S. Consumer segment;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60" w:lineRule="exact"/>
        <w:rPr>
          <w:sz w:val="20"/>
          <w:szCs w:val="20"/>
          <w:color w:val="auto"/>
        </w:rPr>
      </w:pPr>
    </w:p>
    <w:p>
      <w:pPr>
        <w:ind w:left="980" w:right="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an unfavorable net impact from acquisitions in our Other segment, primarily from Gavita, Botanicare and a Canadian growing media operation;</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sales attributable to our Marketing Agreement for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w:t>
      </w:r>
    </w:p>
    <w:p>
      <w:pPr>
        <w:spacing w:after="0" w:line="45" w:lineRule="exact"/>
        <w:rPr>
          <w:rFonts w:ascii="Times New Roman" w:cs="Times New Roman" w:eastAsia="Times New Roman" w:hAnsi="Times New Roman"/>
          <w:sz w:val="18"/>
          <w:szCs w:val="18"/>
          <w:color w:val="auto"/>
        </w:rPr>
      </w:pPr>
    </w:p>
    <w:p>
      <w:pPr>
        <w:ind w:left="980" w:hanging="324"/>
        <w:spacing w:after="0" w:line="269"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other charges of $5.1 million related to costs incurred during the six months ended April 2, 2016 to address consumer complaints regarding our reformulated Bonus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 product sold during fiscal 2015.</w:t>
      </w: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components of selling, general and administrative expenses (“SG&amp;A”):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2"/>
                <w:szCs w:val="12"/>
                <w:color w:val="auto"/>
              </w:rPr>
            </w:pPr>
          </w:p>
        </w:tc>
        <w:tc>
          <w:tcPr>
            <w:tcW w:w="10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0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80" w:type="dxa"/>
            <w:vAlign w:val="bottom"/>
          </w:tcPr>
          <w:p>
            <w:pPr>
              <w:spacing w:after="0"/>
              <w:rPr>
                <w:sz w:val="12"/>
                <w:szCs w:val="12"/>
                <w:color w:val="auto"/>
              </w:rPr>
            </w:pPr>
          </w:p>
        </w:tc>
        <w:tc>
          <w:tcPr>
            <w:tcW w:w="940" w:type="dxa"/>
            <w:vAlign w:val="bottom"/>
          </w:tcPr>
          <w:p>
            <w:pPr>
              <w:jc w:val="right"/>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95"/>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Advertising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72.1</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20.9</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202.8</w:t>
            </w:r>
          </w:p>
        </w:tc>
      </w:tr>
      <w:tr>
        <w:trPr>
          <w:trHeight w:val="237"/>
        </w:trPr>
        <w:tc>
          <w:tcPr>
            <w:tcW w:w="65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316.9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314.2</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SG&amp;A decreased $3.1 million during the three months ended April 1, 2017 compared to the three months ended April 2, 2016. Advertising expense decreased $2.5 million, or 4.1%, during the three months ended April 1, 2017 compared to the three months ended April 2, 2016, driven by the timing of media spending. Share-based compensation increased $3.7 million during the three months ended April 1, 2017 compared to the three months ended April 2, 2016 due to the issuance of equity awards as part of the Project Focus initiative. Amortization expense increased $2.2 million during the three months ended April 1, 2017 compared to the three months ended April 2, 2016 due to the impact of recent acquisitions. The decrease in other SG&amp;A expenses of $8.3 million was due to lower variable incentive compensation expense, lower deal costs related to transaction activity and the favorable impact of foreign exchange rates as the U.S. dollar has strengthened relative to other currencies including Canadian dollar, euro and British pound, partially offset by the impact of recent acquisitions of $3.3 million.</w:t>
      </w:r>
    </w:p>
    <w:p>
      <w:pPr>
        <w:spacing w:after="0" w:line="10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SG&amp;A increased $2.7 million during the six months ended April 1, 2017 compared to the six months ended April 2, 2016. Advertising expense decreased $2.8 million, or 3.9%, during the six months ended April 1, 2017 compared to the six months ended April 2, 2016, driven by the timing of media spending. Share-based compensation increased $3.8 million during the six months ended April 1, 2017 compared to the six months ended April 2, 2016 due to the issuance of equity awards as part of the Project Focus initiative. Amortization expense increased $4.5 million during the six months ended April 1, 2017 compared to the six months ended April 2, 2016 due to the impact of recent acquisitions. The decrease in other SG&amp;A expenses of $4.6 million was due to lower variable incentive compensation expense, lower deal costs related to transaction activity and the favorable impact of foreign exchange rates as the U.S. dollar has strengthened relative to other currencies including Canadian dollar, euro and British pound, partially offset by the impact of recent acquisitions of $7.8 million.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Restructuring and Other</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impairment, restructuring and other charges (recoveries) recorded within the “Cost of sales— impairment, restructuring and other,” “Impairment, restructuring and other” and “Income from discontinued operations, net of tax” lines in the Condensed Consolidated Statements of Operations: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8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18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80" w:type="dxa"/>
            <w:vAlign w:val="bottom"/>
          </w:tcPr>
          <w:p>
            <w:pPr>
              <w:spacing w:after="0"/>
              <w:rPr>
                <w:sz w:val="12"/>
                <w:szCs w:val="12"/>
                <w:color w:val="auto"/>
              </w:rPr>
            </w:pPr>
          </w:p>
        </w:tc>
        <w:tc>
          <w:tcPr>
            <w:tcW w:w="960" w:type="dxa"/>
            <w:vAlign w:val="bottom"/>
          </w:tcPr>
          <w:p>
            <w:pPr>
              <w:jc w:val="right"/>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0" w:type="dxa"/>
            <w:vAlign w:val="bottom"/>
          </w:tcPr>
          <w:p>
            <w:pPr>
              <w:spacing w:after="0"/>
              <w:rPr>
                <w:sz w:val="1"/>
                <w:szCs w:val="1"/>
                <w:color w:val="auto"/>
              </w:rPr>
            </w:pPr>
          </w:p>
        </w:tc>
      </w:tr>
      <w:tr>
        <w:trPr>
          <w:trHeight w:val="195"/>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and other charges (recoveries)</w:t>
            </w:r>
          </w:p>
        </w:tc>
        <w:tc>
          <w:tcPr>
            <w:tcW w:w="1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 charges (recoveries)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 from discontinued operations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impairment, restructuring and other charges (recoveries)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the first quarter of fiscal 2016, we announced a series of initiatives called Project Focus designed to maximize the value of our non-core assets and focus on emerging categories of the lawn and garden industry in our core U.S. business. During the three and six months ended April 1, 2017, our Corporate function recognized costs of $3.3 million and $4.7 million, respectively, as compared to costs of $1.7 million and $2.6 million for the three and six months ended April 2, 2016, respectively, related to Project Focus transaction activity within the “Impairment, restructuring and other” line in the Condensed Consolidated Statements of Operations. Costs incurred to date since the inception of the current initiatives are $3.4 million for our U.S. Consumer segment related to termination benefits, $2.0 million for our Europe Consumer segment related to termination benefits and $9.3 million for our Corporate function related to transaction activity.</w:t>
      </w:r>
    </w:p>
    <w:p>
      <w:pPr>
        <w:spacing w:after="0" w:line="108"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During the third quarter of fiscal 2015, our U.S. Consumer segment began experiencing an increase in certain consumer complaints related to the reformulated Bonus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 fertilizer product sold in the southeastern United States during fiscal 2015 indicating customers were experiencing damage to their lawns after application. We have not incurred costs related to this matter during the three and six months ended April 1, 2017. During the three and six months ended April 2, 2016, we incurred $1.0 million and $6.4 million, respectively, in costs related to resolving these consumer complaints and the recognition of costs we expected to incur for consumer claims within the “Impairment, restructuring and other” and the “Cost of sales—impairment, restructuring and other” lines in the Condensed Consolidated Statements of Operations. Additionally, we recorded offsetting insurance reimbursement recoveries of $50.0 million in the second quarter of fiscal 2016 within the “Impairment, restructuring and other” line in the Condensed Consolidated Statements of Operations. Costs incurred to date since the inception of this matter were $73.8 million, partially offset by insurance reimbursement recoveries of $60.8 million.</w:t>
      </w:r>
    </w:p>
    <w:p>
      <w:pPr>
        <w:spacing w:after="0" w:line="12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April 13, 2016, as part of Project Focus, we completed the contribution of the SLS Business to the TruGreen Joint Venture. As a result, effective in our second quarter of fiscal 2016, we classified our results of operations for all periods presented to reflect the SLS Business as a discontinued operation and classified the assets and liabilities of the SLS Business as held for sale. Refer to “NOTE 2. DISCONTINUED OPERATIONS” for more information. During the three and six months ended April 1, 2017, we recognized $0.1 million and $0.7 million, respectively, in transaction related costs associated with the divestiture of the SLS Business within the “Loss from discontinued operations, net of tax” line in the Condensed Consolidated Statements of Operations. During the three and six months ended April 2, 2016, we recognized $9.0 million for the resolution of a prior SLS Business litigation matter, as well as $1.6 million and $4.6 million, respectively, in transaction related costs associated with the divestiture of the SLS Business within the “Loss from discontinued operations, net of tax” line in the Condensed Consolidated Statements of Operations.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Other income is comprised of activities outside our normal business operations, such as royalty income from the licensing of certain of our brand names, income earned from loans receivable, foreign exchange gains/losses and gains/losses from the disposition of non-inventory assets. Other income, net, was $0.6 million and $6.0 million for the three and six months ended April 1, 2017, respectively, compared to $1.3 million and $1.5 million for the three and six months ended April 2, 2016, respectively. The decrease in other income for the three months ended April 1, 2017 was due to losses on long-lived asset disposals, partially offset by an increase in income on loans receivable and royalty income earned from the TruGreen Joint Venture related to its use of our brand names. The increase in other income for the six months ended April 1, 2017 was due to an increase in income on loans receivable and royalty income earned from the TruGreen Joint Venture related to its use of our brand names, partially offset by losses on long-lived asset disposals.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48"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Income from operations was $301.9 million for the three months ended April 1, 2017 compared to $369.2 million for the three months ended April 2, 2016, a decrease of $67.3 million, or 18.2%. The decrease was driven by impairment, restructuring and other charges during the three months ended April 1, 2017 as compared to recoveries during the three months ended April 2, 2016, and a decrease in net sales, partially offset by lower SG&amp;A.</w:t>
      </w:r>
    </w:p>
    <w:p>
      <w:pPr>
        <w:spacing w:after="0" w:line="9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Income from operations was $231.0 million for the six months ended April 1, 2017 compared to $271.5 million for the six months ended April 2, 2016, a decrease of $40.5 million, or 14.9%. The decrease was driven by impairment, restructuring and other charges during the six months ended April 1, 2017 as compared to recoveries during the six months ended April 2, 2016, and higher SG&amp;A, partially offset by an increase in net sales, gross profit rate and other income.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Loss of Unconsolidated Affiliates</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hold a minority equity interest of 30% in the TruGreen Joint Venture. This interest is accounted for using the equity method of accounting, with our proportionate share of TruGreen Joint Venture earnings reflected in the Condensed Consolidated Statements of Operations. Equity in loss of unconsolidated affiliates was $24.1 million and $37.3 million for the three and six months ended April 1, 2017, respectively. Included within loss of unconsolidated affiliates for the three and six months ended April 1, 2017 are charges of $2.1 million and $11.7 million, respectively, which represent our share of restructuring and other charges incurred by the TruGreen Joint Venture. These charges included zero and $7.9 million for nonrecurring integration and separation costs and $2.1 million and $3.8 million for a non-cash purchase accounting fair value write down adjustment related to deferred revenue and advertising for the three and six months ended April 1, 2017,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Related to Refinancing</w:t>
      </w:r>
    </w:p>
    <w:p>
      <w:pPr>
        <w:spacing w:after="0" w:line="148"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Costs related to refinancing were $8.8 million for the six months ended April 2, 2016. The costs incurred were associated with the redemption of our 6.625% Senior Notes on December 15, 2015, and are comprised of $6.6 million of call premium and $2.2 million of unamortized bond discount and issuance costs that were written off.</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Interest expense was $21.5 million for the three months ended April 1, 2017 compared to $19.1 million for the three months ended April 2, 2016. The increase of $2.4 million was driven by an increase in our weighted average interest rate of 23 basis points primarily due to the issuance of our 5.250% Senior Notes on December 15, 2016, as well as an increase in average borrowings of $129.0 million, which is net of a decrease of $1.5 million due to the impact of foreign exchange rates. The increase in average borrowings was driven by recent acquisition and investment activity, primarily related to Botanicare, Gavita, a Canadian growing media operation and an increase in repurchases of our Common Shares.</w:t>
      </w:r>
    </w:p>
    <w:p>
      <w:pPr>
        <w:spacing w:after="0" w:line="10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Interest expense was $37.1 million for the six months ended April 1, 2017 compared to $35.4 million for the six months ended April 2, 2016. The increase of $1.7 million was driven by an increase in average borrowings of $160.4 million, which is net of a decrease of $6.3 million due to the impact of foreign exchange rates, partially offset by a decrease in our weighted average interest rate of 23 basis points primarily due to the redemption of our 6.625% Senior Notes on December 15, 2015. The increase in average borrowings was driven by recent acquisition and investment activity, primarily related to Botanicare, Gavita, a Canadian growing media operation and an increase in repurchases of our Common Shares.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effective tax rate related to continuing operations for the six months ended April 1, 2017 and April 2, 2016 was 35.5%. The effective tax rate used for interim purposes was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Continuing Operations</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Income from continuing operations was $165.3 million, or $2.73 per diluted share, for the three months ended April 1, 2017 compared to $225.8 million, or $3.64 per diluted share, for the three months ended April 2, 2016. The decrease was driven by impairment, restructuring and other charges during the three months ended April 1, 2017 as compared to recoveries during the three months ended April 2, 2016, a decrease in net sales and an increase in equity in loss of unconsolidated affiliates and interest expense, partially offset by lower SG&amp;A. Diluted average common shares used in the diluted income per common share calculation were 60.6 million for the three months ended April 1, 2017 compared to 62.2 million for the three months ended April 2, 2016. The decrease was primarily the result of Common Share repurchase activity, partially offset by the exercise and issuance of share-based compensation awards.</w:t>
      </w:r>
    </w:p>
    <w:p>
      <w:pPr>
        <w:spacing w:after="0" w:line="32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Income from continuing operations was $101.0 million, or $1.65 per diluted share, for the six months ended April 1, 2017 compared to $146.6 million, or $2.35 per diluted share, for the six months ended April 2, 2016. The decrease was driven by impairment, restructuring and other charges during the six months ended April 1, 2017 as compared to recoveries during the six months ended April 2, 2016, higher SG&amp;A and an increase in equity in loss of unconsolidated affiliates and interest expense, partially offset by an increase in net sales, gross profit rate and other income as well as a decrease in costs related to refinancing. Diluted average common shares used in the diluted income per common share calculation were 60.9 million for the six months ended April 1, 2017 compared to 62.4 million for the six months ended April 2, 2016. The decrease was primarily the result of Common Share repurchase activity, partially offset by the exercise and issuance of share-based compensation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Discontinued Operations, net of tax</w:t>
      </w:r>
    </w:p>
    <w:p>
      <w:pPr>
        <w:spacing w:after="0" w:line="14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Loss from discontinued operations, net of tax, was $0.1 million and $0.7 million for the three and six months ended April 1, 2017, respectively, as compared to $16.0 million and $17.5 million for the three and six months ended April 2, 2016, respectively.</w:t>
      </w:r>
    </w:p>
    <w:p>
      <w:pPr>
        <w:spacing w:after="0" w:line="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April 1, 2017, we recognized $0.1 million and $0.7 million, respectively, in transaction related costs associated with the divestiture of the SLS Business. During the three and six months ended April 2, 2016, we recognized $9.0 million for the resolution of a prior SLS Business litigation matter, as well as $1.6 million and $4.6 million, respectively, in transaction related costs associated with the divestiture of the SLS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divide our business into three reportable segments: U.S. Consumer, Europe Consumer and Other. U.S. Consumer consists of the Company’s consumer lawn and garden business located in the geographic United States. Europe Consumer consists of the Company’s consumer lawn and garden business located in geographic Europe. Other consists of the Company’s consumer lawn and garden business in geographies other than the U.S. and Europe, the Company’s indoor, urban and hydroponic gardening business, and revenues and expenses associated with the Company’s supply agreements with Israel Chemicals, Ltd. Corporate consists of general and administrative expenses and certain other income/expense items not allocated to the business segments. This division of reportable segments is consistent with how the segments report to and are managed by the chief operating decision maker of the Company.</w:t>
      </w:r>
    </w:p>
    <w:p>
      <w:pPr>
        <w:spacing w:after="0" w:line="1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Segment performance is evaluated based on several factors, including income (loss) from continuing operations before income taxes, amortization, impairment, restructuring and other charges (“Segment Profit (Loss)”), which is a non-GAAP financial measure. Senior management uses this measure of profit (loss) to evaluate segment performance because the Company believes this measure is indicative of performance trends and the overall earnings potential of each segment.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net sales by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8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00" w:type="dxa"/>
            <w:vAlign w:val="bottom"/>
          </w:tcPr>
          <w:p>
            <w:pPr>
              <w:spacing w:after="0"/>
              <w:rPr>
                <w:sz w:val="12"/>
                <w:szCs w:val="12"/>
                <w:color w:val="auto"/>
              </w:rPr>
            </w:pPr>
          </w:p>
        </w:tc>
        <w:tc>
          <w:tcPr>
            <w:tcW w:w="10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2"/>
                <w:szCs w:val="12"/>
                <w:color w:val="auto"/>
              </w:rPr>
            </w:pPr>
          </w:p>
        </w:tc>
        <w:tc>
          <w:tcPr>
            <w:tcW w:w="940" w:type="dxa"/>
            <w:vAlign w:val="bottom"/>
          </w:tcPr>
          <w:p>
            <w:pPr>
              <w:jc w:val="right"/>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95"/>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Consumer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962.5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1,039.7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1,088.0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1,152.9</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 Consumer</w:t>
            </w:r>
          </w:p>
        </w:tc>
        <w:tc>
          <w:tcPr>
            <w:tcW w:w="20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140.7</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146.1</w:t>
            </w:r>
          </w:p>
        </w:tc>
      </w:tr>
      <w:tr>
        <w:trPr>
          <w:trHeight w:val="257"/>
        </w:trPr>
        <w:tc>
          <w:tcPr>
            <w:tcW w:w="6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1,203.5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1,450.3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1,439.7</w:t>
            </w: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Segment Profit as well as a reconciliation to the most directly comparable GAAP measure: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8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00" w:type="dxa"/>
            <w:vAlign w:val="bottom"/>
          </w:tcPr>
          <w:p>
            <w:pPr>
              <w:spacing w:after="0"/>
              <w:rPr>
                <w:sz w:val="12"/>
                <w:szCs w:val="12"/>
                <w:color w:val="auto"/>
              </w:rPr>
            </w:pPr>
          </w:p>
        </w:tc>
        <w:tc>
          <w:tcPr>
            <w:tcW w:w="10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2"/>
                <w:szCs w:val="12"/>
                <w:color w:val="auto"/>
              </w:rPr>
            </w:pPr>
          </w:p>
        </w:tc>
        <w:tc>
          <w:tcPr>
            <w:tcW w:w="940" w:type="dxa"/>
            <w:vAlign w:val="bottom"/>
          </w:tcPr>
          <w:p>
            <w:pPr>
              <w:jc w:val="right"/>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95"/>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Consumer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281.8</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 Consumer</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r>
      <w:tr>
        <w:trPr>
          <w:trHeight w:val="237"/>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Segment Profit (Non-GAAP)</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299.3</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40.5</w:t>
            </w:r>
          </w:p>
        </w:tc>
      </w:tr>
      <w:tr>
        <w:trPr>
          <w:trHeight w:val="270"/>
        </w:trPr>
        <w:tc>
          <w:tcPr>
            <w:tcW w:w="65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Equity in loss of unconsolidated affiliates </w:t>
            </w:r>
            <w:r>
              <w:rPr>
                <w:rFonts w:ascii="Times New Roman" w:cs="Times New Roman" w:eastAsia="Times New Roman" w:hAnsi="Times New Roman"/>
                <w:sz w:val="25"/>
                <w:szCs w:val="25"/>
                <w:color w:val="auto"/>
                <w:vertAlign w:val="superscript"/>
              </w:rPr>
              <w:t>(a)</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related to refinancing</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 before income taxes (GAAP)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hanging="652"/>
        <w:spacing w:after="0" w:line="281"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within loss of unconsolidated affiliates for the three and six months ended April 1, 2017 are charges of $2.1 million and $11.7 million, respectively, which represent our share of restructuring and other charges incurred by the TruGreen Joint Venture.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Consumer</w:t>
      </w:r>
    </w:p>
    <w:p>
      <w:pPr>
        <w:spacing w:after="0" w:line="148"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18"/>
          <w:szCs w:val="18"/>
          <w:color w:val="auto"/>
        </w:rPr>
        <w:t>U.S. Consumer segment net sales were $962.5 million in the second quarter of fiscal 2017, a decrease of 7.4% from the second quarter of fiscal 2016 net sales of $1,039.7 million; and were $1,088.0 million in the first six months of fiscal 2017, a decrease of 5.6% from the first six months of fiscal 2016 net sales of $1,152.9 million. For the second quarter of fiscal 2017, the decrease was driven by the unfavorable impact of volume of 7.8%, partially offset by the favorable impact of pricing of 0.3%. Decreased sales volume for the second quarter of fiscal 2017 was driven by decreased sales of fertilizer, growing media, grass seed and controls products as well as decreased net sales associated with our Marketing Agreement for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partially offset by increased sales of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Lawns products. For the six months ended April 1, 2017, the decrease was driven by the unfavorable impact of volume of 6.2%, partially offset by the favorable impacts of pricing and acquisitions of 0.4% and 0.1%, respectively. Decreased sales volume for the six months ended April 1, 2017 was driven by decreased sales of fertilizer, growing media, grass seed and controls products as well as decreased net sales associated with our Marketing Agreement for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partially offset by increased sales of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Lawns products.</w:t>
      </w:r>
    </w:p>
    <w:p>
      <w:pPr>
        <w:spacing w:after="0" w:line="1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U.S. Consumer Segment Profit decreased by $22.2 million, or 6.6%, in the second quarter of fiscal 2017, and decreased $6.0 million, or 2.1%, in the first six months of fiscal 2017, as compared to the same periods in fiscal 2016. The decrease for the three and six months ended April 1, 2017 was primarily due to decreased net sales, partially offset by an increase in gross profit rate of 60 and 80 basis points, respectively, and lower SG&amp;A.</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 Consumer</w:t>
      </w:r>
    </w:p>
    <w:p>
      <w:pPr>
        <w:spacing w:after="0" w:line="1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Europe Consumer segment net sales were $105.3 million in the second quarter of fiscal 2017, a decrease of 8.4% from the second quarter of fiscal 2016 net sales of $115.0 million; and were $129.7 million in the first six months of fiscal 2017, a decrease of 7.8% from the first six months of fiscal 2016 net sales of $140.7 million. For the second quarter of fiscal 2017, the decrease was driven by the prior year exit from the U.K. Solus business of $0.6 million, or 0.5%, and the unfavorable impacts of changes in foreign exchange rates, decreased pricing and volume of 6.0%, 1.1% and 0.9%, respectively. For the six months ended April 1, 2017, the decrease was driven by the prior year exit from the U.K. Solus business of $1.6 million, or 1.1%, and the unfavorable impacts of changes in foreign exchange rates and decreased pricing of 6.3% and 1.8%, respectively, partially offset by the favorable impact of volume of 1.3%.</w:t>
      </w:r>
    </w:p>
    <w:p>
      <w:pPr>
        <w:spacing w:after="0" w:line="10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Europe Consumer Segment Profit decreased $3.3 million, to $18.3 million, in the second quarter of fiscal 2017, and decreased $2.5 million, to $9.9 million, in the first six months of fiscal 2017, as compared to the same periods in fiscal 2016. The decrease for the three and six months ended April 1, 2017 was primarily due to decreased net sales and gross profit, partially offset by lower SG&amp;A resulting from decreased variable incentive compensation expense and the favorable impacts of changes in foreign exchange rates.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Other segment net sales were $135.7 million in the second quarter of fiscal 2017, an increase of 49.9% from the second quarter of fiscal 2016 net sales of $90.5 million; and were $232.6 million in the first six months of fiscal 2017, an increase of 59.2% from the first six months of fiscal 2016 net sales of $146.1 million. For the second quarter of fiscal 2017, the increase was driven by the favorable impacts of acquisitions and volume of 42.9% and 7.2%, respectively, partially offset by the unfavorable impact of changes in foreign exchange rates of 0.2%. For the six months ended April 1, 2017, the increase was driven by the favorable impacts of acquisitions and volume of 54.2% and 5.2%, respectively, partially offset by the unfavorable impact of changes in foreign exchange rates of 0.2%.</w:t>
      </w:r>
    </w:p>
    <w:p>
      <w:pPr>
        <w:spacing w:after="0" w:line="10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Other Segment Profit increased to $15.1 million in the second quarter of fiscal 2017 as compared to $4.6 million in the second quarter of fiscal 2016; and increased to $20.7 million in the first six months of fiscal 2017 as compared to $5.1 million in the first six months of fiscal 2016. The increase for the three and six months ended April 1, 2017 was primarily driven by increased net sales and gross profit rate, partially offset by higher SG&amp;A from acquired businesses and costs related to transaction activity.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Corporate expenses were $35.9 million and $58.8 million for the three and six months ended April 1, 2017 as compared to $35.7 million and $60.1 million for the three and six months ended April 2, 2016, respectively. The decrease for the six months ended April 1, 2017 was primarily due to lower variable incentive compensation expense and an increase in income on loans receivable and royalty income earned from the TruGreen Joint Venture related to its use of our brand names.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totaled $497.8 million for the six months ended April 1, 2017 as compared to $627.8 million for the six months ended April 2, 2016. Cash used in operating activities related to the SLS Business was $9.3 million for the six months ended April 1, 2017 primarily due to the payment of a previously accrued SLS Business litigation matter. Cash provided by operating activities related to the SLS Business was $12.2 million for the six months ended April 2, 2016.</w:t>
      </w:r>
    </w:p>
    <w:p>
      <w:pPr>
        <w:spacing w:after="0" w:line="9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decreased $130.0 million for the first six months of fiscal 2017 as compared to the first six months of fiscal 2016, primarily driven by a decrease in cash used for working capital. The decrease in cash used for working capital was due to less growth in inventory driven by Company-wide efforts to improve inventory management and reduce inventory levels, as well as lower growth in accounts receivable due to sales volumes and increased accounts payable as a result of timing of payments to vendors.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totaled $106.1 million and $98.2 million for the six months ended April 1, 2017 and April 2, 2016, respectively. Cash used in investing activities related to the SLS Business was zero and $0.1 million for the six months ended April 1, 2017 and April 2, 2016, respectively.</w:t>
      </w:r>
    </w:p>
    <w:p>
      <w:pPr>
        <w:spacing w:after="0" w:line="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Cash used for investments in property, plant and equipment during the first six months of fiscal 2017 and fiscal 2016 was $32.8 million and $24.4 million, respectively. During the six months ended April 1, 2017, we also completed the acquisition of Botanicare and two other small acquisitions which included cash payments of $77.9 million. During the six months ended April 2, 2016, we made an investment in Bonnie in the amount of $72.0 million and an unconsolidated affiliate of $2.0 million.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Financing activities provided cash of $629.8 million and $713.5 million for the six months ended April 1, 2017 and April 2, 2016, respectively. The decrease in cash provided by financing activities of $83.7 million was the result of a decrease in net borrowings under our credit facilities of $63.8 million, an increase in repurchases of our Common Shares of $47.6 million, an increase in payments on seller notes of $10.9 million, an $8.1 million distribution paid by AeroGrow to its noncontrolling interest holders and a decrease in cash received from the exercise of stock options of $7.5 million, partially offset by the issuance of $250.0 million aggregate principal amount of 5.250% Senior Notes during the first six months of fiscal 2017 as compared to a net issuance of $200.0 million aggregate principal amount of Senior Notes during the first six months of fiscal 2016 and a decrease in financing and issuance fees paid of $6.6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cash and cash equivalents were held in cash depository accounts with major financial institutions around the world or invested in high quality, short-term liquid investments having original maturities of three months or less. The cash and cash equivalents balances of $74.3 million, $57.3 million and $50.1 million as of April 1, 2017, April 2, 2016 and September 30, 2016, respectively, included $52.4 million, $46.2 million and $39.9 million, respectively,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 sale or liquidation.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Agreements</w:t>
      </w:r>
    </w:p>
    <w:p>
      <w:pPr>
        <w:spacing w:after="0" w:line="14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cash generated by operations and borrowings under our credit facilities, which are guaranteed by substantially all of Scotts Miracle-Gro’s domestic subsidiaries. On December 20, 2013, we entered into the third amended and restated credit agreement, providing us with a five-year senior secured revolving loan facility in the aggregate principal amount of up to $1.7 billion (the “former credit facility”). On October 29, 2015, we entered into the fourth amended and restated credit agreement (the “credit agreement”), providing us with five-year senior secured loan facilities in the aggregate principal amount of $1.9 billion, comprised of a revolving credit facility of $1.6 billion and a term loan in the original principal amount of $300.0 million (the “credit facilities”). The credit agreement also provides us with the right to seek additional committed credit under the agreement in an aggregate amount of up to $500.0 million plus an unlimited additional amount, subject to certain specified financial and other conditions. Under the credit agreement, we have the ability to obtain letters of credit up to $100.0 million. Borrowings on the revolving credit facility may be made in various currencies, including U.S. dollars, euro, British pounds, Australian dollars and Canadian dollars.</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At April 1, 2017, we had letters of credit outstanding in the aggregate principal amount of $23.8 million, and $0.5 billion of availability under the credit agreement, subject to our continued compliance with the covenants discussed below. The weighted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interest rate on average borrowings under the credit agreement and the former credit facility was 3.7% for the six months ended April 1, 2017 and April 2, 2016.</w:t>
      </w:r>
    </w:p>
    <w:p>
      <w:pPr>
        <w:spacing w:after="0" w:line="8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maintained a Master Accounts Receivable Purchase Agreement (as amended, “MARP Agreement”), which provided for the discretionary sale by us, and the discretionary purchase by the participating banks, on a revolving basis, of accounts receivable generated by sales to three specified debtors in an aggregate amount not to exceed $400.0 million. The MARP Agreement terminated effective October 14, 2016 in accordance with its terms upon our repayment of its outstanding obligations thereunder using $133.5 million borrowed under the credit agreement. There were no borrowings or receivables pledged as collateral under the MARP Agreement as of April 1, 2017. There were $166.7 million in borrowings or receivables pledged as collateral under the MARP Agreement as of April 2, 2016. The carrying value of the receivables pledged as collateral was $208.4 million as of April 2, 2016.</w:t>
      </w:r>
    </w:p>
    <w:p>
      <w:pPr>
        <w:spacing w:after="0" w:line="13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April 7, 2017, we entered into a Master Repurchase Agreement (including the annexes thereto, the “Repurchase Agreement”) and a Master Framework Agreement (the “Framework Agreement” and, together with the Repurchase Agreement, the “Receivables Facility”). Under the Receivables Facility, we may sell a portfolio of available and eligible outstanding customer accounts receivable to the purchasers and simultaneously agrees to repurchase the receivables on a weekly basis. The eligible accounts receivable consist of up to $250.0 million in accounts receivable generated by sales to three specified customers. The Receivables Facility is committed up to $100.0 million during the commitment period beginning on April 7, 2017 and ending on June 16, 2017. The Receivables Facility is considered a secured financing with the customer accounts receivable, related contract rights and proceeds thereof (and the collection accounts into which the same are deposited) constituting the collateral therefor. The repurchase price for customer accounts receivable bears interest at LIBOR (with a zero floor) plus 0.90%. The Receivables Facility expires on August 25, 2017.</w:t>
      </w:r>
    </w:p>
    <w:p>
      <w:pPr>
        <w:spacing w:after="0" w:line="13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December 15, 2016, we issued $250.0 million aggregate principal amount of 5.250% senior notes due 2026 (the “5.250% Senior Notes”). The net proceeds of the offering were used to repay outstanding borrowings under our credit facilities. The 5.250% Senior Notes represent general unsecured senior obligations and rank equal in right of payment with our existing and future unsecured senior debt. The 5.250% Senior Notes have interest payment dates of June 15 and December 15 of each year, commencing June 15, 2017. The 5.250% Senior Notes may be redeemed, in whole or in part, on or after December 15, 2021 at applicable redemption premiums. The 5.250% Senior Notes contain customary covenants and events of default and mature on December 15, 2026. Substantially all of our domestic subsidiaries serve as guarantors of the 5.250% Senior Notes.</w:t>
      </w:r>
    </w:p>
    <w:p>
      <w:pPr>
        <w:spacing w:after="0" w:line="13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December 15, 2015, we used a portion of our available credit facility borrowings to redeem all $200.0 million aggregate principal amount of our outstanding 6.625% senior notes due 2020 (the “6.625% Senior Notes”) paying a redemption price of $213.2 million, comprised of $6.6 million of accrued and unpaid interest, $6.6 million of call premium and $200.0 million for outstanding principal amount. The $6.6 million call premium charge was recognized within the “Costs related to refinancing” line on the Condensed Consolidated Statement of Operations in the first quarter of fiscal 2016. Additionally, we had $2.2 million in unamortized bond discount and issuance costs associated with the 6.625% Senior Notes that were written off and recognized in the “Costs related to refinancing” line on the Condensed Consolidated Statement of Operations in the first quarter of fiscal 2016.</w:t>
      </w:r>
    </w:p>
    <w:p>
      <w:pPr>
        <w:spacing w:after="0" w:line="13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October 13, 2015, we issued $400.0 million aggregate principal amount of 6.000% senior notes due 2023 (the “6.000% Senior Notes”). The net proceeds of the offering were used to repay outstanding borrowings under our former credit facility. The 6.000% Senior Notes represent general unsecured senior obligations and rank equal in right of payment with our existing and future unsecured senior debt. The 6.000% Senior Notes have interest payment dates of April 15 and October 15 of each year, commencing April 15, 2016. The 6.000% Senior Notes may be redeemed, in whole or in part, on or after October 15, 2018 at applicable redemption premiums. The 6.000% Senior Notes contain customary covenants and events of default and mature on October 15, 2023. Substantially all of our domestic subsidiaries serve as guarantors of the 6.000% Senior Notes.</w:t>
      </w:r>
    </w:p>
    <w:p>
      <w:pPr>
        <w:spacing w:after="0" w:line="10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were in compliance with all debt covenants as of April 1, 2017. Our credit agreement contains, among other obligations, an affirmative covenant regarding our leverage ratio on the last day of each quarter, calculated as our net indebtedness divided by adjusted earnings before interest, taxes, depreciation and amortization. The maximum leverage ratio was 4.50 as of April 1, 2017. Our leverage ratio was 3.20 at April 1, 2017. Our credit agreement also includes an affirmative covenant regarding our interest coverage. The minimum interest coverage ratio was 3.00 for the twelve months ended April 1, 2017. Our interest coverage ratio was 7.81 for the twelve months ended April 1, 2017. The credit agreement allows us to make unlimited restricted payments (as defined in the credit agreement), including increased or one-time dividend payments and Common Share repurchases, as long as the leverage ratio resulting from the making of such restricted payments is 4.00 or less. Otherwise we may only make restricted payments in an aggregate amount for each fiscal year not to exceed the amount set forth in the credit agreement for such fiscal year ($175.0 million for fiscal 2017 and $200.0 million for fiscal 2018 and each fiscal year thereafter).</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continue to monitor our compliance with the leverage ratio, interest coverage ratio and other covenants contained in the credit agreement and, based upon our current operating assumptions, we expect to remain in compliance with the permissible leverage ratio and interest coverage ratio throughout fiscal 2017. However, an unanticipated shortfall in earnings, an increase in net indebtedness or other factors could materially affect our ability to remain in compliance with the financial or other covenants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credit agreement, potentially causing us to have to seek an amendment or waiver from our lending group which could result in repricing of our credit facilities. While we believe we have good relationships with our lending group, we can provide no assurance that such a request would result in a modified or replacement credit agreement on reasonable terms, if at all.</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Judicial and Administrative Proceedings</w:t>
      </w:r>
    </w:p>
    <w:p>
      <w:pPr>
        <w:spacing w:after="0" w:line="1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believe the assessment of contingencies is reasonable and related reserves,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than the changes to our borrowing agreements and acquisition activity during the first six months of fiscal 2017, there have been no material changes outside of the ordinary course of business in our outstanding contractual obligations since the end of fiscal 2016 and through April 1, 2017. As part of the fiscal 2017 acquisitions, we acquired operating leases with total future minimum leases payments for non-cancelable operating leases of $3.6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4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2016 Annual Report, under “ITEM 1. BUSINESS — Regulatory Considerations” and “ITEM 3. LEGAL PROCEEDINGS.”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2016 Annual Report includes additional information about us, our operations, our financial condition, our critical accounting policies and accounting estimates, and should be read in conjunction with this Quarterly Report on Form 10-Q.</w:t>
      </w:r>
    </w:p>
    <w:p>
      <w:pPr>
        <w:spacing w:after="0" w:line="95" w:lineRule="exact"/>
        <w:rPr>
          <w:sz w:val="20"/>
          <w:szCs w:val="20"/>
          <w:color w:val="auto"/>
        </w:rPr>
      </w:pPr>
    </w:p>
    <w:p>
      <w:pPr>
        <w:jc w:val="right"/>
        <w:ind w:right="4240"/>
        <w:spacing w:after="0" w:line="483" w:lineRule="auto"/>
        <w:rPr>
          <w:sz w:val="20"/>
          <w:szCs w:val="20"/>
          <w:color w:val="auto"/>
        </w:rPr>
      </w:pPr>
      <w:r>
        <w:rPr>
          <w:rFonts w:ascii="Times New Roman" w:cs="Times New Roman" w:eastAsia="Times New Roman" w:hAnsi="Times New Roman"/>
          <w:sz w:val="17"/>
          <w:szCs w:val="17"/>
          <w:b w:val="1"/>
          <w:bCs w:val="1"/>
          <w:color w:val="auto"/>
        </w:rPr>
        <w:t xml:space="preserve">ITEM 3. QUANTITATIVE AND QUALITATIVE DISCLOSURES ABOUT MARKET RISK </w:t>
      </w:r>
      <w:r>
        <w:rPr>
          <w:rFonts w:ascii="Times New Roman" w:cs="Times New Roman" w:eastAsia="Times New Roman" w:hAnsi="Times New Roman"/>
          <w:sz w:val="17"/>
          <w:szCs w:val="17"/>
          <w:color w:val="auto"/>
        </w:rPr>
        <w:t>Market risks have not changed significantly from those disclosed in the 2016 Annual Report.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0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0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addition, there were no changes in the Registrant’s internal control over financial reporting (as defined in Rule 13a-15(f) under the Exchange Act) that occurred during the Registrant’s fiscal quarter ended April 1, 2017 that have materially affected, or are reasonably likely to materially affect, the Registrant’s internal control over financial reporting.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involved in lawsuits and claims which arise in the normal course of our business. Below is an update to a legal proceeding that has been previously disclosed in our Annual Report on Form 10-K for the year ended September 30, 2016.</w:t>
      </w:r>
    </w:p>
    <w:p>
      <w:pPr>
        <w:spacing w:after="0" w:line="10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sale of wild bird food products that were the subject of a voluntary recall in 2008, the Company, along with its Chief Executive Officer, have been named as defendants in four actions filed on and after June 27, 2012, which have been consolidated and, on March 31, 2017, certified as a class action in the United States District Court for the Southern District of California as </w:t>
      </w:r>
      <w:r>
        <w:rPr>
          <w:rFonts w:ascii="Times New Roman" w:cs="Times New Roman" w:eastAsia="Times New Roman" w:hAnsi="Times New Roman"/>
          <w:sz w:val="18"/>
          <w:szCs w:val="18"/>
          <w:i w:val="1"/>
          <w:iCs w:val="1"/>
          <w:color w:val="auto"/>
        </w:rPr>
        <w:t>In re Morning Song Bird Food Litigation</w:t>
      </w:r>
      <w:r>
        <w:rPr>
          <w:rFonts w:ascii="Times New Roman" w:cs="Times New Roman" w:eastAsia="Times New Roman" w:hAnsi="Times New Roman"/>
          <w:sz w:val="18"/>
          <w:szCs w:val="18"/>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class action on behalf of all persons and entities in the United States who purchased certain bird food products. The plaintiffs assert: (i) hundreds of millions of dollars in monetary damages (actual, compensatory, consequential, and restitution); (ii) punitive and treble damages; (iii) injunctive and declaratory relief; (iv) pre-judgment and post-judgment interest; and (v) costs and attorneys’ fees. The Company and its Chief Executive Officer dispute the plaintiffs’ assertions and intend to vigorously defend the consolidated action. At this point in the proceedings, it is not currently possible to reasonably estimate a probable loss, if any, associated with the action and, accordingly, no reserves have been recorded in the consolidated financial statements with respect to the action. There can be no assurance that this action, whether as a result of an adverse outcome or as a result of significant defense costs, will not have a material adverse effect on the Company’s financial condition, results of operations or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Reference is made to the Risk Factors set forth in Part I, Item 1A of our Annual Report on Form 10-K for the year ended September 30, 2016 filed on November 28, 2016. The information presented below updates the applicable risk factor appearing in our 2016 Annual Report.</w:t>
      </w:r>
    </w:p>
    <w:p>
      <w:pPr>
        <w:spacing w:after="0" w:line="158"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may be purchased for use in new and emerging industries or segments and/or be subject to varying, inconsistent, and rapidly changing laws, regulations, administrative practices, enforcement approaches, judicial interpretations, and consumer perceptions.</w:t>
      </w:r>
    </w:p>
    <w:p>
      <w:pPr>
        <w:spacing w:after="0" w:line="15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sell products, including hydroponic gardening products, that end users may purchase for use in new and emerging industries or segments, including the growing of cannabis, that may not grow or achieve market acceptance in a manner that we can predict. The demand for these products is dependent on the growth of these industries or segments, which is uncertain.</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addition, we sell products that end users may purchase for use in industries or segments, including the growing of cannabis, that are subject to varying, inconsistent, and rapidly changing laws, regulations, administrative practices, enforcement approaches, judicial interpretations, and consumer perceptions. For example, certain countries and 28 U.S. states have adopted frameworks that authorize, regulate, and tax the cultivation, processing, sale, and use of cannabis for medicinal and/or non-medicinal use, although the U.S. Controlled Substances Act and the laws of multiple other U.S. states prohibit growing cannabis.</w:t>
      </w:r>
    </w:p>
    <w:p>
      <w:pPr>
        <w:spacing w:after="0" w:line="18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Our gardening products, including our hydroponic gardening products, are multi-purpose products designed and intended for growing a wide range of plants and are generally purchased from retailers by end users who may grow any variety of plants, including cannabis. Although the demand for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8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Forward-looking statements contained in this Quarterly Report on Form 10-Q are predictions only and actual results could differ materially from management’s expectations due to a variety of factors, including those described in “ITEM 1A. RISK FACTORS” in the 2016 Annual Report. All forward-looking statements attributable to us or persons working on our behalf are expressly qualified in their entirety by such risk factors.</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terms of the credit agreement allow the Company to make unlimited restricted payments (as defined in the credit agreement), including increased or one-time dividend payments and Common Share repurchases, so long as the leverage ratio resulting from the making of such restricted payments is 4.00 or less. Otherwise the Company may only make restricted payments in an aggregate amount for each fiscal year not to exceed the amount set forth in the credit agreement for such fiscal year ($175.0 million for fiscal 2017 and $200.0 million for fiscal 2018 and each fiscal year thereafter). Our leverage ratio was 3.20 at April 1, 2017.</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Issuer Purchases of Equity Securities</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April 1,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vMerge w:val="restart"/>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Value of Common Shares</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per Common Share(2)</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Plans or Programs(3)</w:t>
            </w:r>
          </w:p>
        </w:tc>
        <w:tc>
          <w:tcPr>
            <w:tcW w:w="0" w:type="dxa"/>
            <w:vAlign w:val="bottom"/>
          </w:tcPr>
          <w:p>
            <w:pPr>
              <w:spacing w:after="0"/>
              <w:rPr>
                <w:sz w:val="1"/>
                <w:szCs w:val="1"/>
                <w:color w:val="auto"/>
              </w:rPr>
            </w:pPr>
          </w:p>
        </w:tc>
      </w:tr>
      <w:tr>
        <w:trPr>
          <w:trHeight w:val="23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January 1 through January 28</w:t>
            </w:r>
          </w:p>
        </w:tc>
        <w:tc>
          <w:tcPr>
            <w:tcW w:w="18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128,502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94.25</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127,359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798,972,942</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January 29 through February 25</w:t>
            </w:r>
          </w:p>
        </w:tc>
        <w:tc>
          <w:tcPr>
            <w:tcW w:w="18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164,693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92.32</w:t>
            </w:r>
          </w:p>
        </w:tc>
        <w:tc>
          <w:tcPr>
            <w:tcW w:w="120" w:type="dxa"/>
            <w:vAlign w:val="bottom"/>
          </w:tcPr>
          <w:p>
            <w:pPr>
              <w:spacing w:after="0"/>
              <w:rPr>
                <w:sz w:val="20"/>
                <w:szCs w:val="20"/>
                <w:color w:val="auto"/>
              </w:rPr>
            </w:pPr>
          </w:p>
        </w:tc>
        <w:tc>
          <w:tcPr>
            <w:tcW w:w="20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164,689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783,768,723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February 26 through April 1</w:t>
            </w:r>
          </w:p>
        </w:tc>
        <w:tc>
          <w:tcPr>
            <w:tcW w:w="18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222,606</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91.83</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217,841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763,762,368</w:t>
            </w:r>
          </w:p>
        </w:tc>
        <w:tc>
          <w:tcPr>
            <w:tcW w:w="0" w:type="dxa"/>
            <w:vAlign w:val="bottom"/>
          </w:tcPr>
          <w:p>
            <w:pPr>
              <w:spacing w:after="0"/>
              <w:rPr>
                <w:sz w:val="1"/>
                <w:szCs w:val="1"/>
                <w:color w:val="auto"/>
              </w:rPr>
            </w:pPr>
          </w:p>
        </w:tc>
      </w:tr>
      <w:tr>
        <w:trPr>
          <w:trHeight w:val="244"/>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515,801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92.59</w:t>
            </w:r>
          </w:p>
        </w:tc>
        <w:tc>
          <w:tcPr>
            <w:tcW w:w="120" w:type="dxa"/>
            <w:vAlign w:val="bottom"/>
          </w:tcPr>
          <w:p>
            <w:pPr>
              <w:spacing w:after="0"/>
              <w:rPr>
                <w:sz w:val="21"/>
                <w:szCs w:val="21"/>
                <w:color w:val="auto"/>
              </w:rPr>
            </w:pPr>
          </w:p>
        </w:tc>
        <w:tc>
          <w:tcPr>
            <w:tcW w:w="204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509,889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500" w:right="20" w:hanging="465"/>
        <w:spacing w:after="0" w:line="25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Common Shares purchased during the quarter were purchased in open market transactions. The total number of Common Shares purchased during the quarter includes 5,912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23" w:lineRule="exact"/>
        <w:rPr>
          <w:rFonts w:ascii="Times New Roman" w:cs="Times New Roman" w:eastAsia="Times New Roman" w:hAnsi="Times New Roman"/>
          <w:sz w:val="18"/>
          <w:szCs w:val="18"/>
          <w:color w:val="auto"/>
        </w:rPr>
      </w:pPr>
    </w:p>
    <w:p>
      <w:pPr>
        <w:ind w:left="500" w:hanging="465"/>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Common Share is calculated on a settlement basis and includes commissions.</w:t>
      </w:r>
    </w:p>
    <w:p>
      <w:pPr>
        <w:spacing w:after="0" w:line="252" w:lineRule="exact"/>
        <w:rPr>
          <w:rFonts w:ascii="Times New Roman" w:cs="Times New Roman" w:eastAsia="Times New Roman" w:hAnsi="Times New Roman"/>
          <w:sz w:val="18"/>
          <w:szCs w:val="18"/>
          <w:color w:val="auto"/>
        </w:rPr>
      </w:pPr>
    </w:p>
    <w:p>
      <w:pPr>
        <w:jc w:val="both"/>
        <w:ind w:left="500" w:right="40" w:hanging="465"/>
        <w:spacing w:after="0" w:line="25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11, 2014, Scotts Miracle-Gro announced that its Board of Directors authorized the repurchase of up to $500 million of Common Shares over a five-year period (effective November 1, 2014 through September 30, 2019). On August 3, 2016, Scotts Miracle-Gro announced that its Board of Directors increased the then outstanding authorization by an additional $500 million. The amended authorization allows for repurchases of Common Shares of $1.0 billion through September 30, 2019. The dollar amounts in the “Approximate Dollar Value of Common Shares That May Yet be Purchased Under the Plans or Programs” column reflect the remaining amounts that were available for repurchase under the original$500 million and incremental $500 million authorized repurchase programs.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Compensation and Organization Committee (the "Committee") of the Board of Directors of The Scotts Miracle-Gro Company (the "Company") approved the adoption of an Amended and Restated Executive Severance Plan (the "Plan") on April 25, 2017, with the intent to enter into a participation agreement (the "Participation Agreement") during the third fiscal quarter, a form of which was approved by the Committee, with each of the following executive officers: Michael C. Lukemire, President; Thomas Randal Coleman, Executive Vice President and Chief Financial Officer; Ivan C. Smith, Executive Vice President, General Counsel, Chief Compliance Officer and Corporate Secretary; and Denise S. Stump, Executive Vice President, Global Human Resources and Chief Ethics Officer (collectively, the "Executives").</w:t>
      </w:r>
    </w:p>
    <w:p>
      <w:pPr>
        <w:spacing w:after="0" w:line="18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Upon execution of the Participation Agreement by an Executive, the terms of the Plan will replace the severance benefits available to the Executive pursuant to a severance plan approved by the Committee in May 2011 (the “Prior Severance Plan”). Similar to the Prior Severance Plan, under the terms of the Plan, each Executive will be eligible to receive severance benefits in the event his or her employment is terminated without "Cause" or by the Executive for “Good Reason,” provided certain conditions are satisfied.</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term "Cause" is defined as: (a) the willful and material breach of the terms of any agreement between the Executive and the Company; (b) the willful misconduct that has materially injured the business of the Company or an affiliate; (c) a willful material act of fraud or material breach of the Executive’s duty of loyalty to the Company or affiliates; (d) the willful and continuous failure to attempt in good faith to perform the Executive’s duties, subject to certain conditions; or (e) conviction of, or entering into a plea of nolo contendere to, a felony.</w:t>
      </w:r>
    </w:p>
    <w:p>
      <w:pPr>
        <w:spacing w:after="0" w:line="194" w:lineRule="exact"/>
        <w:rPr>
          <w:sz w:val="20"/>
          <w:szCs w:val="20"/>
          <w:color w:val="auto"/>
        </w:rPr>
      </w:pPr>
    </w:p>
    <w:p>
      <w:pPr>
        <w:jc w:val="both"/>
        <w:ind w:firstLine="405"/>
        <w:spacing w:after="0" w:line="269" w:lineRule="auto"/>
        <w:rPr>
          <w:sz w:val="20"/>
          <w:szCs w:val="20"/>
          <w:color w:val="auto"/>
        </w:rPr>
      </w:pPr>
      <w:r>
        <w:rPr>
          <w:rFonts w:ascii="Times New Roman" w:cs="Times New Roman" w:eastAsia="Times New Roman" w:hAnsi="Times New Roman"/>
          <w:sz w:val="18"/>
          <w:szCs w:val="18"/>
          <w:color w:val="auto"/>
        </w:rPr>
        <w:t xml:space="preserve">The term “Good Reason” is defined as a material diminution in the Executive’s: (a) total direct compensation other than as a result of (i) an across-the-board reduction for executives at the Executive’s level or (ii) a reduction in total direct compensation at target as a result of the Executive being in a performance improvement or disciplinary plan; or (b) a material diminution in authority, duties or responsibilities </w:t>
      </w:r>
      <w:r>
        <w:rPr>
          <w:rFonts w:ascii="Times New Roman" w:cs="Times New Roman" w:eastAsia="Times New Roman" w:hAnsi="Times New Roman"/>
          <w:sz w:val="19"/>
          <w:szCs w:val="19"/>
          <w:color w:val="auto"/>
        </w:rPr>
        <w:t>other than in circumstances 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therein.</w:t>
      </w:r>
    </w:p>
    <w:p>
      <w:pPr>
        <w:spacing w:after="0" w:line="16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order to receive benefits under the Plan, each Executive must execute a Participation Agreement, and, upon termination, must execute a release agreement in favor of the Company.</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Participation Agreement provides for the following severance benefits in the event an Executive’s employment is terminated without Cause 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resigns for Good Reason:</w:t>
      </w:r>
    </w:p>
    <w:p>
      <w:pPr>
        <w:spacing w:after="0" w:line="220" w:lineRule="exact"/>
        <w:rPr>
          <w:sz w:val="20"/>
          <w:szCs w:val="20"/>
          <w:color w:val="auto"/>
        </w:rPr>
      </w:pPr>
    </w:p>
    <w:p>
      <w:pPr>
        <w:ind w:left="660" w:right="20" w:hanging="328"/>
        <w:spacing w:after="0" w:line="28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continuation of base salary, in accordance with the Company’s normal payroll practices, for a period of twenty-four months (the "Severance Period") </w:t>
      </w:r>
      <w:r>
        <w:rPr>
          <w:rFonts w:ascii="Times New Roman" w:cs="Times New Roman" w:eastAsia="Times New Roman" w:hAnsi="Times New Roman"/>
          <w:sz w:val="19"/>
          <w:szCs w:val="19"/>
          <w:color w:val="auto"/>
        </w:rPr>
        <w:t>(18 months under the Prior Severance Plan)</w:t>
      </w:r>
      <w:r>
        <w:rPr>
          <w:rFonts w:ascii="Times New Roman" w:cs="Times New Roman" w:eastAsia="Times New Roman" w:hAnsi="Times New Roman"/>
          <w:sz w:val="18"/>
          <w:szCs w:val="18"/>
          <w:color w:val="auto"/>
        </w:rPr>
        <w:t>;</w:t>
      </w:r>
    </w:p>
    <w:p>
      <w:pPr>
        <w:spacing w:after="0" w:line="164" w:lineRule="exact"/>
        <w:rPr>
          <w:rFonts w:ascii="Times New Roman" w:cs="Times New Roman" w:eastAsia="Times New Roman" w:hAnsi="Times New Roman"/>
          <w:sz w:val="18"/>
          <w:szCs w:val="18"/>
          <w:color w:val="auto"/>
        </w:rPr>
      </w:pPr>
    </w:p>
    <w:p>
      <w:pPr>
        <w:ind w:left="660" w:hanging="328"/>
        <w:spacing w:after="0" w:line="28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bonus multiple of two times the target bonus opportunity for the plan year in which the termination occurs, to be paid in two equal installments on the first and second anniversary of the termination effective date </w:t>
      </w:r>
      <w:r>
        <w:rPr>
          <w:rFonts w:ascii="Times New Roman" w:cs="Times New Roman" w:eastAsia="Times New Roman" w:hAnsi="Times New Roman"/>
          <w:sz w:val="19"/>
          <w:szCs w:val="19"/>
          <w:color w:val="auto"/>
        </w:rPr>
        <w:t>(previously a pro-rated bonus payout under the Prior Severance Plan)</w:t>
      </w:r>
      <w:r>
        <w:rPr>
          <w:rFonts w:ascii="Times New Roman" w:cs="Times New Roman" w:eastAsia="Times New Roman" w:hAnsi="Times New Roman"/>
          <w:sz w:val="18"/>
          <w:szCs w:val="18"/>
          <w:color w:val="auto"/>
        </w:rPr>
        <w:t>; and</w:t>
      </w:r>
    </w:p>
    <w:p>
      <w:pPr>
        <w:spacing w:after="0" w:line="15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monthly payment equal to the excess of the then COBRA premium charged by the Company to terminated employees over the premium charged to active employees, for a period of up to twenty four months.</w:t>
      </w:r>
    </w:p>
    <w:p>
      <w:pPr>
        <w:spacing w:after="0" w:line="1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All other benefits to which the Executive has a vested right as of the effective date of termination will be paid or provided according to the provisions of the plans or programs governing such benefits.</w:t>
      </w:r>
    </w:p>
    <w:p>
      <w:pPr>
        <w:spacing w:after="0" w:line="1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addition to the foregoing, in the event termination occurs within two years following a "Change in Control" (as defined in the Plan), the Executive will receive immediate payment of all amounts owed.</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terms of the Plan and the Participation Agreement are qualified in their entirety by reference to the full text of the Plan, a copy of which is included as Exhibit 10.9 to this Quarterly Report on Form 10-Q, and the form of Participation Agreement, a copy of which is included as Exhibit 10.10 to this Quarterly Report on Form 10-Q and is incorporated herein by reference.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See Index to Exhibits at page 67 for a list of the exhibits included herewith.</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219"/>
          </w:cols>
          <w:pgMar w:left="240" w:top="121" w:right="1440" w:bottom="1440" w:gutter="0" w:footer="0" w:header="0"/>
        </w:sectPr>
      </w:pPr>
    </w:p>
    <w:bookmarkStart w:id="65" w:name="page66"/>
    <w:bookmarkEnd w:id="65"/>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14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18"/>
          <w:szCs w:val="18"/>
          <w:color w:val="auto"/>
        </w:rPr>
        <w:t>Date: May 10, 2017</w:t>
      </w:r>
      <w:r>
        <w:rPr>
          <w:sz w:val="20"/>
          <w:szCs w:val="20"/>
          <w:color w:val="auto"/>
        </w:rPr>
        <w:tab/>
      </w:r>
      <w:r>
        <w:rPr>
          <w:rFonts w:ascii="Times New Roman" w:cs="Times New Roman" w:eastAsia="Times New Roman" w:hAnsi="Times New Roman"/>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Printed Name: Thomas Randal Coleman</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FOR THE QUARTERLY PERIOD ENDED APRIL 1, 2017</w:t>
      </w:r>
    </w:p>
    <w:p>
      <w:pPr>
        <w:spacing w:after="0" w:line="2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INDEX TO EXHIBITS</w:t>
      </w:r>
    </w:p>
    <w:p>
      <w:pPr>
        <w:sectPr>
          <w:pgSz w:w="11900" w:h="16838" w:orient="portrait"/>
          <w:cols w:equalWidth="0" w:num="1">
            <w:col w:w="11220"/>
          </w:cols>
          <w:pgMar w:left="240" w:top="121" w:right="439" w:bottom="1440" w:gutter="0" w:footer="0" w:header="0"/>
        </w:sectPr>
      </w:pPr>
    </w:p>
    <w:p>
      <w:pPr>
        <w:spacing w:after="0" w:line="165"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651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24765</wp:posOffset>
            </wp:positionV>
            <wp:extent cx="4056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16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Scotts Miracle-Gro Company Long-Term Incentive Plan (Effective as of January 27, 2017)</w:t>
      </w:r>
    </w:p>
    <w:p>
      <w:pPr>
        <w:spacing w:after="0" w:line="33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333333"/>
        </w:rPr>
        <w:t>Form of Project Focus Performance Unit Award Agreement under The Scotts Miracle-Gro Company Long-Term Incentive Plan (Effective as of January 30, 2017)</w:t>
      </w:r>
    </w:p>
    <w:p>
      <w:pPr>
        <w:spacing w:after="0" w:line="33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Form of Standard Performance Unit Award Agreement under The Scotts Miracle-Gro Company Long-Term Incentive Plan (Effective as of January 30, 2017)</w:t>
      </w:r>
    </w:p>
    <w:p>
      <w:pPr>
        <w:spacing w:after="0" w:line="36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333333"/>
        </w:rPr>
        <w:t>Form of Standard Restricted Stock Unit Award Agreement under The Scotts Miracle-Gro Company Long-Term Incentive Plan (Effective as of January 30, 2017)</w:t>
      </w:r>
    </w:p>
    <w:p>
      <w:pPr>
        <w:spacing w:after="0" w:line="337"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7"/>
          <w:szCs w:val="17"/>
          <w:color w:val="333333"/>
        </w:rPr>
        <w:t>Form of Standard Non-Qualified Stock Option Award Agreement under The Scotts Miracle-Gro Company Long-Term Incentive Plan (Effective as of January 30, 2017)</w:t>
      </w:r>
    </w:p>
    <w:p>
      <w:pPr>
        <w:spacing w:after="0" w:line="3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333333"/>
        </w:rPr>
        <w:t>Consulting Agreement, dated January 31, 2017, between The Scotts Company LLC and Hanft Projects LLC</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24765</wp:posOffset>
            </wp:positionV>
            <wp:extent cx="2383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3"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Incorporated herein by reference to the Registrant’s Current Report on Form 8-K filed January 30, 2017 [Exhibit 10.1]</w:t>
      </w:r>
    </w:p>
    <w:p>
      <w:pPr>
        <w:spacing w:after="0" w:line="136"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Incorporated herein by reference to the Registrant’s Current Report on Form 8-K filed January 30, 2017 [Exhibit 10.2]</w:t>
      </w:r>
    </w:p>
    <w:p>
      <w:pPr>
        <w:spacing w:after="0" w:line="136"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Incorporated herein by reference to the Registrant’s Current Report on Form 8-K filed January 30, 2017 [Exhibit 10.3]</w:t>
      </w:r>
    </w:p>
    <w:p>
      <w:pPr>
        <w:spacing w:after="0" w:line="136"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Incorporated herein by reference to the Registrant’s Current Report on Form 8-K filed January 30, 2017 [Exhibit 10.4]</w:t>
      </w:r>
    </w:p>
    <w:p>
      <w:pPr>
        <w:spacing w:after="0" w:line="136"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Incorporated herein by reference to the Registrant’s Current Report on Form 8-K filed January 30, 2017 [Exhibit 10.5]</w:t>
      </w:r>
    </w:p>
    <w:p>
      <w:pPr>
        <w:spacing w:after="0" w:line="13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t>
      </w:r>
    </w:p>
    <w:p>
      <w:pPr>
        <w:spacing w:after="0" w:line="427" w:lineRule="exact"/>
        <w:rPr>
          <w:sz w:val="20"/>
          <w:szCs w:val="20"/>
          <w:color w:val="auto"/>
        </w:rPr>
      </w:pPr>
    </w:p>
    <w:p>
      <w:pPr>
        <w:sectPr>
          <w:pgSz w:w="11900" w:h="16838" w:orient="portrait"/>
          <w:cols w:equalWidth="0" w:num="3">
            <w:col w:w="840" w:space="340"/>
            <w:col w:w="6340" w:space="340"/>
            <w:col w:w="3360"/>
          </w:cols>
          <w:pgMar w:left="240" w:top="121" w:right="439" w:bottom="1440" w:gutter="0" w:footer="0" w:header="0"/>
          <w:type w:val="continuous"/>
        </w:sectPr>
      </w:pPr>
    </w:p>
    <w:tbl>
      <w:tblPr>
        <w:tblLayout w:type="fixed"/>
        <w:tblInd w:w="200" w:type="dxa"/>
        <w:tblCellMar>
          <w:top w:w="0" w:type="dxa"/>
          <w:left w:w="0" w:type="dxa"/>
          <w:bottom w:w="0" w:type="dxa"/>
          <w:right w:w="0" w:type="dxa"/>
        </w:tblCellMar>
      </w:tblPr>
      <w:tr>
        <w:trPr>
          <w:trHeight w:val="216"/>
        </w:trPr>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10.7</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Master Repurchase Agreement, and Annex I thereto, with Cooperatieve Rabobank,</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Incorporated herein by reference to the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U.A. (New York Branch), as agent and purchaser, and Sumitomo Mitsui Banking</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Registrant’s Current Report on Form 8-K filed</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Corporation (New York Branch), as purchaser, dated as of April 7, 2017</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April 13, 2017 [Exhibit 10.1]</w:t>
            </w:r>
          </w:p>
        </w:tc>
        <w:tc>
          <w:tcPr>
            <w:tcW w:w="0" w:type="dxa"/>
            <w:vAlign w:val="bottom"/>
          </w:tcPr>
          <w:p>
            <w:pPr>
              <w:spacing w:after="0"/>
              <w:rPr>
                <w:sz w:val="1"/>
                <w:szCs w:val="1"/>
                <w:color w:val="auto"/>
              </w:rPr>
            </w:pPr>
          </w:p>
        </w:tc>
      </w:tr>
      <w:tr>
        <w:trPr>
          <w:trHeight w:val="373"/>
        </w:trPr>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10.8</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Master Framework Agreement with Cooperatieve Rabobank, U.A. (New York Branch),</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Incorporated herein by reference to the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agent and purchaser, and Sumitomo Mitsui Banking Corporation (New York</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Registrant’s Current Report on Form 8-K filed</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Branch), as purchaser, dated as of April 7, 2017</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April 13, 2017 [Exhibit 10.2]</w:t>
            </w:r>
          </w:p>
        </w:tc>
        <w:tc>
          <w:tcPr>
            <w:tcW w:w="0" w:type="dxa"/>
            <w:vAlign w:val="bottom"/>
          </w:tcPr>
          <w:p>
            <w:pPr>
              <w:spacing w:after="0"/>
              <w:rPr>
                <w:sz w:val="1"/>
                <w:szCs w:val="1"/>
                <w:color w:val="auto"/>
              </w:rPr>
            </w:pPr>
          </w:p>
        </w:tc>
      </w:tr>
      <w:tr>
        <w:trPr>
          <w:trHeight w:val="392"/>
        </w:trPr>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10.9</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Scotts Company LLC Executive Severance Plan, adopted on April 25, 2017</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73"/>
        </w:trPr>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10.10</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Tier 1 Participation Agreement under The Scotts Company LLC Executive</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Severance Plan</w:t>
            </w: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21</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Subsidiaries of The Scotts Miracle-Gro Company</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92"/>
        </w:trPr>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31.1</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Rule 13a-14(a)/15d-14(a) Certifications (Principal Executive Officer)</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92"/>
        </w:trPr>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31.2</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Rule 13a-14(a)/15d-14(a) Certifications (Principal Financial Officer)</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73"/>
        </w:trPr>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32</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1350 Certifications (Principal Executive Officer and Principal Financial</w:t>
            </w:r>
          </w:p>
        </w:tc>
        <w:tc>
          <w:tcPr>
            <w:tcW w:w="352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26"/>
        </w:trPr>
        <w:tc>
          <w:tcPr>
            <w:tcW w:w="820" w:type="dxa"/>
            <w:vAlign w:val="bottom"/>
          </w:tcPr>
          <w:p>
            <w:pPr>
              <w:spacing w:after="0"/>
              <w:rPr>
                <w:sz w:val="10"/>
                <w:szCs w:val="10"/>
                <w:color w:val="auto"/>
              </w:rPr>
            </w:pPr>
          </w:p>
        </w:tc>
        <w:tc>
          <w:tcPr>
            <w:tcW w:w="66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668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101.INS</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Instance Document</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92"/>
        </w:trPr>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101.SCH</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92"/>
        </w:trPr>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101.CAL</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92"/>
        </w:trPr>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101.DEF</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92"/>
        </w:trPr>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101.LAB</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92"/>
        </w:trPr>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101.PRE</w:t>
            </w: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700" w:hanging="665"/>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ectPr>
          <w:pgSz w:w="11900" w:h="16838" w:orient="portrait"/>
          <w:cols w:equalWidth="0" w:num="1">
            <w:col w:w="11220"/>
          </w:cols>
          <w:pgMar w:left="240" w:top="121" w:right="439" w:bottom="1440" w:gutter="0" w:footer="0" w:header="0"/>
          <w:type w:val="continuous"/>
        </w:sectPr>
      </w:pPr>
    </w:p>
    <w:p>
      <w:pPr>
        <w:spacing w:after="0" w:line="27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20"/>
          </w:cols>
          <w:pgMar w:left="240" w:top="121" w:right="4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5"/>
          <w:szCs w:val="25"/>
          <w:b w:val="1"/>
          <w:bCs w:val="1"/>
          <w:i w:val="1"/>
          <w:iCs w:val="1"/>
          <w:u w:val="single" w:color="auto"/>
          <w:color w:val="auto"/>
        </w:rPr>
        <w:t>The Scotts Company LLC</w:t>
      </w:r>
      <w:r>
        <w:rPr>
          <w:rFonts w:ascii="Times New Roman" w:cs="Times New Roman" w:eastAsia="Times New Roman" w:hAnsi="Times New Roman"/>
          <w:sz w:val="25"/>
          <w:szCs w:val="25"/>
          <w:i w:val="1"/>
          <w:iCs w:val="1"/>
          <w:u w:val="single" w:color="auto"/>
          <w:color w:val="auto"/>
        </w:rPr>
        <w:t>______________________________</w:t>
      </w:r>
      <w:r>
        <w:rPr>
          <w:sz w:val="1"/>
          <w:szCs w:val="1"/>
          <w:color w:val="auto"/>
        </w:rPr>
        <w:drawing>
          <wp:inline distT="0" distB="0" distL="0" distR="0">
            <wp:extent cx="1115060" cy="488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5060" cy="48895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31, 2017</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Adam Hanft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rPr>
          <w:sz w:val="20"/>
          <w:szCs w:val="20"/>
          <w:color w:val="auto"/>
        </w:rPr>
      </w:pPr>
      <w:r>
        <w:rPr>
          <w:rFonts w:ascii="Times New Roman" w:cs="Times New Roman" w:eastAsia="Times New Roman" w:hAnsi="Times New Roman"/>
          <w:sz w:val="20"/>
          <w:szCs w:val="20"/>
          <w:color w:val="auto"/>
        </w:rPr>
        <w:t>Hanft Projects LLC</w:t>
      </w:r>
    </w:p>
    <w:p>
      <w:pPr>
        <w:spacing w:after="0"/>
        <w:rPr>
          <w:sz w:val="20"/>
          <w:szCs w:val="20"/>
          <w:color w:val="auto"/>
        </w:rPr>
      </w:pPr>
      <w:r>
        <w:rPr>
          <w:rFonts w:ascii="Times New Roman" w:cs="Times New Roman" w:eastAsia="Times New Roman" w:hAnsi="Times New Roman"/>
          <w:sz w:val="20"/>
          <w:szCs w:val="20"/>
          <w:color w:val="auto"/>
        </w:rPr>
        <w:t>55 Fifth Avenue, Penthouse</w:t>
      </w:r>
    </w:p>
    <w:p>
      <w:pPr>
        <w:spacing w:after="0"/>
        <w:rPr>
          <w:sz w:val="20"/>
          <w:szCs w:val="20"/>
          <w:color w:val="auto"/>
        </w:rPr>
      </w:pPr>
      <w:r>
        <w:rPr>
          <w:rFonts w:ascii="Times New Roman" w:cs="Times New Roman" w:eastAsia="Times New Roman" w:hAnsi="Times New Roman"/>
          <w:sz w:val="20"/>
          <w:szCs w:val="20"/>
          <w:color w:val="auto"/>
        </w:rPr>
        <w:t>New York, NY 10003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Adam:</w:t>
      </w:r>
    </w:p>
    <w:p>
      <w:pPr>
        <w:spacing w:after="0" w:line="2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This letter sets forth our agreement (the “Agreement”) regarding a consulting engagement between Hanft Projects LLC and The Scotts Company LLC (“Scotts” or the “Company”). For the purposes of this Agreement, the term “Contractor” means Hanft Projects LLC, its primary designee/employee Adam Hanft, and any other designee or employee of Hanft Projects LLC. These consulting services are separate and distinct from the services Mr. Hanft is and will be providing as a member of the Scotts Miracle-Gro Company’s Board of Directors (the “Board”) and (or any Board Committees or other Committees on which Mr. Hanft may subsequently serve).</w:t>
      </w:r>
    </w:p>
    <w:p>
      <w:pPr>
        <w:spacing w:after="0" w:line="190"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Scope of Services</w:t>
      </w:r>
    </w:p>
    <w:p>
      <w:pPr>
        <w:spacing w:after="0" w:line="233"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approval of the Board, Contractor agrees to provide the consulting services to Scotts described below.</w:t>
      </w:r>
    </w:p>
    <w:p>
      <w:pPr>
        <w:spacing w:after="0" w:line="229" w:lineRule="exact"/>
        <w:rPr>
          <w:rFonts w:ascii="Times New Roman" w:cs="Times New Roman" w:eastAsia="Times New Roman" w:hAnsi="Times New Roman"/>
          <w:sz w:val="20"/>
          <w:szCs w:val="20"/>
          <w:b w:val="1"/>
          <w:bCs w:val="1"/>
          <w:color w:val="auto"/>
        </w:rPr>
      </w:pPr>
    </w:p>
    <w:p>
      <w:pPr>
        <w:jc w:val="both"/>
        <w:ind w:left="980" w:hanging="324"/>
        <w:spacing w:after="0" w:line="254" w:lineRule="auto"/>
        <w:tabs>
          <w:tab w:leader="none" w:pos="98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Contractor agrees to provide consulting services to Scotts in the area of Marketing so as to advise the Company on marketing strategies concerning a variety of areas including, but not limited to, brand and creative efforts, partnerships with outside services, work processes and staffing/personnel assessments.</w:t>
      </w:r>
    </w:p>
    <w:p>
      <w:pPr>
        <w:spacing w:after="0" w:line="188" w:lineRule="exact"/>
        <w:rPr>
          <w:rFonts w:ascii="Times New Roman" w:cs="Times New Roman" w:eastAsia="Times New Roman" w:hAnsi="Times New Roman"/>
          <w:sz w:val="20"/>
          <w:szCs w:val="20"/>
          <w:color w:val="auto"/>
        </w:rPr>
      </w:pPr>
    </w:p>
    <w:p>
      <w:pPr>
        <w:ind w:left="980" w:hanging="324"/>
        <w:spacing w:after="0" w:line="267" w:lineRule="auto"/>
        <w:tabs>
          <w:tab w:leader="none" w:pos="98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providing consulting services in the Areas of Expertise, it is anticipated that Contractor will generally undertake the following work and activities pursuant to this Agreement:</w:t>
      </w:r>
    </w:p>
    <w:p>
      <w:pPr>
        <w:spacing w:after="0" w:line="1" w:lineRule="exact"/>
        <w:rPr>
          <w:rFonts w:ascii="Times New Roman" w:cs="Times New Roman" w:eastAsia="Times New Roman" w:hAnsi="Times New Roman"/>
          <w:sz w:val="20"/>
          <w:szCs w:val="20"/>
          <w:color w:val="auto"/>
        </w:rPr>
      </w:pPr>
    </w:p>
    <w:p>
      <w:pPr>
        <w:jc w:val="both"/>
        <w:ind w:left="1300" w:hanging="320"/>
        <w:spacing w:after="0" w:line="249" w:lineRule="auto"/>
        <w:tabs>
          <w:tab w:leader="none" w:pos="130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insights and expertise to help inspire and develop a culture of creativity, with emphasis on: Shaping and assisting with the development of the overall marketing and creative strategy in conjunction with the CEO and COO; inspiring innovation; building Scotts’ brands and consumer loyalty; and mentoring and coaching key marketing and business executives as requested.</w:t>
      </w:r>
    </w:p>
    <w:p>
      <w:pPr>
        <w:spacing w:after="0" w:line="1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 with and provide recommendations to the CEO and COO on an as needed basis on issues of marketing strategy.</w:t>
      </w:r>
    </w:p>
    <w:p>
      <w:pPr>
        <w:spacing w:after="0" w:line="53" w:lineRule="exact"/>
        <w:rPr>
          <w:rFonts w:ascii="Times New Roman" w:cs="Times New Roman" w:eastAsia="Times New Roman" w:hAnsi="Times New Roman"/>
          <w:sz w:val="20"/>
          <w:szCs w:val="20"/>
          <w:color w:val="auto"/>
        </w:rPr>
      </w:pPr>
    </w:p>
    <w:p>
      <w:pPr>
        <w:ind w:left="1300" w:right="20" w:hanging="320"/>
        <w:spacing w:after="0" w:line="267" w:lineRule="auto"/>
        <w:tabs>
          <w:tab w:leader="none" w:pos="130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Periodically participate in marketing meetings to support the successful execution of the anticipated marketing initiatives of the Company with specific emphasis on the Connected Yard, Lawns campaign and other special projects.</w:t>
      </w:r>
    </w:p>
    <w:p>
      <w:pPr>
        <w:spacing w:after="0" w:line="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Participate in discussions of and otherwise support other marketing issues as required.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14111 Scottslawn Road Marysville, Ohio 43041</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937-644-0011</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i w:val="1"/>
          <w:iCs w:val="1"/>
          <w:color w:val="auto"/>
        </w:rPr>
        <w:t>www.scotts.com</w:t>
      </w:r>
    </w:p>
    <w:p>
      <w:pPr>
        <w:sectPr>
          <w:pgSz w:w="11900" w:h="16838" w:orient="portrait"/>
          <w:cols w:equalWidth="0" w:num="1">
            <w:col w:w="11420"/>
          </w:cols>
          <w:pgMar w:left="240" w:top="140" w:right="239" w:bottom="1440" w:gutter="0" w:footer="0" w:header="0"/>
        </w:sectPr>
      </w:pPr>
    </w:p>
    <w:bookmarkStart w:id="68" w:name="page69"/>
    <w:bookmarkEnd w:id="68"/>
    <w:p>
      <w:pPr>
        <w:spacing w:after="0"/>
        <w:tabs>
          <w:tab w:leader="none" w:pos="1360" w:val="left"/>
          <w:tab w:leader="none" w:pos="1900" w:val="left"/>
        </w:tabs>
        <w:rPr>
          <w:sz w:val="20"/>
          <w:szCs w:val="20"/>
          <w:color w:val="auto"/>
        </w:rPr>
      </w:pPr>
      <w:r>
        <w:rPr>
          <w:rFonts w:ascii="Times New Roman" w:cs="Times New Roman" w:eastAsia="Times New Roman" w:hAnsi="Times New Roman"/>
          <w:sz w:val="18"/>
          <w:szCs w:val="18"/>
          <w:color w:val="auto"/>
        </w:rPr>
        <w:t>Mr. Adam Hanft</w:t>
        <w:tab/>
        <w:t>– 2 –</w:t>
        <w:tab/>
        <w:t>January 31,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Hanft Projects LLC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980"/>
        <w:spacing w:after="0" w:line="245" w:lineRule="auto"/>
        <w:rPr>
          <w:sz w:val="20"/>
          <w:szCs w:val="20"/>
          <w:color w:val="auto"/>
        </w:rPr>
      </w:pPr>
      <w:r>
        <w:rPr>
          <w:rFonts w:ascii="Times New Roman" w:cs="Times New Roman" w:eastAsia="Times New Roman" w:hAnsi="Times New Roman"/>
          <w:sz w:val="20"/>
          <w:szCs w:val="20"/>
          <w:color w:val="auto"/>
        </w:rPr>
        <w:t>Contractor and the Company may agree to modifications of these work activities from time to time as necessary to achieve the purpose of this Agreement. When such modifications are necessary, Contractor and the Company will execute an amendment to this agreement reflecting the agreed upon modifications, which may include, by way of non-limiting examples, modifications regarding the work activities, the hours of consulting services provided, and/or the consulting fees and expenses paid to Contractor. Company expects Contractor to provide a minimum of 1,000 hours (50% of FTE) of consulting services during the term of this Agreement (outside services in his capacity as a member of the Board).</w:t>
      </w:r>
    </w:p>
    <w:p>
      <w:pPr>
        <w:spacing w:after="0" w:line="199" w:lineRule="exact"/>
        <w:rPr>
          <w:sz w:val="20"/>
          <w:szCs w:val="20"/>
          <w:color w:val="auto"/>
        </w:rPr>
      </w:pPr>
    </w:p>
    <w:p>
      <w:pPr>
        <w:jc w:val="both"/>
        <w:ind w:left="980" w:hanging="324"/>
        <w:spacing w:after="0" w:line="244" w:lineRule="auto"/>
        <w:tabs>
          <w:tab w:leader="none" w:pos="98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providing consulting services to Scotts under this Agreement, Contractor will be an independent contractor and will not be an employee, agent, partner, or joint venturer of Scotts or of any of Scotts’ affiliates, or of any of its or their respective officers, directors or employees. Except as provided as a member of the Board, if applicable, and except as otherwise expressly stated herein including in paragraph 1(b), Mr. Hanft and any other designee or employee of Contractor will not participate in or receive benefits under any of Scotts’ employee fringe benefit programs or receive any other fringe benefits from Scotts, including, without limitation, the health, disability, life insurance, retirement, equity awards, pension and profit sharing benefits on account of the consulting services provided to Scotts under this Agreement.</w:t>
      </w:r>
    </w:p>
    <w:p>
      <w:pPr>
        <w:spacing w:after="0" w:line="19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Length of Agreement</w:t>
      </w:r>
    </w:p>
    <w:p>
      <w:pPr>
        <w:spacing w:after="0" w:line="233"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20"/>
          <w:szCs w:val="20"/>
          <w:color w:val="auto"/>
        </w:rPr>
        <w:t>The term of this Agreement will commence on February 1, 2017 and will end on January 31, 2018, unless terminated earlier under Section V.1. The term of this Agreement may be extended only by written agreement, signed by both parties and setting forth expressly the terms related to the consulting fee.</w:t>
      </w:r>
    </w:p>
    <w:p>
      <w:pPr>
        <w:spacing w:after="0" w:line="184"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Authority</w:t>
      </w:r>
    </w:p>
    <w:p>
      <w:pPr>
        <w:spacing w:after="0" w:line="233"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In providing consulting services to Scotts under this Agreement, Contractor will have no authority at any time to assume or create any obligation or liability, express or implied, on Scotts’ behalf or in Scotts’ name or to bind Scotts in any manner whatsoever.</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20"/>
          <w:szCs w:val="20"/>
          <w:b w:val="1"/>
          <w:bCs w:val="1"/>
          <w:color w:val="auto"/>
        </w:rPr>
        <w:t>Consulting Fees and Expenses</w:t>
      </w:r>
    </w:p>
    <w:p>
      <w:pPr>
        <w:spacing w:after="0" w:line="233" w:lineRule="exact"/>
        <w:rPr>
          <w:sz w:val="20"/>
          <w:szCs w:val="20"/>
          <w:color w:val="auto"/>
        </w:rPr>
      </w:pPr>
    </w:p>
    <w:p>
      <w:pPr>
        <w:ind w:left="980" w:right="520" w:hanging="324"/>
        <w:spacing w:after="0" w:line="269" w:lineRule="auto"/>
        <w:tabs>
          <w:tab w:leader="none" w:pos="9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exchange for providing the consulting services hereunder, during the term of this Agreement, Scotts shall pay Contractor a consulting fee consisting of a combination of cash and restricted stock units, as follows:</w:t>
      </w:r>
    </w:p>
    <w:p>
      <w:pPr>
        <w:spacing w:after="0" w:line="51" w:lineRule="exact"/>
        <w:rPr>
          <w:rFonts w:ascii="Times New Roman" w:cs="Times New Roman" w:eastAsia="Times New Roman" w:hAnsi="Times New Roman"/>
          <w:sz w:val="20"/>
          <w:szCs w:val="20"/>
          <w:color w:val="auto"/>
        </w:rPr>
      </w:pPr>
    </w:p>
    <w:p>
      <w:pPr>
        <w:jc w:val="both"/>
        <w:ind w:left="1620" w:hanging="315"/>
        <w:spacing w:after="0" w:line="249" w:lineRule="auto"/>
        <w:tabs>
          <w:tab w:leader="none" w:pos="162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monthly cash payment of $75,000 for each month during the term irrespective of whether Scotts requests that Contractor provides consulting services hereunder. Contractor shall be required to submit monthly invoices including days/hours worked with brief descriptions of the services provided. Scotts shall pay Contractor within 30 days of its receipt of Contractor’s invoices.</w:t>
      </w:r>
    </w:p>
    <w:p>
      <w:pPr>
        <w:spacing w:after="0" w:line="71" w:lineRule="exact"/>
        <w:rPr>
          <w:rFonts w:ascii="Times New Roman" w:cs="Times New Roman" w:eastAsia="Times New Roman" w:hAnsi="Times New Roman"/>
          <w:sz w:val="20"/>
          <w:szCs w:val="20"/>
          <w:color w:val="auto"/>
        </w:rPr>
      </w:pPr>
    </w:p>
    <w:p>
      <w:pPr>
        <w:jc w:val="both"/>
        <w:ind w:left="1620" w:hanging="315"/>
        <w:spacing w:after="0" w:line="247" w:lineRule="auto"/>
        <w:tabs>
          <w:tab w:leader="none" w:pos="162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Contractor providing consulting services required by this Agreement throughout the complete term of this Agreement, the Company will provide Contractor a one-time grant of grant of restricted stock units (“RSUs”) with a grant date value of $400,000. The RSUs’ shall be issued in the name of Adam Hanft individually. The number of RSUs will be determined by dividing the intended grant date value by the closing price of a share on the grant date, rounded up to the next whole share. Each</w:t>
      </w:r>
    </w:p>
    <w:p>
      <w:pPr>
        <w:sectPr>
          <w:pgSz w:w="11900" w:h="16838" w:orient="portrait"/>
          <w:cols w:equalWidth="0" w:num="1">
            <w:col w:w="11420"/>
          </w:cols>
          <w:pgMar w:left="240" w:top="121" w:right="239" w:bottom="1440" w:gutter="0" w:footer="0" w:header="0"/>
        </w:sectPr>
      </w:pPr>
    </w:p>
    <w:bookmarkStart w:id="69" w:name="page70"/>
    <w:bookmarkEnd w:id="69"/>
    <w:p>
      <w:pPr>
        <w:spacing w:after="0"/>
        <w:tabs>
          <w:tab w:leader="none" w:pos="1360" w:val="left"/>
          <w:tab w:leader="none" w:pos="1900" w:val="left"/>
        </w:tabs>
        <w:rPr>
          <w:sz w:val="20"/>
          <w:szCs w:val="20"/>
          <w:color w:val="auto"/>
        </w:rPr>
      </w:pPr>
      <w:r>
        <w:rPr>
          <w:rFonts w:ascii="Times New Roman" w:cs="Times New Roman" w:eastAsia="Times New Roman" w:hAnsi="Times New Roman"/>
          <w:sz w:val="18"/>
          <w:szCs w:val="18"/>
          <w:color w:val="auto"/>
        </w:rPr>
        <w:t>Mr. Adam Hanft</w:t>
        <w:tab/>
        <w:t>– 3 –</w:t>
        <w:tab/>
        <w:t>January 31,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Hanft Projects LLC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620"/>
        <w:spacing w:after="0" w:line="271" w:lineRule="auto"/>
        <w:rPr>
          <w:sz w:val="20"/>
          <w:szCs w:val="20"/>
          <w:color w:val="auto"/>
        </w:rPr>
      </w:pPr>
      <w:r>
        <w:rPr>
          <w:rFonts w:ascii="Times New Roman" w:cs="Times New Roman" w:eastAsia="Times New Roman" w:hAnsi="Times New Roman"/>
          <w:sz w:val="20"/>
          <w:szCs w:val="20"/>
          <w:color w:val="auto"/>
        </w:rPr>
        <w:t>dividend equivalent represents the right to receive additional RSUs in respect of the dividends that are declared and paid during the period beginning on the Grant Date and ending on the applicable Settlement Date. Except where Scotts terminates this Agreement without Cause, the RSUs and any related dividend equivalents will vest on January 31, 2018, provided that this Agreement has not otherwise been terminated or notified for termination on that date, and provided that Contractor has fulfilled Contractor’s full service obligation to Scotts under the terms of this Agreement. In the event that Scotts terminates this Agreement without Cause, then the RSUs and the related dividend equivalents shall vest on a pro rata basis determined by dividing the number of days into the term of the Agreement as of and including the termination date divided by 365 and rounding up to the nearest whole share. The vested RSUs and related dividend equivalents, if any, will be settled as soon as administratively practical following vesting.</w:t>
      </w:r>
    </w:p>
    <w:p>
      <w:pPr>
        <w:spacing w:after="0" w:line="188" w:lineRule="exact"/>
        <w:rPr>
          <w:sz w:val="20"/>
          <w:szCs w:val="20"/>
          <w:color w:val="auto"/>
        </w:rPr>
      </w:pPr>
    </w:p>
    <w:p>
      <w:pPr>
        <w:jc w:val="both"/>
        <w:ind w:left="2280" w:hanging="327"/>
        <w:spacing w:after="0" w:line="247" w:lineRule="auto"/>
        <w:tabs>
          <w:tab w:leader="none" w:pos="2280" w:val="left"/>
        </w:tabs>
        <w:numPr>
          <w:ilvl w:val="2"/>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exception of the vesting provisions described above, the award of RSUs and related dividend equivalents shall be subject to the terms of The Scotts Miracle-Gro Company Long Term Incentive Plan, effective as of January 27, 2017 (the “Plan”), and the standard terms and conditions of the applicable award agreement. In the event of any conflicts or ambiguity between this Agreement and the terms of the Plan and/or the award agreement, the Plan and/or award agreement will be controlling.</w:t>
      </w:r>
    </w:p>
    <w:p>
      <w:pPr>
        <w:spacing w:after="0" w:line="194" w:lineRule="exact"/>
        <w:rPr>
          <w:rFonts w:ascii="Times New Roman" w:cs="Times New Roman" w:eastAsia="Times New Roman" w:hAnsi="Times New Roman"/>
          <w:sz w:val="20"/>
          <w:szCs w:val="20"/>
          <w:color w:val="auto"/>
        </w:rPr>
      </w:pPr>
    </w:p>
    <w:p>
      <w:pPr>
        <w:jc w:val="both"/>
        <w:ind w:left="980" w:hanging="324"/>
        <w:spacing w:after="0" w:line="244" w:lineRule="auto"/>
        <w:tabs>
          <w:tab w:leader="none" w:pos="98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Scotts also will pay or reimburse Contractor for all reasonable expenses incurred by Contractor in connection with providing consulting services to Scotts as contemplated herein, including, without limitation, all reasonable (a) telephone and fax expenses, and (b) travel expenses, including, without limitation, transportation, food and lodging, incurred in connection with attending Scotts approved meetings pursuant to this consulting agreement. Contractor must incur and account for expenses in accordance with the policies and procedures established by Scotts as a precondition to Scotts’ obligation to pay or reimburse Contractor for such expenses pursuant to the terms of the preceding sentence. This includes describing expenses in reasonable detail on invoices. Scotts will provide private transportation when practical and economically reasonable.</w:t>
      </w:r>
    </w:p>
    <w:p>
      <w:pPr>
        <w:spacing w:after="0" w:line="200"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Contractor agrees to provide, at its own expense, all equipment necessary to provide the consulting services contemplated herein and to be responsible for its own overhead costs and expenses except for those expenses that Scotts has expressly agreed to pay pursuant to the terms of the preceding paragraph.</w:t>
      </w:r>
    </w:p>
    <w:p>
      <w:pPr>
        <w:spacing w:after="0" w:line="184"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w:t>
      </w:r>
    </w:p>
    <w:p>
      <w:pPr>
        <w:spacing w:after="0" w:line="233" w:lineRule="exact"/>
        <w:rPr>
          <w:rFonts w:ascii="Times New Roman" w:cs="Times New Roman" w:eastAsia="Times New Roman" w:hAnsi="Times New Roman"/>
          <w:sz w:val="20"/>
          <w:szCs w:val="20"/>
          <w:b w:val="1"/>
          <w:bCs w:val="1"/>
          <w:color w:val="auto"/>
        </w:rPr>
      </w:pPr>
    </w:p>
    <w:p>
      <w:pPr>
        <w:jc w:val="both"/>
        <w:ind w:left="980" w:hanging="324"/>
        <w:spacing w:after="0" w:line="244" w:lineRule="auto"/>
        <w:tabs>
          <w:tab w:leader="none" w:pos="98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Scotts shall be permitted to terminate this Agreement and its consulting relationship with Contractor under any of the following circumstances: (a) upon Scotts’ 60 days advance written notice to Contractor, (b) Mr. Hanft’s death or disability, or Contractor ceasing operations, (c) Contractor’s material breach of its obligations to Scotts if such breach is not cured within 30 days after receiving notice thereof, (d) Contractor’s and/or Mr. Hanft’s indictment for a felony or serious misdemeanor, (e) Contractor’s and/or Mr. Hanft’s commission of an act of fraud or bad faith toward Scotts, or (f) Contractor’s and/or Mr. Hanft’s misappropriation of any funds, property or rights of Scotts. Contractor shall be permitted to terminate this Agreement and its consulting relationship with Scotts upon Contractor’s 30 day advance written notice to Scotts.</w:t>
      </w:r>
    </w:p>
    <w:p>
      <w:pPr>
        <w:sectPr>
          <w:pgSz w:w="11900" w:h="16838" w:orient="portrait"/>
          <w:cols w:equalWidth="0" w:num="1">
            <w:col w:w="11420"/>
          </w:cols>
          <w:pgMar w:left="240" w:top="121" w:right="239" w:bottom="1440" w:gutter="0" w:footer="0" w:header="0"/>
        </w:sectPr>
      </w:pPr>
    </w:p>
    <w:bookmarkStart w:id="70" w:name="page71"/>
    <w:bookmarkEnd w:id="70"/>
    <w:p>
      <w:pPr>
        <w:spacing w:after="0"/>
        <w:tabs>
          <w:tab w:leader="none" w:pos="1360" w:val="left"/>
          <w:tab w:leader="none" w:pos="1900" w:val="left"/>
        </w:tabs>
        <w:rPr>
          <w:sz w:val="20"/>
          <w:szCs w:val="20"/>
          <w:color w:val="auto"/>
        </w:rPr>
      </w:pPr>
      <w:r>
        <w:rPr>
          <w:rFonts w:ascii="Times New Roman" w:cs="Times New Roman" w:eastAsia="Times New Roman" w:hAnsi="Times New Roman"/>
          <w:sz w:val="18"/>
          <w:szCs w:val="18"/>
          <w:color w:val="auto"/>
        </w:rPr>
        <w:t>Mr. Adam Hanft</w:t>
        <w:tab/>
        <w:t>– 4 –</w:t>
        <w:tab/>
        <w:t>January 31,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Hanft Projects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980" w:hanging="324"/>
        <w:spacing w:after="0" w:line="254" w:lineRule="auto"/>
        <w:tabs>
          <w:tab w:leader="none" w:pos="9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of this Agreement and Contractor’s consulting relationship with Scotts shall not affect Scotts’ obligation to pay Contractor for the amounts Contractor has earned prior to the date of such termination or reimburse Contractor for the expenses Contractor has incurred pursuant to the terms of this Agreement prior to the date of such termination.</w:t>
      </w:r>
    </w:p>
    <w:p>
      <w:pPr>
        <w:spacing w:after="0" w:line="18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19"/>
          <w:szCs w:val="19"/>
          <w:b w:val="1"/>
          <w:bCs w:val="1"/>
          <w:color w:val="auto"/>
        </w:rPr>
        <w:t>Confidential Information</w:t>
      </w:r>
    </w:p>
    <w:p>
      <w:pPr>
        <w:spacing w:after="0" w:line="233" w:lineRule="exact"/>
        <w:rPr>
          <w:sz w:val="20"/>
          <w:szCs w:val="20"/>
          <w:color w:val="auto"/>
        </w:rPr>
      </w:pPr>
    </w:p>
    <w:p>
      <w:pPr>
        <w:jc w:val="both"/>
        <w:ind w:left="980" w:hanging="418"/>
        <w:spacing w:after="0" w:line="244" w:lineRule="auto"/>
        <w:tabs>
          <w:tab w:leader="none" w:pos="9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providing the consulting services contemplated herein, Contractor will receive Confidential Information about Scotts and its affiliates. Maintaining the confidential nature of this information is very important to Scotts. As used in this Agreement, “Confidential Information” is any information about Scotts, or its affiliates, to which Contractor gains access in connection with its provision of consulting or other services to Scotts, including Mr. Hanft’s service as a member of the Board. Confidential Information does not include information Contractor can show (a) was already in Contractor’s possession prior to the time Contractor received such information as a consultant to Scotts, or (b) is publicly available or otherwise in the public domain by means other than Contractor’s violation of the terms of this Agreement.</w:t>
      </w:r>
    </w:p>
    <w:p>
      <w:pPr>
        <w:spacing w:after="0" w:line="200"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Contractor agrees to not at any time hereafter, without the prior written consent of Scotts, disclose, directly or indirectly, any Confidential Information or use any Confidential Information for any purpose other than providing consulting services to Scotts as contemplated herein.</w:t>
      </w:r>
    </w:p>
    <w:p>
      <w:pPr>
        <w:spacing w:after="0" w:line="188" w:lineRule="exact"/>
        <w:rPr>
          <w:rFonts w:ascii="Times New Roman" w:cs="Times New Roman" w:eastAsia="Times New Roman" w:hAnsi="Times New Roman"/>
          <w:sz w:val="20"/>
          <w:szCs w:val="20"/>
          <w:color w:val="auto"/>
        </w:rPr>
      </w:pPr>
    </w:p>
    <w:p>
      <w:pPr>
        <w:ind w:left="980" w:right="20" w:hanging="324"/>
        <w:spacing w:after="0" w:line="269" w:lineRule="auto"/>
        <w:tabs>
          <w:tab w:leader="none" w:pos="98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Contractor agrees to promptly return to Scotts, upon Scotts’ request, all electronic or tangible documents that contain any Confidential Information and to retain no copies.</w:t>
      </w:r>
    </w:p>
    <w:p>
      <w:pPr>
        <w:spacing w:after="0" w:line="173" w:lineRule="exact"/>
        <w:rPr>
          <w:rFonts w:ascii="Times New Roman" w:cs="Times New Roman" w:eastAsia="Times New Roman" w:hAnsi="Times New Roman"/>
          <w:sz w:val="20"/>
          <w:szCs w:val="20"/>
          <w:color w:val="auto"/>
        </w:rPr>
      </w:pPr>
    </w:p>
    <w:p>
      <w:pPr>
        <w:ind w:left="980" w:hanging="324"/>
        <w:spacing w:after="0" w:line="269" w:lineRule="auto"/>
        <w:tabs>
          <w:tab w:leader="none" w:pos="98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confidentiality obligations are in addition to, and not in place of, any and all confidentiality obligations arising as a result of Mr. Hanft’s membership on the Board and applicable Board Committees.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VII.Other</w:t>
      </w:r>
    </w:p>
    <w:p>
      <w:pPr>
        <w:spacing w:after="0" w:line="233" w:lineRule="exact"/>
        <w:rPr>
          <w:sz w:val="20"/>
          <w:szCs w:val="20"/>
          <w:color w:val="auto"/>
        </w:rPr>
      </w:pPr>
    </w:p>
    <w:p>
      <w:pPr>
        <w:ind w:left="980" w:hanging="324"/>
        <w:spacing w:after="0" w:line="269" w:lineRule="auto"/>
        <w:tabs>
          <w:tab w:leader="none" w:pos="9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Contractor understands and agrees that this Agreement does not obligate Scotts to utilize Contractor’s consulting services, but it is intended to set forth the terms pursuant to which Scotts may utilize Contractor’s consulting services in Scotts’ discretion.</w:t>
      </w:r>
    </w:p>
    <w:p>
      <w:pPr>
        <w:spacing w:after="0" w:line="173"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Contractor is not permitted to assign, sell or otherwise transfer any of its rights or obligations hereunder.</w:t>
      </w:r>
    </w:p>
    <w:p>
      <w:pPr>
        <w:spacing w:after="0" w:line="229"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Contractor acknowledges that neither Scotts nor any representatives of Scotts have made any representations or promises about the tax implications of this Agreement. Nothing in this Agreement may be construed as tax advice from Scotts to Contractor. Contractor has been encouraged to discuss the tax implications of this Agreement with his own tax and financial counsel.</w:t>
      </w:r>
    </w:p>
    <w:p>
      <w:pPr>
        <w:sectPr>
          <w:pgSz w:w="11900" w:h="16838" w:orient="portrait"/>
          <w:cols w:equalWidth="0" w:num="1">
            <w:col w:w="11420"/>
          </w:cols>
          <w:pgMar w:left="240" w:top="121" w:right="239" w:bottom="1440" w:gutter="0" w:footer="0" w:header="0"/>
        </w:sectPr>
      </w:pPr>
    </w:p>
    <w:bookmarkStart w:id="71" w:name="page72"/>
    <w:bookmarkEnd w:id="71"/>
    <w:p>
      <w:pPr>
        <w:spacing w:after="0"/>
        <w:tabs>
          <w:tab w:leader="none" w:pos="1360" w:val="left"/>
          <w:tab w:leader="none" w:pos="1900" w:val="left"/>
        </w:tabs>
        <w:rPr>
          <w:sz w:val="20"/>
          <w:szCs w:val="20"/>
          <w:color w:val="auto"/>
        </w:rPr>
      </w:pPr>
      <w:r>
        <w:rPr>
          <w:rFonts w:ascii="Times New Roman" w:cs="Times New Roman" w:eastAsia="Times New Roman" w:hAnsi="Times New Roman"/>
          <w:sz w:val="18"/>
          <w:szCs w:val="18"/>
          <w:color w:val="auto"/>
        </w:rPr>
        <w:t>Mr. Adam Hanft</w:t>
        <w:tab/>
        <w:t>– 5 –</w:t>
        <w:tab/>
        <w:t>January 31,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Hanft Projects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THE SCOTTS COMPANY LLC</w:t>
      </w:r>
    </w:p>
    <w:p>
      <w:pPr>
        <w:spacing w:after="0" w:line="200" w:lineRule="exact"/>
        <w:rPr>
          <w:sz w:val="20"/>
          <w:szCs w:val="20"/>
          <w:color w:val="auto"/>
        </w:rPr>
      </w:pPr>
    </w:p>
    <w:p>
      <w:pPr>
        <w:spacing w:after="0" w:line="25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_/s/ DENISE STUMP</w:t>
      </w:r>
      <w:r>
        <w:rPr>
          <w:rFonts w:ascii="Times New Roman" w:cs="Times New Roman" w:eastAsia="Times New Roman" w:hAnsi="Times New Roman"/>
          <w:sz w:val="20"/>
          <w:szCs w:val="20"/>
          <w:color w:val="auto"/>
        </w:rPr>
        <w:t>________________</w:t>
      </w:r>
    </w:p>
    <w:p>
      <w:pPr>
        <w:spacing w:after="0" w:line="2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0"/>
          <w:szCs w:val="20"/>
          <w:color w:val="auto"/>
        </w:rPr>
        <w:t>Denise Stump</w:t>
      </w:r>
    </w:p>
    <w:p>
      <w:pPr>
        <w:ind w:left="6140"/>
        <w:spacing w:after="0"/>
        <w:rPr>
          <w:sz w:val="20"/>
          <w:szCs w:val="20"/>
          <w:color w:val="auto"/>
        </w:rPr>
      </w:pPr>
      <w:r>
        <w:rPr>
          <w:rFonts w:ascii="Times New Roman" w:cs="Times New Roman" w:eastAsia="Times New Roman" w:hAnsi="Times New Roman"/>
          <w:sz w:val="19"/>
          <w:szCs w:val="19"/>
          <w:color w:val="auto"/>
        </w:rPr>
        <w:t>EVP, Global Human Resources &amp; Chief Ethics Officer</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ACKNOWLEDGED AND AGREED:</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_/s/ ADAM HANFT</w:t>
      </w:r>
      <w:r>
        <w:rPr>
          <w:rFonts w:ascii="Times New Roman" w:cs="Times New Roman" w:eastAsia="Times New Roman" w:hAnsi="Times New Roman"/>
          <w:sz w:val="20"/>
          <w:szCs w:val="20"/>
          <w:color w:val="auto"/>
        </w:rPr>
        <w:t>________________</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Adam Hanft, Chief Executive Officer</w:t>
      </w:r>
    </w:p>
    <w:p>
      <w:pPr>
        <w:ind w:left="40"/>
        <w:spacing w:after="0"/>
        <w:rPr>
          <w:sz w:val="20"/>
          <w:szCs w:val="20"/>
          <w:color w:val="auto"/>
        </w:rPr>
      </w:pPr>
      <w:r>
        <w:rPr>
          <w:rFonts w:ascii="Times New Roman" w:cs="Times New Roman" w:eastAsia="Times New Roman" w:hAnsi="Times New Roman"/>
          <w:sz w:val="20"/>
          <w:szCs w:val="20"/>
          <w:color w:val="auto"/>
        </w:rPr>
        <w:t>Hanft Projects LLC</w:t>
      </w:r>
    </w:p>
    <w:p>
      <w:pPr>
        <w:sectPr>
          <w:pgSz w:w="11900" w:h="16838" w:orient="portrait"/>
          <w:cols w:equalWidth="0" w:num="1">
            <w:col w:w="10480"/>
          </w:cols>
          <w:pgMar w:left="240" w:top="121" w:right="1179" w:bottom="1440" w:gutter="0" w:footer="0" w:header="0"/>
        </w:sectPr>
      </w:pPr>
    </w:p>
    <w:bookmarkStart w:id="72" w:name="page73"/>
    <w:bookmarkEnd w:id="72"/>
    <w:p>
      <w:pPr>
        <w:ind w:left="10300"/>
        <w:spacing w:after="0"/>
        <w:rPr>
          <w:sz w:val="20"/>
          <w:szCs w:val="20"/>
          <w:color w:val="auto"/>
        </w:rPr>
      </w:pPr>
      <w:r>
        <w:rPr>
          <w:rFonts w:ascii="Times New Roman" w:cs="Times New Roman" w:eastAsia="Times New Roman" w:hAnsi="Times New Roman"/>
          <w:sz w:val="21"/>
          <w:szCs w:val="21"/>
          <w:b w:val="1"/>
          <w:bCs w:val="1"/>
          <w:color w:val="auto"/>
        </w:rPr>
        <w:t>Exhibit 10.9</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SEVERANCE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(amended and restated effective April 25, 2017)</w:t>
      </w:r>
    </w:p>
    <w:p>
      <w:pPr>
        <w:spacing w:after="0" w:line="232" w:lineRule="exact"/>
        <w:rPr>
          <w:sz w:val="20"/>
          <w:szCs w:val="20"/>
          <w:color w:val="auto"/>
        </w:rPr>
      </w:pPr>
    </w:p>
    <w:p>
      <w:pPr>
        <w:ind w:left="380" w:hanging="372"/>
        <w:spacing w:after="0"/>
        <w:tabs>
          <w:tab w:leader="none" w:pos="38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POLICY</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order to attract and retain the appropriate level of talent for its executive positions, The Scotts Company LLC and its Affiliates (the “Company”) will provide Severance Benefits, as defined below, to Executives in the event that their employment is terminated without Cause in accordance with the terms of this Executive Severance Plan, which was most recently restated effective April 25, 2017 (the “Plan”).</w:t>
      </w:r>
    </w:p>
    <w:p>
      <w:pPr>
        <w:spacing w:after="0" w:line="216" w:lineRule="exact"/>
        <w:rPr>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ELIGIBLE PARTICIPANTS</w:t>
      </w:r>
      <w:r>
        <w:rPr>
          <w:rFonts w:ascii="Times New Roman" w:cs="Times New Roman" w:eastAsia="Times New Roman" w:hAnsi="Times New Roman"/>
          <w:sz w:val="22"/>
          <w:szCs w:val="22"/>
          <w:b w:val="1"/>
          <w:bCs w:val="1"/>
          <w:color w:val="auto"/>
        </w:rPr>
        <w:t>.</w:t>
      </w:r>
    </w:p>
    <w:p>
      <w:pPr>
        <w:spacing w:after="0" w:line="26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b w:val="1"/>
          <w:bCs w:val="1"/>
          <w:u w:val="single" w:color="auto"/>
          <w:color w:val="auto"/>
        </w:rPr>
        <w:t>Designation of Eligibility</w:t>
      </w:r>
      <w:r>
        <w:rPr>
          <w:rFonts w:ascii="Times New Roman" w:cs="Times New Roman" w:eastAsia="Times New Roman" w:hAnsi="Times New Roman"/>
          <w:sz w:val="22"/>
          <w:szCs w:val="22"/>
          <w:color w:val="auto"/>
        </w:rPr>
        <w:t>. The Board of Directors of the Scotts Miracle-Gro Company (the “Board”)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and Organization Committee of the Board (the “Committee”) shall determine whether an associate is initially eligible, whether that associate retains that eligibility to receive Severance Benefits under this Plan and the level of Severance Benefits to which that associate may become entitled as provided herein. Eligibility decisions shall be made by official action of the Board or the Committee, or the individual or committee to whom a delegation is made by the Board or the Committee. Eligible associates shall include only those associates employed at the Company or any domestic Affiliate and shall be called “Executives” for the purposes of this Plan. An Executive designated as eligible will be informed in writing and asked to sign a “Participation Agreement,” in the form specified by the Company, and Executives who thereafter become ineligible shall likewise be informed in writing and the Participation Agreement shall then be null and void. Subject to paragraphs 2.2 and 2.3, Eligibility shall be effective on the date established in the official eligibility decision. If an Executive is notified of ineligibility or termination of the Plan, such notice shall be effective on the first anniversary of the date that the Executive is notified of that decision. Each Executive must acknowledge, by executing the Participation Agreement, that this Plan supersedes any prior agreement, arrangement, plan or program for the payment of severance, salary continuation or the provision of other severance benefits, as well the Executive’s acceptance of the authority of the Board and the Committee under Article 4.</w:t>
      </w:r>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22"/>
          <w:szCs w:val="22"/>
          <w:b w:val="1"/>
          <w:bCs w:val="1"/>
          <w:u w:val="single" w:color="auto"/>
          <w:color w:val="auto"/>
        </w:rPr>
        <w:t>Notice of Eligibility</w:t>
      </w:r>
      <w:r>
        <w:rPr>
          <w:rFonts w:ascii="Times New Roman" w:cs="Times New Roman" w:eastAsia="Times New Roman" w:hAnsi="Times New Roman"/>
          <w:sz w:val="22"/>
          <w:szCs w:val="22"/>
          <w:color w:val="auto"/>
        </w:rPr>
        <w:t>. Except as otherwise specifically provided in a Participation Agreement, an Executive is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Severance Benefits under this Plan only if the Executive receives a Notice of Termination from the Company. “Notice of Termination” means a written notice expressly stating the Company’s decision to terminate the Executive’s employment without Cause.</w:t>
      </w:r>
    </w:p>
    <w:p>
      <w:pPr>
        <w:spacing w:after="0" w:line="2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2.3. </w:t>
      </w:r>
      <w:r>
        <w:rPr>
          <w:rFonts w:ascii="Times New Roman" w:cs="Times New Roman" w:eastAsia="Times New Roman" w:hAnsi="Times New Roman"/>
          <w:sz w:val="22"/>
          <w:szCs w:val="22"/>
          <w:b w:val="1"/>
          <w:bCs w:val="1"/>
          <w:u w:val="single" w:color="auto"/>
          <w:color w:val="auto"/>
        </w:rPr>
        <w:t>Acknowledgment, Release, and Post-Employment Obligations</w:t>
      </w:r>
      <w:r>
        <w:rPr>
          <w:rFonts w:ascii="Times New Roman" w:cs="Times New Roman" w:eastAsia="Times New Roman" w:hAnsi="Times New Roman"/>
          <w:sz w:val="22"/>
          <w:szCs w:val="22"/>
          <w:color w:val="auto"/>
        </w:rPr>
        <w:t>. Executives are eligible for Severance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Plan only if, (i) within sixty days after the Effective Date of Termination, or such later date as is permitted by law for signing and revocation, but not in excess of seventy days, they have signed and not revoked a release agreement approved by the Company and effective after the Effective Date of Termination</w:t>
      </w:r>
    </w:p>
    <w:p>
      <w:pPr>
        <w:sectPr>
          <w:pgSz w:w="11900" w:h="16838" w:orient="portrait"/>
          <w:cols w:equalWidth="0" w:num="1">
            <w:col w:w="11420"/>
          </w:cols>
          <w:pgMar w:left="240" w:top="581" w:right="239" w:bottom="1440" w:gutter="0" w:footer="0" w:header="0"/>
        </w:sectPr>
      </w:pPr>
    </w:p>
    <w:bookmarkStart w:id="73" w:name="page74"/>
    <w:bookmarkEnd w:id="73"/>
    <w:p>
      <w:pPr>
        <w:jc w:val="both"/>
        <w:spacing w:after="0" w:line="250" w:lineRule="auto"/>
        <w:rPr>
          <w:sz w:val="20"/>
          <w:szCs w:val="20"/>
          <w:color w:val="auto"/>
        </w:rPr>
      </w:pPr>
      <w:r>
        <w:rPr>
          <w:rFonts w:ascii="Times New Roman" w:cs="Times New Roman" w:eastAsia="Times New Roman" w:hAnsi="Times New Roman"/>
          <w:sz w:val="22"/>
          <w:szCs w:val="22"/>
          <w:color w:val="auto"/>
        </w:rPr>
        <w:t>(a “Release”), and (ii) they agree to be bound by a separate confidentiality, noncompetition, and nonsolicitation agreement, similar arrangements, and all other post-employment obligations under any Company policy with post-employment obligations (“Post-Employment Obligations”). An Executive must also acknowledge in the Participation Agreement that the Severance Benefits must be repaid, and the payment of any future Severance Benefits, if any, will cease in the event that the Company determines in its sole discretion that the Executive has breached any Post-Employment Obligations.</w:t>
      </w:r>
    </w:p>
    <w:p>
      <w:pPr>
        <w:spacing w:after="0" w:line="21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2.4. </w:t>
      </w:r>
      <w:r>
        <w:rPr>
          <w:rFonts w:ascii="Times New Roman" w:cs="Times New Roman" w:eastAsia="Times New Roman" w:hAnsi="Times New Roman"/>
          <w:sz w:val="22"/>
          <w:szCs w:val="22"/>
          <w:b w:val="1"/>
          <w:bCs w:val="1"/>
          <w:u w:val="single" w:color="auto"/>
          <w:color w:val="auto"/>
        </w:rPr>
        <w:t>Release</w:t>
      </w:r>
      <w:r>
        <w:rPr>
          <w:rFonts w:ascii="Times New Roman" w:cs="Times New Roman" w:eastAsia="Times New Roman" w:hAnsi="Times New Roman"/>
          <w:sz w:val="22"/>
          <w:szCs w:val="22"/>
          <w:color w:val="auto"/>
        </w:rPr>
        <w:t>. The Company shall provide a Release to the Executive on or shortly after the Effective Date of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Executive may execute the Release during the time period permitted by applicable law. After the execution of the Release, without revocation, and the Company makes the payments referred to in Article 3, the Company shall have no further obligations under this Plan to the Executive. Except for any payments made under this Plan, the Company shall have no further severance obligations to the Executive, whether under another agreement or plan, and no additional severance will be payable in connection with the Executive’s termination of employment.</w:t>
      </w:r>
    </w:p>
    <w:p>
      <w:pPr>
        <w:spacing w:after="0" w:line="221" w:lineRule="exact"/>
        <w:rPr>
          <w:sz w:val="20"/>
          <w:szCs w:val="20"/>
          <w:color w:val="auto"/>
        </w:rPr>
      </w:pPr>
    </w:p>
    <w:p>
      <w:pPr>
        <w:jc w:val="both"/>
        <w:ind w:firstLine="8"/>
        <w:spacing w:after="0" w:line="263" w:lineRule="auto"/>
        <w:tabs>
          <w:tab w:leader="none" w:pos="432" w:val="left"/>
        </w:tabs>
        <w:numPr>
          <w:ilvl w:val="0"/>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SEVERANCE BENEFITS</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that the conditions of Section 2 are satisfied, an Executive shall be entitled to receive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payments and benefits specified in the Participation Agreement or as otherwise specified below (“Severance Benefits”). Unless otherwise specified in a Participation Agreement, payments, in accordance with the Company’s normal payroll processes and withholding practices, shall commence within sixty days after the Effective Date of Termination, or such later date as is permitted by law for signing and revoking the Release, but not in excess of seventy days. For the purposes of the Plan and except as specified in the Participation Agreement (although not relevant to every Executive) the following terms have the indicated meaning:</w:t>
      </w:r>
    </w:p>
    <w:p>
      <w:pPr>
        <w:spacing w:after="0" w:line="20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b w:val="1"/>
          <w:bCs w:val="1"/>
          <w:u w:val="single" w:color="auto"/>
          <w:color w:val="auto"/>
        </w:rPr>
        <w:t>Base Salary</w:t>
      </w:r>
      <w:r>
        <w:rPr>
          <w:rFonts w:ascii="Times New Roman" w:cs="Times New Roman" w:eastAsia="Times New Roman" w:hAnsi="Times New Roman"/>
          <w:sz w:val="22"/>
          <w:szCs w:val="22"/>
          <w:color w:val="auto"/>
        </w:rPr>
        <w:t>. “Base Salary” means the salary of record for the Executive on the Effective Date of Termination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States dollars as annual salary excluding all other amounts received, including under incentive or other bonus plans, whether or not deferred.</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b w:val="1"/>
          <w:bCs w:val="1"/>
          <w:u w:val="single" w:color="auto"/>
          <w:color w:val="auto"/>
        </w:rPr>
        <w:t>Target Bonus Opportunity</w:t>
      </w:r>
      <w:r>
        <w:rPr>
          <w:rFonts w:ascii="Times New Roman" w:cs="Times New Roman" w:eastAsia="Times New Roman" w:hAnsi="Times New Roman"/>
          <w:sz w:val="22"/>
          <w:szCs w:val="22"/>
          <w:color w:val="auto"/>
        </w:rPr>
        <w:t>. “Target Bonus Opportunity” means, for any fiscal year/performance period, the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money determined by multiplying the Executive’s target bonus percentage with respect to his or her annual bonus award by the Executive’s Base Salary. For example, if the Executive’s Base Salary is $100,000.00 and the Executive’s target bonus percentage with respect to his or her annual bonus award is 25%, then the Executive’s Target Bonus Opportunity is $25,000.00.</w:t>
      </w:r>
    </w:p>
    <w:p>
      <w:pPr>
        <w:spacing w:after="0" w:line="2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3.3. </w:t>
      </w:r>
      <w:r>
        <w:rPr>
          <w:rFonts w:ascii="Times New Roman" w:cs="Times New Roman" w:eastAsia="Times New Roman" w:hAnsi="Times New Roman"/>
          <w:sz w:val="22"/>
          <w:szCs w:val="22"/>
          <w:b w:val="1"/>
          <w:bCs w:val="1"/>
          <w:u w:val="single" w:color="auto"/>
          <w:color w:val="auto"/>
        </w:rPr>
        <w:t>Prorated Annual Bonus Award</w:t>
      </w:r>
      <w:r>
        <w:rPr>
          <w:rFonts w:ascii="Times New Roman" w:cs="Times New Roman" w:eastAsia="Times New Roman" w:hAnsi="Times New Roman"/>
          <w:sz w:val="22"/>
          <w:szCs w:val="22"/>
          <w:color w:val="auto"/>
        </w:rPr>
        <w:t>. “Prorated Annual Bonus Award” means, for any fiscal year/performance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annual bonus award that the Executive would have received had the Executive remained employed for the entire fiscal year/performance period, but prorated based on the actual salary (excluding all other amounts received, including under incentive or other bonus plans, whether or not deferred) paid to the Executive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9"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during such fiscal year/performance period for services rendered through the Effective Date of Termination.</w:t>
      </w:r>
    </w:p>
    <w:p>
      <w:pPr>
        <w:spacing w:after="0" w:line="25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b w:val="1"/>
          <w:bCs w:val="1"/>
          <w:u w:val="single" w:color="auto"/>
          <w:color w:val="auto"/>
        </w:rPr>
        <w:t>Benefits and Benefits Offset Payment</w:t>
      </w:r>
      <w:r>
        <w:rPr>
          <w:rFonts w:ascii="Times New Roman" w:cs="Times New Roman" w:eastAsia="Times New Roman" w:hAnsi="Times New Roman"/>
          <w:sz w:val="22"/>
          <w:szCs w:val="22"/>
          <w:color w:val="auto"/>
        </w:rPr>
        <w:t>. An Executive may be eligible to elect COBRA continuation benefits as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medical, dental, and vision insurance benefits, and participation in the Employee Assistance Program as provided by applicable law and the applicable plan. At the time payment is made, pursuant to the first paragraph of this Section 3, the Company shall also pay Executive, an amount equal to the excess of the then COBRA premium charged by the Company to terminated employees, as in effect from time to time, over the premium for such benefits charged to active employees, applicable to the benefits for which Executive was actively participating at the Effective Date of Termination (a “Benefits Offset Payment”). This Benefits Offset Payment will be made for each month starting with the month following the Effective Date of Termination for the length of the “Severance Period,” as set forth in the Participation Agreement.</w:t>
      </w:r>
    </w:p>
    <w:p>
      <w:pPr>
        <w:spacing w:after="0" w:line="2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3.5. </w:t>
      </w:r>
      <w:r>
        <w:rPr>
          <w:rFonts w:ascii="Times New Roman" w:cs="Times New Roman" w:eastAsia="Times New Roman" w:hAnsi="Times New Roman"/>
          <w:sz w:val="22"/>
          <w:szCs w:val="22"/>
          <w:b w:val="1"/>
          <w:bCs w:val="1"/>
          <w:u w:val="single" w:color="auto"/>
          <w:color w:val="auto"/>
        </w:rPr>
        <w:t>Outplacement Payment</w:t>
      </w:r>
      <w:r>
        <w:rPr>
          <w:rFonts w:ascii="Times New Roman" w:cs="Times New Roman" w:eastAsia="Times New Roman" w:hAnsi="Times New Roman"/>
          <w:sz w:val="22"/>
          <w:szCs w:val="22"/>
          <w:color w:val="auto"/>
        </w:rPr>
        <w:t>. In order to assist the Executive with his or her transition, the Executive shall be entitled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 outplacement services at the level in place under the Company’s outplacement program in effect on the Effective Date of Termination.</w:t>
      </w:r>
    </w:p>
    <w:p>
      <w:pPr>
        <w:spacing w:after="0" w:line="20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3.6. </w:t>
      </w:r>
      <w:r>
        <w:rPr>
          <w:rFonts w:ascii="Times New Roman" w:cs="Times New Roman" w:eastAsia="Times New Roman" w:hAnsi="Times New Roman"/>
          <w:sz w:val="22"/>
          <w:szCs w:val="22"/>
          <w:b w:val="1"/>
          <w:bCs w:val="1"/>
          <w:u w:val="single" w:color="auto"/>
          <w:color w:val="auto"/>
        </w:rPr>
        <w:t>Vested Benefits</w:t>
      </w:r>
      <w:r>
        <w:rPr>
          <w:rFonts w:ascii="Times New Roman" w:cs="Times New Roman" w:eastAsia="Times New Roman" w:hAnsi="Times New Roman"/>
          <w:sz w:val="22"/>
          <w:szCs w:val="22"/>
          <w:color w:val="auto"/>
        </w:rPr>
        <w:t>. All other benefits to which the Executive has a vested right, as of the Effective Date of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paid or provided according to the provisions of the governing plan or program.</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3.7. </w:t>
      </w:r>
      <w:r>
        <w:rPr>
          <w:rFonts w:ascii="Times New Roman" w:cs="Times New Roman" w:eastAsia="Times New Roman" w:hAnsi="Times New Roman"/>
          <w:sz w:val="22"/>
          <w:szCs w:val="22"/>
          <w:b w:val="1"/>
          <w:bCs w:val="1"/>
          <w:u w:val="single" w:color="auto"/>
          <w:color w:val="auto"/>
        </w:rPr>
        <w:t>Changes in Benefits</w:t>
      </w:r>
      <w:r>
        <w:rPr>
          <w:rFonts w:ascii="Times New Roman" w:cs="Times New Roman" w:eastAsia="Times New Roman" w:hAnsi="Times New Roman"/>
          <w:sz w:val="22"/>
          <w:szCs w:val="22"/>
          <w:color w:val="auto"/>
        </w:rPr>
        <w:t>. Any change to this Plan that alters the Severance Benefits described in this Section 3 or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Agreement shall take effect one year after that change is adopted by official action of the Board or the Committee. The previous sentence notwithstanding, this Plan may be modified and altered at any time in order to comply with applicable laws including tax or securities laws.</w:t>
      </w:r>
    </w:p>
    <w:p>
      <w:pPr>
        <w:spacing w:after="0" w:line="21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3.8. </w:t>
      </w:r>
      <w:r>
        <w:rPr>
          <w:rFonts w:ascii="Times New Roman" w:cs="Times New Roman" w:eastAsia="Times New Roman" w:hAnsi="Times New Roman"/>
          <w:sz w:val="22"/>
          <w:szCs w:val="22"/>
          <w:b w:val="1"/>
          <w:bCs w:val="1"/>
          <w:u w:val="single" w:color="auto"/>
          <w:color w:val="auto"/>
        </w:rPr>
        <w:t>Tax Withholdings</w:t>
      </w:r>
      <w:r>
        <w:rPr>
          <w:rFonts w:ascii="Times New Roman" w:cs="Times New Roman" w:eastAsia="Times New Roman" w:hAnsi="Times New Roman"/>
          <w:sz w:val="22"/>
          <w:szCs w:val="22"/>
          <w:color w:val="auto"/>
        </w:rPr>
        <w:t>. All payments described herein or in the Participation Agreement shall be reduced by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withholdings and paid pursuant to the Company’s ordinary payroll practices. No interest shall accrue on any such payments.</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3.9. </w:t>
      </w: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color w:val="auto"/>
        </w:rPr>
        <w:t>. Any attempt by an Executive to negotiate or demand greater benefits than those set forth above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 a rejection of the Severance Benefits and terminate the Executive’s eligibility for Severance Benefits, effective immediately.</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3.10. </w:t>
      </w:r>
      <w:r>
        <w:rPr>
          <w:rFonts w:ascii="Times New Roman" w:cs="Times New Roman" w:eastAsia="Times New Roman" w:hAnsi="Times New Roman"/>
          <w:sz w:val="22"/>
          <w:szCs w:val="22"/>
          <w:b w:val="1"/>
          <w:bCs w:val="1"/>
          <w:u w:val="single" w:color="auto"/>
          <w:color w:val="auto"/>
        </w:rPr>
        <w:t>Code Section 409A Compliance</w:t>
      </w:r>
      <w:r>
        <w:rPr>
          <w:rFonts w:ascii="Times New Roman" w:cs="Times New Roman" w:eastAsia="Times New Roman" w:hAnsi="Times New Roman"/>
          <w:sz w:val="22"/>
          <w:szCs w:val="22"/>
          <w:color w:val="auto"/>
        </w:rPr>
        <w:t>. It is the Company’s intent that amounts paid under this Plan shall not constitute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“deferred compensation” as that term is defined under Section 409A of the Internal Revenue Code of 1986, as amended (“Code Section 409A”), and the regulations promulgated thereunder, because the amounts paid under this Plan are structured to comply with the “short-term deferral” exception to Code Section 409A. However, if any amount paid under this Plan is determined to be “deferred compensation” within the meaning of Code Section 409A and compliance with one or more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9" w:right="239" w:bottom="1440" w:gutter="0" w:footer="0" w:header="0"/>
        </w:sectPr>
      </w:pPr>
    </w:p>
    <w:bookmarkStart w:id="75" w:name="page76"/>
    <w:bookmarkEnd w:id="75"/>
    <w:p>
      <w:pPr>
        <w:jc w:val="both"/>
        <w:spacing w:after="0" w:line="247" w:lineRule="auto"/>
        <w:rPr>
          <w:sz w:val="20"/>
          <w:szCs w:val="20"/>
          <w:color w:val="auto"/>
        </w:rPr>
      </w:pPr>
      <w:r>
        <w:rPr>
          <w:rFonts w:ascii="Times New Roman" w:cs="Times New Roman" w:eastAsia="Times New Roman" w:hAnsi="Times New Roman"/>
          <w:sz w:val="22"/>
          <w:szCs w:val="22"/>
          <w:color w:val="auto"/>
        </w:rPr>
        <w:t>of the provisions of this Plan would cause or would result in a violation of Code Section 409A, then such provision shall be interpreted or reformed in the manner necessary to achieve compliance with Code Section 409A, including but not limited to, the imposition of a six (6) month delay in payment to any “specified employee” (as defined in Code Section 409A) following such specified employee’s date of termination which entitles him or her to a payment under this Plan. All payments to be made upon a termination of employment under this Plan may only be made upon a “separation from service” under Code Section 409A. In no event may the Executive, directly or indirectly, designate the calendar year of a payment and where payment may occur in one year or the next, it shall be made in the second year. Each payment under the Plan, including each Benefits Offset Payment, shall be treated as a separate identified payment for purposes of Code Section 409A.</w:t>
      </w:r>
    </w:p>
    <w:p>
      <w:pPr>
        <w:spacing w:after="0" w:line="2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the Executive is a specified employee (as defined in Treasury Regulation Section 1.409A-1(i)), any such payment that is subject to Code Section 409A and that is scheduled to be paid within six months after such separation from service shall accrue without interest and shall be paid on the first regularly scheduled payroll date on or after the first day of the seventh month beginning after the date of the Executive’s separation from service or, if earlier, within fifteen (15) days after the appointment of the personal representative or executor of the Executive’s estate following the Executive’s death.</w:t>
      </w:r>
    </w:p>
    <w:p>
      <w:pPr>
        <w:spacing w:after="0" w:line="218"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 PROVISIONS.</w:t>
      </w:r>
    </w:p>
    <w:p>
      <w:pPr>
        <w:spacing w:after="0" w:line="2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b w:val="1"/>
          <w:bCs w:val="1"/>
          <w:u w:val="single" w:color="auto"/>
          <w:color w:val="auto"/>
        </w:rPr>
        <w:t>Adoption and Modification</w:t>
      </w:r>
      <w:r>
        <w:rPr>
          <w:rFonts w:ascii="Times New Roman" w:cs="Times New Roman" w:eastAsia="Times New Roman" w:hAnsi="Times New Roman"/>
          <w:sz w:val="22"/>
          <w:szCs w:val="22"/>
          <w:color w:val="auto"/>
        </w:rPr>
        <w:t>. This Plan has been adopted by the Committee. Modifications to, or termination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can occur only in writing through official action of the Board, the Committee, or a designee of the Board or the Committee. Any communications or other purported modifications to this Plan that have not been so adopted are void. In no case can this Plan be modified or terminated, or the eligibility of an Executive revoked for two years following a Change in Control.</w:t>
      </w:r>
    </w:p>
    <w:p>
      <w:pPr>
        <w:spacing w:after="0" w:line="21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u w:val="single" w:color="auto"/>
          <w:color w:val="auto"/>
        </w:rPr>
        <w:t>Claims and Appeals</w:t>
      </w:r>
      <w:r>
        <w:rPr>
          <w:rFonts w:ascii="Times New Roman" w:cs="Times New Roman" w:eastAsia="Times New Roman" w:hAnsi="Times New Roman"/>
          <w:sz w:val="21"/>
          <w:szCs w:val="21"/>
          <w:color w:val="auto"/>
        </w:rPr>
        <w:t>.</w:t>
      </w:r>
    </w:p>
    <w:p>
      <w:pPr>
        <w:spacing w:after="0" w:line="264" w:lineRule="exact"/>
        <w:rPr>
          <w:sz w:val="20"/>
          <w:szCs w:val="20"/>
          <w:color w:val="auto"/>
        </w:rPr>
      </w:pPr>
    </w:p>
    <w:p>
      <w:pPr>
        <w:ind w:left="1300" w:hanging="644"/>
        <w:spacing w:after="0" w:line="271" w:lineRule="auto"/>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Filing Claims</w:t>
      </w:r>
      <w:r>
        <w:rPr>
          <w:rFonts w:ascii="Times New Roman" w:cs="Times New Roman" w:eastAsia="Times New Roman" w:hAnsi="Times New Roman"/>
          <w:sz w:val="22"/>
          <w:szCs w:val="22"/>
          <w:color w:val="auto"/>
        </w:rPr>
        <w:t>. Any Executive who believes he or she is entitled to Severance Benefits may file a claim for benefits with the Committee (or its designee).</w:t>
      </w:r>
    </w:p>
    <w:p>
      <w:pPr>
        <w:spacing w:after="0" w:line="198"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to Claimant</w:t>
      </w:r>
      <w:r>
        <w:rPr>
          <w:rFonts w:ascii="Times New Roman" w:cs="Times New Roman" w:eastAsia="Times New Roman" w:hAnsi="Times New Roman"/>
          <w:sz w:val="22"/>
          <w:szCs w:val="22"/>
          <w:color w:val="auto"/>
        </w:rPr>
        <w:t>. If a claim is wholly or partially denied, the Committee (or its designee) will furnish written or electronic notification (in accordance with Department of Labor Regulations Section 2520.104b-1(c)) of the decision to the Executive within 90 days of receipt of the claim in a manner calculated to be understood by the Executive. Such notification shall contain the following information:</w:t>
      </w:r>
    </w:p>
    <w:p>
      <w:pPr>
        <w:spacing w:after="0" w:line="220"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w:t>
      </w:r>
    </w:p>
    <w:p>
      <w:pPr>
        <w:spacing w:after="0" w:line="260"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reference to pertinent Plan provisions upon which the denial is based;</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9" w:right="239" w:bottom="1440" w:gutter="0" w:footer="0" w:header="0"/>
        </w:sectPr>
      </w:pPr>
    </w:p>
    <w:bookmarkStart w:id="76" w:name="page77"/>
    <w:bookmarkEnd w:id="76"/>
    <w:p>
      <w:pPr>
        <w:ind w:left="1960" w:hanging="655"/>
        <w:spacing w:after="0" w:line="271" w:lineRule="auto"/>
        <w:tabs>
          <w:tab w:leader="none" w:pos="19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 claimant to perfect the claim and an explanation of why such material or information is necessary; and</w:t>
      </w:r>
    </w:p>
    <w:p>
      <w:pPr>
        <w:spacing w:after="0" w:line="198" w:lineRule="exact"/>
        <w:rPr>
          <w:rFonts w:ascii="Times New Roman" w:cs="Times New Roman" w:eastAsia="Times New Roman" w:hAnsi="Times New Roman"/>
          <w:sz w:val="22"/>
          <w:szCs w:val="22"/>
          <w:color w:val="auto"/>
        </w:rPr>
      </w:pPr>
    </w:p>
    <w:p>
      <w:pPr>
        <w:jc w:val="both"/>
        <w:ind w:left="1960" w:hanging="655"/>
        <w:spacing w:after="0" w:line="257" w:lineRule="auto"/>
        <w:tabs>
          <w:tab w:leader="none" w:pos="19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the Plan’s claims review procedures describing the steps to be taken and the applicable time limits to submit claims for review, including a statement of the Executive’s right to bring a civil action under ERISA section 502(a) following an adverse benefit determination on review.</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special circumstances require an extension of time for the Committee (or its designee) to process the claim, the 90-day period may be extended for an additional 90 days. Prior to the termination of the initial 90-day period, the Executive shall be furnished with a written or electronic notice setting forth the reason for the extension. The notice shall indicate the special circumstances requiring an extension of time and the date by which the Committee (or its designee) expects to render the benefit determination.</w:t>
      </w:r>
    </w:p>
    <w:p>
      <w:pPr>
        <w:spacing w:after="0" w:line="222"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Review Procedure</w:t>
      </w:r>
      <w:r>
        <w:rPr>
          <w:rFonts w:ascii="Times New Roman" w:cs="Times New Roman" w:eastAsia="Times New Roman" w:hAnsi="Times New Roman"/>
          <w:sz w:val="22"/>
          <w:szCs w:val="22"/>
          <w:color w:val="auto"/>
        </w:rPr>
        <w:t>. An Executive or his or her authorized representative may, with respect to any denied claim:</w:t>
      </w:r>
    </w:p>
    <w:p>
      <w:pPr>
        <w:spacing w:after="0" w:line="260" w:lineRule="exact"/>
        <w:rPr>
          <w:rFonts w:ascii="Times New Roman" w:cs="Times New Roman" w:eastAsia="Times New Roman" w:hAnsi="Times New Roman"/>
          <w:sz w:val="22"/>
          <w:szCs w:val="22"/>
          <w:color w:val="auto"/>
        </w:rPr>
      </w:pPr>
    </w:p>
    <w:p>
      <w:pPr>
        <w:ind w:left="1960" w:right="20" w:hanging="655"/>
        <w:spacing w:after="0" w:line="271" w:lineRule="auto"/>
        <w:tabs>
          <w:tab w:leader="none" w:pos="196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 a full and fair review upon a written application filed within 60 days after receipt by the claimant of written or electronic notification of the denial of his or her claim;</w:t>
      </w:r>
    </w:p>
    <w:p>
      <w:pPr>
        <w:spacing w:after="0" w:line="198"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 written comments, documents, records and other information relating to the claim for benefits; and</w:t>
      </w:r>
    </w:p>
    <w:p>
      <w:pPr>
        <w:spacing w:after="0" w:line="260"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and free of charge, be provided reasonable access to and copies of documents and records and other information relevant to the claim for benefits.</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Upon receipt of a timely, written application for review, the Committee (or its designee) shall undertake a review, taking into account all comments, documents, records and information submitted by the Executive relating to the claim without regard to whether the information was submitted or considered in the initial benefit determination. If the Executive (or his or her duly authorized representative) fails to appeal the initial benefit determination to the Committee (or its designee) in writing within the prescribed period of time, then the Committee’s (or its designee’s) adverse determination shall be final, binding and conclusive.</w:t>
      </w:r>
    </w:p>
    <w:p>
      <w:pPr>
        <w:spacing w:after="0" w:line="22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Any request or submission must be in writing and directed to the Committee (or its designee). The Committee (or its designee) will have the sole responsibility for the review of any denied claim and will take all steps appropriate in light of its findings.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625" w:right="239" w:bottom="1440" w:gutter="0" w:footer="0" w:header="0"/>
        </w:sectPr>
      </w:pPr>
    </w:p>
    <w:bookmarkStart w:id="77" w:name="page78"/>
    <w:bookmarkEnd w:id="77"/>
    <w:p>
      <w:pPr>
        <w:jc w:val="both"/>
        <w:ind w:left="1300" w:hanging="644"/>
        <w:spacing w:after="0" w:line="246" w:lineRule="auto"/>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Decision on Review</w:t>
      </w:r>
      <w:r>
        <w:rPr>
          <w:rFonts w:ascii="Times New Roman" w:cs="Times New Roman" w:eastAsia="Times New Roman" w:hAnsi="Times New Roman"/>
          <w:sz w:val="22"/>
          <w:szCs w:val="22"/>
          <w:color w:val="auto"/>
        </w:rPr>
        <w:t>. The Committee (or its designee) will render a decision upon review no later than 60 days after receipt of the request for a review. If special circumstances (such as the need to hold a hearing on any matter pertaining to the denied claim) warrant additional time, the decision will be rendered as soon as possible, but not later than 120 days after receipt of the request for review. Written notice specifying the circumstances requiring an extension will be furnished to the Executive prior to the commencement of the extension. The decision on review will be in writing and will include specific reasons for the decision, written in a manner calculated to be understood by the Executive, as well as specific references to the pertinent provisions of the Plan on which the decision is based, including a statement of the Executive’s right to bring a civil action under ERISA section 502(a). If the decision on review is not furnished to the Executive within the time limits prescribed above, the claim will be deemed denied on review. Notwithstanding the statements above, any further appeal by the Executive under ERISA shall be subject to arbitration as set forth in Section 5 of the Participation Agreement.</w:t>
      </w:r>
    </w:p>
    <w:p>
      <w:pPr>
        <w:spacing w:after="0" w:line="22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4.3 </w:t>
      </w:r>
      <w:r>
        <w:rPr>
          <w:rFonts w:ascii="Times New Roman" w:cs="Times New Roman" w:eastAsia="Times New Roman" w:hAnsi="Times New Roman"/>
          <w:sz w:val="22"/>
          <w:szCs w:val="22"/>
          <w:b w:val="1"/>
          <w:bCs w:val="1"/>
          <w:u w:val="single" w:color="auto"/>
          <w:color w:val="auto"/>
        </w:rPr>
        <w:t>Administration</w:t>
      </w:r>
      <w:r>
        <w:rPr>
          <w:rFonts w:ascii="Times New Roman" w:cs="Times New Roman" w:eastAsia="Times New Roman" w:hAnsi="Times New Roman"/>
          <w:sz w:val="22"/>
          <w:szCs w:val="22"/>
          <w:color w:val="auto"/>
        </w:rPr>
        <w:t>. The Committee shall serve as the “Plan Administrator” of the Plan and the “named fiduciary” within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meaning of such terms as defined in ERISA. The Plan Administrator shall have full power and discretionary authority to determine eligibility for Severance Benefits and to construe the terms of the Plan, including, but not limited to, the making of factual determinations, the determination of all questions concerning benefits and procedures for claim review and the resolution of all other questions arising under the Plan. Severance Benefits under the Plan will be payable only if the Plan Administrator determines in the Plan Administrator’s discretion that the Executive is entitled to them. The decisions of the Plan Administrator shall be final and conclusive with respect to all questions concerning the administration of this Plan.</w:t>
      </w:r>
    </w:p>
    <w:p>
      <w:pPr>
        <w:spacing w:after="0" w:line="22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Plan Administrator may delegate to other persons responsibilities for performing certain of the duties of the Plan Administrator under the terms of this Plan and may seek such expert advice as the Plan Administrator deems reasonably necessary with respect to the Plan. The Plan Administrator shall be entitled to rely upon the information and advice furnished by such delegates and experts, unless actually knowing such information and advice to be inaccurate or unlawful. The Plan Administrator has discretionary authority to grant or deny benefits under this Plan. In no event shall an Executive or any other person be entitled to challenge a decision of the Plan Administrator in court or in any other administrative proceeding unless and until the claim and appeals procedures established under this Plan have been complied with and exhausted.</w:t>
      </w:r>
    </w:p>
    <w:p>
      <w:pPr>
        <w:spacing w:after="0" w:line="21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4.4 </w:t>
      </w: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 This Plan shall be binding on the Company’s successors, including following a Change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w:t>
      </w:r>
    </w:p>
    <w:p>
      <w:pPr>
        <w:spacing w:after="0" w:line="19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4.5 </w:t>
      </w:r>
      <w:r>
        <w:rPr>
          <w:rFonts w:ascii="Times New Roman" w:cs="Times New Roman" w:eastAsia="Times New Roman" w:hAnsi="Times New Roman"/>
          <w:sz w:val="22"/>
          <w:szCs w:val="22"/>
          <w:b w:val="1"/>
          <w:bCs w:val="1"/>
          <w:u w:val="single" w:color="auto"/>
          <w:color w:val="auto"/>
        </w:rPr>
        <w:t>No Assignment</w:t>
      </w:r>
      <w:r>
        <w:rPr>
          <w:rFonts w:ascii="Times New Roman" w:cs="Times New Roman" w:eastAsia="Times New Roman" w:hAnsi="Times New Roman"/>
          <w:sz w:val="22"/>
          <w:szCs w:val="22"/>
          <w:color w:val="auto"/>
        </w:rPr>
        <w:t>. Severance Benefits payable under the Plan shall not be subject to anticipation, alienation, pledge,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 transfer, assignment, garnishment,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9" w:right="239" w:bottom="1440" w:gutter="0" w:footer="0" w:header="0"/>
        </w:sectPr>
      </w:pPr>
    </w:p>
    <w:bookmarkStart w:id="78" w:name="page79"/>
    <w:bookmarkEnd w:id="78"/>
    <w:p>
      <w:pPr>
        <w:jc w:val="both"/>
        <w:spacing w:after="0" w:line="271" w:lineRule="auto"/>
        <w:rPr>
          <w:sz w:val="20"/>
          <w:szCs w:val="20"/>
          <w:color w:val="auto"/>
        </w:rPr>
      </w:pPr>
      <w:r>
        <w:rPr>
          <w:rFonts w:ascii="Times New Roman" w:cs="Times New Roman" w:eastAsia="Times New Roman" w:hAnsi="Times New Roman"/>
          <w:sz w:val="22"/>
          <w:szCs w:val="22"/>
          <w:color w:val="auto"/>
        </w:rPr>
        <w:t>attachment, execution, encumbrance, levy, lien, or charge, and any attempt to cause such Severance Benefits to be so subjected shall not be recognized, except to the extent required by law.</w:t>
      </w:r>
    </w:p>
    <w:p>
      <w:pPr>
        <w:spacing w:after="0" w:line="19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4.6 </w:t>
      </w:r>
      <w:r>
        <w:rPr>
          <w:rFonts w:ascii="Times New Roman" w:cs="Times New Roman" w:eastAsia="Times New Roman" w:hAnsi="Times New Roman"/>
          <w:sz w:val="22"/>
          <w:szCs w:val="22"/>
          <w:b w:val="1"/>
          <w:bCs w:val="1"/>
          <w:u w:val="single" w:color="auto"/>
          <w:color w:val="auto"/>
        </w:rPr>
        <w:t>No Employment Rights</w:t>
      </w:r>
      <w:r>
        <w:rPr>
          <w:rFonts w:ascii="Times New Roman" w:cs="Times New Roman" w:eastAsia="Times New Roman" w:hAnsi="Times New Roman"/>
          <w:sz w:val="22"/>
          <w:szCs w:val="22"/>
          <w:color w:val="auto"/>
        </w:rPr>
        <w:t>. This Plan shall not confer employment rights upon any person. No person shall be entitled,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virtue of the Plan, to remain in the employ of the Company and nothing in the Plan shall restrict the right of the Company to terminate the employment of any associate or other person at any time, for any reason and with or without notice or cause.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4.7 </w:t>
      </w:r>
      <w:r>
        <w:rPr>
          <w:rFonts w:ascii="Times New Roman" w:cs="Times New Roman" w:eastAsia="Times New Roman" w:hAnsi="Times New Roman"/>
          <w:sz w:val="22"/>
          <w:szCs w:val="22"/>
          <w:b w:val="1"/>
          <w:bCs w:val="1"/>
          <w:u w:val="single" w:color="auto"/>
          <w:color w:val="auto"/>
        </w:rPr>
        <w:t>Plan Funding</w:t>
      </w:r>
      <w:r>
        <w:rPr>
          <w:rFonts w:ascii="Times New Roman" w:cs="Times New Roman" w:eastAsia="Times New Roman" w:hAnsi="Times New Roman"/>
          <w:sz w:val="22"/>
          <w:szCs w:val="22"/>
          <w:color w:val="auto"/>
        </w:rPr>
        <w:t>. No associate shall acquire by reason of the Plan any right in or title to any assets, funds, or property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Any payment which becomes due under the Plan is an unfunded obligation and shall be paid from the general assets of the Company. No employee, officer, director or agent of the Company personally guarantees in any manner the payment of Severance Benefits.</w:t>
      </w:r>
    </w:p>
    <w:p>
      <w:pPr>
        <w:spacing w:after="0" w:line="21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4.8 </w:t>
      </w:r>
      <w:r>
        <w:rPr>
          <w:rFonts w:ascii="Times New Roman" w:cs="Times New Roman" w:eastAsia="Times New Roman" w:hAnsi="Times New Roman"/>
          <w:sz w:val="21"/>
          <w:szCs w:val="21"/>
          <w:b w:val="1"/>
          <w:bCs w:val="1"/>
          <w:u w:val="single" w:color="auto"/>
          <w:color w:val="auto"/>
        </w:rPr>
        <w:t>Transfer to Affiliate &amp; Responsibility for Payment</w:t>
      </w:r>
      <w:r>
        <w:rPr>
          <w:rFonts w:ascii="Times New Roman" w:cs="Times New Roman" w:eastAsia="Times New Roman" w:hAnsi="Times New Roman"/>
          <w:sz w:val="21"/>
          <w:szCs w:val="21"/>
          <w:color w:val="auto"/>
        </w:rPr>
        <w:t>. Severance Benefits are not available to an Executive as a result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Executive’s change, transfer, or termination of employment due to the transfer of an Executive from one Affiliate to another, or to or from the Company (unless such change, transfer, or termination constitutes “Good Reason” under the Executive’s Participation Agreement). In the event of such a transfer, or if the Executive is employed by an Affiliate, (a) the Executive shall be or remain covered under this Plan and the related Participation Agreement, and (b) both the Affiliate that directly employs the Executive and the Company shall be jointly and severally liable for the payment of Severance Benefits to the Executive.</w:t>
      </w:r>
    </w:p>
    <w:p>
      <w:pPr>
        <w:spacing w:after="0" w:line="20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4.9 </w:t>
      </w:r>
      <w:r>
        <w:rPr>
          <w:rFonts w:ascii="Times New Roman" w:cs="Times New Roman" w:eastAsia="Times New Roman" w:hAnsi="Times New Roman"/>
          <w:sz w:val="22"/>
          <w:szCs w:val="22"/>
          <w:b w:val="1"/>
          <w:bCs w:val="1"/>
          <w:u w:val="single" w:color="auto"/>
          <w:color w:val="auto"/>
        </w:rPr>
        <w:t>Applicable Law</w:t>
      </w:r>
      <w:r>
        <w:rPr>
          <w:rFonts w:ascii="Times New Roman" w:cs="Times New Roman" w:eastAsia="Times New Roman" w:hAnsi="Times New Roman"/>
          <w:sz w:val="22"/>
          <w:szCs w:val="22"/>
          <w:color w:val="auto"/>
        </w:rPr>
        <w:t>. This Plan shall be governed and construed in accordance with the Employee Retirement Income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Security Act of 1974, as amended (“ERISA”), and in the event that any reference shall be made to State law, the laws of the State of Ohio shall apply, without regard to its conflicts of law provisions.</w:t>
      </w:r>
    </w:p>
    <w:p>
      <w:pPr>
        <w:spacing w:after="0" w:line="20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4.10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the Plan is found, held or deemed by a court of competent jurisdiction to be void,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unlawful or unenforceable under any applicable statute or other controlling law, the remainder of the Plan shall continue in full force and effect.</w:t>
      </w:r>
    </w:p>
    <w:p>
      <w:pPr>
        <w:spacing w:after="0" w:line="200" w:lineRule="exact"/>
        <w:rPr>
          <w:sz w:val="20"/>
          <w:szCs w:val="20"/>
          <w:color w:val="auto"/>
        </w:rPr>
      </w:pPr>
    </w:p>
    <w:p>
      <w:pPr>
        <w:spacing w:after="0" w:line="264" w:lineRule="exact"/>
        <w:rPr>
          <w:sz w:val="20"/>
          <w:szCs w:val="20"/>
          <w:color w:val="auto"/>
        </w:rPr>
      </w:pPr>
    </w:p>
    <w:p>
      <w:pPr>
        <w:ind w:left="380" w:hanging="372"/>
        <w:spacing w:after="0"/>
        <w:tabs>
          <w:tab w:leader="none" w:pos="38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5.1 </w:t>
      </w:r>
      <w:r>
        <w:rPr>
          <w:rFonts w:ascii="Times New Roman" w:cs="Times New Roman" w:eastAsia="Times New Roman" w:hAnsi="Times New Roman"/>
          <w:sz w:val="22"/>
          <w:szCs w:val="22"/>
          <w:color w:val="auto"/>
        </w:rPr>
        <w:t>“Affiliate” means any Subsidiary or such other domestic entity that is either (i) a member of a controlled group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corporations (as determined under Code Section 414(b)) of which the Company is a member or (ii) a member of a group of trades or businesses under common control (as determined under Code Section 414(c)) with the Company. A “subsidiary” means any domestic entity in which the Company has or obtains, directly 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369"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color w:val="auto"/>
        </w:rPr>
        <w:t>indirectly, a proprietary interest of more than fifty percent (50%) by reason of stock ownership or otherwise.</w:t>
      </w:r>
    </w:p>
    <w:p>
      <w:pPr>
        <w:spacing w:after="0" w:line="25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color w:val="auto"/>
        </w:rPr>
        <w:t>“Cause” means that an Executive:</w:t>
      </w:r>
    </w:p>
    <w:p>
      <w:pPr>
        <w:spacing w:after="0" w:line="264" w:lineRule="exact"/>
        <w:rPr>
          <w:sz w:val="20"/>
          <w:szCs w:val="20"/>
          <w:color w:val="auto"/>
        </w:rPr>
      </w:pPr>
    </w:p>
    <w:p>
      <w:pPr>
        <w:ind w:left="1960" w:hanging="655"/>
        <w:spacing w:after="0"/>
        <w:tabs>
          <w:tab w:leader="none" w:pos="19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Willfully and materially breached the terms of any agreement between the Executive and the Company; or</w:t>
      </w:r>
    </w:p>
    <w:p>
      <w:pPr>
        <w:spacing w:after="0" w:line="260"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Engaged in willful misconduct that has materially injured the business of the Company or any affiliate; or</w:t>
      </w:r>
    </w:p>
    <w:p>
      <w:pPr>
        <w:spacing w:after="0" w:line="260"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Willfully committed a material act of fraud or a material breach of the Executive’s duty of loyalty to the Company and its affiliates; or</w:t>
      </w:r>
    </w:p>
    <w:p>
      <w:pPr>
        <w:spacing w:after="0" w:line="198" w:lineRule="exact"/>
        <w:rPr>
          <w:rFonts w:ascii="Times New Roman" w:cs="Times New Roman" w:eastAsia="Times New Roman" w:hAnsi="Times New Roman"/>
          <w:sz w:val="22"/>
          <w:szCs w:val="22"/>
          <w:color w:val="auto"/>
        </w:rPr>
      </w:pPr>
    </w:p>
    <w:p>
      <w:pPr>
        <w:jc w:val="both"/>
        <w:ind w:left="1960" w:hanging="655"/>
        <w:spacing w:after="0" w:line="252" w:lineRule="auto"/>
        <w:tabs>
          <w:tab w:leader="none" w:pos="19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Willfully and continually failed to attempt in good faith to perform the Executive’s duties (other than a failure resulting from the Executive’s incapacity due to physical or mental illness) after written notice has been delivered to the Executive by the Company, which notice specifically identifies the manner in which the Executive has not attempted in good faith to perform his or her duties; or</w:t>
      </w:r>
    </w:p>
    <w:p>
      <w:pPr>
        <w:spacing w:after="0" w:line="220"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Been convicted or pled guilty or nolo contender for the commission of an act or acts constituting a felony under the laws of the United States or any State thereof.</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For purposes of clauses (a) through (d), no act or failure to act by the Executive shall be deemed “willful” unless the Company reasonably determines, in good faith, that it was done or omitted to be done by the Executive not in good faith and without reasonable belief that his or her act or failure to act was in the best interest of the Company or its affiliate.</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5.3 </w:t>
      </w:r>
      <w:r>
        <w:rPr>
          <w:rFonts w:ascii="Times New Roman" w:cs="Times New Roman" w:eastAsia="Times New Roman" w:hAnsi="Times New Roman"/>
          <w:sz w:val="21"/>
          <w:szCs w:val="21"/>
          <w:color w:val="auto"/>
        </w:rPr>
        <w:t>“Change in Control” shall be as defined in The Scotts Miracle-Gro Company Long-Term Incentive Plan, effective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January 27, 2017, as may be amended from time to time, or, if a successor long-term incentive plan is adopted, then beginning one year after the effective date of the successor plan, Change in Control shall be as defined in that successor plan; provided, however, if the Hagedorn Partnership, L.P., or any related party to Hagedorn Partnership, L.P., becomes beneficial owner, directly or indirectly, of securities of The Scotts Miracle-Gro Company (“SMG”) representing more than 49% of the combined voting power of SMG’s then outstanding securities, such an event shall not constitute a Change in Control for purposes of this Plan.</w:t>
      </w:r>
    </w:p>
    <w:p>
      <w:pPr>
        <w:spacing w:after="0" w:line="20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5.4 </w:t>
      </w:r>
      <w:r>
        <w:rPr>
          <w:rFonts w:ascii="Times New Roman" w:cs="Times New Roman" w:eastAsia="Times New Roman" w:hAnsi="Times New Roman"/>
          <w:sz w:val="22"/>
          <w:szCs w:val="22"/>
          <w:color w:val="auto"/>
        </w:rPr>
        <w:t>“Effective Date of Termination” means the date on which a termination of the Executive’s employment occurs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specified in the Notice of Termination. For purposes of this Plan, references to a “termination of employment” or any form thereof shall mean a “separation from service” as defined under Code Section 409A.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369"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COMPANY LLC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SEVERANCE PLAN</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PARTICIPATION AGREEMENT - TIER 1</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PARTICIPATION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and entered into as of ____________ __, 20__ by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between ________________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and The Scotts Company LLC, an Ohio limited liability company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behalf of itself and any of its Subsidiaries or Affiliates which employs the Executive, and effective _________, 20__.</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Executive has been designated as eligible to participate in the Executive Severance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Intending to be legally bound by this Agreement, the parties agree as provided below. All capitalized terms shall be either as defined herein or, if not so defined, as defined by the Plan, as applicable.</w:t>
      </w:r>
    </w:p>
    <w:p>
      <w:pPr>
        <w:spacing w:after="0" w:line="169" w:lineRule="exact"/>
        <w:rPr>
          <w:sz w:val="20"/>
          <w:szCs w:val="20"/>
          <w:color w:val="auto"/>
        </w:rPr>
      </w:pPr>
    </w:p>
    <w:p>
      <w:pPr>
        <w:jc w:val="both"/>
        <w:ind w:firstLine="1305"/>
        <w:spacing w:after="0" w:line="249" w:lineRule="auto"/>
        <w:tabs>
          <w:tab w:leader="none" w:pos="2107"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Participation in the Plan; Offset of any other Rights to Severance Benefits</w:t>
      </w:r>
      <w:r>
        <w:rPr>
          <w:rFonts w:ascii="Times New Roman" w:cs="Times New Roman" w:eastAsia="Times New Roman" w:hAnsi="Times New Roman"/>
          <w:sz w:val="22"/>
          <w:szCs w:val="22"/>
          <w:color w:val="auto"/>
        </w:rPr>
        <w:t>. I accept my designation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Executive under the terms of the Plan and, pursuant thereto, I agree to forego any other benefits or payments to which I may otherwise be entitled under the terms of any other plan, program or agreement of the Company which provides for the payment of severance or severance benefits, or severance-related salary continuation, in the event of my termination of employment whether in connection with a Change in Control or otherwise. I further acknowledge and agree that the terms of this Participation Agreement supersede any Participation Agreement I may have previously executed.</w:t>
      </w:r>
    </w:p>
    <w:p>
      <w:pPr>
        <w:spacing w:after="0" w:line="221" w:lineRule="exact"/>
        <w:rPr>
          <w:rFonts w:ascii="Times New Roman" w:cs="Times New Roman" w:eastAsia="Times New Roman" w:hAnsi="Times New Roman"/>
          <w:sz w:val="22"/>
          <w:szCs w:val="22"/>
          <w:b w:val="1"/>
          <w:bCs w:val="1"/>
          <w:color w:val="auto"/>
        </w:rPr>
      </w:pPr>
    </w:p>
    <w:p>
      <w:pPr>
        <w:ind w:left="2120" w:hanging="815"/>
        <w:spacing w:after="0"/>
        <w:tabs>
          <w:tab w:leader="none" w:pos="212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of Employment/Good Reason</w:t>
      </w:r>
      <w:r>
        <w:rPr>
          <w:rFonts w:ascii="Times New Roman" w:cs="Times New Roman" w:eastAsia="Times New Roman" w:hAnsi="Times New Roman"/>
          <w:sz w:val="22"/>
          <w:szCs w:val="22"/>
          <w:b w:val="1"/>
          <w:bCs w:val="1"/>
          <w:color w:val="auto"/>
        </w:rPr>
        <w:t>.</w:t>
      </w:r>
    </w:p>
    <w:p>
      <w:pPr>
        <w:spacing w:after="0" w:line="260" w:lineRule="exact"/>
        <w:rPr>
          <w:sz w:val="20"/>
          <w:szCs w:val="20"/>
          <w:color w:val="auto"/>
        </w:rPr>
      </w:pPr>
    </w:p>
    <w:p>
      <w:pPr>
        <w:jc w:val="both"/>
        <w:ind w:left="66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color w:val="auto"/>
        </w:rPr>
        <w:t>I acknowledge that I will be eligible for Severance Benefits under the Plan only if I receive a Notice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from the Company or I provide the Company with a Notice of Good Reason, without cure, as provided below, and, in either event, (i) execute, and do not revoke, a Release, and (ii) agree to and do not breach the Post-Employment Obligations.</w:t>
      </w:r>
    </w:p>
    <w:p>
      <w:pPr>
        <w:spacing w:after="0" w:line="172" w:lineRule="exact"/>
        <w:rPr>
          <w:sz w:val="20"/>
          <w:szCs w:val="20"/>
          <w:color w:val="auto"/>
        </w:rPr>
      </w:pPr>
    </w:p>
    <w:p>
      <w:pPr>
        <w:ind w:left="1960"/>
        <w:spacing w:after="0"/>
        <w:tabs>
          <w:tab w:leader="none" w:pos="242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 xml:space="preserve">“Good Reason” </w:t>
      </w:r>
      <w:r>
        <w:rPr>
          <w:rFonts w:ascii="Times New Roman" w:cs="Times New Roman" w:eastAsia="Times New Roman" w:hAnsi="Times New Roman"/>
          <w:sz w:val="21"/>
          <w:szCs w:val="21"/>
          <w:color w:val="auto"/>
        </w:rPr>
        <w:t>means, without my consent, the existence of one or more of the following conditions:</w:t>
      </w:r>
    </w:p>
    <w:p>
      <w:pPr>
        <w:spacing w:after="0" w:line="224" w:lineRule="exact"/>
        <w:rPr>
          <w:sz w:val="20"/>
          <w:szCs w:val="20"/>
          <w:color w:val="auto"/>
        </w:rPr>
      </w:pPr>
    </w:p>
    <w:p>
      <w:pPr>
        <w:jc w:val="both"/>
        <w:ind w:left="1540" w:firstLine="1291"/>
        <w:spacing w:after="0" w:line="252" w:lineRule="auto"/>
        <w:tabs>
          <w:tab w:leader="none" w:pos="328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my total direct compensation at target (meaning the sum of my Base Salary, Target Bonus Opportunity and grant date value of any long term awards for a fiscal year/performance period, based on the standard grant practices of the Compensation and Organization Committee of the Board), except that “Good Reason” shall not include:</w:t>
      </w:r>
    </w:p>
    <w:p>
      <w:pPr>
        <w:spacing w:after="0" w:line="193" w:lineRule="exact"/>
        <w:rPr>
          <w:rFonts w:ascii="Times New Roman" w:cs="Times New Roman" w:eastAsia="Times New Roman" w:hAnsi="Times New Roman"/>
          <w:sz w:val="22"/>
          <w:szCs w:val="22"/>
          <w:color w:val="auto"/>
        </w:rPr>
      </w:pPr>
    </w:p>
    <w:p>
      <w:pPr>
        <w:ind w:left="3900" w:hanging="421"/>
        <w:spacing w:after="0"/>
        <w:tabs>
          <w:tab w:leader="none" w:pos="39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across-the-board reduction for executives at my level;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8"/>
          <w:szCs w:val="18"/>
          <w:color w:val="auto"/>
        </w:rPr>
        <w:t>______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Initials</w:t>
      </w:r>
    </w:p>
    <w:p>
      <w:pPr>
        <w:sectPr>
          <w:pgSz w:w="11900" w:h="16838" w:orient="portrait"/>
          <w:cols w:equalWidth="0" w:num="1">
            <w:col w:w="11420"/>
          </w:cols>
          <w:pgMar w:left="240" w:top="594" w:right="239" w:bottom="1440" w:gutter="0" w:footer="0" w:header="0"/>
        </w:sectPr>
      </w:pPr>
    </w:p>
    <w:bookmarkStart w:id="81" w:name="page82"/>
    <w:bookmarkEnd w:id="81"/>
    <w:p>
      <w:pPr>
        <w:ind w:left="1540" w:firstLine="1939"/>
        <w:spacing w:after="0" w:line="271" w:lineRule="auto"/>
        <w:tabs>
          <w:tab w:leader="none" w:pos="41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my total direct compensation at target, by reason of my being in a Company performance improvement or disciplinary plan; or</w:t>
      </w:r>
    </w:p>
    <w:p>
      <w:pPr>
        <w:spacing w:after="0" w:line="171" w:lineRule="exact"/>
        <w:rPr>
          <w:rFonts w:ascii="Times New Roman" w:cs="Times New Roman" w:eastAsia="Times New Roman" w:hAnsi="Times New Roman"/>
          <w:sz w:val="22"/>
          <w:szCs w:val="22"/>
          <w:color w:val="auto"/>
        </w:rPr>
      </w:pPr>
    </w:p>
    <w:p>
      <w:pPr>
        <w:ind w:left="1540" w:firstLine="1939"/>
        <w:spacing w:after="0" w:line="271" w:lineRule="auto"/>
        <w:tabs>
          <w:tab w:leader="none" w:pos="429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my total direct compensation at target by reason of unique, supplemental, additional, or other one-time incentive compensation grants made to me in a prior year; or</w:t>
      </w:r>
    </w:p>
    <w:p>
      <w:pPr>
        <w:spacing w:after="0" w:line="171" w:lineRule="exact"/>
        <w:rPr>
          <w:rFonts w:ascii="Times New Roman" w:cs="Times New Roman" w:eastAsia="Times New Roman" w:hAnsi="Times New Roman"/>
          <w:sz w:val="22"/>
          <w:szCs w:val="22"/>
          <w:color w:val="auto"/>
        </w:rPr>
      </w:pPr>
    </w:p>
    <w:p>
      <w:pPr>
        <w:ind w:left="3320" w:hanging="489"/>
        <w:spacing w:after="0"/>
        <w:tabs>
          <w:tab w:leader="none" w:pos="332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my authority, duties, or responsibilities, except that “Good Reason”</w:t>
      </w:r>
    </w:p>
    <w:p>
      <w:pPr>
        <w:spacing w:after="0" w:line="39" w:lineRule="exact"/>
        <w:rPr>
          <w:rFonts w:ascii="Times New Roman" w:cs="Times New Roman" w:eastAsia="Times New Roman" w:hAnsi="Times New Roman"/>
          <w:sz w:val="21"/>
          <w:szCs w:val="21"/>
          <w:color w:val="auto"/>
        </w:rPr>
      </w:pPr>
    </w:p>
    <w:p>
      <w:pPr>
        <w:ind w:left="15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shall not include:</w:t>
      </w:r>
    </w:p>
    <w:p>
      <w:pPr>
        <w:spacing w:after="0" w:line="209" w:lineRule="exact"/>
        <w:rPr>
          <w:rFonts w:ascii="Times New Roman" w:cs="Times New Roman" w:eastAsia="Times New Roman" w:hAnsi="Times New Roman"/>
          <w:sz w:val="21"/>
          <w:szCs w:val="21"/>
          <w:color w:val="auto"/>
        </w:rPr>
      </w:pPr>
    </w:p>
    <w:p>
      <w:pPr>
        <w:ind w:left="1540" w:firstLine="1939"/>
        <w:spacing w:after="0" w:line="271" w:lineRule="auto"/>
        <w:tabs>
          <w:tab w:leader="none" w:pos="399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my position to another position which is at the same, or higher, officer level, and for which I am reasonably qualified by education, skills or experience; or</w:t>
      </w:r>
    </w:p>
    <w:p>
      <w:pPr>
        <w:spacing w:after="0" w:line="171" w:lineRule="exact"/>
        <w:rPr>
          <w:rFonts w:ascii="Times New Roman" w:cs="Times New Roman" w:eastAsia="Times New Roman" w:hAnsi="Times New Roman"/>
          <w:sz w:val="22"/>
          <w:szCs w:val="22"/>
          <w:color w:val="auto"/>
        </w:rPr>
      </w:pPr>
    </w:p>
    <w:p>
      <w:pPr>
        <w:jc w:val="both"/>
        <w:ind w:left="1540" w:firstLine="1939"/>
        <w:spacing w:after="0" w:line="250" w:lineRule="auto"/>
        <w:tabs>
          <w:tab w:leader="none" w:pos="3967"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requirement that I be based at a different office of the Company from that to which I was assigned prior to that required move. Notwithstanding the foregoing, if I terminate service within 2 years after a Change in Control because of a requirement that I must perform services at a location that is more than 50 miles away from the location in which I performed services before the Change in Control, such termination shall constitute termination for Good Reason.</w:t>
      </w:r>
    </w:p>
    <w:p>
      <w:pPr>
        <w:spacing w:after="0" w:line="195"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Notwithstanding the foregoing, an event described in this paragraph 2.2 shall constitute “Good Reason” only if the Company fails to cure such event within thirty (30) days after receipt from me of a notice as to the event giving rise to Good Reason and Good Reason shall cease to exist for an event on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later of its occurrence or my knowledge thereof.</w:t>
      </w:r>
    </w:p>
    <w:p>
      <w:pPr>
        <w:spacing w:after="0" w:line="189" w:lineRule="exact"/>
        <w:rPr>
          <w:sz w:val="20"/>
          <w:szCs w:val="20"/>
          <w:color w:val="auto"/>
        </w:rPr>
      </w:pPr>
    </w:p>
    <w:p>
      <w:pPr>
        <w:jc w:val="both"/>
        <w:ind w:firstLine="1305"/>
        <w:spacing w:after="0" w:line="249" w:lineRule="auto"/>
        <w:tabs>
          <w:tab w:leader="none" w:pos="1769"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Amount and Timing of Severance Benefits, Payment, etc.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I satisfy all of the requirements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paragraph 2, then my Severance Benefits shall equal (i) cash payments equal to [two] times my Base Salary (the “Severance Payments”) which will be payable as provided in paragraph 3.1, (ii) Benefits Offset Payments which will be payable as provided in paragraph 3.2, (iii) an amount equal to [two] times my Target Bonus Opportunity for the year in which my Effective Termination occurs, plus, if applicable, an additional amount equal to my Prorated Annual Bonus as provided in paragraph 3.3, and (iv) outplacement benefits as provided in paragraph 3.4.</w:t>
      </w:r>
    </w:p>
    <w:p>
      <w:pPr>
        <w:spacing w:after="0" w:line="221" w:lineRule="exact"/>
        <w:rPr>
          <w:sz w:val="20"/>
          <w:szCs w:val="20"/>
          <w:color w:val="auto"/>
        </w:rPr>
      </w:pPr>
    </w:p>
    <w:p>
      <w:pPr>
        <w:ind w:left="1960"/>
        <w:spacing w:after="0"/>
        <w:tabs>
          <w:tab w:leader="none" w:pos="242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Severance Payments</w:t>
      </w:r>
      <w:r>
        <w:rPr>
          <w:rFonts w:ascii="Times New Roman" w:cs="Times New Roman" w:eastAsia="Times New Roman" w:hAnsi="Times New Roman"/>
          <w:sz w:val="21"/>
          <w:szCs w:val="21"/>
          <w:b w:val="1"/>
          <w:bCs w:val="1"/>
          <w:color w:val="auto"/>
        </w:rPr>
        <w:t>.</w:t>
      </w:r>
    </w:p>
    <w:p>
      <w:pPr>
        <w:spacing w:after="0" w:line="264" w:lineRule="exact"/>
        <w:rPr>
          <w:sz w:val="20"/>
          <w:szCs w:val="20"/>
          <w:color w:val="auto"/>
        </w:rPr>
      </w:pPr>
    </w:p>
    <w:p>
      <w:pPr>
        <w:jc w:val="both"/>
        <w:ind w:left="1300" w:firstLine="653"/>
        <w:spacing w:after="0" w:line="265" w:lineRule="auto"/>
        <w:tabs>
          <w:tab w:leader="none" w:pos="246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a Change in Control, the Severance Payments will be payable over twenty-four months (the “Severance Period”). The Severance Payments generally shall commence within sixty days after the Effective Date of Termination or such later date as is permitted by law for signing and revoking the Release, but not in excess of seventy days. Any such payment that otherwise would have been made during this time beginning with first payroll date that is at least 10 days after the Effective Date of Termination but was not made shall accrue without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79"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8"/>
          <w:szCs w:val="18"/>
          <w:color w:val="auto"/>
        </w:rPr>
        <w:t>______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Initials</w:t>
      </w:r>
    </w:p>
    <w:p>
      <w:pPr>
        <w:sectPr>
          <w:pgSz w:w="11900" w:h="16838" w:orient="portrait"/>
          <w:cols w:equalWidth="0" w:num="1">
            <w:col w:w="11420"/>
          </w:cols>
          <w:pgMar w:left="240" w:top="369" w:right="239" w:bottom="1440" w:gutter="0" w:footer="0" w:header="0"/>
        </w:sectPr>
      </w:pPr>
    </w:p>
    <w:bookmarkStart w:id="82" w:name="page83"/>
    <w:bookmarkEnd w:id="82"/>
    <w:p>
      <w:pPr>
        <w:ind w:left="1300"/>
        <w:spacing w:after="0" w:line="271" w:lineRule="auto"/>
        <w:rPr>
          <w:sz w:val="20"/>
          <w:szCs w:val="20"/>
          <w:color w:val="auto"/>
        </w:rPr>
      </w:pPr>
      <w:r>
        <w:rPr>
          <w:rFonts w:ascii="Times New Roman" w:cs="Times New Roman" w:eastAsia="Times New Roman" w:hAnsi="Times New Roman"/>
          <w:sz w:val="22"/>
          <w:szCs w:val="22"/>
          <w:color w:val="auto"/>
        </w:rPr>
        <w:t>and shall be paid on the date that the Severance Payments commence. Notwithstanding the foregoing, payment will be made in accordance with Section 3.10 of the Plan.</w:t>
      </w:r>
    </w:p>
    <w:p>
      <w:pPr>
        <w:spacing w:after="0" w:line="198" w:lineRule="exact"/>
        <w:rPr>
          <w:sz w:val="20"/>
          <w:szCs w:val="20"/>
          <w:color w:val="auto"/>
        </w:rPr>
      </w:pPr>
    </w:p>
    <w:p>
      <w:pPr>
        <w:jc w:val="both"/>
        <w:ind w:left="1300" w:firstLine="653"/>
        <w:spacing w:after="0" w:line="250" w:lineRule="auto"/>
        <w:tabs>
          <w:tab w:leader="none" w:pos="242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Effective Date of Termination is within the two year period after the occurrence of a Change in Control, and the event giving rise to the Change in Control constitutes a “change in control” as defined in Code Section 409A, the Severance Payments generally shall be made in a lump sum within sixty days after the Effective Date of Termination, but not in excess of seventy days. Notwithstanding the foregoing, payment will be made in accordance with Section 3.10 of the Plan.</w:t>
      </w:r>
    </w:p>
    <w:p>
      <w:pPr>
        <w:spacing w:after="0" w:line="218" w:lineRule="exact"/>
        <w:rPr>
          <w:sz w:val="20"/>
          <w:szCs w:val="20"/>
          <w:color w:val="auto"/>
        </w:rPr>
      </w:pPr>
    </w:p>
    <w:p>
      <w:pPr>
        <w:jc w:val="both"/>
        <w:ind w:left="660" w:firstLine="1945"/>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3.2 </w:t>
      </w:r>
      <w:r>
        <w:rPr>
          <w:rFonts w:ascii="Times New Roman" w:cs="Times New Roman" w:eastAsia="Times New Roman" w:hAnsi="Times New Roman"/>
          <w:sz w:val="21"/>
          <w:szCs w:val="21"/>
          <w:b w:val="1"/>
          <w:bCs w:val="1"/>
          <w:u w:val="single" w:color="auto"/>
          <w:color w:val="auto"/>
        </w:rPr>
        <w:t>Benefits Offset Payments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Benefits Offset Payments will be made for each month starting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month following the Effective Date of Termination for the length of the Severance Period, up to a maximum of twenty-four (24) months. Notwithstanding the foregoing, payment will be made in accordance with Section 3.10 of the Plan.</w:t>
      </w:r>
    </w:p>
    <w:p>
      <w:pPr>
        <w:spacing w:after="0" w:line="190" w:lineRule="exact"/>
        <w:rPr>
          <w:sz w:val="20"/>
          <w:szCs w:val="20"/>
          <w:color w:val="auto"/>
        </w:rPr>
      </w:pPr>
    </w:p>
    <w:p>
      <w:pPr>
        <w:ind w:left="1960"/>
        <w:spacing w:after="0"/>
        <w:tabs>
          <w:tab w:leader="none" w:pos="242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u w:val="single" w:color="auto"/>
          <w:color w:val="auto"/>
        </w:rPr>
        <w:t>Bonus</w:t>
      </w:r>
      <w:r>
        <w:rPr>
          <w:rFonts w:ascii="Times New Roman" w:cs="Times New Roman" w:eastAsia="Times New Roman" w:hAnsi="Times New Roman"/>
          <w:sz w:val="21"/>
          <w:szCs w:val="21"/>
          <w:b w:val="1"/>
          <w:bCs w:val="1"/>
          <w:color w:val="auto"/>
        </w:rPr>
        <w:t>.</w:t>
      </w:r>
    </w:p>
    <w:p>
      <w:pPr>
        <w:spacing w:after="0" w:line="264" w:lineRule="exact"/>
        <w:rPr>
          <w:sz w:val="20"/>
          <w:szCs w:val="20"/>
          <w:color w:val="auto"/>
        </w:rPr>
      </w:pPr>
    </w:p>
    <w:p>
      <w:pPr>
        <w:jc w:val="both"/>
        <w:ind w:left="1300" w:firstLine="653"/>
        <w:spacing w:after="0" w:line="247" w:lineRule="auto"/>
        <w:tabs>
          <w:tab w:leader="none" w:pos="237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multiple of my Target Bonus Opportunity described in item (iii) above generally shall be paid in two equal installments. The first installment shall be paid on the first payroll date following the first anniversary of the Effective Date of Termination, provided that I have continued to comply with both my covenants and obligations under this Agreement, the Release, and the Post-Employment Obligations. The second installment shall be paid on the first payroll date following the second year anniversary of the Effective Date of Termination, provided that I have continued to comply with both my covenants and obligations under this Agreement, the Release, and the Post-Employment Obligations. Notwithstanding the foregoing, payment will be made in accordance with Section 3.10 of the Plan.</w:t>
      </w:r>
    </w:p>
    <w:p>
      <w:pPr>
        <w:spacing w:after="0" w:line="226" w:lineRule="exact"/>
        <w:rPr>
          <w:rFonts w:ascii="Times New Roman" w:cs="Times New Roman" w:eastAsia="Times New Roman" w:hAnsi="Times New Roman"/>
          <w:sz w:val="22"/>
          <w:szCs w:val="22"/>
          <w:color w:val="auto"/>
        </w:rPr>
      </w:pPr>
    </w:p>
    <w:p>
      <w:pPr>
        <w:jc w:val="both"/>
        <w:ind w:left="1300" w:firstLine="653"/>
        <w:spacing w:after="0" w:line="246" w:lineRule="auto"/>
        <w:tabs>
          <w:tab w:leader="none" w:pos="242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Effective Date of Termination is within the two year period after the occurrence of a Change in Control, I will receive an additional amount equal to my Prorated Annual Bonus for the year in which the Effective Date of Termination occurs. If the event giving rise to the Change in Control constitutes a “change in control” as defined in Code Section 409A, payment of the multiple of my Target Bonus Opportunity described in item (iii) above generally shall be made in a lump sum within sixty days after the Effective Date of Termination, but not in excess of seventy days. Payment of the additional amount equal to my Prorated Annual Bonus generally shall be made in a lump sum at the time the Company pays Annual Bonus Awards for the year in which the Effective Date of Termination occurs. Notwithstanding the foregoing, payment will be made in accordance with Section 3.10 of the Plan.</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79"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8"/>
          <w:szCs w:val="18"/>
          <w:color w:val="auto"/>
        </w:rPr>
        <w:t>______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Initials</w:t>
      </w:r>
    </w:p>
    <w:p>
      <w:pPr>
        <w:sectPr>
          <w:pgSz w:w="11900" w:h="16838" w:orient="portrait"/>
          <w:cols w:equalWidth="0" w:num="1">
            <w:col w:w="11420"/>
          </w:cols>
          <w:pgMar w:left="240" w:top="369" w:right="239" w:bottom="1440" w:gutter="0" w:footer="0" w:header="0"/>
        </w:sectPr>
      </w:pPr>
    </w:p>
    <w:bookmarkStart w:id="83" w:name="page84"/>
    <w:bookmarkEnd w:id="83"/>
    <w:p>
      <w:pPr>
        <w:ind w:left="660" w:firstLine="1945"/>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b w:val="1"/>
          <w:bCs w:val="1"/>
          <w:u w:val="single" w:color="auto"/>
          <w:color w:val="auto"/>
        </w:rPr>
        <w:t>Outplacement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My Severance Benefits will also include outplacement benefits pursuant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outplacement program at the level in effect for me on the Effective Date of Termination.</w:t>
      </w:r>
    </w:p>
    <w:p>
      <w:pPr>
        <w:spacing w:after="0" w:line="190" w:lineRule="exact"/>
        <w:rPr>
          <w:sz w:val="20"/>
          <w:szCs w:val="20"/>
          <w:color w:val="auto"/>
        </w:rPr>
      </w:pPr>
    </w:p>
    <w:p>
      <w:pPr>
        <w:ind w:left="1680" w:hanging="375"/>
        <w:spacing w:after="0"/>
        <w:tabs>
          <w:tab w:leader="none" w:pos="168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Acceptance of Plan Provisions.</w:t>
      </w:r>
    </w:p>
    <w:p>
      <w:pPr>
        <w:spacing w:after="0" w:line="260" w:lineRule="exact"/>
        <w:rPr>
          <w:sz w:val="20"/>
          <w:szCs w:val="20"/>
          <w:color w:val="auto"/>
        </w:rPr>
      </w:pPr>
    </w:p>
    <w:p>
      <w:pPr>
        <w:jc w:val="both"/>
        <w:ind w:left="660" w:firstLine="1945"/>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color w:val="auto"/>
        </w:rPr>
        <w:t>I hereby acknowledge that my Severance Benefits must be repaid, and all future payments,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will cease, in the event that I breach any of the Post-Employment Obligations, unless I have requested in writing and the Company has provided written consent not to enforce such Post-Employment Obligations in advance of any breach of the Post-Employment Obligations.</w:t>
      </w:r>
    </w:p>
    <w:p>
      <w:pPr>
        <w:spacing w:after="0" w:line="212" w:lineRule="exact"/>
        <w:rPr>
          <w:sz w:val="20"/>
          <w:szCs w:val="20"/>
          <w:color w:val="auto"/>
        </w:rPr>
      </w:pPr>
    </w:p>
    <w:p>
      <w:pPr>
        <w:jc w:val="both"/>
        <w:ind w:left="660" w:firstLine="1945"/>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4.2 </w:t>
      </w:r>
      <w:r>
        <w:rPr>
          <w:rFonts w:ascii="Times New Roman" w:cs="Times New Roman" w:eastAsia="Times New Roman" w:hAnsi="Times New Roman"/>
          <w:sz w:val="22"/>
          <w:szCs w:val="22"/>
          <w:color w:val="auto"/>
        </w:rPr>
        <w:t>I hereby accept my designation as eligible to participate in the Plan. I also accept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and this Agreement, acknowledge that I have carefully reviewed the terms of the Plan and this Agreement, accept the authority of the Board and the Committee under Article 4 of the Plan and agree that nothing in this Agreement shall confer any employment rights or restrict the right of the Company to terminate my employment at any time, for any reason and with or without notice or cause. I also acknowledge that the Company has not provided any financial or tax advice with respect to this Agreement or made any representations or warranties with respect to the tax or financial aspects of this Agreement. I acknowledge that I have had the opportunity to consult with my own tax and financial planning advisors about this Agreement.</w:t>
      </w:r>
    </w:p>
    <w:p>
      <w:pPr>
        <w:spacing w:after="0" w:line="227" w:lineRule="exact"/>
        <w:rPr>
          <w:sz w:val="20"/>
          <w:szCs w:val="20"/>
          <w:color w:val="auto"/>
        </w:rPr>
      </w:pPr>
    </w:p>
    <w:p>
      <w:pPr>
        <w:jc w:val="both"/>
        <w:ind w:left="660" w:firstLine="1945"/>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4.3 </w:t>
      </w:r>
      <w:r>
        <w:rPr>
          <w:rFonts w:ascii="Times New Roman" w:cs="Times New Roman" w:eastAsia="Times New Roman" w:hAnsi="Times New Roman"/>
          <w:sz w:val="22"/>
          <w:szCs w:val="22"/>
          <w:color w:val="auto"/>
        </w:rPr>
        <w:t>Upon execution of this Agreement, the terms of this Agreement immediately cancel and replace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of any prior agreement under the Plan between the Company and me. I also agree that the Plan and this Agreement may be amended or terminated by the Company at any time. Notwithstanding any of the foregoing to the contrary, (a) any action that reduces the amount of my Severance Benefits will not be effective until the first anniversary of the date of written notice to me of such action and (b) the Plan and this Agreement cannot be amended or terminated within the two year period after the occurrence of a Change in Control. If I fail to execute this Agreement within 30 days after the date of delivery of this Agreement, my prior Agreement (if any) under the Plan will continue to remain effective until the first anniversary of the date I received a copy of this Agreement, and after such date, I no longer will be an eligible participant in the Plan.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79"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8"/>
          <w:szCs w:val="18"/>
          <w:color w:val="auto"/>
        </w:rPr>
        <w:t>______</w:t>
      </w:r>
    </w:p>
    <w:p>
      <w:pPr>
        <w:spacing w:after="0" w:line="27" w:lineRule="exact"/>
        <w:rPr>
          <w:sz w:val="20"/>
          <w:szCs w:val="20"/>
          <w:color w:val="auto"/>
        </w:rPr>
      </w:pPr>
    </w:p>
    <w:p>
      <w:pPr>
        <w:ind w:left="10920"/>
        <w:spacing w:after="0"/>
        <w:rPr>
          <w:sz w:val="20"/>
          <w:szCs w:val="20"/>
          <w:color w:val="auto"/>
        </w:rPr>
      </w:pPr>
      <w:r>
        <w:rPr>
          <w:rFonts w:ascii="Times New Roman" w:cs="Times New Roman" w:eastAsia="Times New Roman" w:hAnsi="Times New Roman"/>
          <w:sz w:val="17"/>
          <w:szCs w:val="17"/>
          <w:color w:val="auto"/>
        </w:rPr>
        <w:t>Initials</w:t>
      </w:r>
    </w:p>
    <w:p>
      <w:pPr>
        <w:sectPr>
          <w:pgSz w:w="11900" w:h="16838" w:orient="portrait"/>
          <w:cols w:equalWidth="0" w:num="1">
            <w:col w:w="11420"/>
          </w:cols>
          <w:pgMar w:left="240" w:top="365" w:right="2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22"/>
          <w:szCs w:val="22"/>
          <w:color w:val="auto"/>
        </w:rPr>
        <w:t>This Agreement has been duly executed as of the day and year first written above.</w:t>
      </w: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THE SCOTTS COMPANY LLC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tabs>
          <w:tab w:leader="none" w:pos="5160" w:val="left"/>
        </w:tabs>
        <w:rPr>
          <w:sz w:val="20"/>
          <w:szCs w:val="20"/>
          <w:color w:val="auto"/>
        </w:rPr>
      </w:pPr>
      <w:r>
        <w:rPr>
          <w:rFonts w:ascii="Times New Roman" w:cs="Times New Roman" w:eastAsia="Times New Roman" w:hAnsi="Times New Roman"/>
          <w:sz w:val="22"/>
          <w:szCs w:val="22"/>
          <w:color w:val="auto"/>
        </w:rPr>
        <w:t>By:_________________________</w:t>
      </w:r>
      <w:r>
        <w:rPr>
          <w:sz w:val="20"/>
          <w:szCs w:val="20"/>
          <w:color w:val="auto"/>
        </w:rPr>
        <w:tab/>
      </w:r>
      <w:r>
        <w:rPr>
          <w:rFonts w:ascii="Times New Roman" w:cs="Times New Roman" w:eastAsia="Times New Roman" w:hAnsi="Times New Roman"/>
          <w:sz w:val="21"/>
          <w:szCs w:val="21"/>
          <w:color w:val="auto"/>
        </w:rPr>
        <w:t>Title:_______________________</w:t>
      </w:r>
    </w:p>
    <w:p>
      <w:pPr>
        <w:spacing w:after="0" w:line="200" w:lineRule="exact"/>
        <w:rPr>
          <w:sz w:val="20"/>
          <w:szCs w:val="20"/>
          <w:color w:val="auto"/>
        </w:rPr>
      </w:pPr>
    </w:p>
    <w:p>
      <w:pPr>
        <w:spacing w:after="0" w:line="3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 hereby accept my right to receive potential Severance Benefits described in this Agreement and the Plan and agree to be bound by the terms of the Plan and this Agreement. I understand that this Agreement is binding on me only when both the Company and I have signed this Agreement.</w:t>
      </w: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79"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8"/>
          <w:szCs w:val="18"/>
          <w:color w:val="auto"/>
        </w:rPr>
        <w:t>______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Initials</w:t>
      </w:r>
    </w:p>
    <w:p>
      <w:pPr>
        <w:sectPr>
          <w:pgSz w:w="11900" w:h="16838" w:orient="portrait"/>
          <w:cols w:equalWidth="0" w:num="1">
            <w:col w:w="11420"/>
          </w:cols>
          <w:pgMar w:left="240" w:top="369"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306" w:lineRule="exact"/>
        <w:rPr>
          <w:sz w:val="20"/>
          <w:szCs w:val="20"/>
          <w:color w:val="auto"/>
        </w:rPr>
      </w:pPr>
    </w:p>
    <w:p>
      <w:pPr>
        <w:ind w:right="280"/>
        <w:spacing w:after="0" w:line="329" w:lineRule="auto"/>
        <w:rPr>
          <w:sz w:val="20"/>
          <w:szCs w:val="20"/>
          <w:color w:val="auto"/>
        </w:rPr>
      </w:pPr>
      <w:r>
        <w:rPr>
          <w:rFonts w:ascii="Times New Roman" w:cs="Times New Roman" w:eastAsia="Times New Roman" w:hAnsi="Times New Roman"/>
          <w:sz w:val="18"/>
          <w:szCs w:val="18"/>
          <w:color w:val="auto"/>
        </w:rPr>
        <w:t>Directly owned subsidiaries, as of April 1, 2017, are located at the left margin, each subsidiary tier thereunder is indented. Subsidiaries are listed under the names of their respective parent entities. Unless otherwise noted, the subsidiaries are wholly-owned.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38"/>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34"/>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GenSource,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Gutwein &amp; Co.,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Indiana</w:t>
            </w:r>
          </w:p>
        </w:tc>
      </w:tr>
      <w:tr>
        <w:trPr>
          <w:trHeight w:val="270"/>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OMS Investments,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Scotts Temecula Operations,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Sanford Scientific,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Scotts Global Investments,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Scotts Global Services,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Scotts Luxembourg SARL</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Scotts Manufacturing Company</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Miracle-Gro Lawn Products,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Scotts Products Co.</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306"/>
        </w:trPr>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Scotts Servicios, S.A. de C.V.</w:t>
            </w:r>
            <w:r>
              <w:rPr>
                <w:rFonts w:ascii="Times New Roman" w:cs="Times New Roman" w:eastAsia="Times New Roman" w:hAnsi="Times New Roman"/>
                <w:sz w:val="25"/>
                <w:szCs w:val="25"/>
                <w:color w:val="auto"/>
                <w:vertAlign w:val="superscript"/>
              </w:rPr>
              <w:t>1</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34"/>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Scotts Professional Products Co.</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306"/>
        </w:trPr>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Scotts Servicios, S.A. de C.V.</w:t>
            </w:r>
            <w:r>
              <w:rPr>
                <w:rFonts w:ascii="Times New Roman" w:cs="Times New Roman" w:eastAsia="Times New Roman" w:hAnsi="Times New Roman"/>
                <w:sz w:val="25"/>
                <w:szCs w:val="25"/>
                <w:color w:val="auto"/>
                <w:vertAlign w:val="superscript"/>
              </w:rPr>
              <w:t>1</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34"/>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SLS Holdings,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306"/>
        </w:trPr>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Outdoor Home Services Holdings LLC</w:t>
            </w:r>
            <w:r>
              <w:rPr>
                <w:rFonts w:ascii="Times New Roman" w:cs="Times New Roman" w:eastAsia="Times New Roman" w:hAnsi="Times New Roman"/>
                <w:sz w:val="25"/>
                <w:szCs w:val="25"/>
                <w:color w:val="auto"/>
                <w:vertAlign w:val="superscript"/>
              </w:rPr>
              <w:t>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SMG Growing Media,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306"/>
        </w:trPr>
        <w:tc>
          <w:tcPr>
            <w:tcW w:w="8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AeroGrow International, Inc.</w:t>
            </w:r>
            <w:r>
              <w:rPr>
                <w:rFonts w:ascii="Times New Roman" w:cs="Times New Roman" w:eastAsia="Times New Roman" w:hAnsi="Times New Roman"/>
                <w:sz w:val="25"/>
                <w:szCs w:val="25"/>
                <w:color w:val="auto"/>
                <w:vertAlign w:val="superscript"/>
              </w:rPr>
              <w:t>3</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34"/>
        </w:trPr>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Hyponex Corporation</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Rod McLellan Company</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Hawthorne Gardening Company</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Hawthorne Canada Limited</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8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Hawthorne Hydroponics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American Agritech,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r>
      <w:tr>
        <w:trPr>
          <w:trHeight w:val="270"/>
        </w:trPr>
        <w:tc>
          <w:tcPr>
            <w:tcW w:w="8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Hawthorne Holdings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Hawthorne Gardening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306"/>
        </w:trPr>
        <w:tc>
          <w:tcPr>
            <w:tcW w:w="8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Gavita Partners B.V.</w:t>
            </w:r>
            <w:r>
              <w:rPr>
                <w:rFonts w:ascii="Times New Roman" w:cs="Times New Roman" w:eastAsia="Times New Roman" w:hAnsi="Times New Roman"/>
                <w:sz w:val="25"/>
                <w:szCs w:val="25"/>
                <w:color w:val="auto"/>
                <w:vertAlign w:val="superscript"/>
              </w:rPr>
              <w:t>4</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34"/>
        </w:trPr>
        <w:tc>
          <w:tcPr>
            <w:tcW w:w="89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Gavita International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Gavita Holdings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Gavita Holland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Gavita Nederland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Gavita Canada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89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Gavita AS</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r>
      <w:tr>
        <w:trPr>
          <w:trHeight w:val="405"/>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________________________</w:t>
            </w:r>
          </w:p>
        </w:tc>
        <w:tc>
          <w:tcPr>
            <w:tcW w:w="4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ind w:left="140" w:hanging="105"/>
        <w:spacing w:after="0" w:line="225" w:lineRule="auto"/>
        <w:tabs>
          <w:tab w:leader="none" w:pos="140"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Scotts Professional Products Co. owns 50% and Scotts Products Co. owns 50%.</w:t>
      </w:r>
    </w:p>
    <w:p>
      <w:pPr>
        <w:spacing w:after="0" w:line="2" w:lineRule="exact"/>
        <w:rPr>
          <w:rFonts w:ascii="Times New Roman" w:cs="Times New Roman" w:eastAsia="Times New Roman" w:hAnsi="Times New Roman"/>
          <w:sz w:val="25"/>
          <w:szCs w:val="25"/>
          <w:color w:val="auto"/>
          <w:vertAlign w:val="superscript"/>
        </w:rPr>
      </w:pPr>
    </w:p>
    <w:p>
      <w:pPr>
        <w:ind w:left="40"/>
        <w:spacing w:after="0" w:line="180"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 xml:space="preserve"> SLS Holdings, Inc.'s ownership is 29.9%.</w:t>
      </w:r>
    </w:p>
    <w:p>
      <w:pPr>
        <w:ind w:left="40"/>
        <w:spacing w:after="0" w:line="180"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 xml:space="preserve"> SMG Growing Media, Inc.’s ownership is 81.3%.</w:t>
      </w:r>
    </w:p>
    <w:p>
      <w:pPr>
        <w:ind w:left="4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8"/>
          <w:szCs w:val="18"/>
          <w:color w:val="auto"/>
        </w:rPr>
        <w:t xml:space="preserve"> Hawthorne Gardening B.V.'s ownership is 95%.</w:t>
      </w:r>
    </w:p>
    <w:p>
      <w:pPr>
        <w:sectPr>
          <w:pgSz w:w="11900" w:h="16838" w:orient="portrait"/>
          <w:cols w:equalWidth="0" w:num="1">
            <w:col w:w="11420"/>
          </w:cols>
          <w:pgMar w:left="240" w:top="333" w:right="239" w:bottom="1440" w:gutter="0" w:footer="0" w:header="0"/>
        </w:sectPr>
      </w:pPr>
    </w:p>
    <w:bookmarkStart w:id="86" w:name="page87"/>
    <w:bookmarkEnd w:id="86"/>
    <w:p>
      <w:pPr>
        <w:ind w:left="145"/>
        <w:spacing w:after="0"/>
        <w:rPr>
          <w:sz w:val="20"/>
          <w:szCs w:val="20"/>
          <w:color w:val="auto"/>
        </w:rPr>
      </w:pPr>
      <w:r>
        <w:rPr>
          <w:rFonts w:ascii="Times New Roman" w:cs="Times New Roman" w:eastAsia="Times New Roman" w:hAnsi="Times New Roman"/>
          <w:sz w:val="18"/>
          <w:szCs w:val="18"/>
          <w:color w:val="auto"/>
        </w:rPr>
        <w:t>HGCI, Inc.</w:t>
      </w:r>
    </w:p>
    <w:p>
      <w:pPr>
        <w:spacing w:after="0" w:line="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SMGM LLC</w:t>
      </w:r>
    </w:p>
    <w:p>
      <w:pPr>
        <w:spacing w:after="0" w:line="63" w:lineRule="exact"/>
        <w:rPr>
          <w:sz w:val="20"/>
          <w:szCs w:val="20"/>
          <w:color w:val="auto"/>
        </w:rPr>
      </w:pPr>
    </w:p>
    <w:p>
      <w:pPr>
        <w:ind w:left="145"/>
        <w:spacing w:after="0"/>
        <w:rPr>
          <w:sz w:val="20"/>
          <w:szCs w:val="20"/>
          <w:color w:val="auto"/>
        </w:rPr>
      </w:pPr>
      <w:r>
        <w:rPr>
          <w:rFonts w:ascii="Times New Roman" w:cs="Times New Roman" w:eastAsia="Times New Roman" w:hAnsi="Times New Roman"/>
          <w:sz w:val="18"/>
          <w:szCs w:val="18"/>
          <w:color w:val="auto"/>
        </w:rPr>
        <w:t>Scotts-Sierra Investments LLC</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ASEF B.V.</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Scotts Asia, Limited</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Scotts Australia Pty Limited</w:t>
      </w:r>
    </w:p>
    <w:p>
      <w:pPr>
        <w:spacing w:after="0" w:line="63" w:lineRule="exact"/>
        <w:rPr>
          <w:sz w:val="20"/>
          <w:szCs w:val="20"/>
          <w:color w:val="auto"/>
        </w:rPr>
      </w:pPr>
    </w:p>
    <w:p>
      <w:pPr>
        <w:ind w:left="385"/>
        <w:spacing w:after="0"/>
        <w:rPr>
          <w:sz w:val="20"/>
          <w:szCs w:val="20"/>
          <w:color w:val="auto"/>
        </w:rPr>
      </w:pPr>
      <w:r>
        <w:rPr>
          <w:rFonts w:ascii="Times New Roman" w:cs="Times New Roman" w:eastAsia="Times New Roman" w:hAnsi="Times New Roman"/>
          <w:sz w:val="18"/>
          <w:szCs w:val="18"/>
          <w:color w:val="auto"/>
        </w:rPr>
        <w:t>Scotts Gardening Fertilizer (Wuhan) Co., Ltd.</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Scotts Benelux BVBA</w:t>
      </w:r>
      <w:r>
        <w:rPr>
          <w:rFonts w:ascii="Times New Roman" w:cs="Times New Roman" w:eastAsia="Times New Roman" w:hAnsi="Times New Roman"/>
          <w:sz w:val="12"/>
          <w:szCs w:val="12"/>
          <w:color w:val="auto"/>
        </w:rPr>
        <w:t>5</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Scotts Canada Ltd.</w:t>
      </w:r>
    </w:p>
    <w:p>
      <w:pPr>
        <w:spacing w:after="0" w:line="63"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8"/>
          <w:szCs w:val="18"/>
          <w:color w:val="auto"/>
        </w:rPr>
        <w:t>Laketon Peat Moss Inc.</w:t>
      </w:r>
      <w:r>
        <w:rPr>
          <w:rFonts w:ascii="Times New Roman" w:cs="Times New Roman" w:eastAsia="Times New Roman" w:hAnsi="Times New Roman"/>
          <w:sz w:val="12"/>
          <w:szCs w:val="12"/>
          <w:color w:val="auto"/>
        </w:rPr>
        <w:t>6</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Scotts Czech s.r.o.</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Scotts de Mexico SA de CV</w:t>
      </w:r>
      <w:r>
        <w:rPr>
          <w:rFonts w:ascii="Times New Roman" w:cs="Times New Roman" w:eastAsia="Times New Roman" w:hAnsi="Times New Roman"/>
          <w:sz w:val="12"/>
          <w:szCs w:val="12"/>
          <w:color w:val="auto"/>
        </w:rPr>
        <w:t>7</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Scotts France Holdings SARL</w:t>
      </w:r>
    </w:p>
    <w:p>
      <w:pPr>
        <w:spacing w:after="0" w:line="63"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8"/>
          <w:szCs w:val="18"/>
          <w:color w:val="auto"/>
        </w:rPr>
        <w:t>Scotts France SAS</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Scotts Celaflor GmbH</w:t>
      </w:r>
    </w:p>
    <w:p>
      <w:pPr>
        <w:spacing w:after="0" w:line="63"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8"/>
          <w:szCs w:val="18"/>
          <w:color w:val="auto"/>
        </w:rPr>
        <w:t>Scotts Celaflor HGmbH</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Scotts Holdings Limited</w:t>
      </w:r>
    </w:p>
    <w:p>
      <w:pPr>
        <w:spacing w:after="0" w:line="63"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8"/>
          <w:szCs w:val="18"/>
          <w:color w:val="auto"/>
        </w:rPr>
        <w:t>Levington Group Limited</w:t>
      </w:r>
    </w:p>
    <w:p>
      <w:pPr>
        <w:spacing w:after="0" w:line="63" w:lineRule="exact"/>
        <w:rPr>
          <w:sz w:val="20"/>
          <w:szCs w:val="20"/>
          <w:color w:val="auto"/>
        </w:rPr>
      </w:pPr>
    </w:p>
    <w:p>
      <w:pPr>
        <w:ind w:left="545"/>
        <w:spacing w:after="0"/>
        <w:rPr>
          <w:sz w:val="20"/>
          <w:szCs w:val="20"/>
          <w:color w:val="auto"/>
        </w:rPr>
      </w:pPr>
      <w:r>
        <w:rPr>
          <w:rFonts w:ascii="Times New Roman" w:cs="Times New Roman" w:eastAsia="Times New Roman" w:hAnsi="Times New Roman"/>
          <w:sz w:val="18"/>
          <w:szCs w:val="18"/>
          <w:color w:val="auto"/>
        </w:rPr>
        <w:t>The Scotts Company (UK) Limited</w:t>
      </w:r>
    </w:p>
    <w:p>
      <w:pPr>
        <w:spacing w:after="0" w:line="63" w:lineRule="exact"/>
        <w:rPr>
          <w:sz w:val="20"/>
          <w:szCs w:val="20"/>
          <w:color w:val="auto"/>
        </w:rPr>
      </w:pPr>
    </w:p>
    <w:p>
      <w:pPr>
        <w:ind w:left="665"/>
        <w:spacing w:after="0"/>
        <w:rPr>
          <w:sz w:val="20"/>
          <w:szCs w:val="20"/>
          <w:color w:val="auto"/>
        </w:rPr>
      </w:pPr>
      <w:r>
        <w:rPr>
          <w:rFonts w:ascii="Times New Roman" w:cs="Times New Roman" w:eastAsia="Times New Roman" w:hAnsi="Times New Roman"/>
          <w:sz w:val="17"/>
          <w:szCs w:val="17"/>
          <w:color w:val="auto"/>
        </w:rPr>
        <w:t>The Scotts Company (Manufacturing) Limited</w:t>
      </w:r>
    </w:p>
    <w:p>
      <w:pPr>
        <w:spacing w:after="0" w:line="75"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8"/>
          <w:szCs w:val="18"/>
          <w:color w:val="auto"/>
        </w:rPr>
        <w:t>Humax Horticulture Limited</w:t>
      </w:r>
    </w:p>
    <w:p>
      <w:pPr>
        <w:spacing w:after="0" w:line="63"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8"/>
          <w:szCs w:val="18"/>
          <w:color w:val="auto"/>
        </w:rPr>
        <w:t>O M Scott International Investments Limited</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Scotts Poland Sp.z.o.o.</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Teak 2, Ltd.</w:t>
      </w:r>
    </w:p>
    <w:p>
      <w:pPr>
        <w:spacing w:after="0" w:line="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Swiss Farms Products, Inc.</w:t>
      </w:r>
    </w:p>
    <w:p>
      <w:pPr>
        <w:spacing w:after="0" w:line="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The Scotts Company LLC</w:t>
      </w:r>
    </w:p>
    <w:p>
      <w:pPr>
        <w:spacing w:after="0" w:line="63" w:lineRule="exact"/>
        <w:rPr>
          <w:sz w:val="20"/>
          <w:szCs w:val="20"/>
          <w:color w:val="auto"/>
        </w:rPr>
      </w:pPr>
    </w:p>
    <w:p>
      <w:pPr>
        <w:ind w:left="125"/>
        <w:spacing w:after="0"/>
        <w:rPr>
          <w:sz w:val="20"/>
          <w:szCs w:val="20"/>
          <w:color w:val="auto"/>
        </w:rPr>
      </w:pPr>
      <w:r>
        <w:rPr>
          <w:rFonts w:ascii="Times New Roman" w:cs="Times New Roman" w:eastAsia="Times New Roman" w:hAnsi="Times New Roman"/>
          <w:sz w:val="18"/>
          <w:szCs w:val="18"/>
          <w:color w:val="auto"/>
        </w:rPr>
        <w:t>The Scotts Miracle-Gro Foundation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Nevada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200" w:lineRule="exact"/>
        <w:rPr>
          <w:sz w:val="20"/>
          <w:szCs w:val="20"/>
          <w:color w:val="auto"/>
        </w:rPr>
      </w:pPr>
    </w:p>
    <w:p>
      <w:pPr>
        <w:sectPr>
          <w:pgSz w:w="11900" w:h="16838" w:orient="portrait"/>
          <w:cols w:equalWidth="0" w:num="2">
            <w:col w:w="8185" w:space="720"/>
            <w:col w:w="1279"/>
          </w:cols>
          <w:pgMar w:left="275" w:top="9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0" w:lineRule="exact"/>
        <w:rPr>
          <w:sz w:val="20"/>
          <w:szCs w:val="20"/>
          <w:color w:val="auto"/>
        </w:rPr>
      </w:pPr>
    </w:p>
    <w:p>
      <w:pPr>
        <w:ind w:left="105" w:hanging="105"/>
        <w:spacing w:after="0"/>
        <w:tabs>
          <w:tab w:leader="none" w:pos="105" w:val="left"/>
        </w:tabs>
        <w:numPr>
          <w:ilvl w:val="0"/>
          <w:numId w:val="5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OMS Investments, Inc. owns 0.1% and Scotts-Sierra Investments LLC owns the remaining 99.9%.</w:t>
      </w:r>
    </w:p>
    <w:p>
      <w:pPr>
        <w:spacing w:after="0" w:line="1" w:lineRule="exact"/>
        <w:rPr>
          <w:rFonts w:ascii="Times New Roman" w:cs="Times New Roman" w:eastAsia="Times New Roman" w:hAnsi="Times New Roman"/>
          <w:sz w:val="25"/>
          <w:szCs w:val="25"/>
          <w:color w:val="auto"/>
          <w:vertAlign w:val="superscript"/>
        </w:rPr>
      </w:pPr>
    </w:p>
    <w:p>
      <w:pPr>
        <w:ind w:left="5"/>
        <w:spacing w:after="0" w:line="180"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8"/>
          <w:szCs w:val="18"/>
          <w:color w:val="auto"/>
        </w:rPr>
        <w:t xml:space="preserve"> Scotts Canada Ltd.'s ownership is 50.0%.</w:t>
      </w:r>
    </w:p>
    <w:p>
      <w:pPr>
        <w:ind w:left="5"/>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color w:val="auto"/>
        </w:rPr>
        <w:t xml:space="preserve"> The Scotts Company LLC owns 0.5% and Scotts-Sierra Investments LLC owns the remaining 99.5%.</w:t>
      </w:r>
    </w:p>
    <w:p>
      <w:pPr>
        <w:sectPr>
          <w:pgSz w:w="11900" w:h="16838" w:orient="portrait"/>
          <w:cols w:equalWidth="0" w:num="1">
            <w:col w:w="10184"/>
          </w:cols>
          <w:pgMar w:left="275" w:top="959" w:right="1440" w:bottom="1440" w:gutter="0" w:footer="0" w:header="0"/>
          <w:type w:val="continuous"/>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Scotts Miracle-Gro Company for the fiscal quarter ended April 1, 2017;</w:t>
      </w:r>
    </w:p>
    <w:p>
      <w:pPr>
        <w:spacing w:after="0" w:line="117"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140" w:right="380" w:hanging="484"/>
        <w:spacing w:after="0" w:line="266" w:lineRule="auto"/>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140" w:right="540" w:hanging="484"/>
        <w:spacing w:after="0" w:line="282" w:lineRule="auto"/>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800" w:hanging="484"/>
        <w:spacing w:after="0" w:line="282" w:lineRule="auto"/>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480" w:hanging="484"/>
        <w:spacing w:after="0" w:line="282" w:lineRule="auto"/>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5520" w:val="left"/>
          <w:tab w:leader="none" w:pos="6060" w:val="left"/>
        </w:tabs>
        <w:rPr>
          <w:sz w:val="20"/>
          <w:szCs w:val="20"/>
          <w:color w:val="auto"/>
        </w:rPr>
      </w:pPr>
      <w:r>
        <w:rPr>
          <w:rFonts w:ascii="Times New Roman" w:cs="Times New Roman" w:eastAsia="Times New Roman" w:hAnsi="Times New Roman"/>
          <w:sz w:val="18"/>
          <w:szCs w:val="18"/>
          <w:color w:val="auto"/>
        </w:rPr>
        <w:t>Date: May 10,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 and Chairman of the Board</w:t>
      </w:r>
    </w:p>
    <w:p>
      <w:pPr>
        <w:sectPr>
          <w:pgSz w:w="11900" w:h="16838" w:orient="portrait"/>
          <w:cols w:equalWidth="0" w:num="1">
            <w:col w:w="11420"/>
          </w:cols>
          <w:pgMar w:left="240" w:top="576"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Scotts Miracle-Gro Company for the fiscal quarter ended April 1, 2017;</w:t>
      </w:r>
    </w:p>
    <w:p>
      <w:pPr>
        <w:spacing w:after="0" w:line="117"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140" w:right="380" w:hanging="484"/>
        <w:spacing w:after="0" w:line="266"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140" w:right="540" w:hanging="484"/>
        <w:spacing w:after="0" w:line="282"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800" w:hanging="484"/>
        <w:spacing w:after="0" w:line="282"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480" w:hanging="484"/>
        <w:spacing w:after="0" w:line="282" w:lineRule="auto"/>
        <w:tabs>
          <w:tab w:leader="none" w:pos="11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5400" w:val="left"/>
          <w:tab w:leader="none" w:pos="6060" w:val="left"/>
        </w:tabs>
        <w:rPr>
          <w:sz w:val="20"/>
          <w:szCs w:val="20"/>
          <w:color w:val="auto"/>
        </w:rPr>
      </w:pPr>
      <w:r>
        <w:rPr>
          <w:rFonts w:ascii="Times New Roman" w:cs="Times New Roman" w:eastAsia="Times New Roman" w:hAnsi="Times New Roman"/>
          <w:sz w:val="18"/>
          <w:szCs w:val="18"/>
          <w:color w:val="auto"/>
        </w:rPr>
        <w:t>Date: May 10,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34290</wp:posOffset>
            </wp:positionV>
            <wp:extent cx="3542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ectPr>
          <w:pgSz w:w="11900" w:h="16838" w:orient="portrait"/>
          <w:cols w:equalWidth="0" w:num="1">
            <w:col w:w="11420"/>
          </w:cols>
          <w:pgMar w:left="240" w:top="576"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CERTIFICATIONS*</w:t>
      </w:r>
    </w:p>
    <w:p>
      <w:pPr>
        <w:spacing w:after="0" w:line="14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Scotts Miracle-Gro Company (the “Company”) for the fiscal quarter ended April 1, 2017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0"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117"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and results of operations of the Company and its subsidiaries.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 JAMES HAGEDORN</w:t>
            </w:r>
          </w:p>
        </w:tc>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Printed Name: James Hagedorn</w:t>
            </w:r>
          </w:p>
        </w:tc>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May 10, 2017</w:t>
            </w:r>
          </w:p>
        </w:tc>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May 10, 2017</w:t>
            </w:r>
          </w:p>
        </w:tc>
      </w:tr>
    </w:tbl>
    <w:p>
      <w:pPr>
        <w:spacing w:after="0" w:line="333" w:lineRule="exact"/>
        <w:rPr>
          <w:sz w:val="20"/>
          <w:szCs w:val="20"/>
          <w:color w:val="auto"/>
        </w:rPr>
      </w:pPr>
    </w:p>
    <w:p>
      <w:pPr>
        <w:ind w:left="720" w:right="180" w:hanging="685"/>
        <w:spacing w:after="0" w:line="256"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
      <w:numFmt w:val="bullet"/>
      <w:start w:val="1"/>
    </w:lvl>
    <w:lvl w:ilvl="1">
      <w:lvlJc w:val="left"/>
      <w:lvlText w:val="◦"/>
      <w:numFmt w:val="bullet"/>
      <w:start w:val="1"/>
    </w:lvl>
  </w:abstractNum>
  <w:abstractNum w:abstractNumId="3">
    <w:nsid w:val="7C3DBD3D"/>
    <w:multiLevelType w:val="hybridMultilevel"/>
    <w:lvl w:ilvl="0">
      <w:lvlJc w:val="left"/>
      <w:lvlText w:val="•"/>
      <w:numFmt w:val="bullet"/>
      <w:start w:val="1"/>
    </w:lvl>
    <w:lvl w:ilvl="1">
      <w:lvlJc w:val="left"/>
      <w:lvlText w:val="◦"/>
      <w:numFmt w:val="bullet"/>
      <w:start w:val="1"/>
    </w:lvl>
  </w:abstractNum>
  <w:abstractNum w:abstractNumId="4">
    <w:nsid w:val="737B8DDC"/>
    <w:multiLevelType w:val="hybridMultilevel"/>
    <w:lvl w:ilvl="0">
      <w:lvlJc w:val="left"/>
      <w:lvlText w:val="(%1)"/>
      <w:numFmt w:val="lowerLetter"/>
      <w:start w:val="1"/>
    </w:lvl>
  </w:abstractNum>
  <w:abstractNum w:abstractNumId="5">
    <w:nsid w:val="6CEAF087"/>
    <w:multiLevelType w:val="hybridMultilevel"/>
    <w:lvl w:ilvl="0">
      <w:lvlJc w:val="left"/>
      <w:lvlText w:val="(%1)"/>
      <w:numFmt w:val="lowerLetter"/>
      <w:start w:val="1"/>
    </w:lvl>
  </w:abstractNum>
  <w:abstractNum w:abstractNumId="6">
    <w:nsid w:val="22221A70"/>
    <w:multiLevelType w:val="hybridMultilevel"/>
    <w:lvl w:ilvl="0">
      <w:lvlJc w:val="left"/>
      <w:lvlText w:val="(%1)"/>
      <w:numFmt w:val="lowerLetter"/>
      <w:start w:val="1"/>
    </w:lvl>
  </w:abstractNum>
  <w:abstractNum w:abstractNumId="7">
    <w:nsid w:val="4516DDE9"/>
    <w:multiLevelType w:val="hybridMultilevel"/>
    <w:lvl w:ilvl="0">
      <w:lvlJc w:val="left"/>
      <w:lvlText w:val="(%1)"/>
      <w:numFmt w:val="lowerLetter"/>
      <w:start w:val="1"/>
    </w:lvl>
  </w:abstractNum>
  <w:abstractNum w:abstractNumId="8">
    <w:nsid w:val="3006C83E"/>
    <w:multiLevelType w:val="hybridMultilevel"/>
    <w:lvl w:ilvl="0">
      <w:lvlJc w:val="left"/>
      <w:lvlText w:val="(%1)"/>
      <w:numFmt w:val="lowerLetter"/>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lowerLetter"/>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upperLetter"/>
      <w:start w:val="9"/>
    </w:lvl>
    <w:lvl w:ilvl="1">
      <w:lvlJc w:val="left"/>
      <w:lvlText w:val="%2."/>
      <w:numFmt w:val="decimal"/>
      <w:start w:val="1"/>
    </w:lvl>
    <w:lvl w:ilvl="2">
      <w:lvlJc w:val="left"/>
      <w:lvlText w:val="•"/>
      <w:numFmt w:val="bullet"/>
      <w:start w:val="1"/>
    </w:lvl>
  </w:abstractNum>
  <w:abstractNum w:abstractNumId="23">
    <w:nsid w:val="153EA438"/>
    <w:multiLevelType w:val="hybridMultilevel"/>
    <w:lvl w:ilvl="0">
      <w:lvlJc w:val="left"/>
      <w:lvlText w:val="%1"/>
      <w:numFmt w:val="upperLetter"/>
      <w:start w:val="1"/>
    </w:lvl>
    <w:lvl w:ilvl="1">
      <w:lvlJc w:val="left"/>
      <w:lvlText w:val="%2."/>
      <w:numFmt w:val="decimal"/>
      <w:start w:val="3"/>
    </w:lvl>
  </w:abstractNum>
  <w:abstractNum w:abstractNumId="24">
    <w:nsid w:val="3855585C"/>
    <w:multiLevelType w:val="hybridMultilevel"/>
    <w:lvl w:ilvl="0">
      <w:lvlJc w:val="left"/>
      <w:lvlText w:val="%1."/>
      <w:numFmt w:val="upperLetter"/>
      <w:start w:val="35"/>
    </w:lvl>
    <w:lvl w:ilvl="1">
      <w:lvlJc w:val="left"/>
      <w:lvlText w:val="%2"/>
      <w:numFmt w:val="decimal"/>
      <w:start w:val="1"/>
    </w:lvl>
  </w:abstractNum>
  <w:abstractNum w:abstractNumId="25">
    <w:nsid w:val="70A64E2A"/>
    <w:multiLevelType w:val="hybridMultilevel"/>
    <w:lvl w:ilvl="0">
      <w:lvlJc w:val="left"/>
      <w:lvlText w:val="%1."/>
      <w:numFmt w:val="upperLetter"/>
      <w:start w:val="61"/>
    </w:lvl>
  </w:abstractNum>
  <w:abstractNum w:abstractNumId="26">
    <w:nsid w:val="6A2342EC"/>
    <w:multiLevelType w:val="hybridMultilevel"/>
    <w:lvl w:ilvl="0">
      <w:lvlJc w:val="left"/>
      <w:lvlText w:val="%1."/>
      <w:numFmt w:val="decimal"/>
      <w:start w:val="1"/>
    </w:lvl>
    <w:lvl w:ilvl="1">
      <w:lvlJc w:val="left"/>
      <w:lvlText w:val="%2."/>
      <w:numFmt w:val="lowerLetter"/>
      <w:start w:val="1"/>
    </w:lvl>
  </w:abstractNum>
  <w:abstractNum w:abstractNumId="27">
    <w:nsid w:val="2A487CB0"/>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8">
    <w:nsid w:val="1D4ED43B"/>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29">
    <w:nsid w:val="725A06FB"/>
    <w:multiLevelType w:val="hybridMultilevel"/>
    <w:lvl w:ilvl="0">
      <w:lvlJc w:val="left"/>
      <w:lvlText w:val="%1."/>
      <w:numFmt w:val="upperLetter"/>
      <w:start w:val="22"/>
    </w:lvl>
    <w:lvl w:ilvl="1">
      <w:lvlJc w:val="left"/>
      <w:lvlText w:val="%2."/>
      <w:numFmt w:val="decimal"/>
      <w:start w:val="1"/>
    </w:lvl>
    <w:lvl w:ilvl="2">
      <w:lvlJc w:val="left"/>
      <w:lvlText w:val="%3"/>
      <w:numFmt w:val="lowerRoman"/>
      <w:start w:val="1"/>
    </w:lvl>
  </w:abstractNum>
  <w:abstractNum w:abstractNumId="30">
    <w:nsid w:val="2CD89A32"/>
    <w:multiLevelType w:val="hybridMultilevel"/>
    <w:lvl w:ilvl="0">
      <w:lvlJc w:val="left"/>
      <w:lvlText w:val="%1."/>
      <w:numFmt w:val="decimal"/>
      <w:start w:val="2"/>
    </w:lvl>
  </w:abstractNum>
  <w:abstractNum w:abstractNumId="31">
    <w:nsid w:val="57E4CCAF"/>
    <w:multiLevelType w:val="hybridMultilevel"/>
    <w:lvl w:ilvl="0">
      <w:lvlJc w:val="left"/>
      <w:lvlText w:val="%1."/>
      <w:numFmt w:val="decimal"/>
      <w:start w:val="1"/>
    </w:lvl>
    <w:lvl w:ilvl="1">
      <w:lvlJc w:val="left"/>
      <w:lvlText w:val="%2."/>
      <w:numFmt w:val="decimal"/>
      <w:start w:val="2"/>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2"/>
    </w:lvl>
  </w:abstractNum>
  <w:abstractNum w:abstractNumId="35">
    <w:nsid w:val="6DE91B18"/>
    <w:multiLevelType w:val="hybridMultilevel"/>
    <w:lvl w:ilvl="0">
      <w:lvlJc w:val="left"/>
      <w:lvlText w:val="%1."/>
      <w:numFmt w:val="decimal"/>
      <w:start w:val="3"/>
    </w:lvl>
  </w:abstractNum>
  <w:abstractNum w:abstractNumId="36">
    <w:nsid w:val="38437FDB"/>
    <w:multiLevelType w:val="hybridMultilevel"/>
    <w:lvl w:ilvl="0">
      <w:lvlJc w:val="left"/>
      <w:lvlText w:val="%1."/>
      <w:numFmt w:val="decimal"/>
      <w:start w:val="4"/>
    </w:lvl>
  </w:abstractNum>
  <w:abstractNum w:abstractNumId="37">
    <w:nsid w:val="7644A45C"/>
    <w:multiLevelType w:val="hybridMultilevel"/>
    <w:lvl w:ilvl="0">
      <w:lvlJc w:val="left"/>
      <w:lvlText w:val="%1."/>
      <w:numFmt w:val="upperLetter"/>
      <w:start w:val="1"/>
    </w:lvl>
    <w:lvl w:ilvl="1">
      <w:lvlJc w:val="left"/>
      <w:lvlText w:val="%2)"/>
      <w:numFmt w:val="decimal"/>
      <w:start w:val="1"/>
    </w:lvl>
  </w:abstractNum>
  <w:abstractNum w:abstractNumId="38">
    <w:nsid w:val="32FFF902"/>
    <w:multiLevelType w:val="hybridMultilevel"/>
    <w:lvl w:ilvl="0">
      <w:lvlJc w:val="left"/>
      <w:lvlText w:val="%1)"/>
      <w:numFmt w:val="decimal"/>
      <w:start w:val="3"/>
    </w:lvl>
  </w:abstractNum>
  <w:abstractNum w:abstractNumId="39">
    <w:nsid w:val="684A481A"/>
    <w:multiLevelType w:val="hybridMultilevel"/>
    <w:lvl w:ilvl="0">
      <w:lvlJc w:val="left"/>
      <w:lvlText w:val="%1."/>
      <w:numFmt w:val="upperLetter"/>
      <w:start w:val="3"/>
    </w:lvl>
    <w:lvl w:ilvl="1">
      <w:lvlJc w:val="left"/>
      <w:lvlText w:val="%2)"/>
      <w:numFmt w:val="decimal"/>
      <w:start w:val="1"/>
    </w:lvl>
  </w:abstractNum>
  <w:abstractNum w:abstractNumId="40">
    <w:nsid w:val="579478FE"/>
    <w:multiLevelType w:val="hybridMultilevel"/>
    <w:lvl w:ilvl="0">
      <w:lvlJc w:val="left"/>
      <w:lvlText w:val="%1."/>
      <w:numFmt w:val="upperLetter"/>
      <w:start w:val="4"/>
    </w:lvl>
  </w:abstractNum>
  <w:abstractNum w:abstractNumId="41">
    <w:nsid w:val="749ABB43"/>
    <w:multiLevelType w:val="hybridMultilevel"/>
    <w:lvl w:ilvl="0">
      <w:lvlJc w:val="left"/>
      <w:lvlText w:val="%1."/>
      <w:numFmt w:val="decimal"/>
      <w:start w:val="5"/>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lowerLetter"/>
      <w:start w:val="1"/>
    </w:lvl>
    <w:lvl w:ilvl="1">
      <w:lvlJc w:val="left"/>
      <w:lvlText w:val="(%2)"/>
      <w:numFmt w:val="lowerLetter"/>
      <w:start w:val="9"/>
    </w:lvl>
  </w:abstractNum>
  <w:abstractNum w:abstractNumId="45">
    <w:nsid w:val="75C6C33A"/>
    <w:multiLevelType w:val="hybridMultilevel"/>
    <w:lvl w:ilvl="0">
      <w:lvlJc w:val="left"/>
      <w:lvlText w:val="%1"/>
      <w:numFmt w:val="lowerLetter"/>
      <w:start w:val="1"/>
    </w:lvl>
    <w:lvl w:ilvl="1">
      <w:lvlJc w:val="left"/>
      <w:lvlText w:val="(%2)"/>
      <w:numFmt w:val="lowerRoman"/>
      <w:start w:val="2"/>
    </w:lvl>
  </w:abstractNum>
  <w:abstractNum w:abstractNumId="46">
    <w:nsid w:val="12E685FB"/>
    <w:multiLevelType w:val="hybridMultilevel"/>
    <w:lvl w:ilvl="0">
      <w:lvlJc w:val="left"/>
      <w:lvlText w:val="(%1)"/>
      <w:numFmt w:val="lowerLetter"/>
      <w:start w:val="2"/>
    </w:lvl>
    <w:lvl w:ilvl="1">
      <w:lvlJc w:val="left"/>
      <w:lvlText w:val="(%2)"/>
      <w:numFmt w:val="lowerRoman"/>
      <w:start w:val="1"/>
    </w:lvl>
  </w:abstractNum>
  <w:abstractNum w:abstractNumId="47">
    <w:nsid w:val="70C6A529"/>
    <w:multiLevelType w:val="hybridMultilevel"/>
    <w:lvl w:ilvl="0">
      <w:lvlJc w:val="left"/>
      <w:lvlText w:val="%1."/>
      <w:numFmt w:val="decimal"/>
      <w:start w:val="3"/>
    </w:lvl>
  </w:abstractNum>
  <w:abstractNum w:abstractNumId="48">
    <w:nsid w:val="520EEDD1"/>
    <w:multiLevelType w:val="hybridMultilevel"/>
    <w:lvl w:ilvl="0">
      <w:lvlJc w:val="left"/>
      <w:lvlText w:val="%1."/>
      <w:numFmt w:val="upperLetter"/>
      <w:start w:val="1"/>
    </w:lvl>
  </w:abstractNum>
  <w:abstractNum w:abstractNumId="49">
    <w:nsid w:val="374A3FE6"/>
    <w:multiLevelType w:val="hybridMultilevel"/>
    <w:lvl w:ilvl="0">
      <w:lvlJc w:val="left"/>
      <w:lvlText w:val="%1."/>
      <w:numFmt w:val="upperLetter"/>
      <w:start w:val="2"/>
    </w:lvl>
  </w:abstractNum>
  <w:abstractNum w:abstractNumId="50">
    <w:nsid w:val="4F4EF005"/>
    <w:multiLevelType w:val="hybridMultilevel"/>
    <w:lvl w:ilvl="0">
      <w:lvlJc w:val="left"/>
      <w:lvlText w:val="%1."/>
      <w:numFmt w:val="upperLetter"/>
      <w:start w:val="1"/>
    </w:lvl>
  </w:abstractNum>
  <w:abstractNum w:abstractNumId="51">
    <w:nsid w:val="23F9C13C"/>
    <w:multiLevelType w:val="hybridMultilevel"/>
    <w:lvl w:ilvl="0">
      <w:lvlJc w:val="left"/>
      <w:lvlText w:val="%1."/>
      <w:numFmt w:val="decimal"/>
      <w:start w:val="4"/>
    </w:lvl>
  </w:abstractNum>
  <w:abstractNum w:abstractNumId="52">
    <w:nsid w:val="649BB77C"/>
    <w:multiLevelType w:val="hybridMultilevel"/>
    <w:lvl w:ilvl="0">
      <w:lvlJc w:val="left"/>
      <w:lvlText w:val="1"/>
      <w:numFmt w:val="bullet"/>
      <w:start w:val="1"/>
    </w:lvl>
  </w:abstractNum>
  <w:abstractNum w:abstractNumId="53">
    <w:nsid w:val="275AC794"/>
    <w:multiLevelType w:val="hybridMultilevel"/>
    <w:lvl w:ilvl="0">
      <w:lvlJc w:val="left"/>
      <w:lvlText w:val="5"/>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2019-12-29T05:31:15Z</dcterms:created>
  <dcterms:modified xsi:type="dcterms:W3CDTF">2019-12-29T05:31:15Z</dcterms:modified>
</cp:coreProperties>
</file>