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FORM 10-Q</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38" w:lineRule="auto"/>
        <w:tabs>
          <w:tab w:leader="none" w:pos="1980" w:val="left"/>
        </w:tabs>
        <w:rPr>
          <w:sz w:val="20"/>
          <w:szCs w:val="20"/>
          <w:color w:val="auto"/>
        </w:rPr>
      </w:pPr>
      <w:r>
        <w:rPr>
          <w:rFonts w:ascii="Courier New" w:cs="Courier New" w:eastAsia="Courier New" w:hAnsi="Courier New"/>
          <w:sz w:val="18"/>
          <w:szCs w:val="18"/>
          <w:color w:val="auto"/>
        </w:rPr>
        <w:t>WASHINGTON, D. C.</w:t>
        <w:tab/>
        <w:t>20549</w:t>
      </w:r>
    </w:p>
    <w:p>
      <w:pPr>
        <w:spacing w:after="0" w:line="202" w:lineRule="exact"/>
        <w:rPr>
          <w:sz w:val="24"/>
          <w:szCs w:val="24"/>
          <w:color w:val="auto"/>
        </w:rPr>
      </w:pPr>
    </w:p>
    <w:p>
      <w:pPr>
        <w:ind w:left="640" w:hanging="632"/>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For the quarterly period ended December 31, 1994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OR</w:t>
      </w:r>
    </w:p>
    <w:p>
      <w:pPr>
        <w:spacing w:after="0" w:line="201"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OF THE SECURITIES EXCHANGE ACT OF 1934</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For the transition period from ____________ to ____________</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Commission file number 0-19768</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55" w:orient="portrait"/>
          <w:cols w:equalWidth="0" w:num="1">
            <w:col w:w="10219"/>
          </w:cols>
          <w:pgMar w:left="240" w:top="447" w:right="1440" w:bottom="0" w:gutter="0" w:footer="0" w:header="0"/>
        </w:sectPr>
      </w:pPr>
    </w:p>
    <w:p>
      <w:pPr>
        <w:spacing w:after="0" w:line="202"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Ohio</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 of</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incorporation or organization)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31-1199481</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(I.R.S. Employer Identification No.)</w:t>
      </w:r>
    </w:p>
    <w:p>
      <w:pPr>
        <w:spacing w:after="0" w:line="419" w:lineRule="exact"/>
        <w:rPr>
          <w:sz w:val="24"/>
          <w:szCs w:val="24"/>
          <w:color w:val="auto"/>
        </w:rPr>
      </w:pPr>
    </w:p>
    <w:p>
      <w:pPr>
        <w:sectPr>
          <w:pgSz w:w="11900" w:h="16855" w:orient="portrait"/>
          <w:cols w:equalWidth="0" w:num="2">
            <w:col w:w="3280" w:space="300"/>
            <w:col w:w="6639"/>
          </w:cols>
          <w:pgMar w:left="240" w:top="447"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14111 Scottslawn Road</w:t>
      </w:r>
    </w:p>
    <w:p>
      <w:pPr>
        <w:spacing w:after="0" w:line="238" w:lineRule="auto"/>
        <w:tabs>
          <w:tab w:leader="none" w:pos="1880" w:val="left"/>
        </w:tabs>
        <w:rPr>
          <w:sz w:val="20"/>
          <w:szCs w:val="20"/>
          <w:color w:val="auto"/>
        </w:rPr>
      </w:pPr>
      <w:r>
        <w:rPr>
          <w:rFonts w:ascii="Courier New" w:cs="Courier New" w:eastAsia="Courier New" w:hAnsi="Courier New"/>
          <w:sz w:val="18"/>
          <w:szCs w:val="18"/>
          <w:color w:val="auto"/>
        </w:rPr>
        <w:t>Marysville, Ohio</w:t>
        <w:tab/>
        <w:t>43041</w:t>
      </w:r>
    </w:p>
    <w:p>
      <w:pPr>
        <w:spacing w:after="0"/>
        <w:rPr>
          <w:sz w:val="20"/>
          <w:szCs w:val="20"/>
          <w:color w:val="auto"/>
        </w:rPr>
      </w:pPr>
      <w:r>
        <w:rPr>
          <w:rFonts w:ascii="Courier New" w:cs="Courier New" w:eastAsia="Courier New" w:hAnsi="Courier New"/>
          <w:sz w:val="18"/>
          <w:szCs w:val="18"/>
          <w:color w:val="auto"/>
        </w:rPr>
        <w:t>(Address of principal executive offices)</w:t>
      </w:r>
    </w:p>
    <w:p>
      <w:pPr>
        <w:spacing w:after="0" w:line="237" w:lineRule="auto"/>
        <w:rPr>
          <w:sz w:val="20"/>
          <w:szCs w:val="20"/>
          <w:color w:val="auto"/>
        </w:rPr>
      </w:pPr>
      <w:r>
        <w:rPr>
          <w:rFonts w:ascii="Courier New" w:cs="Courier New" w:eastAsia="Courier New" w:hAnsi="Courier New"/>
          <w:sz w:val="18"/>
          <w:szCs w:val="18"/>
          <w:color w:val="auto"/>
        </w:rPr>
        <w:t>(Zip Code)</w:t>
      </w:r>
    </w:p>
    <w:p>
      <w:pPr>
        <w:spacing w:after="0" w:line="202" w:lineRule="exact"/>
        <w:rPr>
          <w:sz w:val="24"/>
          <w:szCs w:val="24"/>
          <w:color w:val="auto"/>
        </w:rPr>
      </w:pPr>
    </w:p>
    <w:p>
      <w:pPr>
        <w:jc w:val="center"/>
        <w:ind w:right="4739"/>
        <w:spacing w:after="0"/>
        <w:rPr>
          <w:sz w:val="20"/>
          <w:szCs w:val="20"/>
          <w:color w:val="auto"/>
        </w:rPr>
      </w:pPr>
      <w:r>
        <w:rPr>
          <w:rFonts w:ascii="Courier New" w:cs="Courier New" w:eastAsia="Courier New" w:hAnsi="Courier New"/>
          <w:sz w:val="18"/>
          <w:szCs w:val="18"/>
          <w:color w:val="auto"/>
        </w:rPr>
        <w:t>(513) 644-0011</w:t>
      </w:r>
    </w:p>
    <w:p>
      <w:pPr>
        <w:spacing w:after="0" w:line="4" w:lineRule="exact"/>
        <w:rPr>
          <w:sz w:val="24"/>
          <w:szCs w:val="24"/>
          <w:color w:val="auto"/>
        </w:rPr>
      </w:pPr>
    </w:p>
    <w:p>
      <w:pPr>
        <w:jc w:val="center"/>
        <w:ind w:right="4739"/>
        <w:spacing w:after="0"/>
        <w:rPr>
          <w:sz w:val="20"/>
          <w:szCs w:val="20"/>
          <w:color w:val="auto"/>
        </w:rPr>
      </w:pPr>
      <w:r>
        <w:rPr>
          <w:rFonts w:ascii="Courier New" w:cs="Courier New" w:eastAsia="Courier New" w:hAnsi="Courier New"/>
          <w:sz w:val="16"/>
          <w:szCs w:val="16"/>
          <w:color w:val="auto"/>
        </w:rPr>
        <w:t>(Registrant's telephone number, including area code)</w:t>
      </w:r>
    </w:p>
    <w:p>
      <w:pPr>
        <w:spacing w:after="0" w:line="218" w:lineRule="exact"/>
        <w:rPr>
          <w:sz w:val="24"/>
          <w:szCs w:val="24"/>
          <w:color w:val="auto"/>
        </w:rPr>
      </w:pPr>
    </w:p>
    <w:p>
      <w:pPr>
        <w:ind w:left="3160"/>
        <w:spacing w:after="0"/>
        <w:rPr>
          <w:sz w:val="20"/>
          <w:szCs w:val="20"/>
          <w:color w:val="auto"/>
        </w:rPr>
      </w:pPr>
      <w:r>
        <w:rPr>
          <w:rFonts w:ascii="Courier New" w:cs="Courier New" w:eastAsia="Courier New" w:hAnsi="Courier New"/>
          <w:sz w:val="18"/>
          <w:szCs w:val="18"/>
          <w:color w:val="auto"/>
        </w:rPr>
        <w:t>No change</w:t>
      </w:r>
    </w:p>
    <w:p>
      <w:pPr>
        <w:spacing w:after="0" w:line="4" w:lineRule="exact"/>
        <w:rPr>
          <w:sz w:val="24"/>
          <w:szCs w:val="24"/>
          <w:color w:val="auto"/>
        </w:rPr>
      </w:pPr>
    </w:p>
    <w:p>
      <w:pPr>
        <w:ind w:left="2000" w:right="3679" w:hanging="947"/>
        <w:spacing w:after="0" w:line="235" w:lineRule="auto"/>
        <w:rPr>
          <w:sz w:val="20"/>
          <w:szCs w:val="20"/>
          <w:color w:val="auto"/>
        </w:rPr>
      </w:pPr>
      <w:r>
        <w:rPr>
          <w:rFonts w:ascii="Courier New" w:cs="Courier New" w:eastAsia="Courier New" w:hAnsi="Courier New"/>
          <w:sz w:val="18"/>
          <w:szCs w:val="18"/>
          <w:color w:val="auto"/>
        </w:rPr>
        <w:t>(Former name, former address and former fiscal year, if changed since last report.)</w:t>
      </w:r>
    </w:p>
    <w:p>
      <w:pPr>
        <w:spacing w:after="0" w:line="208" w:lineRule="exact"/>
        <w:rPr>
          <w:sz w:val="24"/>
          <w:szCs w:val="24"/>
          <w:color w:val="auto"/>
        </w:rPr>
      </w:pPr>
    </w:p>
    <w:p>
      <w:pPr>
        <w:ind w:right="2199"/>
        <w:spacing w:after="0" w:line="237" w:lineRule="auto"/>
        <w:rPr>
          <w:sz w:val="20"/>
          <w:szCs w:val="20"/>
          <w:color w:val="auto"/>
        </w:rPr>
      </w:pPr>
      <w:r>
        <w:rPr>
          <w:rFonts w:ascii="Courier New" w:cs="Courier New" w:eastAsia="Courier New" w:hAnsi="Courier New"/>
          <w:sz w:val="18"/>
          <w:szCs w:val="18"/>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6320"/>
        <w:spacing w:after="0"/>
        <w:tabs>
          <w:tab w:leader="none" w:pos="6940" w:val="left"/>
          <w:tab w:leader="none" w:pos="7260" w:val="left"/>
        </w:tabs>
        <w:rPr>
          <w:sz w:val="20"/>
          <w:szCs w:val="20"/>
          <w:color w:val="auto"/>
        </w:rPr>
      </w:pPr>
      <w:r>
        <w:rPr>
          <w:rFonts w:ascii="Courier New" w:cs="Courier New" w:eastAsia="Courier New" w:hAnsi="Courier New"/>
          <w:sz w:val="18"/>
          <w:szCs w:val="18"/>
          <w:color w:val="auto"/>
        </w:rPr>
        <w:t>Yes</w:t>
      </w:r>
      <w:r>
        <w:rPr>
          <w:sz w:val="20"/>
          <w:szCs w:val="20"/>
          <w:color w:val="auto"/>
        </w:rPr>
        <w:tab/>
      </w:r>
      <w:r>
        <w:rPr>
          <w:rFonts w:ascii="Courier New" w:cs="Courier New" w:eastAsia="Courier New" w:hAnsi="Courier New"/>
          <w:sz w:val="18"/>
          <w:szCs w:val="18"/>
          <w:color w:val="auto"/>
        </w:rPr>
        <w:t>X</w:t>
      </w:r>
      <w:r>
        <w:rPr>
          <w:sz w:val="20"/>
          <w:szCs w:val="20"/>
          <w:color w:val="auto"/>
        </w:rPr>
        <w:tab/>
      </w:r>
      <w:r>
        <w:rPr>
          <w:rFonts w:ascii="Courier New" w:cs="Courier New" w:eastAsia="Courier New" w:hAnsi="Courier New"/>
          <w:sz w:val="16"/>
          <w:szCs w:val="16"/>
          <w:color w:val="auto"/>
        </w:rPr>
        <w:t>No</w:t>
      </w:r>
    </w:p>
    <w:p>
      <w:pPr>
        <w:spacing w:after="0" w:line="207" w:lineRule="exact"/>
        <w:rPr>
          <w:sz w:val="24"/>
          <w:szCs w:val="24"/>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55" w:orient="portrait"/>
          <w:cols w:equalWidth="0" w:num="1">
            <w:col w:w="10219"/>
          </w:cols>
          <w:pgMar w:left="240" w:top="447" w:right="1440" w:bottom="0" w:gutter="0" w:footer="0" w:header="0"/>
          <w:type w:val="continuous"/>
        </w:sectPr>
      </w:pPr>
    </w:p>
    <w:p>
      <w:pPr>
        <w:spacing w:after="0" w:line="203" w:lineRule="exact"/>
        <w:rPr>
          <w:sz w:val="24"/>
          <w:szCs w:val="24"/>
          <w:color w:val="auto"/>
        </w:rPr>
      </w:pPr>
    </w:p>
    <w:p>
      <w:pPr>
        <w:ind w:left="1160"/>
        <w:spacing w:after="0"/>
        <w:rPr>
          <w:sz w:val="20"/>
          <w:szCs w:val="20"/>
          <w:color w:val="auto"/>
        </w:rPr>
      </w:pPr>
      <w:r>
        <w:rPr>
          <w:rFonts w:ascii="Courier New" w:cs="Courier New" w:eastAsia="Courier New" w:hAnsi="Courier New"/>
          <w:sz w:val="18"/>
          <w:szCs w:val="18"/>
          <w:color w:val="auto"/>
        </w:rPr>
        <w:t>18,667,064</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Common Shares, voting, no par value</w:t>
      </w:r>
    </w:p>
    <w:p>
      <w:pPr>
        <w:spacing w:after="0" w:line="20" w:lineRule="exact"/>
        <w:rPr>
          <w:sz w:val="24"/>
          <w:szCs w:val="24"/>
          <w:color w:val="auto"/>
        </w:rPr>
      </w:pPr>
      <w:r>
        <w:rPr>
          <w:sz w:val="24"/>
          <w:szCs w:val="24"/>
          <w:color w:val="auto"/>
        </w:rPr>
        <w:br w:type="column"/>
      </w:r>
    </w:p>
    <w:p>
      <w:pPr>
        <w:spacing w:after="0" w:line="188"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Outstanding at January 15, 1995</w:t>
      </w:r>
    </w:p>
    <w:p>
      <w:pPr>
        <w:spacing w:after="0" w:line="402" w:lineRule="exact"/>
        <w:rPr>
          <w:sz w:val="24"/>
          <w:szCs w:val="24"/>
          <w:color w:val="auto"/>
        </w:rPr>
      </w:pPr>
    </w:p>
    <w:p>
      <w:pPr>
        <w:sectPr>
          <w:pgSz w:w="11900" w:h="16855" w:orient="portrait"/>
          <w:cols w:equalWidth="0" w:num="2">
            <w:col w:w="3700" w:space="320"/>
            <w:col w:w="6199"/>
          </w:cols>
          <w:pgMar w:left="240" w:top="447" w:right="1440" w:bottom="0" w:gutter="0" w:footer="0" w:header="0"/>
          <w:type w:val="continuous"/>
        </w:sectPr>
      </w:pPr>
    </w:p>
    <w:p>
      <w:pPr>
        <w:spacing w:after="0" w:line="200" w:lineRule="exact"/>
        <w:rPr>
          <w:sz w:val="24"/>
          <w:szCs w:val="24"/>
          <w:color w:val="auto"/>
        </w:rPr>
      </w:pPr>
    </w:p>
    <w:p>
      <w:pPr>
        <w:spacing w:after="0" w:line="22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Page 1 of 14 pages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Exhibit Index at page 12</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INDEX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Page No.</w:t>
            </w:r>
          </w:p>
        </w:tc>
      </w:tr>
      <w:tr>
        <w:trPr>
          <w:trHeight w:val="405"/>
        </w:trPr>
        <w:tc>
          <w:tcPr>
            <w:tcW w:w="1000" w:type="dxa"/>
            <w:vAlign w:val="bottom"/>
          </w:tcPr>
          <w:p>
            <w:pPr>
              <w:spacing w:after="0"/>
              <w:rPr>
                <w:sz w:val="20"/>
                <w:szCs w:val="20"/>
                <w:color w:val="auto"/>
              </w:rPr>
            </w:pPr>
            <w:r>
              <w:rPr>
                <w:rFonts w:ascii="Courier New" w:cs="Courier New" w:eastAsia="Courier New" w:hAnsi="Courier New"/>
                <w:sz w:val="18"/>
                <w:szCs w:val="18"/>
                <w:color w:val="auto"/>
              </w:rPr>
              <w:t>Part  I.</w:t>
            </w:r>
          </w:p>
        </w:tc>
        <w:tc>
          <w:tcPr>
            <w:tcW w:w="23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7"/>
              </w:rPr>
              <w:t>Financial Information:</w:t>
            </w:r>
          </w:p>
        </w:tc>
        <w:tc>
          <w:tcPr>
            <w:tcW w:w="3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405"/>
        </w:trPr>
        <w:tc>
          <w:tcPr>
            <w:tcW w:w="1000" w:type="dxa"/>
            <w:vAlign w:val="bottom"/>
          </w:tcPr>
          <w:p>
            <w:pPr>
              <w:ind w:left="220"/>
              <w:spacing w:after="0"/>
              <w:rPr>
                <w:sz w:val="20"/>
                <w:szCs w:val="20"/>
                <w:color w:val="auto"/>
              </w:rPr>
            </w:pPr>
            <w:r>
              <w:rPr>
                <w:rFonts w:ascii="Courier New" w:cs="Courier New" w:eastAsia="Courier New" w:hAnsi="Courier New"/>
                <w:sz w:val="18"/>
                <w:szCs w:val="18"/>
                <w:color w:val="auto"/>
              </w:rPr>
              <w:t>Item 1.</w:t>
            </w:r>
          </w:p>
        </w:tc>
        <w:tc>
          <w:tcPr>
            <w:tcW w:w="2380" w:type="dxa"/>
            <w:vAlign w:val="bottom"/>
            <w:gridSpan w:val="3"/>
          </w:tcPr>
          <w:p>
            <w:pPr>
              <w:jc w:val="center"/>
              <w:spacing w:after="0"/>
              <w:rPr>
                <w:sz w:val="20"/>
                <w:szCs w:val="20"/>
                <w:color w:val="auto"/>
              </w:rPr>
            </w:pPr>
            <w:r>
              <w:rPr>
                <w:rFonts w:ascii="Courier New" w:cs="Courier New" w:eastAsia="Courier New" w:hAnsi="Courier New"/>
                <w:sz w:val="18"/>
                <w:szCs w:val="18"/>
                <w:color w:val="auto"/>
                <w:w w:val="98"/>
              </w:rPr>
              <w:t>Financial Statements</w:t>
            </w:r>
          </w:p>
        </w:tc>
        <w:tc>
          <w:tcPr>
            <w:tcW w:w="3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Statements</w:t>
            </w:r>
          </w:p>
        </w:tc>
        <w:tc>
          <w:tcPr>
            <w:tcW w:w="40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Income - Three month periods ended</w:t>
            </w:r>
          </w:p>
        </w:tc>
        <w:tc>
          <w:tcPr>
            <w:tcW w:w="900" w:type="dxa"/>
            <w:vAlign w:val="bottom"/>
          </w:tcPr>
          <w:p>
            <w:pPr>
              <w:spacing w:after="0"/>
              <w:rPr>
                <w:sz w:val="17"/>
                <w:szCs w:val="17"/>
                <w:color w:val="auto"/>
              </w:rPr>
            </w:pPr>
          </w:p>
        </w:tc>
      </w:tr>
      <w:tr>
        <w:trPr>
          <w:trHeight w:val="203"/>
        </w:trPr>
        <w:tc>
          <w:tcPr>
            <w:tcW w:w="17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January 1,</w:t>
            </w:r>
          </w:p>
        </w:tc>
        <w:tc>
          <w:tcPr>
            <w:tcW w:w="516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1994 and December 31, 1994</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w:t>
            </w:r>
          </w:p>
        </w:tc>
      </w:tr>
      <w:tr>
        <w:trPr>
          <w:trHeight w:val="405"/>
        </w:trPr>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Consolidated</w:t>
            </w:r>
          </w:p>
        </w:tc>
        <w:tc>
          <w:tcPr>
            <w:tcW w:w="1160" w:type="dxa"/>
            <w:vAlign w:val="bottom"/>
          </w:tcPr>
          <w:p>
            <w:pPr>
              <w:ind w:left="60"/>
              <w:spacing w:after="0"/>
              <w:rPr>
                <w:sz w:val="20"/>
                <w:szCs w:val="20"/>
                <w:color w:val="auto"/>
              </w:rPr>
            </w:pPr>
            <w:r>
              <w:rPr>
                <w:rFonts w:ascii="Courier New" w:cs="Courier New" w:eastAsia="Courier New" w:hAnsi="Courier New"/>
                <w:sz w:val="18"/>
                <w:szCs w:val="18"/>
                <w:color w:val="auto"/>
                <w:w w:val="99"/>
              </w:rPr>
              <w:t>Statements</w:t>
            </w:r>
          </w:p>
        </w:tc>
        <w:tc>
          <w:tcPr>
            <w:tcW w:w="400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of Cash Flows - Three month periods</w:t>
            </w:r>
          </w:p>
        </w:tc>
        <w:tc>
          <w:tcPr>
            <w:tcW w:w="900" w:type="dxa"/>
            <w:vAlign w:val="bottom"/>
          </w:tcPr>
          <w:p>
            <w:pPr>
              <w:spacing w:after="0"/>
              <w:rPr>
                <w:sz w:val="24"/>
                <w:szCs w:val="24"/>
                <w:color w:val="auto"/>
              </w:rPr>
            </w:pPr>
          </w:p>
        </w:tc>
      </w:tr>
      <w:tr>
        <w:trPr>
          <w:trHeight w:val="203"/>
        </w:trPr>
        <w:tc>
          <w:tcPr>
            <w:tcW w:w="290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w w:val="98"/>
              </w:rPr>
              <w:t>ended January 1, 1994</w:t>
            </w:r>
          </w:p>
        </w:tc>
        <w:tc>
          <w:tcPr>
            <w:tcW w:w="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and</w:t>
            </w:r>
          </w:p>
        </w:tc>
        <w:tc>
          <w:tcPr>
            <w:tcW w:w="3520" w:type="dxa"/>
            <w:vAlign w:val="bottom"/>
          </w:tcPr>
          <w:p>
            <w:pPr>
              <w:spacing w:after="0" w:line="203" w:lineRule="exact"/>
              <w:rPr>
                <w:sz w:val="20"/>
                <w:szCs w:val="20"/>
                <w:color w:val="auto"/>
              </w:rPr>
            </w:pPr>
            <w:r>
              <w:rPr>
                <w:rFonts w:ascii="Courier New" w:cs="Courier New" w:eastAsia="Courier New" w:hAnsi="Courier New"/>
                <w:sz w:val="18"/>
                <w:szCs w:val="18"/>
                <w:color w:val="auto"/>
              </w:rPr>
              <w:t>December 31, 1994</w:t>
            </w:r>
          </w:p>
        </w:tc>
        <w:tc>
          <w:tcPr>
            <w:tcW w:w="9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w:t>
            </w:r>
          </w:p>
        </w:tc>
      </w:tr>
      <w:tr>
        <w:trPr>
          <w:trHeight w:val="405"/>
        </w:trPr>
        <w:tc>
          <w:tcPr>
            <w:tcW w:w="17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Consolidated</w:t>
            </w:r>
          </w:p>
        </w:tc>
        <w:tc>
          <w:tcPr>
            <w:tcW w:w="1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Balance Sheets</w:t>
            </w:r>
          </w:p>
        </w:tc>
        <w:tc>
          <w:tcPr>
            <w:tcW w:w="3520" w:type="dxa"/>
            <w:vAlign w:val="bottom"/>
          </w:tcPr>
          <w:p>
            <w:pPr>
              <w:spacing w:after="0"/>
              <w:rPr>
                <w:sz w:val="20"/>
                <w:szCs w:val="20"/>
                <w:color w:val="auto"/>
              </w:rPr>
            </w:pPr>
            <w:r>
              <w:rPr>
                <w:rFonts w:ascii="Courier New" w:cs="Courier New" w:eastAsia="Courier New" w:hAnsi="Courier New"/>
                <w:sz w:val="18"/>
                <w:szCs w:val="18"/>
                <w:color w:val="auto"/>
              </w:rPr>
              <w:t>-</w:t>
            </w:r>
          </w:p>
        </w:tc>
        <w:tc>
          <w:tcPr>
            <w:tcW w:w="900" w:type="dxa"/>
            <w:vAlign w:val="bottom"/>
          </w:tcPr>
          <w:p>
            <w:pPr>
              <w:spacing w:after="0"/>
              <w:rPr>
                <w:sz w:val="24"/>
                <w:szCs w:val="24"/>
                <w:color w:val="auto"/>
              </w:rPr>
            </w:pPr>
          </w:p>
        </w:tc>
      </w:tr>
    </w:tbl>
    <w:p>
      <w:pPr>
        <w:sectPr>
          <w:pgSz w:w="11900" w:h="16855" w:orient="portrait"/>
          <w:cols w:equalWidth="0" w:num="1">
            <w:col w:w="10219"/>
          </w:cols>
          <w:pgMar w:left="240" w:top="447"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7060" w:type="dxa"/>
            <w:vAlign w:val="bottom"/>
            <w:gridSpan w:val="5"/>
          </w:tcPr>
          <w:p>
            <w:pPr>
              <w:jc w:val="right"/>
              <w:ind w:right="332"/>
              <w:spacing w:after="0"/>
              <w:rPr>
                <w:sz w:val="20"/>
                <w:szCs w:val="20"/>
                <w:color w:val="auto"/>
              </w:rPr>
            </w:pPr>
            <w:r>
              <w:rPr>
                <w:rFonts w:ascii="Courier New" w:cs="Courier New" w:eastAsia="Courier New" w:hAnsi="Courier New"/>
                <w:sz w:val="18"/>
                <w:szCs w:val="18"/>
                <w:color w:val="auto"/>
              </w:rPr>
              <w:t>January 1, 1994, December 31, 1994 and September 30, 1994</w:t>
            </w: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5</w:t>
            </w:r>
          </w:p>
        </w:tc>
      </w:tr>
      <w:tr>
        <w:trPr>
          <w:trHeight w:val="405"/>
        </w:trPr>
        <w:tc>
          <w:tcPr>
            <w:tcW w:w="538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Notes to Consolidated Financial Statements</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w w:val="92"/>
              </w:rPr>
              <w:t>6-7</w:t>
            </w:r>
          </w:p>
        </w:tc>
      </w:tr>
      <w:tr>
        <w:trPr>
          <w:trHeight w:val="405"/>
        </w:trPr>
        <w:tc>
          <w:tcPr>
            <w:tcW w:w="5380" w:type="dxa"/>
            <w:vAlign w:val="bottom"/>
            <w:gridSpan w:val="3"/>
          </w:tcPr>
          <w:p>
            <w:pPr>
              <w:ind w:left="220"/>
              <w:spacing w:after="0"/>
              <w:rPr>
                <w:sz w:val="20"/>
                <w:szCs w:val="20"/>
                <w:color w:val="auto"/>
              </w:rPr>
            </w:pPr>
            <w:r>
              <w:rPr>
                <w:rFonts w:ascii="Courier New" w:cs="Courier New" w:eastAsia="Courier New" w:hAnsi="Courier New"/>
                <w:sz w:val="18"/>
                <w:szCs w:val="18"/>
                <w:color w:val="auto"/>
                <w:w w:val="99"/>
              </w:rPr>
              <w:t>Item 2.  Management's Discussion and Analysis of</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5380" w:type="dxa"/>
            <w:vAlign w:val="bottom"/>
            <w:gridSpan w:val="3"/>
          </w:tcPr>
          <w:p>
            <w:pPr>
              <w:ind w:left="420"/>
              <w:spacing w:after="0" w:line="203" w:lineRule="exact"/>
              <w:rPr>
                <w:sz w:val="20"/>
                <w:szCs w:val="20"/>
                <w:color w:val="auto"/>
              </w:rPr>
            </w:pPr>
            <w:r>
              <w:rPr>
                <w:rFonts w:ascii="Courier New" w:cs="Courier New" w:eastAsia="Courier New" w:hAnsi="Courier New"/>
                <w:sz w:val="18"/>
                <w:szCs w:val="18"/>
                <w:color w:val="auto"/>
              </w:rPr>
              <w:t>Financial Condition and Results of Operations</w:t>
            </w: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w w:val="92"/>
              </w:rPr>
              <w:t>8-9</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3100" w:type="dxa"/>
            <w:vAlign w:val="bottom"/>
          </w:tcPr>
          <w:p>
            <w:pPr>
              <w:spacing w:after="0"/>
              <w:rPr>
                <w:sz w:val="20"/>
                <w:szCs w:val="20"/>
                <w:color w:val="auto"/>
              </w:rPr>
            </w:pPr>
            <w:r>
              <w:rPr>
                <w:rFonts w:ascii="Courier New" w:cs="Courier New" w:eastAsia="Courier New" w:hAnsi="Courier New"/>
                <w:sz w:val="18"/>
                <w:szCs w:val="18"/>
                <w:color w:val="auto"/>
              </w:rPr>
              <w:t>Other Information</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405"/>
        </w:trPr>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Item 1.</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Legal Proceedings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10</w:t>
            </w:r>
          </w:p>
        </w:tc>
      </w:tr>
      <w:tr>
        <w:trPr>
          <w:trHeight w:val="405"/>
        </w:trPr>
        <w:tc>
          <w:tcPr>
            <w:tcW w:w="1060" w:type="dxa"/>
            <w:vAlign w:val="bottom"/>
          </w:tcPr>
          <w:p>
            <w:pPr>
              <w:ind w:left="220"/>
              <w:spacing w:after="0"/>
              <w:rPr>
                <w:sz w:val="20"/>
                <w:szCs w:val="20"/>
                <w:color w:val="auto"/>
              </w:rPr>
            </w:pPr>
            <w:r>
              <w:rPr>
                <w:rFonts w:ascii="Courier New" w:cs="Courier New" w:eastAsia="Courier New" w:hAnsi="Courier New"/>
                <w:sz w:val="18"/>
                <w:szCs w:val="18"/>
                <w:color w:val="auto"/>
              </w:rPr>
              <w:t>Item 6.</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w w:val="98"/>
              </w:rPr>
              <w:t>Exhibits and Reports on Form</w:t>
            </w:r>
          </w:p>
        </w:tc>
        <w:tc>
          <w:tcPr>
            <w:tcW w:w="1220" w:type="dxa"/>
            <w:vAlign w:val="bottom"/>
          </w:tcPr>
          <w:p>
            <w:pPr>
              <w:ind w:left="60"/>
              <w:spacing w:after="0"/>
              <w:rPr>
                <w:sz w:val="20"/>
                <w:szCs w:val="20"/>
                <w:color w:val="auto"/>
              </w:rPr>
            </w:pPr>
            <w:r>
              <w:rPr>
                <w:rFonts w:ascii="Courier New" w:cs="Courier New" w:eastAsia="Courier New" w:hAnsi="Courier New"/>
                <w:sz w:val="18"/>
                <w:szCs w:val="18"/>
                <w:color w:val="auto"/>
              </w:rPr>
              <w:t>8-K</w:t>
            </w: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10</w:t>
            </w: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w w:val="96"/>
              </w:rPr>
              <w:t>Signatures</w:t>
            </w:r>
          </w:p>
        </w:tc>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11</w:t>
            </w:r>
          </w:p>
        </w:tc>
      </w:tr>
      <w:tr>
        <w:trPr>
          <w:trHeight w:val="608"/>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Exhibit Index</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ind w:left="320"/>
              <w:spacing w:after="0"/>
              <w:rPr>
                <w:sz w:val="20"/>
                <w:szCs w:val="20"/>
                <w:color w:val="auto"/>
              </w:rPr>
            </w:pPr>
            <w:r>
              <w:rPr>
                <w:rFonts w:ascii="Courier New" w:cs="Courier New" w:eastAsia="Courier New" w:hAnsi="Courier New"/>
                <w:sz w:val="18"/>
                <w:szCs w:val="18"/>
                <w:color w:val="auto"/>
              </w:rPr>
              <w:t>12</w:t>
            </w:r>
          </w:p>
        </w:tc>
      </w:tr>
      <w:tr>
        <w:trPr>
          <w:trHeight w:val="1013"/>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Page 2</w:t>
            </w:r>
          </w:p>
        </w:tc>
        <w:tc>
          <w:tcPr>
            <w:tcW w:w="3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013"/>
        </w:trPr>
        <w:tc>
          <w:tcPr>
            <w:tcW w:w="1060" w:type="dxa"/>
            <w:vAlign w:val="bottom"/>
          </w:tcPr>
          <w:p>
            <w:pPr>
              <w:spacing w:after="0"/>
              <w:rPr>
                <w:sz w:val="20"/>
                <w:szCs w:val="20"/>
                <w:color w:val="auto"/>
              </w:rPr>
            </w:pPr>
            <w:r>
              <w:rPr>
                <w:rFonts w:ascii="Courier New" w:cs="Courier New" w:eastAsia="Courier New" w:hAnsi="Courier New"/>
                <w:sz w:val="18"/>
                <w:szCs w:val="18"/>
                <w:color w:val="auto"/>
              </w:rPr>
              <w:t>PART I  -</w:t>
            </w:r>
          </w:p>
        </w:tc>
        <w:tc>
          <w:tcPr>
            <w:tcW w:w="3100" w:type="dxa"/>
            <w:vAlign w:val="bottom"/>
          </w:tcPr>
          <w:p>
            <w:pPr>
              <w:ind w:left="100"/>
              <w:spacing w:after="0"/>
              <w:rPr>
                <w:sz w:val="20"/>
                <w:szCs w:val="20"/>
                <w:color w:val="auto"/>
              </w:rPr>
            </w:pPr>
            <w:r>
              <w:rPr>
                <w:rFonts w:ascii="Courier New" w:cs="Courier New" w:eastAsia="Courier New" w:hAnsi="Courier New"/>
                <w:sz w:val="18"/>
                <w:szCs w:val="18"/>
                <w:color w:val="auto"/>
              </w:rPr>
              <w:t>FINANCIAL INFORMATION</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10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ITEM 1.</w:t>
            </w:r>
          </w:p>
        </w:tc>
        <w:tc>
          <w:tcPr>
            <w:tcW w:w="31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FINANCIAL STATEMENTS</w:t>
            </w: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1013"/>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THE SCOTTS COMPANY AND SUBSIDIARIES</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CONSOLIDATED STATEMENTS OF INCOME</w:t>
            </w: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(Unaudited)</w:t>
            </w: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 thousands)</w:t>
            </w:r>
          </w:p>
        </w:tc>
        <w:tc>
          <w:tcPr>
            <w:tcW w:w="12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640" w:type="dxa"/>
            <w:vAlign w:val="bottom"/>
          </w:tcPr>
          <w:p>
            <w:pPr>
              <w:spacing w:after="0"/>
              <w:rPr>
                <w:sz w:val="17"/>
                <w:szCs w:val="17"/>
                <w:color w:val="auto"/>
              </w:rPr>
            </w:pPr>
          </w:p>
        </w:tc>
      </w:tr>
      <w:tr>
        <w:trPr>
          <w:trHeight w:val="810"/>
        </w:trPr>
        <w:tc>
          <w:tcPr>
            <w:tcW w:w="106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900" w:type="dxa"/>
            <w:vAlign w:val="bottom"/>
            <w:gridSpan w:val="3"/>
          </w:tcPr>
          <w:p>
            <w:pPr>
              <w:jc w:val="right"/>
              <w:ind w:right="652"/>
              <w:spacing w:after="0"/>
              <w:rPr>
                <w:sz w:val="20"/>
                <w:szCs w:val="20"/>
                <w:color w:val="auto"/>
              </w:rPr>
            </w:pPr>
            <w:r>
              <w:rPr>
                <w:rFonts w:ascii="Courier New" w:cs="Courier New" w:eastAsia="Courier New" w:hAnsi="Courier New"/>
                <w:sz w:val="18"/>
                <w:szCs w:val="18"/>
                <w:color w:val="auto"/>
              </w:rPr>
              <w:t>Three Months Ended</w:t>
            </w:r>
          </w:p>
        </w:tc>
        <w:tc>
          <w:tcPr>
            <w:tcW w:w="640" w:type="dxa"/>
            <w:vAlign w:val="bottom"/>
          </w:tcPr>
          <w:p>
            <w:pPr>
              <w:spacing w:after="0"/>
              <w:rPr>
                <w:sz w:val="24"/>
                <w:szCs w:val="24"/>
                <w:color w:val="auto"/>
              </w:rPr>
            </w:pPr>
          </w:p>
        </w:tc>
      </w:tr>
      <w:tr>
        <w:trPr>
          <w:trHeight w:val="203"/>
        </w:trPr>
        <w:tc>
          <w:tcPr>
            <w:tcW w:w="1060" w:type="dxa"/>
            <w:vAlign w:val="bottom"/>
          </w:tcPr>
          <w:p>
            <w:pPr>
              <w:spacing w:after="0"/>
              <w:rPr>
                <w:sz w:val="17"/>
                <w:szCs w:val="17"/>
                <w:color w:val="auto"/>
              </w:rPr>
            </w:pPr>
          </w:p>
        </w:tc>
        <w:tc>
          <w:tcPr>
            <w:tcW w:w="432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January 1</w:t>
            </w:r>
          </w:p>
        </w:tc>
        <w:tc>
          <w:tcPr>
            <w:tcW w:w="1680" w:type="dxa"/>
            <w:vAlign w:val="bottom"/>
            <w:gridSpan w:val="2"/>
          </w:tcPr>
          <w:p>
            <w:pPr>
              <w:jc w:val="right"/>
              <w:ind w:right="332"/>
              <w:spacing w:after="0" w:line="203" w:lineRule="exact"/>
              <w:rPr>
                <w:sz w:val="20"/>
                <w:szCs w:val="20"/>
                <w:color w:val="auto"/>
              </w:rPr>
            </w:pPr>
            <w:r>
              <w:rPr>
                <w:rFonts w:ascii="Courier New" w:cs="Courier New" w:eastAsia="Courier New" w:hAnsi="Courier New"/>
                <w:sz w:val="18"/>
                <w:szCs w:val="18"/>
                <w:color w:val="auto"/>
              </w:rPr>
              <w:t>December 31</w:t>
            </w:r>
          </w:p>
        </w:tc>
        <w:tc>
          <w:tcPr>
            <w:tcW w:w="640" w:type="dxa"/>
            <w:vAlign w:val="bottom"/>
          </w:tcPr>
          <w:p>
            <w:pPr>
              <w:spacing w:after="0"/>
              <w:rPr>
                <w:sz w:val="17"/>
                <w:szCs w:val="17"/>
                <w:color w:val="auto"/>
              </w:rPr>
            </w:pPr>
          </w:p>
        </w:tc>
      </w:tr>
      <w:tr>
        <w:trPr>
          <w:trHeight w:val="203"/>
        </w:trPr>
        <w:tc>
          <w:tcPr>
            <w:tcW w:w="10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1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1994</w:t>
            </w:r>
          </w:p>
        </w:tc>
        <w:tc>
          <w:tcPr>
            <w:tcW w:w="480" w:type="dxa"/>
            <w:vAlign w:val="bottom"/>
          </w:tcPr>
          <w:p>
            <w:pPr>
              <w:spacing w:after="0"/>
              <w:rPr>
                <w:sz w:val="17"/>
                <w:szCs w:val="17"/>
                <w:color w:val="auto"/>
              </w:rPr>
            </w:pPr>
          </w:p>
        </w:tc>
        <w:tc>
          <w:tcPr>
            <w:tcW w:w="120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1994</w:t>
            </w:r>
          </w:p>
        </w:tc>
        <w:tc>
          <w:tcPr>
            <w:tcW w:w="640" w:type="dxa"/>
            <w:vAlign w:val="bottom"/>
          </w:tcPr>
          <w:p>
            <w:pPr>
              <w:spacing w:after="0"/>
              <w:rPr>
                <w:sz w:val="17"/>
                <w:szCs w:val="17"/>
                <w:color w:val="auto"/>
              </w:rPr>
            </w:pPr>
          </w:p>
        </w:tc>
      </w:tr>
      <w:tr>
        <w:trPr>
          <w:trHeight w:val="608"/>
        </w:trPr>
        <w:tc>
          <w:tcPr>
            <w:tcW w:w="10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3100" w:type="dxa"/>
            <w:vAlign w:val="bottom"/>
          </w:tcPr>
          <w:p>
            <w:pPr>
              <w:ind w:left="284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68,326</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98,019</w:t>
            </w:r>
          </w:p>
        </w:tc>
        <w:tc>
          <w:tcPr>
            <w:tcW w:w="640" w:type="dxa"/>
            <w:vAlign w:val="bottom"/>
          </w:tcPr>
          <w:p>
            <w:pPr>
              <w:spacing w:after="0"/>
              <w:rPr>
                <w:sz w:val="24"/>
                <w:szCs w:val="24"/>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Cost of sales</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37,364</w:t>
            </w: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53,520</w:t>
            </w:r>
          </w:p>
        </w:tc>
        <w:tc>
          <w:tcPr>
            <w:tcW w:w="64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Gross profit</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30,962</w:t>
            </w:r>
          </w:p>
        </w:tc>
        <w:tc>
          <w:tcPr>
            <w:tcW w:w="4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44,499</w:t>
            </w:r>
          </w:p>
        </w:tc>
        <w:tc>
          <w:tcPr>
            <w:tcW w:w="64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Marketing</w:t>
            </w:r>
          </w:p>
        </w:tc>
        <w:tc>
          <w:tcPr>
            <w:tcW w:w="3100" w:type="dxa"/>
            <w:vAlign w:val="bottom"/>
          </w:tcPr>
          <w:p>
            <w:pPr>
              <w:spacing w:after="0"/>
              <w:rPr>
                <w:sz w:val="24"/>
                <w:szCs w:val="24"/>
                <w:color w:val="auto"/>
              </w:rPr>
            </w:pP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12,921</w:t>
            </w:r>
          </w:p>
        </w:tc>
        <w:tc>
          <w:tcPr>
            <w:tcW w:w="4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19,902</w:t>
            </w:r>
          </w:p>
        </w:tc>
        <w:tc>
          <w:tcPr>
            <w:tcW w:w="640" w:type="dxa"/>
            <w:vAlign w:val="bottom"/>
          </w:tcPr>
          <w:p>
            <w:pPr>
              <w:spacing w:after="0"/>
              <w:rPr>
                <w:sz w:val="24"/>
                <w:szCs w:val="24"/>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Distribution</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10,976</w:t>
            </w: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14,540</w:t>
            </w:r>
          </w:p>
        </w:tc>
        <w:tc>
          <w:tcPr>
            <w:tcW w:w="64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General and administrative</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5,010</w:t>
            </w: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5,967</w:t>
            </w:r>
          </w:p>
        </w:tc>
        <w:tc>
          <w:tcPr>
            <w:tcW w:w="64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Research and development</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2,004</w:t>
            </w: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2,765</w:t>
            </w:r>
          </w:p>
        </w:tc>
        <w:tc>
          <w:tcPr>
            <w:tcW w:w="640" w:type="dxa"/>
            <w:vAlign w:val="bottom"/>
          </w:tcPr>
          <w:p>
            <w:pPr>
              <w:spacing w:after="0"/>
              <w:rPr>
                <w:sz w:val="17"/>
                <w:szCs w:val="17"/>
                <w:color w:val="auto"/>
              </w:rPr>
            </w:pPr>
          </w:p>
        </w:tc>
      </w:tr>
      <w:tr>
        <w:trPr>
          <w:trHeight w:val="203"/>
        </w:trPr>
        <w:tc>
          <w:tcPr>
            <w:tcW w:w="41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expenses, net</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28</w:t>
            </w: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995</w:t>
            </w:r>
          </w:p>
        </w:tc>
        <w:tc>
          <w:tcPr>
            <w:tcW w:w="640" w:type="dxa"/>
            <w:vAlign w:val="bottom"/>
          </w:tcPr>
          <w:p>
            <w:pPr>
              <w:spacing w:after="0"/>
              <w:rPr>
                <w:sz w:val="17"/>
                <w:szCs w:val="17"/>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Income from operations</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23</w:t>
            </w:r>
          </w:p>
        </w:tc>
        <w:tc>
          <w:tcPr>
            <w:tcW w:w="4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330</w:t>
            </w:r>
          </w:p>
        </w:tc>
        <w:tc>
          <w:tcPr>
            <w:tcW w:w="640" w:type="dxa"/>
            <w:vAlign w:val="bottom"/>
          </w:tcPr>
          <w:p>
            <w:pPr>
              <w:spacing w:after="0"/>
              <w:rPr>
                <w:sz w:val="24"/>
                <w:szCs w:val="24"/>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Interest expense</w:t>
            </w:r>
          </w:p>
        </w:tc>
        <w:tc>
          <w:tcPr>
            <w:tcW w:w="122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2,640</w:t>
            </w:r>
          </w:p>
        </w:tc>
        <w:tc>
          <w:tcPr>
            <w:tcW w:w="480" w:type="dxa"/>
            <w:vAlign w:val="bottom"/>
          </w:tcPr>
          <w:p>
            <w:pPr>
              <w:spacing w:after="0"/>
              <w:rPr>
                <w:sz w:val="24"/>
                <w:szCs w:val="24"/>
                <w:color w:val="auto"/>
              </w:rPr>
            </w:pPr>
          </w:p>
        </w:tc>
        <w:tc>
          <w:tcPr>
            <w:tcW w:w="12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5,694</w:t>
            </w:r>
          </w:p>
        </w:tc>
        <w:tc>
          <w:tcPr>
            <w:tcW w:w="640" w:type="dxa"/>
            <w:vAlign w:val="bottom"/>
          </w:tcPr>
          <w:p>
            <w:pPr>
              <w:spacing w:after="0"/>
              <w:rPr>
                <w:sz w:val="24"/>
                <w:szCs w:val="24"/>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Loss before income tax benefit</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(2,617)</w:t>
            </w:r>
          </w:p>
        </w:tc>
        <w:tc>
          <w:tcPr>
            <w:tcW w:w="48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(5,364)</w:t>
            </w:r>
          </w:p>
        </w:tc>
        <w:tc>
          <w:tcPr>
            <w:tcW w:w="640" w:type="dxa"/>
            <w:vAlign w:val="bottom"/>
          </w:tcPr>
          <w:p>
            <w:pPr>
              <w:spacing w:after="0"/>
              <w:rPr>
                <w:sz w:val="24"/>
                <w:szCs w:val="24"/>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Income tax benefit</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(1,060)</w:t>
            </w:r>
          </w:p>
        </w:tc>
        <w:tc>
          <w:tcPr>
            <w:tcW w:w="48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(2,226)</w:t>
            </w:r>
          </w:p>
        </w:tc>
        <w:tc>
          <w:tcPr>
            <w:tcW w:w="640" w:type="dxa"/>
            <w:vAlign w:val="bottom"/>
          </w:tcPr>
          <w:p>
            <w:pPr>
              <w:spacing w:after="0"/>
              <w:rPr>
                <w:sz w:val="24"/>
                <w:szCs w:val="24"/>
                <w:color w:val="auto"/>
              </w:rPr>
            </w:pPr>
          </w:p>
        </w:tc>
      </w:tr>
      <w:tr>
        <w:trPr>
          <w:trHeight w:val="405"/>
        </w:trPr>
        <w:tc>
          <w:tcPr>
            <w:tcW w:w="106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3100" w:type="dxa"/>
            <w:vAlign w:val="bottom"/>
          </w:tcPr>
          <w:p>
            <w:pPr>
              <w:ind w:left="2840"/>
              <w:spacing w:after="0"/>
              <w:rPr>
                <w:sz w:val="20"/>
                <w:szCs w:val="20"/>
                <w:color w:val="auto"/>
              </w:rPr>
            </w:pPr>
            <w:r>
              <w:rPr>
                <w:rFonts w:ascii="Courier New" w:cs="Courier New" w:eastAsia="Courier New" w:hAnsi="Courier New"/>
                <w:sz w:val="18"/>
                <w:szCs w:val="18"/>
                <w:color w:val="auto"/>
              </w:rPr>
              <w:t>$</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(1,557)</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(3,138)</w:t>
            </w:r>
          </w:p>
        </w:tc>
        <w:tc>
          <w:tcPr>
            <w:tcW w:w="640" w:type="dxa"/>
            <w:vAlign w:val="bottom"/>
          </w:tcPr>
          <w:p>
            <w:pPr>
              <w:spacing w:after="0"/>
              <w:rPr>
                <w:sz w:val="24"/>
                <w:szCs w:val="24"/>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Net loss per common share</w:t>
            </w:r>
          </w:p>
        </w:tc>
        <w:tc>
          <w:tcPr>
            <w:tcW w:w="122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(.08)</w:t>
            </w:r>
          </w:p>
        </w:tc>
        <w:tc>
          <w:tcPr>
            <w:tcW w:w="480" w:type="dxa"/>
            <w:vAlign w:val="bottom"/>
          </w:tcPr>
          <w:p>
            <w:pPr>
              <w:spacing w:after="0"/>
              <w:rPr>
                <w:sz w:val="24"/>
                <w:szCs w:val="24"/>
                <w:color w:val="auto"/>
              </w:rPr>
            </w:pPr>
          </w:p>
        </w:tc>
        <w:tc>
          <w:tcPr>
            <w:tcW w:w="120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(.17)</w:t>
            </w:r>
          </w:p>
        </w:tc>
        <w:tc>
          <w:tcPr>
            <w:tcW w:w="640" w:type="dxa"/>
            <w:vAlign w:val="bottom"/>
          </w:tcPr>
          <w:p>
            <w:pPr>
              <w:spacing w:after="0"/>
              <w:rPr>
                <w:sz w:val="24"/>
                <w:szCs w:val="24"/>
                <w:color w:val="auto"/>
              </w:rPr>
            </w:pPr>
          </w:p>
        </w:tc>
      </w:tr>
      <w:tr>
        <w:trPr>
          <w:trHeight w:val="405"/>
        </w:trPr>
        <w:tc>
          <w:tcPr>
            <w:tcW w:w="416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number of</w:t>
            </w:r>
          </w:p>
        </w:tc>
        <w:tc>
          <w:tcPr>
            <w:tcW w:w="12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203"/>
        </w:trPr>
        <w:tc>
          <w:tcPr>
            <w:tcW w:w="416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common shares outstanding</w:t>
            </w:r>
          </w:p>
        </w:tc>
        <w:tc>
          <w:tcPr>
            <w:tcW w:w="122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18,659</w:t>
            </w:r>
          </w:p>
        </w:tc>
        <w:tc>
          <w:tcPr>
            <w:tcW w:w="480" w:type="dxa"/>
            <w:vAlign w:val="bottom"/>
          </w:tcPr>
          <w:p>
            <w:pPr>
              <w:spacing w:after="0"/>
              <w:rPr>
                <w:sz w:val="17"/>
                <w:szCs w:val="17"/>
                <w:color w:val="auto"/>
              </w:rPr>
            </w:pPr>
          </w:p>
        </w:tc>
        <w:tc>
          <w:tcPr>
            <w:tcW w:w="12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18,667</w:t>
            </w:r>
          </w:p>
        </w:tc>
        <w:tc>
          <w:tcPr>
            <w:tcW w:w="6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ectPr>
          <w:pgSz w:w="11900" w:h="16838" w:orient="portrait"/>
          <w:cols w:equalWidth="0" w:num="1">
            <w:col w:w="10219"/>
          </w:cols>
          <w:pgMar w:left="24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Page 3</w:t>
      </w:r>
    </w:p>
    <w:p>
      <w:pPr>
        <w:sectPr>
          <w:pgSz w:w="11900" w:h="16838" w:orient="portrait"/>
          <w:cols w:equalWidth="0" w:num="1">
            <w:col w:w="10219"/>
          </w:cols>
          <w:pgMar w:left="240" w:top="136" w:right="1440" w:bottom="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38" w:lineRule="auto"/>
        <w:rPr>
          <w:sz w:val="20"/>
          <w:szCs w:val="20"/>
          <w:color w:val="auto"/>
        </w:rPr>
      </w:pPr>
      <w:r>
        <w:rPr>
          <w:rFonts w:ascii="Courier New" w:cs="Courier New" w:eastAsia="Courier New" w:hAnsi="Courier New"/>
          <w:sz w:val="18"/>
          <w:szCs w:val="18"/>
          <w:color w:val="auto"/>
        </w:rPr>
        <w:t>CONSOLIDATED STATEMENTS OF CASH FLOWS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Three</w:t>
            </w:r>
          </w:p>
        </w:tc>
        <w:tc>
          <w:tcPr>
            <w:tcW w:w="1600" w:type="dxa"/>
            <w:vAlign w:val="bottom"/>
            <w:gridSpan w:val="2"/>
          </w:tcPr>
          <w:p>
            <w:pPr>
              <w:spacing w:after="0"/>
              <w:rPr>
                <w:sz w:val="20"/>
                <w:szCs w:val="20"/>
                <w:color w:val="auto"/>
              </w:rPr>
            </w:pPr>
            <w:r>
              <w:rPr>
                <w:rFonts w:ascii="Courier New" w:cs="Courier New" w:eastAsia="Courier New" w:hAnsi="Courier New"/>
                <w:sz w:val="18"/>
                <w:szCs w:val="18"/>
                <w:color w:val="auto"/>
              </w:rPr>
              <w:t>Months Ended</w:t>
            </w: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January</w:t>
            </w:r>
          </w:p>
        </w:tc>
        <w:tc>
          <w:tcPr>
            <w:tcW w:w="16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7"/>
              </w:rPr>
              <w:t>1   December 31</w:t>
            </w:r>
          </w:p>
        </w:tc>
      </w:tr>
      <w:tr>
        <w:trPr>
          <w:trHeight w:val="203"/>
        </w:trPr>
        <w:tc>
          <w:tcPr>
            <w:tcW w:w="5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1994</w:t>
            </w:r>
          </w:p>
        </w:tc>
        <w:tc>
          <w:tcPr>
            <w:tcW w:w="54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Net loss</w:t>
            </w:r>
          </w:p>
        </w:tc>
        <w:tc>
          <w:tcPr>
            <w:tcW w:w="3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(1,557)</w:t>
            </w:r>
          </w:p>
        </w:tc>
        <w:tc>
          <w:tcPr>
            <w:tcW w:w="5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(3,138)</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Adjustments to reconcile net loss to net cash</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used in operating activities:</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Depreciation and amortization</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4,603</w:t>
            </w:r>
          </w:p>
        </w:tc>
        <w:tc>
          <w:tcPr>
            <w:tcW w:w="5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5,801</w:t>
            </w:r>
          </w:p>
        </w:tc>
      </w:tr>
      <w:tr>
        <w:trPr>
          <w:trHeight w:val="203"/>
        </w:trPr>
        <w:tc>
          <w:tcPr>
            <w:tcW w:w="5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Postretirement benefits</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32</w:t>
            </w:r>
          </w:p>
        </w:tc>
        <w:tc>
          <w:tcPr>
            <w:tcW w:w="5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166</w:t>
            </w:r>
          </w:p>
        </w:tc>
      </w:tr>
      <w:tr>
        <w:trPr>
          <w:trHeight w:val="203"/>
        </w:trPr>
        <w:tc>
          <w:tcPr>
            <w:tcW w:w="5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rPr>
              <w:t>Net increase in certain components of</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working capital</w:t>
            </w:r>
          </w:p>
        </w:tc>
        <w:tc>
          <w:tcPr>
            <w:tcW w:w="3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(53,377)</w:t>
            </w:r>
          </w:p>
        </w:tc>
        <w:tc>
          <w:tcPr>
            <w:tcW w:w="5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w w:val="94"/>
              </w:rPr>
              <w:t>(47,003)</w:t>
            </w:r>
          </w:p>
        </w:tc>
      </w:tr>
      <w:tr>
        <w:trPr>
          <w:trHeight w:val="203"/>
        </w:trPr>
        <w:tc>
          <w:tcPr>
            <w:tcW w:w="5600" w:type="dxa"/>
            <w:vAlign w:val="bottom"/>
          </w:tcPr>
          <w:p>
            <w:pPr>
              <w:ind w:left="960"/>
              <w:spacing w:after="0" w:line="203" w:lineRule="exact"/>
              <w:rPr>
                <w:sz w:val="20"/>
                <w:szCs w:val="20"/>
                <w:color w:val="auto"/>
              </w:rPr>
            </w:pPr>
            <w:r>
              <w:rPr>
                <w:rFonts w:ascii="Courier New" w:cs="Courier New" w:eastAsia="Courier New" w:hAnsi="Courier New"/>
                <w:sz w:val="18"/>
                <w:szCs w:val="18"/>
                <w:color w:val="auto"/>
                <w:w w:val="99"/>
              </w:rPr>
              <w:t>Net increase (decrease) in other assets and</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1280"/>
              <w:spacing w:after="0" w:line="203" w:lineRule="exact"/>
              <w:rPr>
                <w:sz w:val="20"/>
                <w:szCs w:val="20"/>
                <w:color w:val="auto"/>
              </w:rPr>
            </w:pPr>
            <w:r>
              <w:rPr>
                <w:rFonts w:ascii="Courier New" w:cs="Courier New" w:eastAsia="Courier New" w:hAnsi="Courier New"/>
                <w:sz w:val="18"/>
                <w:szCs w:val="18"/>
                <w:color w:val="auto"/>
              </w:rPr>
              <w:t>liabilities and other adjustments</w:t>
            </w:r>
          </w:p>
        </w:tc>
        <w:tc>
          <w:tcPr>
            <w:tcW w:w="3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(147)</w:t>
            </w:r>
          </w:p>
        </w:tc>
        <w:tc>
          <w:tcPr>
            <w:tcW w:w="5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354</w:t>
            </w:r>
          </w:p>
        </w:tc>
      </w:tr>
      <w:tr>
        <w:trPr>
          <w:trHeight w:val="405"/>
        </w:trPr>
        <w:tc>
          <w:tcPr>
            <w:tcW w:w="5600" w:type="dxa"/>
            <w:vAlign w:val="bottom"/>
          </w:tcPr>
          <w:p>
            <w:pPr>
              <w:ind w:left="1580"/>
              <w:spacing w:after="0"/>
              <w:rPr>
                <w:sz w:val="20"/>
                <w:szCs w:val="20"/>
                <w:color w:val="auto"/>
              </w:rPr>
            </w:pPr>
            <w:r>
              <w:rPr>
                <w:rFonts w:ascii="Courier New" w:cs="Courier New" w:eastAsia="Courier New" w:hAnsi="Courier New"/>
                <w:sz w:val="18"/>
                <w:szCs w:val="18"/>
                <w:color w:val="auto"/>
              </w:rPr>
              <w:t>Net cash used in operating activities</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w w:val="94"/>
              </w:rPr>
              <w:t>(50,446)</w:t>
            </w:r>
          </w:p>
        </w:tc>
        <w:tc>
          <w:tcPr>
            <w:tcW w:w="54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w w:val="94"/>
              </w:rPr>
              <w:t>(43,820)</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INVESTING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 in plant and equipment, net</w:t>
            </w:r>
          </w:p>
        </w:tc>
        <w:tc>
          <w:tcPr>
            <w:tcW w:w="3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(4,985)</w:t>
            </w:r>
          </w:p>
        </w:tc>
        <w:tc>
          <w:tcPr>
            <w:tcW w:w="5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(5,012)</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Investment in Affiliate</w:t>
            </w:r>
          </w:p>
        </w:tc>
        <w:tc>
          <w:tcPr>
            <w:tcW w:w="300" w:type="dxa"/>
            <w:vAlign w:val="bottom"/>
          </w:tcPr>
          <w:p>
            <w:pPr>
              <w:spacing w:after="0"/>
              <w:rPr>
                <w:sz w:val="17"/>
                <w:szCs w:val="17"/>
                <w:color w:val="auto"/>
              </w:rPr>
            </w:pPr>
          </w:p>
        </w:tc>
        <w:tc>
          <w:tcPr>
            <w:tcW w:w="8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5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(250)</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Acquisition of Sierra, net of cash acquired</w:t>
            </w:r>
          </w:p>
        </w:tc>
        <w:tc>
          <w:tcPr>
            <w:tcW w:w="114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(118,986)</w:t>
            </w:r>
          </w:p>
        </w:tc>
        <w:tc>
          <w:tcPr>
            <w:tcW w:w="54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405"/>
        </w:trPr>
        <w:tc>
          <w:tcPr>
            <w:tcW w:w="5600" w:type="dxa"/>
            <w:vAlign w:val="bottom"/>
          </w:tcPr>
          <w:p>
            <w:pPr>
              <w:ind w:left="1580"/>
              <w:spacing w:after="0"/>
              <w:rPr>
                <w:sz w:val="20"/>
                <w:szCs w:val="20"/>
                <w:color w:val="auto"/>
              </w:rPr>
            </w:pPr>
            <w:r>
              <w:rPr>
                <w:rFonts w:ascii="Courier New" w:cs="Courier New" w:eastAsia="Courier New" w:hAnsi="Courier New"/>
                <w:sz w:val="18"/>
                <w:szCs w:val="18"/>
                <w:color w:val="auto"/>
              </w:rPr>
              <w:t>Net cash used in investing activities</w:t>
            </w:r>
          </w:p>
        </w:tc>
        <w:tc>
          <w:tcPr>
            <w:tcW w:w="114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(123,971)</w:t>
            </w:r>
          </w:p>
        </w:tc>
        <w:tc>
          <w:tcPr>
            <w:tcW w:w="54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(5,262)</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Borrowings under term debt</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125,000</w:t>
            </w:r>
          </w:p>
        </w:tc>
        <w:tc>
          <w:tcPr>
            <w:tcW w:w="540" w:type="dxa"/>
            <w:vAlign w:val="bottom"/>
          </w:tcPr>
          <w:p>
            <w:pPr>
              <w:spacing w:after="0"/>
              <w:rPr>
                <w:sz w:val="17"/>
                <w:szCs w:val="17"/>
                <w:color w:val="auto"/>
              </w:rPr>
            </w:pPr>
          </w:p>
        </w:tc>
        <w:tc>
          <w:tcPr>
            <w:tcW w:w="106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Payments on term and other debt</w:t>
            </w:r>
          </w:p>
        </w:tc>
        <w:tc>
          <w:tcPr>
            <w:tcW w:w="3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(141)</w:t>
            </w:r>
          </w:p>
        </w:tc>
        <w:tc>
          <w:tcPr>
            <w:tcW w:w="540" w:type="dxa"/>
            <w:vAlign w:val="bottom"/>
          </w:tcPr>
          <w:p>
            <w:pPr>
              <w:spacing w:after="0"/>
              <w:rPr>
                <w:sz w:val="17"/>
                <w:szCs w:val="17"/>
                <w:color w:val="auto"/>
              </w:rPr>
            </w:pPr>
          </w:p>
        </w:tc>
        <w:tc>
          <w:tcPr>
            <w:tcW w:w="10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(727)</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Revolving lines of credit and bank line of</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credit, net</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53,598</w:t>
            </w:r>
          </w:p>
        </w:tc>
        <w:tc>
          <w:tcPr>
            <w:tcW w:w="5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44,646</w:t>
            </w:r>
          </w:p>
        </w:tc>
      </w:tr>
      <w:tr>
        <w:trPr>
          <w:trHeight w:val="405"/>
        </w:trPr>
        <w:tc>
          <w:tcPr>
            <w:tcW w:w="5600" w:type="dxa"/>
            <w:vAlign w:val="bottom"/>
          </w:tcPr>
          <w:p>
            <w:pPr>
              <w:ind w:left="1580"/>
              <w:spacing w:after="0"/>
              <w:rPr>
                <w:sz w:val="20"/>
                <w:szCs w:val="20"/>
                <w:color w:val="auto"/>
              </w:rPr>
            </w:pPr>
            <w:r>
              <w:rPr>
                <w:rFonts w:ascii="Courier New" w:cs="Courier New" w:eastAsia="Courier New" w:hAnsi="Courier New"/>
                <w:sz w:val="18"/>
                <w:szCs w:val="18"/>
                <w:color w:val="auto"/>
              </w:rPr>
              <w:t>Net cash provided by financing</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00" w:type="dxa"/>
            <w:vAlign w:val="bottom"/>
          </w:tcPr>
          <w:p>
            <w:pPr>
              <w:ind w:left="1900"/>
              <w:spacing w:after="0" w:line="203" w:lineRule="exact"/>
              <w:rPr>
                <w:sz w:val="20"/>
                <w:szCs w:val="20"/>
                <w:color w:val="auto"/>
              </w:rPr>
            </w:pPr>
            <w:r>
              <w:rPr>
                <w:rFonts w:ascii="Courier New" w:cs="Courier New" w:eastAsia="Courier New" w:hAnsi="Courier New"/>
                <w:sz w:val="18"/>
                <w:szCs w:val="18"/>
                <w:color w:val="auto"/>
              </w:rPr>
              <w:t>activities</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178,457</w:t>
            </w:r>
          </w:p>
        </w:tc>
        <w:tc>
          <w:tcPr>
            <w:tcW w:w="5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43,919</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Effect of exchange rate changes on cash</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8"/>
                <w:szCs w:val="18"/>
                <w:color w:val="auto"/>
              </w:rPr>
              <w:t>(116)</w:t>
            </w:r>
          </w:p>
        </w:tc>
        <w:tc>
          <w:tcPr>
            <w:tcW w:w="54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(122)</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Net increase (decrease) in cash</w:t>
            </w:r>
          </w:p>
        </w:tc>
        <w:tc>
          <w:tcPr>
            <w:tcW w:w="3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3,924</w:t>
            </w:r>
          </w:p>
        </w:tc>
        <w:tc>
          <w:tcPr>
            <w:tcW w:w="540" w:type="dxa"/>
            <w:vAlign w:val="bottom"/>
          </w:tcPr>
          <w:p>
            <w:pPr>
              <w:spacing w:after="0"/>
              <w:rPr>
                <w:sz w:val="24"/>
                <w:szCs w:val="24"/>
                <w:color w:val="auto"/>
              </w:rPr>
            </w:pPr>
          </w:p>
        </w:tc>
        <w:tc>
          <w:tcPr>
            <w:tcW w:w="106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(5,285)</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at beginning of period</w:t>
            </w:r>
          </w:p>
        </w:tc>
        <w:tc>
          <w:tcPr>
            <w:tcW w:w="30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2,323</w:t>
            </w:r>
          </w:p>
        </w:tc>
        <w:tc>
          <w:tcPr>
            <w:tcW w:w="540" w:type="dxa"/>
            <w:vAlign w:val="bottom"/>
          </w:tcPr>
          <w:p>
            <w:pPr>
              <w:spacing w:after="0"/>
              <w:rPr>
                <w:sz w:val="24"/>
                <w:szCs w:val="24"/>
                <w:color w:val="auto"/>
              </w:rPr>
            </w:pP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10,695</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Cash at end of period</w:t>
            </w:r>
          </w:p>
        </w:tc>
        <w:tc>
          <w:tcPr>
            <w:tcW w:w="3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6,247</w:t>
            </w:r>
          </w:p>
        </w:tc>
        <w:tc>
          <w:tcPr>
            <w:tcW w:w="54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5,410</w:t>
            </w:r>
          </w:p>
        </w:tc>
      </w:tr>
      <w:tr>
        <w:trPr>
          <w:trHeight w:val="405"/>
        </w:trPr>
        <w:tc>
          <w:tcPr>
            <w:tcW w:w="5600" w:type="dxa"/>
            <w:vAlign w:val="bottom"/>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Interest paid, net of amount capitalized</w:t>
            </w:r>
          </w:p>
        </w:tc>
        <w:tc>
          <w:tcPr>
            <w:tcW w:w="3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1,958</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2,082</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Income taxes paid</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2,261</w:t>
            </w:r>
          </w:p>
        </w:tc>
        <w:tc>
          <w:tcPr>
            <w:tcW w:w="540" w:type="dxa"/>
            <w:vAlign w:val="bottom"/>
          </w:tcPr>
          <w:p>
            <w:pPr>
              <w:spacing w:after="0"/>
              <w:rPr>
                <w:sz w:val="17"/>
                <w:szCs w:val="17"/>
                <w:color w:val="auto"/>
              </w:rPr>
            </w:pPr>
          </w:p>
        </w:tc>
        <w:tc>
          <w:tcPr>
            <w:tcW w:w="10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890</w:t>
            </w:r>
          </w:p>
        </w:tc>
      </w:tr>
      <w:tr>
        <w:trPr>
          <w:trHeight w:val="203"/>
        </w:trPr>
        <w:tc>
          <w:tcPr>
            <w:tcW w:w="560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Detail of entities acquired:</w:t>
            </w:r>
          </w:p>
        </w:tc>
        <w:tc>
          <w:tcPr>
            <w:tcW w:w="3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Fair value of assets acquired</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138,933</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Liabilities assumed</w:t>
            </w:r>
          </w:p>
        </w:tc>
        <w:tc>
          <w:tcPr>
            <w:tcW w:w="30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(19,947)</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03"/>
        </w:trPr>
        <w:tc>
          <w:tcPr>
            <w:tcW w:w="560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Net cash paid for acquisition</w:t>
            </w:r>
          </w:p>
        </w:tc>
        <w:tc>
          <w:tcPr>
            <w:tcW w:w="30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118,986</w:t>
            </w:r>
          </w:p>
        </w:tc>
        <w:tc>
          <w:tcPr>
            <w:tcW w:w="540" w:type="dxa"/>
            <w:vAlign w:val="bottom"/>
          </w:tcPr>
          <w:p>
            <w:pPr>
              <w:spacing w:after="0"/>
              <w:rPr>
                <w:sz w:val="17"/>
                <w:szCs w:val="17"/>
                <w:color w:val="auto"/>
              </w:rPr>
            </w:pPr>
          </w:p>
        </w:tc>
        <w:tc>
          <w:tcPr>
            <w:tcW w:w="1060" w:type="dxa"/>
            <w:vAlign w:val="bottom"/>
          </w:tcPr>
          <w:p>
            <w:pPr>
              <w:spacing w:after="0"/>
              <w:rPr>
                <w:sz w:val="17"/>
                <w:szCs w:val="17"/>
                <w:color w:val="auto"/>
              </w:rPr>
            </w:pP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4</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38" w:lineRule="auto"/>
        <w:rPr>
          <w:sz w:val="20"/>
          <w:szCs w:val="20"/>
          <w:color w:val="auto"/>
        </w:rPr>
      </w:pPr>
      <w:r>
        <w:rPr>
          <w:rFonts w:ascii="Courier New" w:cs="Courier New" w:eastAsia="Courier New" w:hAnsi="Courier New"/>
          <w:sz w:val="18"/>
          <w:szCs w:val="18"/>
          <w:color w:val="auto"/>
        </w:rPr>
        <w:t>CONSOLIDATED BALANCE SHEETS</w:t>
      </w:r>
    </w:p>
    <w:p>
      <w:pPr>
        <w:spacing w:after="0"/>
        <w:rPr>
          <w:sz w:val="20"/>
          <w:szCs w:val="20"/>
          <w:color w:val="auto"/>
        </w:rPr>
      </w:pPr>
      <w:r>
        <w:rPr>
          <w:rFonts w:ascii="Courier New" w:cs="Courier New" w:eastAsia="Courier New" w:hAnsi="Courier New"/>
          <w:sz w:val="18"/>
          <w:szCs w:val="18"/>
          <w:color w:val="auto"/>
        </w:rPr>
        <w:t>(Unaudited)</w:t>
      </w:r>
    </w:p>
    <w:p>
      <w:pPr>
        <w:spacing w:after="0" w:line="237" w:lineRule="auto"/>
        <w:rPr>
          <w:sz w:val="20"/>
          <w:szCs w:val="20"/>
          <w:color w:val="auto"/>
        </w:rPr>
      </w:pPr>
      <w:r>
        <w:rPr>
          <w:rFonts w:ascii="Courier New" w:cs="Courier New" w:eastAsia="Courier New" w:hAnsi="Courier New"/>
          <w:sz w:val="18"/>
          <w:szCs w:val="18"/>
          <w:color w:val="auto"/>
        </w:rPr>
        <w:t>(in thousands)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ASSETS</w:t>
      </w:r>
    </w:p>
    <w:p>
      <w:pPr>
        <w:spacing w:after="0" w:line="201" w:lineRule="exact"/>
        <w:rPr>
          <w:sz w:val="20"/>
          <w:szCs w:val="20"/>
          <w:color w:val="auto"/>
        </w:rPr>
      </w:pPr>
    </w:p>
    <w:p>
      <w:pPr>
        <w:jc w:val="right"/>
        <w:ind w:right="519"/>
        <w:spacing w:after="0"/>
        <w:tabs>
          <w:tab w:leader="none" w:pos="2720" w:val="left"/>
          <w:tab w:leader="none" w:pos="1240" w:val="left"/>
        </w:tabs>
        <w:rPr>
          <w:sz w:val="20"/>
          <w:szCs w:val="20"/>
          <w:color w:val="auto"/>
        </w:rPr>
      </w:pPr>
      <w:r>
        <w:rPr>
          <w:rFonts w:ascii="Courier New" w:cs="Courier New" w:eastAsia="Courier New" w:hAnsi="Courier New"/>
          <w:sz w:val="18"/>
          <w:szCs w:val="18"/>
          <w:color w:val="auto"/>
        </w:rPr>
        <w:t>January 1</w:t>
      </w:r>
      <w:r>
        <w:rPr>
          <w:sz w:val="20"/>
          <w:szCs w:val="20"/>
          <w:color w:val="auto"/>
        </w:rPr>
        <w:tab/>
      </w:r>
      <w:r>
        <w:rPr>
          <w:rFonts w:ascii="Courier New" w:cs="Courier New" w:eastAsia="Courier New" w:hAnsi="Courier New"/>
          <w:sz w:val="18"/>
          <w:szCs w:val="18"/>
          <w:color w:val="auto"/>
        </w:rPr>
        <w:t>December 31</w:t>
      </w:r>
      <w:r>
        <w:rPr>
          <w:sz w:val="20"/>
          <w:szCs w:val="20"/>
          <w:color w:val="auto"/>
        </w:rPr>
        <w:tab/>
      </w:r>
      <w:r>
        <w:rPr>
          <w:rFonts w:ascii="Courier New" w:cs="Courier New" w:eastAsia="Courier New" w:hAnsi="Courier New"/>
          <w:sz w:val="16"/>
          <w:szCs w:val="16"/>
          <w:color w:val="auto"/>
        </w:rPr>
        <w:t>September 30</w:t>
      </w:r>
    </w:p>
    <w:p>
      <w:pPr>
        <w:ind w:left="5900"/>
        <w:spacing w:after="0"/>
        <w:tabs>
          <w:tab w:leader="none" w:pos="7360" w:val="left"/>
          <w:tab w:leader="none" w:pos="874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6"/>
          <w:szCs w:val="16"/>
          <w:color w:val="auto"/>
        </w:rPr>
        <w:t>1994</w:t>
      </w:r>
    </w:p>
    <w:p>
      <w:pPr>
        <w:sectPr>
          <w:pgSz w:w="11900" w:h="16838" w:orient="portrait"/>
          <w:cols w:equalWidth="0" w:num="1">
            <w:col w:w="10219"/>
          </w:cols>
          <w:pgMar w:left="240" w:top="946" w:right="1440"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Current Assets: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Cash and</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cash equivalents</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6,247</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5,410</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10,695</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receivable, less allowances</w:t>
            </w: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of $3,056, $3,213 and $2,933, respectively</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93,964</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128,454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115,772</w:t>
            </w: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Inventories</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129,421</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145,095</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106,636</w:t>
            </w: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Prepaid and other assets</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16,152</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19,735</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17,151</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assets</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245,784</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298,694</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250,254</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Property, plant and equipment, net</w:t>
            </w:r>
          </w:p>
        </w:tc>
        <w:tc>
          <w:tcPr>
            <w:tcW w:w="32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122,320</w:t>
            </w:r>
          </w:p>
        </w:tc>
        <w:tc>
          <w:tcPr>
            <w:tcW w:w="3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141,556</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140,105</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Patents and</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other intangibles, net</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31,592</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27,485</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28,880</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rPr>
              <w:t>Goodwill</w:t>
            </w:r>
          </w:p>
        </w:tc>
        <w:tc>
          <w:tcPr>
            <w:tcW w:w="4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103,488</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103,926</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104,578</w:t>
            </w:r>
          </w:p>
        </w:tc>
      </w:tr>
      <w:tr>
        <w:trPr>
          <w:trHeight w:val="203"/>
        </w:trPr>
        <w:tc>
          <w:tcPr>
            <w:tcW w:w="1280" w:type="dxa"/>
            <w:vAlign w:val="bottom"/>
          </w:tcPr>
          <w:p>
            <w:pPr>
              <w:spacing w:after="0" w:line="203" w:lineRule="exact"/>
              <w:rPr>
                <w:sz w:val="20"/>
                <w:szCs w:val="20"/>
                <w:color w:val="auto"/>
              </w:rPr>
            </w:pPr>
            <w:r>
              <w:rPr>
                <w:rFonts w:ascii="Courier New" w:cs="Courier New" w:eastAsia="Courier New" w:hAnsi="Courier New"/>
                <w:sz w:val="18"/>
                <w:szCs w:val="18"/>
                <w:color w:val="auto"/>
                <w:w w:val="97"/>
              </w:rPr>
              <w:t>Other assets</w:t>
            </w:r>
          </w:p>
        </w:tc>
        <w:tc>
          <w:tcPr>
            <w:tcW w:w="4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5,558</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4,957</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4,767</w:t>
            </w:r>
          </w:p>
        </w:tc>
      </w:tr>
      <w:tr>
        <w:trPr>
          <w:trHeight w:val="405"/>
        </w:trPr>
        <w:tc>
          <w:tcPr>
            <w:tcW w:w="1280" w:type="dxa"/>
            <w:vAlign w:val="bottom"/>
          </w:tcPr>
          <w:p>
            <w:pPr>
              <w:ind w:left="640"/>
              <w:spacing w:after="0"/>
              <w:rPr>
                <w:sz w:val="20"/>
                <w:szCs w:val="20"/>
                <w:color w:val="auto"/>
              </w:rPr>
            </w:pPr>
            <w:r>
              <w:rPr>
                <w:rFonts w:ascii="Courier New" w:cs="Courier New" w:eastAsia="Courier New" w:hAnsi="Courier New"/>
                <w:sz w:val="18"/>
                <w:szCs w:val="18"/>
                <w:color w:val="auto"/>
              </w:rPr>
              <w:t>Total</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Assets</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508,742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576,618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528,584</w:t>
            </w:r>
          </w:p>
        </w:tc>
      </w:tr>
      <w:tr>
        <w:trPr>
          <w:trHeight w:val="608"/>
        </w:trPr>
        <w:tc>
          <w:tcPr>
            <w:tcW w:w="1280" w:type="dxa"/>
            <w:vAlign w:val="bottom"/>
          </w:tcPr>
          <w:p>
            <w:pPr>
              <w:spacing w:after="0"/>
              <w:rPr>
                <w:sz w:val="24"/>
                <w:szCs w:val="24"/>
                <w:color w:val="auto"/>
              </w:rPr>
            </w:pPr>
          </w:p>
        </w:tc>
        <w:tc>
          <w:tcPr>
            <w:tcW w:w="5360" w:type="dxa"/>
            <w:vAlign w:val="bottom"/>
            <w:gridSpan w:val="3"/>
          </w:tcPr>
          <w:p>
            <w:pPr>
              <w:jc w:val="right"/>
              <w:ind w:right="752"/>
              <w:spacing w:after="0"/>
              <w:rPr>
                <w:sz w:val="20"/>
                <w:szCs w:val="20"/>
                <w:color w:val="auto"/>
              </w:rPr>
            </w:pPr>
            <w:r>
              <w:rPr>
                <w:rFonts w:ascii="Courier New" w:cs="Courier New" w:eastAsia="Courier New" w:hAnsi="Courier New"/>
                <w:sz w:val="18"/>
                <w:szCs w:val="18"/>
                <w:color w:val="auto"/>
              </w:rPr>
              <w:t>LIABLITIES AND SHAREHOLDERS' EQUITY</w:t>
            </w: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Revolving credit line</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45,303</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68,062</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23,416</w:t>
            </w: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Current portion of term debt</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20,444</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5,540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3,755</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Accounts</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payable</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41,388</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53,565</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46,967</w:t>
            </w: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Other current liabilities</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25,932</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36,100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35,550</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current liabilities</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133,067</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163,267</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109,688</w:t>
            </w: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Long-term debt, less current portion</w:t>
            </w:r>
          </w:p>
        </w:tc>
        <w:tc>
          <w:tcPr>
            <w:tcW w:w="32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205,640</w:t>
            </w:r>
          </w:p>
        </w:tc>
        <w:tc>
          <w:tcPr>
            <w:tcW w:w="3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217,618</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220,130</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Postretirement benefits other than pensions</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26,678</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27,180</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27,014</w:t>
            </w:r>
          </w:p>
        </w:tc>
      </w:tr>
      <w:tr>
        <w:trPr>
          <w:trHeight w:val="203"/>
        </w:trPr>
        <w:tc>
          <w:tcPr>
            <w:tcW w:w="5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liabilities</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1,986</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3,492</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3,592</w:t>
            </w:r>
          </w:p>
        </w:tc>
      </w:tr>
      <w:tr>
        <w:trPr>
          <w:trHeight w:val="405"/>
        </w:trPr>
        <w:tc>
          <w:tcPr>
            <w:tcW w:w="1280" w:type="dxa"/>
            <w:vAlign w:val="bottom"/>
          </w:tcPr>
          <w:p>
            <w:pPr>
              <w:ind w:left="640"/>
              <w:spacing w:after="0"/>
              <w:rPr>
                <w:sz w:val="20"/>
                <w:szCs w:val="20"/>
                <w:color w:val="auto"/>
              </w:rPr>
            </w:pPr>
            <w:r>
              <w:rPr>
                <w:rFonts w:ascii="Courier New" w:cs="Courier New" w:eastAsia="Courier New" w:hAnsi="Courier New"/>
                <w:sz w:val="18"/>
                <w:szCs w:val="18"/>
                <w:color w:val="auto"/>
              </w:rPr>
              <w:t>Total</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Liabilities</w:t>
            </w:r>
          </w:p>
        </w:tc>
        <w:tc>
          <w:tcPr>
            <w:tcW w:w="320" w:type="dxa"/>
            <w:vAlign w:val="bottom"/>
          </w:tcPr>
          <w:p>
            <w:pPr>
              <w:spacing w:after="0"/>
              <w:rPr>
                <w:sz w:val="24"/>
                <w:szCs w:val="24"/>
                <w:color w:val="auto"/>
              </w:rPr>
            </w:pP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367,371</w:t>
            </w:r>
          </w:p>
        </w:tc>
        <w:tc>
          <w:tcPr>
            <w:tcW w:w="320" w:type="dxa"/>
            <w:vAlign w:val="bottom"/>
          </w:tcPr>
          <w:p>
            <w:pPr>
              <w:spacing w:after="0"/>
              <w:rPr>
                <w:sz w:val="24"/>
                <w:szCs w:val="24"/>
                <w:color w:val="auto"/>
              </w:rPr>
            </w:pP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411,557</w:t>
            </w:r>
          </w:p>
        </w:tc>
        <w:tc>
          <w:tcPr>
            <w:tcW w:w="420" w:type="dxa"/>
            <w:vAlign w:val="bottom"/>
          </w:tcPr>
          <w:p>
            <w:pPr>
              <w:spacing w:after="0"/>
              <w:rPr>
                <w:sz w:val="24"/>
                <w:szCs w:val="24"/>
                <w:color w:val="auto"/>
              </w:rPr>
            </w:pP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360,424</w:t>
            </w:r>
          </w:p>
        </w:tc>
      </w:tr>
      <w:tr>
        <w:trPr>
          <w:trHeight w:val="405"/>
        </w:trPr>
        <w:tc>
          <w:tcPr>
            <w:tcW w:w="1280" w:type="dxa"/>
            <w:vAlign w:val="bottom"/>
          </w:tcPr>
          <w:p>
            <w:pPr>
              <w:spacing w:after="0"/>
              <w:rPr>
                <w:sz w:val="20"/>
                <w:szCs w:val="20"/>
                <w:color w:val="auto"/>
              </w:rPr>
            </w:pPr>
            <w:r>
              <w:rPr>
                <w:rFonts w:ascii="Courier New" w:cs="Courier New" w:eastAsia="Courier New" w:hAnsi="Courier New"/>
                <w:sz w:val="18"/>
                <w:szCs w:val="18"/>
                <w:color w:val="auto"/>
              </w:rPr>
              <w:t>Commitments</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and Contingencies</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405"/>
        </w:trPr>
        <w:tc>
          <w:tcPr>
            <w:tcW w:w="5280" w:type="dxa"/>
            <w:vAlign w:val="bottom"/>
            <w:gridSpan w:val="2"/>
          </w:tcPr>
          <w:p>
            <w:pPr>
              <w:spacing w:after="0"/>
              <w:rPr>
                <w:sz w:val="20"/>
                <w:szCs w:val="20"/>
                <w:color w:val="auto"/>
              </w:rPr>
            </w:pPr>
            <w:r>
              <w:rPr>
                <w:rFonts w:ascii="Courier New" w:cs="Courier New" w:eastAsia="Courier New" w:hAnsi="Courier New"/>
                <w:sz w:val="18"/>
                <w:szCs w:val="18"/>
                <w:color w:val="auto"/>
              </w:rPr>
              <w:t>Shareholders' Equity:</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Preferred Stock, $.01 par value in 1993</w:t>
            </w:r>
          </w:p>
        </w:tc>
        <w:tc>
          <w:tcPr>
            <w:tcW w:w="320" w:type="dxa"/>
            <w:vAlign w:val="bottom"/>
          </w:tcPr>
          <w:p>
            <w:pPr>
              <w:spacing w:after="0"/>
              <w:rPr>
                <w:sz w:val="17"/>
                <w:szCs w:val="17"/>
                <w:color w:val="auto"/>
              </w:rPr>
            </w:pPr>
          </w:p>
        </w:tc>
        <w:tc>
          <w:tcPr>
            <w:tcW w:w="1040" w:type="dxa"/>
            <w:vAlign w:val="bottom"/>
          </w:tcPr>
          <w:p>
            <w:pPr>
              <w:jc w:val="right"/>
              <w:ind w:right="652"/>
              <w:spacing w:after="0" w:line="203" w:lineRule="exact"/>
              <w:rPr>
                <w:sz w:val="20"/>
                <w:szCs w:val="20"/>
                <w:color w:val="auto"/>
              </w:rPr>
            </w:pPr>
            <w:r>
              <w:rPr>
                <w:rFonts w:ascii="Courier New" w:cs="Courier New" w:eastAsia="Courier New" w:hAnsi="Courier New"/>
                <w:sz w:val="18"/>
                <w:szCs w:val="18"/>
                <w:color w:val="auto"/>
              </w:rPr>
              <w:t>-</w:t>
            </w: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Common Shares</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211</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211</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211</w:t>
            </w: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Capital in excess of par value</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193,353</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193,418</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193,450</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Retained</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earnings (deficit)</w:t>
            </w:r>
          </w:p>
        </w:tc>
        <w:tc>
          <w:tcPr>
            <w:tcW w:w="3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(10,565)</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10,737</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13,875</w:t>
            </w:r>
          </w:p>
        </w:tc>
      </w:tr>
      <w:tr>
        <w:trPr>
          <w:trHeight w:val="203"/>
        </w:trPr>
        <w:tc>
          <w:tcPr>
            <w:tcW w:w="5280" w:type="dxa"/>
            <w:vAlign w:val="bottom"/>
            <w:gridSpan w:val="2"/>
          </w:tcPr>
          <w:p>
            <w:pPr>
              <w:ind w:left="320"/>
              <w:spacing w:after="0" w:line="203" w:lineRule="exact"/>
              <w:rPr>
                <w:sz w:val="20"/>
                <w:szCs w:val="20"/>
                <w:color w:val="auto"/>
              </w:rPr>
            </w:pPr>
            <w:r>
              <w:rPr>
                <w:rFonts w:ascii="Courier New" w:cs="Courier New" w:eastAsia="Courier New" w:hAnsi="Courier New"/>
                <w:sz w:val="18"/>
                <w:szCs w:val="18"/>
                <w:color w:val="auto"/>
              </w:rPr>
              <w:t>Cumulative translation gain (loss)</w:t>
            </w:r>
          </w:p>
        </w:tc>
        <w:tc>
          <w:tcPr>
            <w:tcW w:w="3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(187)</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2,136</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2,065</w:t>
            </w:r>
          </w:p>
        </w:tc>
      </w:tr>
      <w:tr>
        <w:trPr>
          <w:trHeight w:val="203"/>
        </w:trPr>
        <w:tc>
          <w:tcPr>
            <w:tcW w:w="128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Treasury</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stock, 2,415 shares at cost</w:t>
            </w:r>
          </w:p>
        </w:tc>
        <w:tc>
          <w:tcPr>
            <w:tcW w:w="320" w:type="dxa"/>
            <w:vAlign w:val="bottom"/>
          </w:tcPr>
          <w:p>
            <w:pPr>
              <w:spacing w:after="0"/>
              <w:rPr>
                <w:sz w:val="17"/>
                <w:szCs w:val="17"/>
                <w:color w:val="auto"/>
              </w:rPr>
            </w:pPr>
          </w:p>
        </w:tc>
        <w:tc>
          <w:tcPr>
            <w:tcW w:w="104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w w:val="94"/>
              </w:rPr>
              <w:t>(41,441)</w:t>
            </w:r>
          </w:p>
        </w:tc>
        <w:tc>
          <w:tcPr>
            <w:tcW w:w="320" w:type="dxa"/>
            <w:vAlign w:val="bottom"/>
          </w:tcPr>
          <w:p>
            <w:pPr>
              <w:spacing w:after="0"/>
              <w:rPr>
                <w:sz w:val="17"/>
                <w:szCs w:val="17"/>
                <w:color w:val="auto"/>
              </w:rPr>
            </w:pPr>
          </w:p>
        </w:tc>
        <w:tc>
          <w:tcPr>
            <w:tcW w:w="11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4"/>
              </w:rPr>
              <w:t>(41,441)</w:t>
            </w:r>
          </w:p>
        </w:tc>
        <w:tc>
          <w:tcPr>
            <w:tcW w:w="420" w:type="dxa"/>
            <w:vAlign w:val="bottom"/>
          </w:tcPr>
          <w:p>
            <w:pPr>
              <w:spacing w:after="0"/>
              <w:rPr>
                <w:sz w:val="17"/>
                <w:szCs w:val="17"/>
                <w:color w:val="auto"/>
              </w:rPr>
            </w:pP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4"/>
              </w:rPr>
              <w:t>(41,441)</w:t>
            </w:r>
          </w:p>
        </w:tc>
      </w:tr>
      <w:tr>
        <w:trPr>
          <w:trHeight w:val="203"/>
        </w:trPr>
        <w:tc>
          <w:tcPr>
            <w:tcW w:w="128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rPr>
              <w:t>Total</w:t>
            </w:r>
          </w:p>
        </w:tc>
        <w:tc>
          <w:tcPr>
            <w:tcW w:w="400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Equity</w:t>
            </w:r>
          </w:p>
        </w:tc>
        <w:tc>
          <w:tcPr>
            <w:tcW w:w="320" w:type="dxa"/>
            <w:vAlign w:val="bottom"/>
          </w:tcPr>
          <w:p>
            <w:pPr>
              <w:spacing w:after="0"/>
              <w:rPr>
                <w:sz w:val="17"/>
                <w:szCs w:val="17"/>
                <w:color w:val="auto"/>
              </w:rPr>
            </w:pPr>
          </w:p>
        </w:tc>
        <w:tc>
          <w:tcPr>
            <w:tcW w:w="104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w w:val="92"/>
              </w:rPr>
              <w:t>141,371</w:t>
            </w:r>
          </w:p>
        </w:tc>
        <w:tc>
          <w:tcPr>
            <w:tcW w:w="320" w:type="dxa"/>
            <w:vAlign w:val="bottom"/>
          </w:tcPr>
          <w:p>
            <w:pPr>
              <w:spacing w:after="0"/>
              <w:rPr>
                <w:sz w:val="17"/>
                <w:szCs w:val="17"/>
                <w:color w:val="auto"/>
              </w:rPr>
            </w:pPr>
          </w:p>
        </w:tc>
        <w:tc>
          <w:tcPr>
            <w:tcW w:w="116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w w:val="95"/>
              </w:rPr>
              <w:t>165,061</w:t>
            </w:r>
          </w:p>
        </w:tc>
        <w:tc>
          <w:tcPr>
            <w:tcW w:w="420" w:type="dxa"/>
            <w:vAlign w:val="bottom"/>
          </w:tcPr>
          <w:p>
            <w:pPr>
              <w:spacing w:after="0"/>
              <w:rPr>
                <w:sz w:val="17"/>
                <w:szCs w:val="17"/>
                <w:color w:val="auto"/>
              </w:rPr>
            </w:pPr>
          </w:p>
        </w:tc>
        <w:tc>
          <w:tcPr>
            <w:tcW w:w="84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5"/>
              </w:rPr>
              <w:t>168,160</w:t>
            </w:r>
          </w:p>
        </w:tc>
      </w:tr>
      <w:tr>
        <w:trPr>
          <w:trHeight w:val="405"/>
        </w:trPr>
        <w:tc>
          <w:tcPr>
            <w:tcW w:w="1280" w:type="dxa"/>
            <w:vAlign w:val="bottom"/>
          </w:tcPr>
          <w:p>
            <w:pPr>
              <w:ind w:left="640"/>
              <w:spacing w:after="0"/>
              <w:rPr>
                <w:sz w:val="20"/>
                <w:szCs w:val="20"/>
                <w:color w:val="auto"/>
              </w:rPr>
            </w:pPr>
            <w:r>
              <w:rPr>
                <w:rFonts w:ascii="Courier New" w:cs="Courier New" w:eastAsia="Courier New" w:hAnsi="Courier New"/>
                <w:sz w:val="18"/>
                <w:szCs w:val="18"/>
                <w:color w:val="auto"/>
              </w:rPr>
              <w:t>Total</w:t>
            </w:r>
          </w:p>
        </w:tc>
        <w:tc>
          <w:tcPr>
            <w:tcW w:w="4000" w:type="dxa"/>
            <w:vAlign w:val="bottom"/>
          </w:tcPr>
          <w:p>
            <w:pPr>
              <w:spacing w:after="0"/>
              <w:rPr>
                <w:sz w:val="20"/>
                <w:szCs w:val="20"/>
                <w:color w:val="auto"/>
              </w:rPr>
            </w:pPr>
            <w:r>
              <w:rPr>
                <w:rFonts w:ascii="Courier New" w:cs="Courier New" w:eastAsia="Courier New" w:hAnsi="Courier New"/>
                <w:sz w:val="18"/>
                <w:szCs w:val="18"/>
                <w:color w:val="auto"/>
              </w:rPr>
              <w:t>Liabilities and Shareholders' Equity</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40" w:type="dxa"/>
            <w:vAlign w:val="bottom"/>
          </w:tcPr>
          <w:p>
            <w:pPr>
              <w:jc w:val="right"/>
              <w:ind w:right="232"/>
              <w:spacing w:after="0"/>
              <w:rPr>
                <w:sz w:val="20"/>
                <w:szCs w:val="20"/>
                <w:color w:val="auto"/>
              </w:rPr>
            </w:pPr>
            <w:r>
              <w:rPr>
                <w:rFonts w:ascii="Courier New" w:cs="Courier New" w:eastAsia="Courier New" w:hAnsi="Courier New"/>
                <w:sz w:val="18"/>
                <w:szCs w:val="18"/>
                <w:color w:val="auto"/>
                <w:w w:val="92"/>
              </w:rPr>
              <w:t>508,742</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w w:val="95"/>
              </w:rPr>
              <w:t>576,618</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8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5"/>
              </w:rPr>
              <w:t>528,584</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5</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532"/>
        <w:spacing w:after="0"/>
        <w:tabs>
          <w:tab w:leader="none" w:pos="5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Organization and Basis of Presentation</w:t>
      </w:r>
    </w:p>
    <w:p>
      <w:pPr>
        <w:spacing w:after="0" w:line="206" w:lineRule="exact"/>
        <w:rPr>
          <w:rFonts w:ascii="Courier New" w:cs="Courier New" w:eastAsia="Courier New" w:hAnsi="Courier New"/>
          <w:sz w:val="18"/>
          <w:szCs w:val="18"/>
          <w:color w:val="auto"/>
        </w:rPr>
      </w:pPr>
    </w:p>
    <w:p>
      <w:pPr>
        <w:ind w:left="540" w:right="35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Scotts Company ("Scotts") and its wholly owned subsidiaries, Hyponex Corporation ("Hyponex"), Republic Tool and Manufacturing Corp. ("Republic") and Scott-Sierra Horticultural Products Company ("Sierra"), (collectively, the "Company"), are engaged in the manufacture and sale of lawn care and garden products. The Company's business is highly seasonal with approximately 70% of sales occurring in the second and third fiscal quarters.</w:t>
      </w:r>
    </w:p>
    <w:p>
      <w:pPr>
        <w:spacing w:after="0" w:line="185" w:lineRule="exact"/>
        <w:rPr>
          <w:rFonts w:ascii="Courier New" w:cs="Courier New" w:eastAsia="Courier New" w:hAnsi="Courier New"/>
          <w:sz w:val="18"/>
          <w:szCs w:val="18"/>
          <w:color w:val="auto"/>
        </w:rPr>
      </w:pPr>
    </w:p>
    <w:p>
      <w:pPr>
        <w:ind w:left="540" w:right="3579"/>
        <w:spacing w:after="0" w:line="272"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The consolidated balance sheets as of January 1, 1994 and December 31, 1994, the related consolidated statements of income for the three month periods ended January 1, 1994 and December 31, 1994 and the related consolidated statements of cash flows for the three month periods ended January 1, 1994 and December 31, 1994 are unaudited;</w:t>
      </w:r>
    </w:p>
    <w:p>
      <w:pPr>
        <w:sectPr>
          <w:pgSz w:w="11900" w:h="16838" w:orient="portrait"/>
          <w:cols w:equalWidth="0" w:num="1">
            <w:col w:w="10219"/>
          </w:cols>
          <w:pgMar w:left="240" w:top="541" w:right="1440" w:bottom="0" w:gutter="0" w:footer="0" w:header="0"/>
        </w:sectPr>
      </w:pPr>
    </w:p>
    <w:bookmarkStart w:id="4" w:name="page5"/>
    <w:bookmarkEnd w:id="4"/>
    <w:p>
      <w:pPr>
        <w:ind w:left="540" w:right="3479"/>
        <w:spacing w:after="0" w:line="237" w:lineRule="auto"/>
        <w:rPr>
          <w:sz w:val="20"/>
          <w:szCs w:val="20"/>
          <w:color w:val="auto"/>
        </w:rPr>
      </w:pPr>
      <w:r>
        <w:rPr>
          <w:rFonts w:ascii="Courier New" w:cs="Courier New" w:eastAsia="Courier New" w:hAnsi="Courier New"/>
          <w:sz w:val="18"/>
          <w:szCs w:val="18"/>
          <w:color w:val="auto"/>
        </w:rPr>
        <w:t>however, in the opinion of management, such financial statements contain all adjustments necessary for the fair presentation of the Company's financial position and results of operations. Interim results reflect all normal recurring adjustments and are not necessarily indicative of results for a full year. The interim financial statements and notes are presented as specified by Regulation S-X of the Securities Exchange Act of 1934, and should be read in conjunction with the financial statements and accompanying notes in the Company's fiscal 1994 Annual Report on Form 10-K.</w:t>
      </w:r>
    </w:p>
    <w:p>
      <w:pPr>
        <w:spacing w:after="0" w:line="216" w:lineRule="exact"/>
        <w:rPr>
          <w:sz w:val="20"/>
          <w:szCs w:val="20"/>
          <w:color w:val="auto"/>
        </w:rPr>
      </w:pPr>
    </w:p>
    <w:p>
      <w:pPr>
        <w:ind w:left="540" w:right="8219" w:hanging="532"/>
        <w:spacing w:after="0" w:line="290" w:lineRule="auto"/>
        <w:tabs>
          <w:tab w:leader="none" w:pos="54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Inventories (in thousands)</w:t>
      </w:r>
    </w:p>
    <w:p>
      <w:pPr>
        <w:spacing w:after="0" w:line="164" w:lineRule="exact"/>
        <w:rPr>
          <w:rFonts w:ascii="Courier New" w:cs="Courier New" w:eastAsia="Courier New" w:hAnsi="Courier New"/>
          <w:sz w:val="16"/>
          <w:szCs w:val="16"/>
          <w:color w:val="auto"/>
        </w:rPr>
      </w:pPr>
    </w:p>
    <w:p>
      <w:pPr>
        <w:ind w:left="540"/>
        <w:spacing w:after="0"/>
        <w:rPr>
          <w:rFonts w:ascii="Courier New" w:cs="Courier New" w:eastAsia="Courier New" w:hAnsi="Courier New"/>
          <w:sz w:val="16"/>
          <w:szCs w:val="16"/>
          <w:color w:val="auto"/>
        </w:rPr>
      </w:pPr>
      <w:r>
        <w:rPr>
          <w:rFonts w:ascii="Courier New" w:cs="Courier New" w:eastAsia="Courier New" w:hAnsi="Courier New"/>
          <w:sz w:val="18"/>
          <w:szCs w:val="18"/>
          <w:color w:val="auto"/>
        </w:rPr>
        <w:t>Inventories consisted of the following:</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17"/>
                <w:szCs w:val="17"/>
                <w:color w:val="auto"/>
              </w:rPr>
            </w:pPr>
          </w:p>
        </w:tc>
        <w:tc>
          <w:tcPr>
            <w:tcW w:w="1420" w:type="dxa"/>
            <w:vAlign w:val="bottom"/>
          </w:tcPr>
          <w:p>
            <w:pPr>
              <w:jc w:val="right"/>
              <w:ind w:right="372"/>
              <w:spacing w:after="0"/>
              <w:rPr>
                <w:sz w:val="20"/>
                <w:szCs w:val="20"/>
                <w:color w:val="auto"/>
              </w:rPr>
            </w:pPr>
            <w:r>
              <w:rPr>
                <w:rFonts w:ascii="Courier New" w:cs="Courier New" w:eastAsia="Courier New" w:hAnsi="Courier New"/>
                <w:sz w:val="18"/>
                <w:szCs w:val="18"/>
                <w:color w:val="auto"/>
                <w:w w:val="96"/>
              </w:rPr>
              <w:t>January 1</w:t>
            </w:r>
          </w:p>
        </w:tc>
        <w:tc>
          <w:tcPr>
            <w:tcW w:w="212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December 31</w:t>
            </w:r>
          </w:p>
        </w:tc>
        <w:tc>
          <w:tcPr>
            <w:tcW w:w="1740" w:type="dxa"/>
            <w:vAlign w:val="bottom"/>
          </w:tcPr>
          <w:p>
            <w:pPr>
              <w:jc w:val="right"/>
              <w:spacing w:after="0"/>
              <w:rPr>
                <w:sz w:val="20"/>
                <w:szCs w:val="20"/>
                <w:color w:val="auto"/>
              </w:rPr>
            </w:pPr>
            <w:r>
              <w:rPr>
                <w:rFonts w:ascii="Courier New" w:cs="Courier New" w:eastAsia="Courier New" w:hAnsi="Courier New"/>
                <w:sz w:val="18"/>
                <w:szCs w:val="18"/>
                <w:color w:val="auto"/>
              </w:rPr>
              <w:t>September 30</w:t>
            </w:r>
          </w:p>
        </w:tc>
      </w:tr>
      <w:tr>
        <w:trPr>
          <w:trHeight w:val="203"/>
        </w:trPr>
        <w:tc>
          <w:tcPr>
            <w:tcW w:w="1900" w:type="dxa"/>
            <w:vAlign w:val="bottom"/>
          </w:tcPr>
          <w:p>
            <w:pPr>
              <w:spacing w:after="0"/>
              <w:rPr>
                <w:sz w:val="17"/>
                <w:szCs w:val="17"/>
                <w:color w:val="auto"/>
              </w:rPr>
            </w:pPr>
          </w:p>
        </w:tc>
        <w:tc>
          <w:tcPr>
            <w:tcW w:w="1420" w:type="dxa"/>
            <w:vAlign w:val="bottom"/>
          </w:tcPr>
          <w:p>
            <w:pPr>
              <w:jc w:val="right"/>
              <w:ind w:right="692"/>
              <w:spacing w:after="0" w:line="203" w:lineRule="exact"/>
              <w:rPr>
                <w:sz w:val="20"/>
                <w:szCs w:val="20"/>
                <w:color w:val="auto"/>
              </w:rPr>
            </w:pPr>
            <w:r>
              <w:rPr>
                <w:rFonts w:ascii="Courier New" w:cs="Courier New" w:eastAsia="Courier New" w:hAnsi="Courier New"/>
                <w:sz w:val="18"/>
                <w:szCs w:val="18"/>
                <w:color w:val="auto"/>
              </w:rPr>
              <w:t>1994</w:t>
            </w:r>
          </w:p>
        </w:tc>
        <w:tc>
          <w:tcPr>
            <w:tcW w:w="2120" w:type="dxa"/>
            <w:vAlign w:val="bottom"/>
          </w:tcPr>
          <w:p>
            <w:pPr>
              <w:jc w:val="right"/>
              <w:ind w:right="812"/>
              <w:spacing w:after="0" w:line="203" w:lineRule="exact"/>
              <w:rPr>
                <w:sz w:val="20"/>
                <w:szCs w:val="20"/>
                <w:color w:val="auto"/>
              </w:rPr>
            </w:pPr>
            <w:r>
              <w:rPr>
                <w:rFonts w:ascii="Courier New" w:cs="Courier New" w:eastAsia="Courier New" w:hAnsi="Courier New"/>
                <w:sz w:val="18"/>
                <w:szCs w:val="18"/>
                <w:color w:val="auto"/>
              </w:rPr>
              <w:t>1994</w:t>
            </w:r>
          </w:p>
        </w:tc>
        <w:tc>
          <w:tcPr>
            <w:tcW w:w="174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w w:val="96"/>
              </w:rPr>
              <w:t>Finished Goods   $</w:t>
            </w: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80,174</w:t>
            </w:r>
          </w:p>
        </w:tc>
        <w:tc>
          <w:tcPr>
            <w:tcW w:w="2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$ 85,314</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$ 54,980</w:t>
            </w:r>
          </w:p>
        </w:tc>
      </w:tr>
      <w:tr>
        <w:trPr>
          <w:trHeight w:val="203"/>
        </w:trPr>
        <w:tc>
          <w:tcPr>
            <w:tcW w:w="1900" w:type="dxa"/>
            <w:vAlign w:val="bottom"/>
          </w:tcPr>
          <w:p>
            <w:pPr>
              <w:spacing w:after="0"/>
              <w:rPr>
                <w:sz w:val="17"/>
                <w:szCs w:val="17"/>
                <w:color w:val="auto"/>
              </w:rPr>
            </w:pPr>
          </w:p>
        </w:tc>
        <w:tc>
          <w:tcPr>
            <w:tcW w:w="142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49,247</w:t>
            </w:r>
          </w:p>
        </w:tc>
        <w:tc>
          <w:tcPr>
            <w:tcW w:w="21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59,781</w:t>
            </w:r>
          </w:p>
        </w:tc>
        <w:tc>
          <w:tcPr>
            <w:tcW w:w="1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51,656</w:t>
            </w:r>
          </w:p>
        </w:tc>
      </w:tr>
      <w:tr>
        <w:trPr>
          <w:trHeight w:val="405"/>
        </w:trPr>
        <w:tc>
          <w:tcPr>
            <w:tcW w:w="19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592"/>
              <w:spacing w:after="0"/>
              <w:rPr>
                <w:sz w:val="20"/>
                <w:szCs w:val="20"/>
                <w:color w:val="auto"/>
              </w:rPr>
            </w:pPr>
            <w:r>
              <w:rPr>
                <w:rFonts w:ascii="Courier New" w:cs="Courier New" w:eastAsia="Courier New" w:hAnsi="Courier New"/>
                <w:sz w:val="18"/>
                <w:szCs w:val="18"/>
                <w:color w:val="auto"/>
                <w:w w:val="95"/>
              </w:rPr>
              <w:t>129,421</w:t>
            </w:r>
          </w:p>
        </w:tc>
        <w:tc>
          <w:tcPr>
            <w:tcW w:w="21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$145,095</w:t>
            </w:r>
          </w:p>
        </w:tc>
        <w:tc>
          <w:tcPr>
            <w:tcW w:w="174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$106,636</w:t>
            </w:r>
          </w:p>
        </w:tc>
      </w:tr>
    </w:tbl>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Reclassifications</w:t>
      </w:r>
    </w:p>
    <w:p>
      <w:pPr>
        <w:spacing w:after="0" w:line="206" w:lineRule="exact"/>
        <w:rPr>
          <w:rFonts w:ascii="Courier New" w:cs="Courier New" w:eastAsia="Courier New" w:hAnsi="Courier New"/>
          <w:sz w:val="18"/>
          <w:szCs w:val="18"/>
          <w:color w:val="auto"/>
        </w:rPr>
      </w:pPr>
    </w:p>
    <w:p>
      <w:pPr>
        <w:ind w:left="540" w:right="3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reclassifications have been made to the prior periods' financial statements to conform to December 31, 1994 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 AND SUBSIDIARIES</w:t>
      </w:r>
    </w:p>
    <w:p>
      <w:pPr>
        <w:spacing w:after="0" w:line="238" w:lineRule="auto"/>
        <w:rPr>
          <w:sz w:val="20"/>
          <w:szCs w:val="20"/>
          <w:color w:val="auto"/>
        </w:rPr>
      </w:pPr>
      <w:r>
        <w:rPr>
          <w:rFonts w:ascii="Courier New" w:cs="Courier New" w:eastAsia="Courier New" w:hAnsi="Courier New"/>
          <w:sz w:val="18"/>
          <w:szCs w:val="18"/>
          <w:color w:val="auto"/>
        </w:rPr>
        <w:t>Notes to Consolidated Financial Statements</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Acquisitions</w:t>
      </w:r>
    </w:p>
    <w:p>
      <w:pPr>
        <w:spacing w:after="0" w:line="206" w:lineRule="exact"/>
        <w:rPr>
          <w:rFonts w:ascii="Courier New" w:cs="Courier New" w:eastAsia="Courier New" w:hAnsi="Courier New"/>
          <w:sz w:val="18"/>
          <w:szCs w:val="18"/>
          <w:color w:val="auto"/>
        </w:rPr>
      </w:pPr>
    </w:p>
    <w:p>
      <w:pPr>
        <w:ind w:left="540" w:right="347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Effective December 16, 1993, the Company completed the acquisition of Grace-Sierra Horticultural Products Company now known as Scotts-Sierra Horticultural Products Company (all further references will be made as "Sierra"). Sierra is a leading international manufacturer and marketer of specialty fertilizers and related products for the nursery, greenhouse, golf course and consumer markets. Sierra manufactures controlled-release fertilizers in the United States and the Netherlands, as well as water-soluble fertilizers and specialty organics in the United States. Approximately one-quarter of Sierra's net sales are derived from European and other international markets; approximately one-quarter of Sierra's assets are internationally based.</w:t>
      </w:r>
    </w:p>
    <w:p>
      <w:pPr>
        <w:spacing w:after="0" w:line="207" w:lineRule="exact"/>
        <w:rPr>
          <w:rFonts w:ascii="Courier New" w:cs="Courier New" w:eastAsia="Courier New" w:hAnsi="Courier New"/>
          <w:sz w:val="18"/>
          <w:szCs w:val="18"/>
          <w:color w:val="auto"/>
        </w:rPr>
      </w:pPr>
    </w:p>
    <w:p>
      <w:pPr>
        <w:ind w:left="540" w:right="347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The following represents pro forma results of operations assuming the Sierra acquisition had occurred effective October 1, 1992 after giving effect to certain related adjustments, including depreciation and amortization on tangible and intangible assets, and interest on acquisition debt.</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60" w:type="dxa"/>
            <w:vAlign w:val="bottom"/>
          </w:tcPr>
          <w:p>
            <w:pPr>
              <w:spacing w:after="0"/>
              <w:rPr>
                <w:sz w:val="17"/>
                <w:szCs w:val="17"/>
                <w:color w:val="auto"/>
              </w:rPr>
            </w:pPr>
          </w:p>
        </w:tc>
        <w:tc>
          <w:tcPr>
            <w:tcW w:w="4320" w:type="dxa"/>
            <w:vAlign w:val="bottom"/>
            <w:gridSpan w:val="2"/>
          </w:tcPr>
          <w:p>
            <w:pPr>
              <w:ind w:left="1160"/>
              <w:spacing w:after="0"/>
              <w:rPr>
                <w:sz w:val="20"/>
                <w:szCs w:val="20"/>
                <w:color w:val="auto"/>
              </w:rPr>
            </w:pPr>
            <w:r>
              <w:rPr>
                <w:rFonts w:ascii="Courier New" w:cs="Courier New" w:eastAsia="Courier New" w:hAnsi="Courier New"/>
                <w:sz w:val="18"/>
                <w:szCs w:val="18"/>
                <w:color w:val="auto"/>
              </w:rPr>
              <w:t>Three Months Ended</w:t>
            </w:r>
          </w:p>
        </w:tc>
      </w:tr>
      <w:tr>
        <w:trPr>
          <w:trHeight w:val="203"/>
        </w:trPr>
        <w:tc>
          <w:tcPr>
            <w:tcW w:w="2960" w:type="dxa"/>
            <w:vAlign w:val="bottom"/>
          </w:tcPr>
          <w:p>
            <w:pPr>
              <w:spacing w:after="0"/>
              <w:rPr>
                <w:sz w:val="17"/>
                <w:szCs w:val="17"/>
                <w:color w:val="auto"/>
              </w:rPr>
            </w:pPr>
          </w:p>
        </w:tc>
        <w:tc>
          <w:tcPr>
            <w:tcW w:w="432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w w:val="97"/>
              </w:rPr>
              <w:t>(in thousands, except per share amounts)</w:t>
            </w:r>
          </w:p>
        </w:tc>
      </w:tr>
      <w:tr>
        <w:trPr>
          <w:trHeight w:val="203"/>
        </w:trPr>
        <w:tc>
          <w:tcPr>
            <w:tcW w:w="2960" w:type="dxa"/>
            <w:vAlign w:val="bottom"/>
          </w:tcPr>
          <w:p>
            <w:pPr>
              <w:spacing w:after="0"/>
              <w:rPr>
                <w:sz w:val="17"/>
                <w:szCs w:val="17"/>
                <w:color w:val="auto"/>
              </w:rPr>
            </w:pPr>
          </w:p>
        </w:tc>
        <w:tc>
          <w:tcPr>
            <w:tcW w:w="4320" w:type="dxa"/>
            <w:vAlign w:val="bottom"/>
            <w:gridSpan w:val="2"/>
          </w:tcPr>
          <w:p>
            <w:pPr>
              <w:ind w:left="1680"/>
              <w:spacing w:after="0" w:line="203" w:lineRule="exact"/>
              <w:rPr>
                <w:sz w:val="20"/>
                <w:szCs w:val="20"/>
                <w:color w:val="auto"/>
              </w:rPr>
            </w:pPr>
            <w:r>
              <w:rPr>
                <w:rFonts w:ascii="Courier New" w:cs="Courier New" w:eastAsia="Courier New" w:hAnsi="Courier New"/>
                <w:sz w:val="18"/>
                <w:szCs w:val="18"/>
                <w:color w:val="auto"/>
              </w:rPr>
              <w:t>January 1</w:t>
            </w:r>
          </w:p>
        </w:tc>
      </w:tr>
      <w:tr>
        <w:trPr>
          <w:trHeight w:val="203"/>
        </w:trPr>
        <w:tc>
          <w:tcPr>
            <w:tcW w:w="296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248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1994</w:t>
            </w:r>
          </w:p>
        </w:tc>
      </w:tr>
      <w:tr>
        <w:trPr>
          <w:trHeight w:val="405"/>
        </w:trPr>
        <w:tc>
          <w:tcPr>
            <w:tcW w:w="2960" w:type="dxa"/>
            <w:vAlign w:val="bottom"/>
          </w:tcPr>
          <w:p>
            <w:pPr>
              <w:spacing w:after="0"/>
              <w:rPr>
                <w:sz w:val="20"/>
                <w:szCs w:val="20"/>
                <w:color w:val="auto"/>
              </w:rPr>
            </w:pPr>
            <w:r>
              <w:rPr>
                <w:rFonts w:ascii="Courier New" w:cs="Courier New" w:eastAsia="Courier New" w:hAnsi="Courier New"/>
                <w:sz w:val="18"/>
                <w:szCs w:val="18"/>
                <w:color w:val="auto"/>
              </w:rPr>
              <w:t>Net sales</w:t>
            </w:r>
          </w:p>
        </w:tc>
        <w:tc>
          <w:tcPr>
            <w:tcW w:w="1840" w:type="dxa"/>
            <w:vAlign w:val="bottom"/>
          </w:tcPr>
          <w:p>
            <w:pPr>
              <w:ind w:left="1680"/>
              <w:spacing w:after="0"/>
              <w:rPr>
                <w:sz w:val="20"/>
                <w:szCs w:val="20"/>
                <w:color w:val="auto"/>
              </w:rPr>
            </w:pPr>
            <w:r>
              <w:rPr>
                <w:rFonts w:ascii="Courier New" w:cs="Courier New" w:eastAsia="Courier New" w:hAnsi="Courier New"/>
                <w:sz w:val="18"/>
                <w:szCs w:val="18"/>
                <w:color w:val="auto"/>
              </w:rPr>
              <w:t>$</w:t>
            </w:r>
          </w:p>
        </w:tc>
        <w:tc>
          <w:tcPr>
            <w:tcW w:w="2480" w:type="dxa"/>
            <w:vAlign w:val="bottom"/>
          </w:tcPr>
          <w:p>
            <w:pPr>
              <w:jc w:val="right"/>
              <w:ind w:right="1712"/>
              <w:spacing w:after="0"/>
              <w:rPr>
                <w:sz w:val="20"/>
                <w:szCs w:val="20"/>
                <w:color w:val="auto"/>
              </w:rPr>
            </w:pPr>
            <w:r>
              <w:rPr>
                <w:rFonts w:ascii="Courier New" w:cs="Courier New" w:eastAsia="Courier New" w:hAnsi="Courier New"/>
                <w:sz w:val="18"/>
                <w:szCs w:val="18"/>
                <w:color w:val="auto"/>
              </w:rPr>
              <w:t>89,152</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(loss)</w:t>
            </w:r>
          </w:p>
        </w:tc>
        <w:tc>
          <w:tcPr>
            <w:tcW w:w="184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(2,641)</w:t>
            </w:r>
          </w:p>
        </w:tc>
      </w:tr>
      <w:tr>
        <w:trPr>
          <w:trHeight w:val="203"/>
        </w:trPr>
        <w:tc>
          <w:tcPr>
            <w:tcW w:w="2960" w:type="dxa"/>
            <w:vAlign w:val="bottom"/>
          </w:tcPr>
          <w:p>
            <w:pPr>
              <w:spacing w:after="0" w:line="203" w:lineRule="exact"/>
              <w:rPr>
                <w:sz w:val="20"/>
                <w:szCs w:val="20"/>
                <w:color w:val="auto"/>
              </w:rPr>
            </w:pPr>
            <w:r>
              <w:rPr>
                <w:rFonts w:ascii="Courier New" w:cs="Courier New" w:eastAsia="Courier New" w:hAnsi="Courier New"/>
                <w:sz w:val="18"/>
                <w:szCs w:val="18"/>
                <w:color w:val="auto"/>
              </w:rPr>
              <w:t>Net income per common share</w:t>
            </w:r>
          </w:p>
        </w:tc>
        <w:tc>
          <w:tcPr>
            <w:tcW w:w="1840" w:type="dxa"/>
            <w:vAlign w:val="bottom"/>
          </w:tcPr>
          <w:p>
            <w:pPr>
              <w:ind w:left="1680"/>
              <w:spacing w:after="0" w:line="203" w:lineRule="exact"/>
              <w:rPr>
                <w:sz w:val="20"/>
                <w:szCs w:val="20"/>
                <w:color w:val="auto"/>
              </w:rPr>
            </w:pPr>
            <w:r>
              <w:rPr>
                <w:rFonts w:ascii="Courier New" w:cs="Courier New" w:eastAsia="Courier New" w:hAnsi="Courier New"/>
                <w:sz w:val="18"/>
                <w:szCs w:val="18"/>
                <w:color w:val="auto"/>
              </w:rPr>
              <w:t>$</w:t>
            </w:r>
          </w:p>
        </w:tc>
        <w:tc>
          <w:tcPr>
            <w:tcW w:w="2480" w:type="dxa"/>
            <w:vAlign w:val="bottom"/>
          </w:tcPr>
          <w:p>
            <w:pPr>
              <w:jc w:val="right"/>
              <w:ind w:right="1592"/>
              <w:spacing w:after="0" w:line="203" w:lineRule="exact"/>
              <w:rPr>
                <w:sz w:val="20"/>
                <w:szCs w:val="20"/>
                <w:color w:val="auto"/>
              </w:rPr>
            </w:pPr>
            <w:r>
              <w:rPr>
                <w:rFonts w:ascii="Courier New" w:cs="Courier New" w:eastAsia="Courier New" w:hAnsi="Courier New"/>
                <w:sz w:val="18"/>
                <w:szCs w:val="18"/>
                <w:color w:val="auto"/>
              </w:rPr>
              <w:t>(.14)</w:t>
            </w:r>
          </w:p>
        </w:tc>
      </w:tr>
    </w:tbl>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The pro forma information provided does not purport to be</w:t>
      </w:r>
    </w:p>
    <w:p>
      <w:pPr>
        <w:sectPr>
          <w:pgSz w:w="11900" w:h="16838" w:orient="portrait"/>
          <w:cols w:equalWidth="0" w:num="1">
            <w:col w:w="10219"/>
          </w:cols>
          <w:pgMar w:left="240" w:top="142" w:right="1440" w:bottom="0" w:gutter="0" w:footer="0" w:header="0"/>
        </w:sectPr>
      </w:pPr>
    </w:p>
    <w:bookmarkStart w:id="5" w:name="page6"/>
    <w:bookmarkEnd w:id="5"/>
    <w:p>
      <w:pPr>
        <w:ind w:left="540" w:right="3579"/>
        <w:spacing w:after="0" w:line="279" w:lineRule="auto"/>
        <w:rPr>
          <w:sz w:val="20"/>
          <w:szCs w:val="20"/>
          <w:color w:val="auto"/>
        </w:rPr>
      </w:pPr>
      <w:r>
        <w:rPr>
          <w:rFonts w:ascii="Courier New" w:cs="Courier New" w:eastAsia="Courier New" w:hAnsi="Courier New"/>
          <w:sz w:val="16"/>
          <w:szCs w:val="16"/>
          <w:color w:val="auto"/>
        </w:rPr>
        <w:t>indicative of actual results of operations if the Sierra acquisition had occurred as of October 1, 1992, and is not intended to be indicative of future results or trends.</w:t>
      </w:r>
    </w:p>
    <w:p>
      <w:pPr>
        <w:spacing w:after="0" w:line="173" w:lineRule="exact"/>
        <w:rPr>
          <w:sz w:val="20"/>
          <w:szCs w:val="20"/>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Accounting Issues</w:t>
      </w:r>
    </w:p>
    <w:p>
      <w:pPr>
        <w:spacing w:after="0" w:line="206" w:lineRule="exact"/>
        <w:rPr>
          <w:rFonts w:ascii="Courier New" w:cs="Courier New" w:eastAsia="Courier New" w:hAnsi="Courier New"/>
          <w:sz w:val="18"/>
          <w:szCs w:val="18"/>
          <w:color w:val="auto"/>
        </w:rPr>
      </w:pPr>
    </w:p>
    <w:p>
      <w:pPr>
        <w:ind w:left="540" w:right="3479"/>
        <w:spacing w:after="0" w:line="27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In November 1992, the Financial Accounting Standard Board issued SFAS No. 112, "Employers' Accounting for Postemployment Benefits," which changed the prevalent method of accounting for benefits provided after employment but before retirement. The Company adopted SFAS No. 112 in the first quarter of fiscal 1995. Since most of these benefits were already accounted for by the Company on the accrual method, the impact of adoption was not significant.</w:t>
      </w:r>
    </w:p>
    <w:p>
      <w:pPr>
        <w:spacing w:after="0" w:line="180"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Subsequent Event</w:t>
      </w:r>
    </w:p>
    <w:p>
      <w:pPr>
        <w:spacing w:after="0" w:line="206" w:lineRule="exact"/>
        <w:rPr>
          <w:rFonts w:ascii="Courier New" w:cs="Courier New" w:eastAsia="Courier New" w:hAnsi="Courier New"/>
          <w:sz w:val="18"/>
          <w:szCs w:val="18"/>
          <w:color w:val="auto"/>
        </w:rPr>
      </w:pPr>
    </w:p>
    <w:p>
      <w:pPr>
        <w:ind w:left="540" w:right="3359"/>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On January 26, 1995, the Company and the shareholders of Stern's Miracle-Gro Products, Inc. and affiliated companies (Miracle-Gro) entered into a merger agreement. The Company will issue $195 million face value convertible preferred stock convertible at $19 per share plus warrants exercisable over 8 1/2 years, to purchase three million shares at prices ranging from $21 to $29 per share. The preferred stock will pay quarterly dividends at an annual rate of 5.0%, will be non-callable for five years and will be subject to certain restrictions on transfer. The total purchase price is based on the fair value of the convertible preferred stock and warrants as of closing and is estimated to be approximately $200 million. The transaction requires approval of the Scotts shareholders.</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5059"/>
        <w:spacing w:after="0" w:line="290" w:lineRule="auto"/>
        <w:rPr>
          <w:sz w:val="20"/>
          <w:szCs w:val="20"/>
          <w:color w:val="auto"/>
        </w:rPr>
      </w:pPr>
      <w:r>
        <w:rPr>
          <w:rFonts w:ascii="Courier New" w:cs="Courier New" w:eastAsia="Courier New" w:hAnsi="Courier New"/>
          <w:sz w:val="16"/>
          <w:szCs w:val="16"/>
          <w:color w:val="auto"/>
        </w:rPr>
        <w:t>ITEM II. MANAGEMENT'S DISCUSSION AND ANALYSIS OF FINANCIAL CONDITION AND RESULTS OF OPERATIONS</w:t>
      </w:r>
    </w:p>
    <w:p>
      <w:pPr>
        <w:spacing w:after="0" w:line="36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Results of Operations</w:t>
      </w:r>
    </w:p>
    <w:p>
      <w:pPr>
        <w:spacing w:after="0" w:line="207"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Three Months Ended December 31, 1994, versus Three Months Ended January 1, 1994</w:t>
      </w:r>
    </w:p>
    <w:p>
      <w:pPr>
        <w:spacing w:after="0" w:line="208"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Net sales of $98,019,000 increased by $29,693,000 or approximately 43.5%. Net sales included net sales for Sierra, which was acquired by Scotts on December 16, 1993. On a pro forma basis, assuming the acquisition had taken place on</w:t>
      </w:r>
    </w:p>
    <w:p>
      <w:pPr>
        <w:spacing w:after="0" w:line="234" w:lineRule="auto"/>
        <w:rPr>
          <w:sz w:val="20"/>
          <w:szCs w:val="20"/>
          <w:color w:val="auto"/>
        </w:rPr>
      </w:pPr>
      <w:r>
        <w:rPr>
          <w:rFonts w:ascii="Courier New" w:cs="Courier New" w:eastAsia="Courier New" w:hAnsi="Courier New"/>
          <w:sz w:val="18"/>
          <w:szCs w:val="18"/>
          <w:color w:val="auto"/>
        </w:rPr>
        <w:t>October 1, 1992, net sales for the three months ended</w:t>
      </w:r>
    </w:p>
    <w:p>
      <w:pPr>
        <w:spacing w:after="0" w:line="238" w:lineRule="auto"/>
        <w:rPr>
          <w:sz w:val="20"/>
          <w:szCs w:val="20"/>
          <w:color w:val="auto"/>
        </w:rPr>
      </w:pPr>
      <w:r>
        <w:rPr>
          <w:rFonts w:ascii="Courier New" w:cs="Courier New" w:eastAsia="Courier New" w:hAnsi="Courier New"/>
          <w:sz w:val="18"/>
          <w:szCs w:val="18"/>
          <w:color w:val="auto"/>
        </w:rPr>
        <w:t>December 31, 1994 would have increased by $8,867,000 or</w:t>
      </w:r>
    </w:p>
    <w:p>
      <w:pPr>
        <w:spacing w:after="0"/>
        <w:tabs>
          <w:tab w:leader="none" w:pos="2200" w:val="left"/>
        </w:tabs>
        <w:rPr>
          <w:sz w:val="20"/>
          <w:szCs w:val="20"/>
          <w:color w:val="auto"/>
        </w:rPr>
      </w:pPr>
      <w:r>
        <w:rPr>
          <w:rFonts w:ascii="Courier New" w:cs="Courier New" w:eastAsia="Courier New" w:hAnsi="Courier New"/>
          <w:sz w:val="18"/>
          <w:szCs w:val="18"/>
          <w:color w:val="auto"/>
        </w:rPr>
        <w:t>approximately 9.9%.</w:t>
      </w:r>
      <w:r>
        <w:rPr>
          <w:sz w:val="20"/>
          <w:szCs w:val="20"/>
          <w:color w:val="auto"/>
        </w:rPr>
        <w:tab/>
      </w:r>
      <w:r>
        <w:rPr>
          <w:rFonts w:ascii="Courier New" w:cs="Courier New" w:eastAsia="Courier New" w:hAnsi="Courier New"/>
          <w:sz w:val="16"/>
          <w:szCs w:val="16"/>
          <w:color w:val="auto"/>
        </w:rPr>
        <w:t>Consumer Business Group sales of</w:t>
      </w:r>
    </w:p>
    <w:p>
      <w:pPr>
        <w:spacing w:after="0"/>
        <w:tabs>
          <w:tab w:leader="none" w:pos="4720" w:val="left"/>
        </w:tabs>
        <w:rPr>
          <w:sz w:val="20"/>
          <w:szCs w:val="20"/>
          <w:color w:val="auto"/>
        </w:rPr>
      </w:pPr>
      <w:r>
        <w:rPr>
          <w:rFonts w:ascii="Courier New" w:cs="Courier New" w:eastAsia="Courier New" w:hAnsi="Courier New"/>
          <w:sz w:val="18"/>
          <w:szCs w:val="18"/>
          <w:color w:val="auto"/>
        </w:rPr>
        <w:t>$55,748,000 increased by approximately 26%.</w:t>
      </w:r>
      <w:r>
        <w:rPr>
          <w:sz w:val="20"/>
          <w:szCs w:val="20"/>
          <w:color w:val="auto"/>
        </w:rPr>
        <w:tab/>
      </w:r>
      <w:r>
        <w:rPr>
          <w:rFonts w:ascii="Courier New" w:cs="Courier New" w:eastAsia="Courier New" w:hAnsi="Courier New"/>
          <w:sz w:val="16"/>
          <w:szCs w:val="16"/>
          <w:color w:val="auto"/>
        </w:rPr>
        <w:t>On a pro forma</w:t>
      </w:r>
    </w:p>
    <w:p>
      <w:pPr>
        <w:spacing w:after="0"/>
        <w:rPr>
          <w:sz w:val="20"/>
          <w:szCs w:val="20"/>
          <w:color w:val="auto"/>
        </w:rPr>
      </w:pPr>
      <w:r>
        <w:rPr>
          <w:rFonts w:ascii="Courier New" w:cs="Courier New" w:eastAsia="Courier New" w:hAnsi="Courier New"/>
          <w:sz w:val="18"/>
          <w:szCs w:val="18"/>
          <w:color w:val="auto"/>
        </w:rPr>
        <w:t>basis, Consumer Business Group sales were up approximately</w:t>
      </w:r>
    </w:p>
    <w:p>
      <w:pPr>
        <w:spacing w:after="0" w:line="237" w:lineRule="auto"/>
        <w:rPr>
          <w:sz w:val="20"/>
          <w:szCs w:val="20"/>
          <w:color w:val="auto"/>
        </w:rPr>
      </w:pPr>
      <w:r>
        <w:rPr>
          <w:rFonts w:ascii="Courier New" w:cs="Courier New" w:eastAsia="Courier New" w:hAnsi="Courier New"/>
          <w:sz w:val="18"/>
          <w:szCs w:val="18"/>
          <w:color w:val="auto"/>
        </w:rPr>
        <w:t>19.5%, resulting primarily from increased sales volume.</w:t>
      </w:r>
    </w:p>
    <w:p>
      <w:pPr>
        <w:spacing w:after="0" w:line="238" w:lineRule="auto"/>
        <w:rPr>
          <w:sz w:val="20"/>
          <w:szCs w:val="20"/>
          <w:color w:val="auto"/>
        </w:rPr>
      </w:pPr>
      <w:r>
        <w:rPr>
          <w:rFonts w:ascii="Courier New" w:cs="Courier New" w:eastAsia="Courier New" w:hAnsi="Courier New"/>
          <w:sz w:val="18"/>
          <w:szCs w:val="18"/>
          <w:color w:val="auto"/>
        </w:rPr>
        <w:t>Commercial Business Group (previously referred to as the</w:t>
      </w:r>
    </w:p>
    <w:p>
      <w:pPr>
        <w:spacing w:after="0"/>
        <w:rPr>
          <w:sz w:val="20"/>
          <w:szCs w:val="20"/>
          <w:color w:val="auto"/>
        </w:rPr>
      </w:pPr>
      <w:r>
        <w:rPr>
          <w:rFonts w:ascii="Courier New" w:cs="Courier New" w:eastAsia="Courier New" w:hAnsi="Courier New"/>
          <w:sz w:val="18"/>
          <w:szCs w:val="18"/>
          <w:color w:val="auto"/>
        </w:rPr>
        <w:t>Professional Business Group) sales of $27,906,000 increased</w:t>
      </w:r>
    </w:p>
    <w:p>
      <w:pPr>
        <w:spacing w:after="0" w:line="237" w:lineRule="auto"/>
        <w:rPr>
          <w:sz w:val="20"/>
          <w:szCs w:val="20"/>
          <w:color w:val="auto"/>
        </w:rPr>
      </w:pPr>
      <w:r>
        <w:rPr>
          <w:rFonts w:ascii="Courier New" w:cs="Courier New" w:eastAsia="Courier New" w:hAnsi="Courier New"/>
          <w:sz w:val="18"/>
          <w:szCs w:val="18"/>
          <w:color w:val="auto"/>
        </w:rPr>
        <w:t>by 46.1% but decreased, on a pro forma basis, by approximately</w:t>
      </w:r>
    </w:p>
    <w:p>
      <w:pPr>
        <w:spacing w:after="0" w:line="5" w:lineRule="exact"/>
        <w:rPr>
          <w:sz w:val="20"/>
          <w:szCs w:val="20"/>
          <w:color w:val="auto"/>
        </w:rPr>
      </w:pPr>
    </w:p>
    <w:p>
      <w:pPr>
        <w:ind w:right="3679"/>
        <w:spacing w:after="0" w:line="271" w:lineRule="auto"/>
        <w:rPr>
          <w:sz w:val="20"/>
          <w:szCs w:val="20"/>
          <w:color w:val="auto"/>
        </w:rPr>
      </w:pPr>
      <w:r>
        <w:rPr>
          <w:rFonts w:ascii="Courier New" w:cs="Courier New" w:eastAsia="Courier New" w:hAnsi="Courier New"/>
          <w:sz w:val="16"/>
          <w:szCs w:val="16"/>
          <w:color w:val="auto"/>
        </w:rPr>
        <w:t>10.2%. Scotts management feels that this decrease reflects a continuing trend by golf course customers to order products closer to Spring usage and, therefore, management believes that sales expectations for the Commercial Business Group will be met by the end of the fiscal year. International sales of $14,365,000 increased by approximately 189.4%. On a pro forma basis, International sales increased by approximately 25.7%. The increase primarily reflected increased sales volume, partly due to the introduction of Scotts branded products into the Sierra distribution network.</w:t>
      </w:r>
    </w:p>
    <w:p>
      <w:pPr>
        <w:spacing w:after="0" w:line="386" w:lineRule="exact"/>
        <w:rPr>
          <w:sz w:val="20"/>
          <w:szCs w:val="20"/>
          <w:color w:val="auto"/>
        </w:rPr>
      </w:pPr>
    </w:p>
    <w:p>
      <w:pPr>
        <w:ind w:right="3679"/>
        <w:spacing w:after="0" w:line="236" w:lineRule="auto"/>
        <w:rPr>
          <w:sz w:val="20"/>
          <w:szCs w:val="20"/>
          <w:color w:val="auto"/>
        </w:rPr>
      </w:pPr>
      <w:r>
        <w:rPr>
          <w:rFonts w:ascii="Courier New" w:cs="Courier New" w:eastAsia="Courier New" w:hAnsi="Courier New"/>
          <w:sz w:val="18"/>
          <w:szCs w:val="18"/>
          <w:color w:val="auto"/>
        </w:rPr>
        <w:t>Cost of sales for the three months ended December 31, 1994 represented 54.6% of net sales, nearly flat with cost of sales for 54.7% for the three months ended January 1, 1994.</w:t>
      </w:r>
    </w:p>
    <w:p>
      <w:pPr>
        <w:spacing w:after="0" w:line="209" w:lineRule="exact"/>
        <w:rPr>
          <w:sz w:val="20"/>
          <w:szCs w:val="20"/>
          <w:color w:val="auto"/>
        </w:rPr>
      </w:pPr>
    </w:p>
    <w:p>
      <w:pPr>
        <w:ind w:right="3779"/>
        <w:spacing w:after="0" w:line="272" w:lineRule="auto"/>
        <w:rPr>
          <w:sz w:val="20"/>
          <w:szCs w:val="20"/>
          <w:color w:val="auto"/>
        </w:rPr>
      </w:pPr>
      <w:r>
        <w:rPr>
          <w:rFonts w:ascii="Courier New" w:cs="Courier New" w:eastAsia="Courier New" w:hAnsi="Courier New"/>
          <w:sz w:val="16"/>
          <w:szCs w:val="16"/>
          <w:color w:val="auto"/>
        </w:rPr>
        <w:t>Operating expenses of $44,169,000 increased by $13,230,000 or approximately 42.8%, which was proportional to the sales increase. On a pro forma basis, including Sierra operating expenses from October 1, 1992, operating expenses increased by approximately 8.4% reflecting slightly higher marketing expense and increased distribution expense related to higher</w:t>
      </w:r>
    </w:p>
    <w:p>
      <w:pPr>
        <w:sectPr>
          <w:pgSz w:w="11900" w:h="16838" w:orient="portrait"/>
          <w:cols w:equalWidth="0" w:num="1">
            <w:col w:w="10219"/>
          </w:cols>
          <w:pgMar w:left="240" w:top="142" w:right="1440" w:bottom="0" w:gutter="0" w:footer="0" w:header="0"/>
        </w:sectPr>
      </w:pPr>
    </w:p>
    <w:bookmarkStart w:id="6" w:name="page7"/>
    <w:bookmarkEnd w:id="6"/>
    <w:p>
      <w:pPr>
        <w:spacing w:after="0"/>
        <w:rPr>
          <w:sz w:val="20"/>
          <w:szCs w:val="20"/>
          <w:color w:val="auto"/>
        </w:rPr>
      </w:pPr>
      <w:r>
        <w:rPr>
          <w:rFonts w:ascii="Courier New" w:cs="Courier New" w:eastAsia="Courier New" w:hAnsi="Courier New"/>
          <w:sz w:val="18"/>
          <w:szCs w:val="18"/>
          <w:color w:val="auto"/>
        </w:rPr>
        <w:t>sales.</w:t>
      </w:r>
    </w:p>
    <w:p>
      <w:pPr>
        <w:spacing w:after="0" w:line="207"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Interest expense of $5,694,000 increased by $3,054,000 or approximately 115.7%. The increase was caused, in significant part, by increased borrowings for the Sierra acquisition, which were outstanding for the full three months ended December 31, 1994, and partly caused by higher interest rates for floating-rate bank debt this year and the higher rate payable with respect to the 9 7/8% Senior Subordinated Notes issued by Scotts last summer compared with the floating rate bank debt the notes replaced.</w:t>
      </w:r>
    </w:p>
    <w:p>
      <w:pPr>
        <w:spacing w:after="0" w:line="214"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The net loss of $3,138,000 increased by $1,581,000 or approximately 101.5%, primarily due to increased interest expense which is discussed above.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Financial Position as at December 31, 1994</w:t>
      </w:r>
    </w:p>
    <w:p>
      <w:pPr>
        <w:spacing w:after="0" w:line="207"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Capital expenditures for the year ending September 30, 1995 are expected to be approximately $23,000,000 which will be financed with cash provided by operations and utilization of existing credit facilities.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Current assets of $298,694,000 increased by $48,440,000</w:t>
      </w:r>
    </w:p>
    <w:p>
      <w:pPr>
        <w:spacing w:after="0" w:line="238" w:lineRule="auto"/>
        <w:rPr>
          <w:sz w:val="20"/>
          <w:szCs w:val="20"/>
          <w:color w:val="auto"/>
        </w:rPr>
      </w:pPr>
      <w:r>
        <w:rPr>
          <w:rFonts w:ascii="Courier New" w:cs="Courier New" w:eastAsia="Courier New" w:hAnsi="Courier New"/>
          <w:sz w:val="18"/>
          <w:szCs w:val="18"/>
          <w:color w:val="auto"/>
        </w:rPr>
        <w:t>compared with current assets at September 30, 1994 and by</w:t>
      </w:r>
    </w:p>
    <w:p>
      <w:pPr>
        <w:spacing w:after="0"/>
        <w:rPr>
          <w:sz w:val="20"/>
          <w:szCs w:val="20"/>
          <w:color w:val="auto"/>
        </w:rPr>
      </w:pPr>
      <w:r>
        <w:rPr>
          <w:rFonts w:ascii="Courier New" w:cs="Courier New" w:eastAsia="Courier New" w:hAnsi="Courier New"/>
          <w:sz w:val="18"/>
          <w:szCs w:val="18"/>
          <w:color w:val="auto"/>
        </w:rPr>
        <w:t>$52,910,000 compared with current assets at January 1, 1994.</w:t>
      </w:r>
    </w:p>
    <w:p>
      <w:pPr>
        <w:spacing w:after="0" w:line="237" w:lineRule="auto"/>
        <w:rPr>
          <w:sz w:val="20"/>
          <w:szCs w:val="20"/>
          <w:color w:val="auto"/>
        </w:rPr>
      </w:pPr>
      <w:r>
        <w:rPr>
          <w:rFonts w:ascii="Courier New" w:cs="Courier New" w:eastAsia="Courier New" w:hAnsi="Courier New"/>
          <w:sz w:val="18"/>
          <w:szCs w:val="18"/>
          <w:color w:val="auto"/>
        </w:rPr>
        <w:t>The increase compared with September 30, 1994 is primarily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attributable to the seasonal nature of Scotts' business, with</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inventory and accounts receivable levels generally being</w:t>
      </w:r>
    </w:p>
    <w:p>
      <w:pPr>
        <w:spacing w:after="0"/>
        <w:tabs>
          <w:tab w:leader="none" w:pos="4520" w:val="left"/>
        </w:tabs>
        <w:rPr>
          <w:sz w:val="20"/>
          <w:szCs w:val="20"/>
          <w:color w:val="auto"/>
        </w:rPr>
      </w:pPr>
      <w:r>
        <w:rPr>
          <w:rFonts w:ascii="Courier New" w:cs="Courier New" w:eastAsia="Courier New" w:hAnsi="Courier New"/>
          <w:sz w:val="18"/>
          <w:szCs w:val="18"/>
          <w:color w:val="auto"/>
        </w:rPr>
        <w:t>higher in December relative to September.</w:t>
      </w:r>
      <w:r>
        <w:rPr>
          <w:sz w:val="20"/>
          <w:szCs w:val="20"/>
          <w:color w:val="auto"/>
        </w:rPr>
        <w:tab/>
      </w:r>
      <w:r>
        <w:rPr>
          <w:rFonts w:ascii="Courier New" w:cs="Courier New" w:eastAsia="Courier New" w:hAnsi="Courier New"/>
          <w:sz w:val="16"/>
          <w:szCs w:val="16"/>
          <w:color w:val="auto"/>
        </w:rPr>
        <w:t>The increase</w:t>
      </w:r>
    </w:p>
    <w:p>
      <w:pPr>
        <w:spacing w:after="0"/>
        <w:rPr>
          <w:sz w:val="20"/>
          <w:szCs w:val="20"/>
          <w:color w:val="auto"/>
        </w:rPr>
      </w:pPr>
      <w:r>
        <w:rPr>
          <w:rFonts w:ascii="Courier New" w:cs="Courier New" w:eastAsia="Courier New" w:hAnsi="Courier New"/>
          <w:sz w:val="18"/>
          <w:szCs w:val="18"/>
          <w:color w:val="auto"/>
        </w:rPr>
        <w:t>compared with January 1, 1994 was partly due to</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8</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999"/>
        <w:spacing w:after="0" w:line="272" w:lineRule="auto"/>
        <w:rPr>
          <w:sz w:val="20"/>
          <w:szCs w:val="20"/>
          <w:color w:val="auto"/>
        </w:rPr>
      </w:pPr>
      <w:r>
        <w:rPr>
          <w:rFonts w:ascii="Courier New" w:cs="Courier New" w:eastAsia="Courier New" w:hAnsi="Courier New"/>
          <w:sz w:val="16"/>
          <w:szCs w:val="16"/>
          <w:color w:val="auto"/>
        </w:rPr>
        <w:t>increased accounts receivable related to higher sales and also, in part, to higher inventory levels for Scotts and Hyponex products this year in anticipation of the upcoming peak selling season as well as higher inventories for golf course products which reflect lower than expected sales for the quarter ended December 31, 1994.</w:t>
      </w:r>
    </w:p>
    <w:p>
      <w:pPr>
        <w:spacing w:after="0" w:line="18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Current liabilities of $163,267,000 increased by $53,579,000 compared with current liabilities at September 30, 1994 and by $30,200,000 compared with current liabilities at January 1, 1994. The increase compared with September 30, 1994 is primarily caused by the seasonality of Scotts' business. The increase compared with January 1, 1994 is caused, in part, by increased short-term borrowings, higher trade payables and higher accrued liabilities this year reflecting somewhat higher working capital needs this year including higher accruals for interest and taxes.</w:t>
      </w:r>
    </w:p>
    <w:p>
      <w:pPr>
        <w:spacing w:after="0" w:line="215" w:lineRule="exact"/>
        <w:rPr>
          <w:sz w:val="20"/>
          <w:szCs w:val="20"/>
          <w:color w:val="auto"/>
        </w:rPr>
      </w:pPr>
    </w:p>
    <w:p>
      <w:pPr>
        <w:ind w:right="3679"/>
        <w:spacing w:after="0" w:line="270" w:lineRule="auto"/>
        <w:rPr>
          <w:sz w:val="20"/>
          <w:szCs w:val="20"/>
          <w:color w:val="auto"/>
        </w:rPr>
      </w:pPr>
      <w:r>
        <w:rPr>
          <w:rFonts w:ascii="Courier New" w:cs="Courier New" w:eastAsia="Courier New" w:hAnsi="Courier New"/>
          <w:sz w:val="16"/>
          <w:szCs w:val="16"/>
          <w:color w:val="auto"/>
        </w:rPr>
        <w:t>Shareholders' equity of $165,061,000 decreased by $3,099,000 compared with shareholders' equity at September 30, 1994 and increased by $23,690,000 compared with shareholders' equity at January 1, 1994. The decrease compared with September 30, 1994 reflects the net loss for the three months ended December 31, 1994. The increase compared with January 1, 1994 resulted primarily from net earnings for the twelve months ended December 31, 1994 which included a cumulative foreign currency adjustment related to translating the assets and liabilities of Sierra's foreign subsidiaries to U. S. dollars.</w:t>
      </w:r>
    </w:p>
    <w:p>
      <w:pPr>
        <w:spacing w:after="0" w:line="189" w:lineRule="exact"/>
        <w:rPr>
          <w:sz w:val="20"/>
          <w:szCs w:val="20"/>
          <w:color w:val="auto"/>
        </w:rPr>
      </w:pPr>
    </w:p>
    <w:p>
      <w:pPr>
        <w:ind w:right="3679"/>
        <w:spacing w:after="0" w:line="270" w:lineRule="auto"/>
        <w:rPr>
          <w:sz w:val="20"/>
          <w:szCs w:val="20"/>
          <w:color w:val="auto"/>
        </w:rPr>
      </w:pPr>
      <w:r>
        <w:rPr>
          <w:rFonts w:ascii="Courier New" w:cs="Courier New" w:eastAsia="Courier New" w:hAnsi="Courier New"/>
          <w:sz w:val="16"/>
          <w:szCs w:val="16"/>
          <w:color w:val="auto"/>
        </w:rPr>
        <w:t>The primary sources of liquidity for the Company are funds generated by operations and borrowings under the Company's Credit Agreement. As amended, the Credit Agreement provides a revolving credit commitment of $150,000,000 through March 31, 1996 and provided $195,000,000 of term debt with scheduled maturities extending through September 30, 2000 until the prepayment discussed below. As of the date of this report, the Credit Agreement provides $93.1 million of term debt. The Credit Agreement contains financial covenants which, among other things, limit capital expenditures, require maintenance of Adjusted Operating Profit, Consolidated Net Worth and Interest Coverage (each as defined therein) and require the Company to reduce revolving credit borrowings to no more than $30,000,000 for 30 consecutive days each year.</w:t>
      </w:r>
    </w:p>
    <w:p>
      <w:pPr>
        <w:sectPr>
          <w:pgSz w:w="11900" w:h="16838" w:orient="portrait"/>
          <w:cols w:equalWidth="0" w:num="1">
            <w:col w:w="10219"/>
          </w:cols>
          <w:pgMar w:left="240" w:top="136" w:right="1440" w:bottom="0" w:gutter="0" w:footer="0" w:header="0"/>
        </w:sectPr>
      </w:pPr>
    </w:p>
    <w:bookmarkStart w:id="7" w:name="page8"/>
    <w:bookmarkEnd w:id="7"/>
    <w:p>
      <w:pPr>
        <w:ind w:right="3999"/>
        <w:spacing w:after="0" w:line="268" w:lineRule="auto"/>
        <w:rPr>
          <w:sz w:val="20"/>
          <w:szCs w:val="20"/>
          <w:color w:val="auto"/>
        </w:rPr>
      </w:pPr>
      <w:r>
        <w:rPr>
          <w:rFonts w:ascii="Courier New" w:cs="Courier New" w:eastAsia="Courier New" w:hAnsi="Courier New"/>
          <w:sz w:val="16"/>
          <w:szCs w:val="16"/>
          <w:color w:val="auto"/>
        </w:rPr>
        <w:t>On July 19, 1994, the Company issued $100,000,000 of 9 7/8% Senior Subordinated Notes due August 1, 2004 ("Notes") at</w:t>
      </w:r>
    </w:p>
    <w:p>
      <w:pPr>
        <w:ind w:right="3779"/>
        <w:spacing w:after="0" w:line="270" w:lineRule="auto"/>
        <w:rPr>
          <w:sz w:val="20"/>
          <w:szCs w:val="20"/>
          <w:color w:val="auto"/>
        </w:rPr>
      </w:pPr>
      <w:r>
        <w:rPr>
          <w:rFonts w:ascii="Courier New" w:cs="Courier New" w:eastAsia="Courier New" w:hAnsi="Courier New"/>
          <w:sz w:val="16"/>
          <w:szCs w:val="16"/>
          <w:color w:val="auto"/>
        </w:rPr>
        <w:t>99.212% of face value. The net proceeds of the offering were $96,354,000 after underwriting discount and expenses and this amount was used to prepay term debt outstanding under the Credit Agreement. Scheduled term debt maturities were adjusted to reflect the prepayment in accordance with the terms of the Credit Agreement. All of the notes are subordinated to other outstanding debt, principally to banks. The Notes are subject to redemption, at the Company's option, in whole or in part, at any time after August 1, 1999 at redemption prices specified in the Notes indenture. In order to redeem the Notes, the Company must obtain approval of the banks party to the Credit Agreement as specified therein.</w:t>
      </w:r>
    </w:p>
    <w:p>
      <w:pPr>
        <w:spacing w:after="0" w:line="188" w:lineRule="exact"/>
        <w:rPr>
          <w:sz w:val="20"/>
          <w:szCs w:val="20"/>
          <w:color w:val="auto"/>
        </w:rPr>
      </w:pPr>
    </w:p>
    <w:p>
      <w:pPr>
        <w:ind w:right="4199"/>
        <w:spacing w:after="0" w:line="236" w:lineRule="auto"/>
        <w:rPr>
          <w:sz w:val="20"/>
          <w:szCs w:val="20"/>
          <w:color w:val="auto"/>
        </w:rPr>
      </w:pPr>
      <w:r>
        <w:rPr>
          <w:rFonts w:ascii="Courier New" w:cs="Courier New" w:eastAsia="Courier New" w:hAnsi="Courier New"/>
          <w:sz w:val="18"/>
          <w:szCs w:val="18"/>
          <w:color w:val="auto"/>
        </w:rPr>
        <w:t>The Notes include a limited number of financial covenants which are generally less restrictive than the financial covenants contained in the Credit Agreement.</w:t>
      </w:r>
    </w:p>
    <w:p>
      <w:pPr>
        <w:spacing w:after="0" w:line="209"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The proposed merger of the Company and Stern's Miracle-Gro is described in Footnote No. 6 on page 7 of this Report. Any additional working capital needs resulting from the merger are expected to be financed through an increase in the amount of revolving credit available under the Company's Credit Agreement.</w:t>
      </w:r>
    </w:p>
    <w:p>
      <w:pPr>
        <w:spacing w:after="0" w:line="210" w:lineRule="exact"/>
        <w:rPr>
          <w:sz w:val="20"/>
          <w:szCs w:val="20"/>
          <w:color w:val="auto"/>
        </w:rPr>
      </w:pPr>
    </w:p>
    <w:p>
      <w:pPr>
        <w:ind w:right="3779"/>
        <w:spacing w:after="0" w:line="273" w:lineRule="auto"/>
        <w:rPr>
          <w:sz w:val="20"/>
          <w:szCs w:val="20"/>
          <w:color w:val="auto"/>
        </w:rPr>
      </w:pPr>
      <w:r>
        <w:rPr>
          <w:rFonts w:ascii="Courier New" w:cs="Courier New" w:eastAsia="Courier New" w:hAnsi="Courier New"/>
          <w:sz w:val="16"/>
          <w:szCs w:val="16"/>
          <w:color w:val="auto"/>
        </w:rPr>
        <w:t>The seasonal volume of the Company's business is reflected in working capital requirements. Working capital requirements are greatest from November through May, the peak production period, and are at their highest in March. Working capital needs are relatively low in the summer months.</w:t>
      </w:r>
    </w:p>
    <w:p>
      <w:pPr>
        <w:spacing w:after="0" w:line="185" w:lineRule="exact"/>
        <w:rPr>
          <w:sz w:val="20"/>
          <w:szCs w:val="20"/>
          <w:color w:val="auto"/>
        </w:rPr>
      </w:pPr>
    </w:p>
    <w:p>
      <w:pPr>
        <w:ind w:right="3999"/>
        <w:spacing w:after="0" w:line="236" w:lineRule="auto"/>
        <w:rPr>
          <w:sz w:val="20"/>
          <w:szCs w:val="20"/>
          <w:color w:val="auto"/>
        </w:rPr>
      </w:pPr>
      <w:r>
        <w:rPr>
          <w:rFonts w:ascii="Courier New" w:cs="Courier New" w:eastAsia="Courier New" w:hAnsi="Courier New"/>
          <w:sz w:val="18"/>
          <w:szCs w:val="18"/>
          <w:color w:val="auto"/>
        </w:rPr>
        <w:t>In the opinion of Scotts' management, cash flows from operations and capital resources will be sufficient to meet future debt service and working capital needs.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PART II - OTHER INFORMATION</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Legal Proceedings</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 response required.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2-5.</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Exhibits and Reports on Form 8-K.</w:t>
      </w:r>
    </w:p>
    <w:p>
      <w:pPr>
        <w:spacing w:after="0" w:line="207" w:lineRule="exact"/>
        <w:rPr>
          <w:sz w:val="20"/>
          <w:szCs w:val="20"/>
          <w:color w:val="auto"/>
        </w:rPr>
      </w:pPr>
    </w:p>
    <w:p>
      <w:pPr>
        <w:ind w:left="1700" w:right="3679" w:hanging="744"/>
        <w:spacing w:after="0" w:line="235" w:lineRule="auto"/>
        <w:tabs>
          <w:tab w:leader="none" w:pos="170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Exhibit Index at page 12 for a list of the exhibits included herewith.</w:t>
      </w:r>
    </w:p>
    <w:p>
      <w:pPr>
        <w:spacing w:after="0" w:line="208" w:lineRule="exact"/>
        <w:rPr>
          <w:rFonts w:ascii="Courier New" w:cs="Courier New" w:eastAsia="Courier New" w:hAnsi="Courier New"/>
          <w:sz w:val="18"/>
          <w:szCs w:val="18"/>
          <w:color w:val="auto"/>
        </w:rPr>
      </w:pPr>
    </w:p>
    <w:p>
      <w:pPr>
        <w:ind w:left="1700" w:right="3899" w:hanging="744"/>
        <w:spacing w:after="0" w:line="290" w:lineRule="auto"/>
        <w:tabs>
          <w:tab w:leader="none" w:pos="17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reports on Form 8-K were filed during the fiscal quarter ended December 31, 1994.</w:t>
      </w: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10</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Pursuant to the requirements of the Securities</w:t>
      </w:r>
    </w:p>
    <w:p>
      <w:pPr>
        <w:spacing w:after="0" w:line="238" w:lineRule="auto"/>
        <w:rPr>
          <w:sz w:val="20"/>
          <w:szCs w:val="20"/>
          <w:color w:val="auto"/>
        </w:rPr>
      </w:pPr>
      <w:r>
        <w:rPr>
          <w:rFonts w:ascii="Courier New" w:cs="Courier New" w:eastAsia="Courier New" w:hAnsi="Courier New"/>
          <w:sz w:val="18"/>
          <w:szCs w:val="18"/>
          <w:color w:val="auto"/>
        </w:rPr>
        <w:t>Exchange Act of 1934, the Registrant has duly</w:t>
      </w:r>
    </w:p>
    <w:p>
      <w:pPr>
        <w:spacing w:after="0"/>
        <w:rPr>
          <w:sz w:val="20"/>
          <w:szCs w:val="20"/>
          <w:color w:val="auto"/>
        </w:rPr>
      </w:pPr>
      <w:r>
        <w:rPr>
          <w:rFonts w:ascii="Courier New" w:cs="Courier New" w:eastAsia="Courier New" w:hAnsi="Courier New"/>
          <w:sz w:val="18"/>
          <w:szCs w:val="18"/>
          <w:color w:val="auto"/>
        </w:rPr>
        <w:t>caused this report to be signed on its behalf</w:t>
      </w:r>
    </w:p>
    <w:p>
      <w:pPr>
        <w:spacing w:after="0" w:line="237" w:lineRule="auto"/>
        <w:rPr>
          <w:sz w:val="20"/>
          <w:szCs w:val="20"/>
          <w:color w:val="auto"/>
        </w:rPr>
      </w:pPr>
      <w:r>
        <w:rPr>
          <w:rFonts w:ascii="Courier New" w:cs="Courier New" w:eastAsia="Courier New" w:hAnsi="Courier New"/>
          <w:sz w:val="18"/>
          <w:szCs w:val="18"/>
          <w:color w:val="auto"/>
        </w:rPr>
        <w:t>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4540"/>
        <w:spacing w:after="0"/>
        <w:rPr>
          <w:sz w:val="20"/>
          <w:szCs w:val="20"/>
          <w:color w:val="auto"/>
        </w:rPr>
      </w:pPr>
      <w:r>
        <w:rPr>
          <w:rFonts w:ascii="Courier New" w:cs="Courier New" w:eastAsia="Courier New" w:hAnsi="Courier New"/>
          <w:sz w:val="18"/>
          <w:szCs w:val="18"/>
          <w:color w:val="auto"/>
        </w:rPr>
        <w:t>THE SCOTTS COMPANY</w:t>
      </w:r>
    </w:p>
    <w:p>
      <w:pPr>
        <w:sectPr>
          <w:pgSz w:w="11900" w:h="16838" w:orient="portrait"/>
          <w:cols w:equalWidth="0" w:num="1">
            <w:col w:w="10219"/>
          </w:cols>
          <w:pgMar w:left="240" w:top="344"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Date___February 3, 1995___</w:t>
            </w:r>
          </w:p>
        </w:tc>
        <w:tc>
          <w:tcPr>
            <w:tcW w:w="3580" w:type="dxa"/>
            <w:vAlign w:val="bottom"/>
            <w:gridSpan w:val="2"/>
          </w:tcPr>
          <w:p>
            <w:pPr>
              <w:spacing w:after="0"/>
              <w:rPr>
                <w:sz w:val="20"/>
                <w:szCs w:val="20"/>
                <w:color w:val="auto"/>
              </w:rPr>
            </w:pPr>
            <w:r>
              <w:rPr>
                <w:rFonts w:ascii="Courier New" w:cs="Courier New" w:eastAsia="Courier New" w:hAnsi="Courier New"/>
                <w:sz w:val="18"/>
                <w:szCs w:val="18"/>
                <w:color w:val="auto"/>
              </w:rPr>
              <w:t>/s/ Paul D. Yeager____________</w:t>
            </w:r>
          </w:p>
        </w:tc>
      </w:tr>
      <w:tr>
        <w:trPr>
          <w:trHeight w:val="203"/>
        </w:trPr>
        <w:tc>
          <w:tcPr>
            <w:tcW w:w="1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Paul D. Yeager</w:t>
            </w:r>
          </w:p>
        </w:tc>
      </w:tr>
      <w:tr>
        <w:trPr>
          <w:trHeight w:val="203"/>
        </w:trPr>
        <w:tc>
          <w:tcPr>
            <w:tcW w:w="1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Executive Vice President</w:t>
            </w:r>
          </w:p>
        </w:tc>
      </w:tr>
      <w:tr>
        <w:trPr>
          <w:trHeight w:val="203"/>
        </w:trPr>
        <w:tc>
          <w:tcPr>
            <w:tcW w:w="1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Chief Financial Officer</w:t>
            </w:r>
          </w:p>
        </w:tc>
      </w:tr>
      <w:tr>
        <w:trPr>
          <w:trHeight w:val="203"/>
        </w:trPr>
        <w:tc>
          <w:tcPr>
            <w:tcW w:w="138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58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Principal Accounting Officer</w:t>
            </w:r>
          </w:p>
        </w:tc>
      </w:tr>
      <w:tr>
        <w:trPr>
          <w:trHeight w:val="608"/>
        </w:trPr>
        <w:tc>
          <w:tcPr>
            <w:tcW w:w="1380" w:type="dxa"/>
            <w:vAlign w:val="bottom"/>
          </w:tcPr>
          <w:p>
            <w:pPr>
              <w:spacing w:after="0"/>
              <w:rPr>
                <w:sz w:val="20"/>
                <w:szCs w:val="20"/>
                <w:color w:val="auto"/>
              </w:rPr>
            </w:pPr>
            <w:r>
              <w:rPr>
                <w:rFonts w:ascii="Courier New" w:cs="Courier New" w:eastAsia="Courier New" w:hAnsi="Courier New"/>
                <w:sz w:val="18"/>
                <w:szCs w:val="18"/>
                <w:color w:val="auto"/>
              </w:rPr>
              <w:t>Page 11</w:t>
            </w:r>
          </w:p>
        </w:tc>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810"/>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THE SCOTTS COMPANY</w:t>
            </w:r>
          </w:p>
        </w:tc>
        <w:tc>
          <w:tcPr>
            <w:tcW w:w="9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05"/>
        </w:trPr>
        <w:tc>
          <w:tcPr>
            <w:tcW w:w="4320" w:type="dxa"/>
            <w:vAlign w:val="bottom"/>
            <w:gridSpan w:val="2"/>
          </w:tcPr>
          <w:p>
            <w:pPr>
              <w:spacing w:after="0"/>
              <w:rPr>
                <w:sz w:val="20"/>
                <w:szCs w:val="20"/>
                <w:color w:val="auto"/>
              </w:rPr>
            </w:pPr>
            <w:r>
              <w:rPr>
                <w:rFonts w:ascii="Courier New" w:cs="Courier New" w:eastAsia="Courier New" w:hAnsi="Courier New"/>
                <w:sz w:val="18"/>
                <w:szCs w:val="18"/>
                <w:color w:val="auto"/>
              </w:rPr>
              <w:t>QUARTERLY REPORT ON FORM 10-Q FOR</w:t>
            </w:r>
          </w:p>
        </w:tc>
        <w:tc>
          <w:tcPr>
            <w:tcW w:w="9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203"/>
        </w:trPr>
        <w:tc>
          <w:tcPr>
            <w:tcW w:w="43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FISCAL QUARTER ENDED DECEMBER 31, 1994</w:t>
            </w:r>
          </w:p>
        </w:tc>
        <w:tc>
          <w:tcPr>
            <w:tcW w:w="9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810"/>
        </w:trPr>
        <w:tc>
          <w:tcPr>
            <w:tcW w:w="1380" w:type="dxa"/>
            <w:vAlign w:val="bottom"/>
          </w:tcPr>
          <w:p>
            <w:pPr>
              <w:spacing w:after="0"/>
              <w:rPr>
                <w:sz w:val="20"/>
                <w:szCs w:val="20"/>
                <w:color w:val="auto"/>
              </w:rPr>
            </w:pPr>
            <w:r>
              <w:rPr>
                <w:rFonts w:ascii="Courier New" w:cs="Courier New" w:eastAsia="Courier New" w:hAnsi="Courier New"/>
                <w:sz w:val="18"/>
                <w:szCs w:val="18"/>
                <w:color w:val="auto"/>
                <w:w w:val="96"/>
              </w:rPr>
              <w:t>EXHIBIT INDEX</w:t>
            </w:r>
          </w:p>
        </w:tc>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1013"/>
        </w:trPr>
        <w:tc>
          <w:tcPr>
            <w:tcW w:w="1380" w:type="dxa"/>
            <w:vAlign w:val="bottom"/>
          </w:tcPr>
          <w:p>
            <w:pPr>
              <w:spacing w:after="0"/>
              <w:rPr>
                <w:sz w:val="20"/>
                <w:szCs w:val="20"/>
                <w:color w:val="auto"/>
              </w:rPr>
            </w:pPr>
            <w:r>
              <w:rPr>
                <w:rFonts w:ascii="Courier New" w:cs="Courier New" w:eastAsia="Courier New" w:hAnsi="Courier New"/>
                <w:sz w:val="18"/>
                <w:szCs w:val="18"/>
                <w:color w:val="auto"/>
              </w:rPr>
              <w:t>Exhibit</w:t>
            </w:r>
          </w:p>
        </w:tc>
        <w:tc>
          <w:tcPr>
            <w:tcW w:w="29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80" w:type="dxa"/>
            <w:vAlign w:val="bottom"/>
          </w:tcPr>
          <w:p>
            <w:pPr>
              <w:ind w:left="580"/>
              <w:spacing w:after="0"/>
              <w:rPr>
                <w:sz w:val="20"/>
                <w:szCs w:val="20"/>
                <w:color w:val="auto"/>
              </w:rPr>
            </w:pPr>
            <w:r>
              <w:rPr>
                <w:rFonts w:ascii="Courier New" w:cs="Courier New" w:eastAsia="Courier New" w:hAnsi="Courier New"/>
                <w:sz w:val="18"/>
                <w:szCs w:val="18"/>
                <w:color w:val="auto"/>
              </w:rPr>
              <w:t>Page</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Number</w:t>
            </w:r>
          </w:p>
        </w:tc>
        <w:tc>
          <w:tcPr>
            <w:tcW w:w="2940" w:type="dxa"/>
            <w:vAlign w:val="bottom"/>
          </w:tcPr>
          <w:p>
            <w:pPr>
              <w:ind w:left="1060"/>
              <w:spacing w:after="0" w:line="203" w:lineRule="exact"/>
              <w:rPr>
                <w:sz w:val="20"/>
                <w:szCs w:val="20"/>
                <w:color w:val="auto"/>
              </w:rPr>
            </w:pPr>
            <w:r>
              <w:rPr>
                <w:rFonts w:ascii="Courier New" w:cs="Courier New" w:eastAsia="Courier New" w:hAnsi="Courier New"/>
                <w:sz w:val="18"/>
                <w:szCs w:val="18"/>
                <w:color w:val="auto"/>
              </w:rPr>
              <w:t>Description</w:t>
            </w:r>
          </w:p>
        </w:tc>
        <w:tc>
          <w:tcPr>
            <w:tcW w:w="900" w:type="dxa"/>
            <w:vAlign w:val="bottom"/>
          </w:tcPr>
          <w:p>
            <w:pPr>
              <w:spacing w:after="0"/>
              <w:rPr>
                <w:sz w:val="17"/>
                <w:szCs w:val="17"/>
                <w:color w:val="auto"/>
              </w:rPr>
            </w:pPr>
          </w:p>
        </w:tc>
        <w:tc>
          <w:tcPr>
            <w:tcW w:w="2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Number</w:t>
            </w:r>
          </w:p>
        </w:tc>
      </w:tr>
      <w:tr>
        <w:trPr>
          <w:trHeight w:val="405"/>
        </w:trPr>
        <w:tc>
          <w:tcPr>
            <w:tcW w:w="13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2</w:t>
            </w:r>
          </w:p>
        </w:tc>
        <w:tc>
          <w:tcPr>
            <w:tcW w:w="3840" w:type="dxa"/>
            <w:vAlign w:val="bottom"/>
            <w:gridSpan w:val="2"/>
          </w:tcPr>
          <w:p>
            <w:pPr>
              <w:spacing w:after="0"/>
              <w:rPr>
                <w:sz w:val="20"/>
                <w:szCs w:val="20"/>
                <w:color w:val="auto"/>
              </w:rPr>
            </w:pPr>
            <w:r>
              <w:rPr>
                <w:rFonts w:ascii="Courier New" w:cs="Courier New" w:eastAsia="Courier New" w:hAnsi="Courier New"/>
                <w:sz w:val="18"/>
                <w:szCs w:val="18"/>
                <w:color w:val="auto"/>
              </w:rPr>
              <w:t>Agreement and Plan of Merger dated</w:t>
            </w:r>
          </w:p>
        </w:tc>
        <w:tc>
          <w:tcPr>
            <w:tcW w:w="2680" w:type="dxa"/>
            <w:vAlign w:val="bottom"/>
          </w:tcPr>
          <w:p>
            <w:pPr>
              <w:ind w:left="260"/>
              <w:spacing w:after="0"/>
              <w:rPr>
                <w:sz w:val="20"/>
                <w:szCs w:val="20"/>
                <w:color w:val="auto"/>
              </w:rPr>
            </w:pPr>
            <w:r>
              <w:rPr>
                <w:rFonts w:ascii="Courier New" w:cs="Courier New" w:eastAsia="Courier New" w:hAnsi="Courier New"/>
                <w:sz w:val="18"/>
                <w:szCs w:val="18"/>
                <w:color w:val="auto"/>
              </w:rPr>
              <w:t>Incorporated herein</w:t>
            </w:r>
          </w:p>
        </w:tc>
      </w:tr>
      <w:tr>
        <w:trPr>
          <w:trHeight w:val="203"/>
        </w:trPr>
        <w:tc>
          <w:tcPr>
            <w:tcW w:w="1380" w:type="dxa"/>
            <w:vAlign w:val="bottom"/>
          </w:tcPr>
          <w:p>
            <w:pPr>
              <w:spacing w:after="0"/>
              <w:rPr>
                <w:sz w:val="17"/>
                <w:szCs w:val="17"/>
                <w:color w:val="auto"/>
              </w:rPr>
            </w:pP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w w:val="96"/>
              </w:rPr>
              <w:t>as of January 26, 1995 among</w:t>
            </w:r>
          </w:p>
        </w:tc>
        <w:tc>
          <w:tcPr>
            <w:tcW w:w="900" w:type="dxa"/>
            <w:vAlign w:val="bottom"/>
          </w:tcPr>
          <w:p>
            <w:pPr>
              <w:spacing w:after="0"/>
              <w:rPr>
                <w:sz w:val="17"/>
                <w:szCs w:val="17"/>
                <w:color w:val="auto"/>
              </w:rPr>
            </w:pP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by reference to</w:t>
            </w:r>
          </w:p>
        </w:tc>
      </w:tr>
      <w:tr>
        <w:trPr>
          <w:trHeight w:val="203"/>
        </w:trPr>
        <w:tc>
          <w:tcPr>
            <w:tcW w:w="138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Stern's Miracle-Gro Products,</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the Registration</w:t>
            </w:r>
          </w:p>
        </w:tc>
      </w:tr>
      <w:tr>
        <w:trPr>
          <w:trHeight w:val="203"/>
        </w:trPr>
        <w:tc>
          <w:tcPr>
            <w:tcW w:w="138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 Stern's Nurseries, Inc.,</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Statement on</w:t>
            </w:r>
          </w:p>
        </w:tc>
      </w:tr>
      <w:tr>
        <w:trPr>
          <w:trHeight w:val="203"/>
        </w:trPr>
        <w:tc>
          <w:tcPr>
            <w:tcW w:w="138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Miracle-Gro Lawn Products, Inc.,</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Form S-4 of The</w:t>
            </w:r>
          </w:p>
        </w:tc>
      </w:tr>
      <w:tr>
        <w:trPr>
          <w:trHeight w:val="203"/>
        </w:trPr>
        <w:tc>
          <w:tcPr>
            <w:tcW w:w="138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and Miracle-Gro Products Limited</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Scotts Company</w:t>
            </w:r>
          </w:p>
        </w:tc>
      </w:tr>
      <w:tr>
        <w:trPr>
          <w:trHeight w:val="203"/>
        </w:trPr>
        <w:tc>
          <w:tcPr>
            <w:tcW w:w="138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(the "Miracle-Gro Constituent</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filed with the</w:t>
            </w:r>
          </w:p>
        </w:tc>
      </w:tr>
      <w:tr>
        <w:trPr>
          <w:trHeight w:val="203"/>
        </w:trPr>
        <w:tc>
          <w:tcPr>
            <w:tcW w:w="138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Companies"), Horace Hagedorn,</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w w:val="96"/>
              </w:rPr>
              <w:t>Securities and Exchange</w:t>
            </w:r>
          </w:p>
        </w:tc>
      </w:tr>
      <w:tr>
        <w:trPr>
          <w:trHeight w:val="203"/>
        </w:trPr>
        <w:tc>
          <w:tcPr>
            <w:tcW w:w="138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James Hagedorn, Katherine Hagedorn</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Commission on</w:t>
            </w:r>
          </w:p>
        </w:tc>
      </w:tr>
      <w:tr>
        <w:trPr>
          <w:trHeight w:val="203"/>
        </w:trPr>
        <w:tc>
          <w:tcPr>
            <w:tcW w:w="138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Littlefield, Paul Hagedorn, Peter</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February 3, 1995</w:t>
            </w:r>
          </w:p>
        </w:tc>
      </w:tr>
      <w:tr>
        <w:trPr>
          <w:trHeight w:val="203"/>
        </w:trPr>
        <w:tc>
          <w:tcPr>
            <w:tcW w:w="138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Hagedorn, Robert Hagedorn, Susan</w:t>
            </w:r>
          </w:p>
        </w:tc>
        <w:tc>
          <w:tcPr>
            <w:tcW w:w="2680" w:type="dxa"/>
            <w:vAlign w:val="bottom"/>
          </w:tcPr>
          <w:p>
            <w:pPr>
              <w:ind w:left="260"/>
              <w:spacing w:after="0" w:line="203" w:lineRule="exact"/>
              <w:rPr>
                <w:sz w:val="20"/>
                <w:szCs w:val="20"/>
                <w:color w:val="auto"/>
              </w:rPr>
            </w:pPr>
            <w:r>
              <w:rPr>
                <w:rFonts w:ascii="Courier New" w:cs="Courier New" w:eastAsia="Courier New" w:hAnsi="Courier New"/>
                <w:sz w:val="18"/>
                <w:szCs w:val="18"/>
                <w:color w:val="auto"/>
              </w:rPr>
              <w:t>[Exhibit 2]</w:t>
            </w:r>
          </w:p>
        </w:tc>
      </w:tr>
      <w:tr>
        <w:trPr>
          <w:trHeight w:val="203"/>
        </w:trPr>
        <w:tc>
          <w:tcPr>
            <w:tcW w:w="138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Hagedorn and John Kenlon (the</w:t>
            </w:r>
          </w:p>
        </w:tc>
        <w:tc>
          <w:tcPr>
            <w:tcW w:w="26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"Shareholders"), The Scotts</w:t>
            </w:r>
          </w:p>
        </w:tc>
        <w:tc>
          <w:tcPr>
            <w:tcW w:w="9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Company ("Scotts") and XYZ</w:t>
            </w:r>
          </w:p>
        </w:tc>
        <w:tc>
          <w:tcPr>
            <w:tcW w:w="9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203"/>
        </w:trPr>
        <w:tc>
          <w:tcPr>
            <w:tcW w:w="1380" w:type="dxa"/>
            <w:vAlign w:val="bottom"/>
          </w:tcPr>
          <w:p>
            <w:pPr>
              <w:spacing w:after="0"/>
              <w:rPr>
                <w:sz w:val="17"/>
                <w:szCs w:val="17"/>
                <w:color w:val="auto"/>
              </w:rPr>
            </w:pPr>
          </w:p>
        </w:tc>
        <w:tc>
          <w:tcPr>
            <w:tcW w:w="3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Corporation ("Merger Subsidiary")</w:t>
            </w:r>
          </w:p>
        </w:tc>
        <w:tc>
          <w:tcPr>
            <w:tcW w:w="2680" w:type="dxa"/>
            <w:vAlign w:val="bottom"/>
          </w:tcPr>
          <w:p>
            <w:pPr>
              <w:spacing w:after="0"/>
              <w:rPr>
                <w:sz w:val="17"/>
                <w:szCs w:val="17"/>
                <w:color w:val="auto"/>
              </w:rPr>
            </w:pPr>
          </w:p>
        </w:tc>
      </w:tr>
      <w:tr>
        <w:trPr>
          <w:trHeight w:val="405"/>
        </w:trPr>
        <w:tc>
          <w:tcPr>
            <w:tcW w:w="13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11</w:t>
            </w:r>
          </w:p>
        </w:tc>
        <w:tc>
          <w:tcPr>
            <w:tcW w:w="3840" w:type="dxa"/>
            <w:vAlign w:val="bottom"/>
            <w:gridSpan w:val="2"/>
          </w:tcPr>
          <w:p>
            <w:pPr>
              <w:spacing w:after="0"/>
              <w:rPr>
                <w:sz w:val="20"/>
                <w:szCs w:val="20"/>
                <w:color w:val="auto"/>
              </w:rPr>
            </w:pPr>
            <w:r>
              <w:rPr>
                <w:rFonts w:ascii="Courier New" w:cs="Courier New" w:eastAsia="Courier New" w:hAnsi="Courier New"/>
                <w:sz w:val="18"/>
                <w:szCs w:val="18"/>
                <w:color w:val="auto"/>
              </w:rPr>
              <w:t>Computation of Net Income Per</w:t>
            </w:r>
          </w:p>
        </w:tc>
        <w:tc>
          <w:tcPr>
            <w:tcW w:w="2680" w:type="dxa"/>
            <w:vAlign w:val="bottom"/>
          </w:tcPr>
          <w:p>
            <w:pPr>
              <w:ind w:left="680"/>
              <w:spacing w:after="0"/>
              <w:rPr>
                <w:sz w:val="20"/>
                <w:szCs w:val="20"/>
                <w:color w:val="auto"/>
              </w:rPr>
            </w:pPr>
            <w:r>
              <w:rPr>
                <w:rFonts w:ascii="Courier New" w:cs="Courier New" w:eastAsia="Courier New" w:hAnsi="Courier New"/>
                <w:sz w:val="18"/>
                <w:szCs w:val="18"/>
                <w:color w:val="auto"/>
              </w:rPr>
              <w:t>13</w:t>
            </w:r>
          </w:p>
        </w:tc>
      </w:tr>
      <w:tr>
        <w:trPr>
          <w:trHeight w:val="203"/>
        </w:trPr>
        <w:tc>
          <w:tcPr>
            <w:tcW w:w="1380" w:type="dxa"/>
            <w:vAlign w:val="bottom"/>
          </w:tcPr>
          <w:p>
            <w:pPr>
              <w:spacing w:after="0"/>
              <w:rPr>
                <w:sz w:val="17"/>
                <w:szCs w:val="17"/>
                <w:color w:val="auto"/>
              </w:rPr>
            </w:pPr>
          </w:p>
        </w:tc>
        <w:tc>
          <w:tcPr>
            <w:tcW w:w="2940" w:type="dxa"/>
            <w:vAlign w:val="bottom"/>
          </w:tcPr>
          <w:p>
            <w:pPr>
              <w:spacing w:after="0" w:line="203" w:lineRule="exact"/>
              <w:rPr>
                <w:sz w:val="20"/>
                <w:szCs w:val="20"/>
                <w:color w:val="auto"/>
              </w:rPr>
            </w:pPr>
            <w:r>
              <w:rPr>
                <w:rFonts w:ascii="Courier New" w:cs="Courier New" w:eastAsia="Courier New" w:hAnsi="Courier New"/>
                <w:sz w:val="18"/>
                <w:szCs w:val="18"/>
                <w:color w:val="auto"/>
              </w:rPr>
              <w:t>Common Share</w:t>
            </w:r>
          </w:p>
        </w:tc>
        <w:tc>
          <w:tcPr>
            <w:tcW w:w="900" w:type="dxa"/>
            <w:vAlign w:val="bottom"/>
          </w:tcPr>
          <w:p>
            <w:pPr>
              <w:spacing w:after="0"/>
              <w:rPr>
                <w:sz w:val="17"/>
                <w:szCs w:val="17"/>
                <w:color w:val="auto"/>
              </w:rPr>
            </w:pPr>
          </w:p>
        </w:tc>
        <w:tc>
          <w:tcPr>
            <w:tcW w:w="2680" w:type="dxa"/>
            <w:vAlign w:val="bottom"/>
          </w:tcPr>
          <w:p>
            <w:pPr>
              <w:spacing w:after="0"/>
              <w:rPr>
                <w:sz w:val="17"/>
                <w:szCs w:val="17"/>
                <w:color w:val="auto"/>
              </w:rPr>
            </w:pPr>
          </w:p>
        </w:tc>
      </w:tr>
      <w:tr>
        <w:trPr>
          <w:trHeight w:val="608"/>
        </w:trPr>
        <w:tc>
          <w:tcPr>
            <w:tcW w:w="1380" w:type="dxa"/>
            <w:vAlign w:val="bottom"/>
          </w:tcPr>
          <w:p>
            <w:pPr>
              <w:jc w:val="right"/>
              <w:ind w:right="972"/>
              <w:spacing w:after="0"/>
              <w:rPr>
                <w:sz w:val="20"/>
                <w:szCs w:val="20"/>
                <w:color w:val="auto"/>
              </w:rPr>
            </w:pPr>
            <w:r>
              <w:rPr>
                <w:rFonts w:ascii="Courier New" w:cs="Courier New" w:eastAsia="Courier New" w:hAnsi="Courier New"/>
                <w:sz w:val="18"/>
                <w:szCs w:val="18"/>
                <w:color w:val="auto"/>
              </w:rPr>
              <w:t>27</w:t>
            </w:r>
          </w:p>
        </w:tc>
        <w:tc>
          <w:tcPr>
            <w:tcW w:w="2940" w:type="dxa"/>
            <w:vAlign w:val="bottom"/>
          </w:tcPr>
          <w:p>
            <w:pPr>
              <w:spacing w:after="0"/>
              <w:rPr>
                <w:sz w:val="20"/>
                <w:szCs w:val="20"/>
                <w:color w:val="auto"/>
              </w:rPr>
            </w:pPr>
            <w:r>
              <w:rPr>
                <w:rFonts w:ascii="Courier New" w:cs="Courier New" w:eastAsia="Courier New" w:hAnsi="Courier New"/>
                <w:sz w:val="18"/>
                <w:szCs w:val="18"/>
                <w:color w:val="auto"/>
              </w:rPr>
              <w:t>Financial Data Schedule</w:t>
            </w:r>
          </w:p>
        </w:tc>
        <w:tc>
          <w:tcPr>
            <w:tcW w:w="900" w:type="dxa"/>
            <w:vAlign w:val="bottom"/>
          </w:tcPr>
          <w:p>
            <w:pPr>
              <w:spacing w:after="0"/>
              <w:rPr>
                <w:sz w:val="24"/>
                <w:szCs w:val="24"/>
                <w:color w:val="auto"/>
              </w:rPr>
            </w:pPr>
          </w:p>
        </w:tc>
        <w:tc>
          <w:tcPr>
            <w:tcW w:w="2680" w:type="dxa"/>
            <w:vAlign w:val="bottom"/>
          </w:tcPr>
          <w:p>
            <w:pPr>
              <w:ind w:left="680"/>
              <w:spacing w:after="0"/>
              <w:rPr>
                <w:sz w:val="20"/>
                <w:szCs w:val="20"/>
                <w:color w:val="auto"/>
              </w:rPr>
            </w:pPr>
            <w:r>
              <w:rPr>
                <w:rFonts w:ascii="Courier New" w:cs="Courier New" w:eastAsia="Courier New" w:hAnsi="Courier New"/>
                <w:sz w:val="18"/>
                <w:szCs w:val="18"/>
                <w:color w:val="auto"/>
              </w:rPr>
              <w:t>14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Page 12</w:t>
      </w:r>
    </w:p>
    <w:p>
      <w:pPr>
        <w:sectPr>
          <w:pgSz w:w="11900" w:h="16838" w:orient="portrait"/>
          <w:cols w:equalWidth="0" w:num="1">
            <w:col w:w="10219"/>
          </w:cols>
          <w:pgMar w:left="240" w:top="744" w:right="1440" w:bottom="1440" w:gutter="0" w:footer="0" w:header="0"/>
        </w:sectPr>
      </w:pPr>
    </w:p>
    <w:bookmarkStart w:id="9" w:name="page10"/>
    <w:bookmarkEnd w:id="9"/>
    <w:p>
      <w:pPr>
        <w:ind w:left="3480"/>
        <w:spacing w:after="0"/>
        <w:rPr>
          <w:sz w:val="20"/>
          <w:szCs w:val="20"/>
          <w:color w:val="auto"/>
        </w:rPr>
      </w:pPr>
      <w:r>
        <w:rPr>
          <w:rFonts w:ascii="Courier New" w:cs="Courier New" w:eastAsia="Courier New" w:hAnsi="Courier New"/>
          <w:sz w:val="18"/>
          <w:szCs w:val="18"/>
          <w:color w:val="auto"/>
        </w:rPr>
        <w:t>Exhibit 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1580"/>
        <w:spacing w:after="0"/>
        <w:rPr>
          <w:sz w:val="20"/>
          <w:szCs w:val="20"/>
          <w:color w:val="auto"/>
        </w:rPr>
      </w:pPr>
      <w:r>
        <w:rPr>
          <w:rFonts w:ascii="Courier New" w:cs="Courier New" w:eastAsia="Courier New" w:hAnsi="Courier New"/>
          <w:sz w:val="18"/>
          <w:szCs w:val="18"/>
          <w:color w:val="auto"/>
        </w:rPr>
        <w:t>Computation of Net Income Per Common Share</w:t>
      </w:r>
    </w:p>
    <w:p>
      <w:pPr>
        <w:ind w:left="2640"/>
        <w:spacing w:after="0" w:line="238" w:lineRule="auto"/>
        <w:rPr>
          <w:sz w:val="20"/>
          <w:szCs w:val="20"/>
          <w:color w:val="auto"/>
        </w:rPr>
      </w:pPr>
      <w:r>
        <w:rPr>
          <w:rFonts w:ascii="Courier New" w:cs="Courier New" w:eastAsia="Courier New" w:hAnsi="Courier New"/>
          <w:sz w:val="18"/>
          <w:szCs w:val="18"/>
          <w:color w:val="auto"/>
        </w:rPr>
        <w:t>Primary (Unaudited)</w:t>
      </w:r>
    </w:p>
    <w:tbl>
      <w:tblPr>
        <w:tblLayout w:type="fixed"/>
        <w:tblInd w:w="0" w:type="dxa"/>
        <w:tblCellMar>
          <w:top w:w="0" w:type="dxa"/>
          <w:left w:w="0" w:type="dxa"/>
          <w:bottom w:w="0" w:type="dxa"/>
          <w:right w:w="0" w:type="dxa"/>
        </w:tblCellMar>
      </w:tblPr>
      <w:tr>
        <w:trPr>
          <w:trHeight w:val="203"/>
        </w:trPr>
        <w:tc>
          <w:tcPr>
            <w:tcW w:w="6480" w:type="dxa"/>
            <w:vAlign w:val="bottom"/>
            <w:gridSpan w:val="3"/>
          </w:tcPr>
          <w:p>
            <w:pPr>
              <w:ind w:left="1280"/>
              <w:spacing w:after="0"/>
              <w:rPr>
                <w:sz w:val="20"/>
                <w:szCs w:val="20"/>
                <w:color w:val="auto"/>
              </w:rPr>
            </w:pPr>
            <w:r>
              <w:rPr>
                <w:rFonts w:ascii="Courier New" w:cs="Courier New" w:eastAsia="Courier New" w:hAnsi="Courier New"/>
                <w:sz w:val="18"/>
                <w:szCs w:val="18"/>
                <w:color w:val="auto"/>
              </w:rPr>
              <w:t>(Dollars in thousands except per share amounts)</w:t>
            </w: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810"/>
        </w:trPr>
        <w:tc>
          <w:tcPr>
            <w:tcW w:w="4220" w:type="dxa"/>
            <w:vAlign w:val="bottom"/>
          </w:tcPr>
          <w:p>
            <w:pPr>
              <w:spacing w:after="0"/>
              <w:rPr>
                <w:sz w:val="24"/>
                <w:szCs w:val="24"/>
                <w:color w:val="auto"/>
              </w:rPr>
            </w:pPr>
          </w:p>
        </w:tc>
        <w:tc>
          <w:tcPr>
            <w:tcW w:w="3680" w:type="dxa"/>
            <w:vAlign w:val="bottom"/>
            <w:gridSpan w:val="4"/>
          </w:tcPr>
          <w:p>
            <w:pPr>
              <w:ind w:left="940"/>
              <w:spacing w:after="0"/>
              <w:rPr>
                <w:sz w:val="20"/>
                <w:szCs w:val="20"/>
                <w:color w:val="auto"/>
              </w:rPr>
            </w:pPr>
            <w:r>
              <w:rPr>
                <w:rFonts w:ascii="Courier New" w:cs="Courier New" w:eastAsia="Courier New" w:hAnsi="Courier New"/>
                <w:sz w:val="18"/>
                <w:szCs w:val="18"/>
                <w:color w:val="auto"/>
                <w:w w:val="96"/>
              </w:rPr>
              <w:t>For the Three Months Ended</w:t>
            </w:r>
          </w:p>
        </w:tc>
      </w:tr>
      <w:tr>
        <w:trPr>
          <w:trHeight w:val="203"/>
        </w:trPr>
        <w:tc>
          <w:tcPr>
            <w:tcW w:w="4220" w:type="dxa"/>
            <w:vAlign w:val="bottom"/>
          </w:tcPr>
          <w:p>
            <w:pPr>
              <w:spacing w:after="0"/>
              <w:rPr>
                <w:sz w:val="17"/>
                <w:szCs w:val="17"/>
                <w:color w:val="auto"/>
              </w:rPr>
            </w:pPr>
          </w:p>
        </w:tc>
        <w:tc>
          <w:tcPr>
            <w:tcW w:w="2260" w:type="dxa"/>
            <w:vAlign w:val="bottom"/>
            <w:gridSpan w:val="2"/>
          </w:tcPr>
          <w:p>
            <w:pPr>
              <w:ind w:left="940"/>
              <w:spacing w:after="0" w:line="203" w:lineRule="exact"/>
              <w:rPr>
                <w:sz w:val="20"/>
                <w:szCs w:val="20"/>
                <w:color w:val="auto"/>
              </w:rPr>
            </w:pPr>
            <w:r>
              <w:rPr>
                <w:rFonts w:ascii="Courier New" w:cs="Courier New" w:eastAsia="Courier New" w:hAnsi="Courier New"/>
                <w:sz w:val="18"/>
                <w:szCs w:val="18"/>
                <w:color w:val="auto"/>
              </w:rPr>
              <w:t>January 1</w:t>
            </w:r>
          </w:p>
        </w:tc>
        <w:tc>
          <w:tcPr>
            <w:tcW w:w="1420" w:type="dxa"/>
            <w:vAlign w:val="bottom"/>
            <w:gridSpan w:val="2"/>
          </w:tcPr>
          <w:p>
            <w:pPr>
              <w:ind w:left="260"/>
              <w:spacing w:after="0" w:line="203" w:lineRule="exact"/>
              <w:rPr>
                <w:sz w:val="20"/>
                <w:szCs w:val="20"/>
                <w:color w:val="auto"/>
              </w:rPr>
            </w:pPr>
            <w:r>
              <w:rPr>
                <w:rFonts w:ascii="Courier New" w:cs="Courier New" w:eastAsia="Courier New" w:hAnsi="Courier New"/>
                <w:sz w:val="18"/>
                <w:szCs w:val="18"/>
                <w:color w:val="auto"/>
                <w:w w:val="95"/>
              </w:rPr>
              <w:t>December 31</w:t>
            </w:r>
          </w:p>
        </w:tc>
      </w:tr>
      <w:tr>
        <w:trPr>
          <w:trHeight w:val="203"/>
        </w:trPr>
        <w:tc>
          <w:tcPr>
            <w:tcW w:w="42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160" w:type="dxa"/>
            <w:vAlign w:val="bottom"/>
          </w:tcPr>
          <w:p>
            <w:pPr>
              <w:jc w:val="right"/>
              <w:ind w:right="592"/>
              <w:spacing w:after="0" w:line="203" w:lineRule="exact"/>
              <w:rPr>
                <w:sz w:val="20"/>
                <w:szCs w:val="20"/>
                <w:color w:val="auto"/>
              </w:rPr>
            </w:pPr>
            <w:r>
              <w:rPr>
                <w:rFonts w:ascii="Courier New" w:cs="Courier New" w:eastAsia="Courier New" w:hAnsi="Courier New"/>
                <w:sz w:val="18"/>
                <w:szCs w:val="18"/>
                <w:color w:val="auto"/>
              </w:rPr>
              <w:t>1994</w:t>
            </w:r>
          </w:p>
        </w:tc>
        <w:tc>
          <w:tcPr>
            <w:tcW w:w="480" w:type="dxa"/>
            <w:vAlign w:val="bottom"/>
          </w:tcPr>
          <w:p>
            <w:pPr>
              <w:spacing w:after="0"/>
              <w:rPr>
                <w:sz w:val="17"/>
                <w:szCs w:val="17"/>
                <w:color w:val="auto"/>
              </w:rPr>
            </w:pPr>
          </w:p>
        </w:tc>
        <w:tc>
          <w:tcPr>
            <w:tcW w:w="94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1994</w:t>
            </w:r>
          </w:p>
        </w:tc>
      </w:tr>
      <w:tr>
        <w:trPr>
          <w:trHeight w:val="608"/>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loss for computing net loss</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203"/>
        </w:trPr>
        <w:tc>
          <w:tcPr>
            <w:tcW w:w="422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per common share:</w:t>
            </w:r>
          </w:p>
        </w:tc>
        <w:tc>
          <w:tcPr>
            <w:tcW w:w="1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loss</w:t>
            </w:r>
          </w:p>
        </w:tc>
        <w:tc>
          <w:tcPr>
            <w:tcW w:w="1100" w:type="dxa"/>
            <w:vAlign w:val="bottom"/>
          </w:tcPr>
          <w:p>
            <w:pPr>
              <w:ind w:left="94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(1,557)</w:t>
            </w:r>
          </w:p>
        </w:tc>
        <w:tc>
          <w:tcPr>
            <w:tcW w:w="480" w:type="dxa"/>
            <w:vAlign w:val="bottom"/>
          </w:tcPr>
          <w:p>
            <w:pPr>
              <w:ind w:left="260"/>
              <w:spacing w:after="0"/>
              <w:rPr>
                <w:sz w:val="20"/>
                <w:szCs w:val="20"/>
                <w:color w:val="auto"/>
              </w:rPr>
            </w:pPr>
            <w:r>
              <w:rPr>
                <w:rFonts w:ascii="Courier New" w:cs="Courier New" w:eastAsia="Courier New" w:hAnsi="Courier New"/>
                <w:sz w:val="18"/>
                <w:szCs w:val="18"/>
                <w:color w:val="auto"/>
              </w:rPr>
              <w:t>$</w:t>
            </w: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(3,138)</w:t>
            </w: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loss per common share:</w:t>
            </w:r>
          </w:p>
        </w:tc>
        <w:tc>
          <w:tcPr>
            <w:tcW w:w="1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40" w:type="dxa"/>
            <w:vAlign w:val="bottom"/>
          </w:tcPr>
          <w:p>
            <w:pPr>
              <w:spacing w:after="0"/>
              <w:rPr>
                <w:sz w:val="24"/>
                <w:szCs w:val="24"/>
                <w:color w:val="auto"/>
              </w:rPr>
            </w:pPr>
          </w:p>
        </w:tc>
      </w:tr>
      <w:tr>
        <w:trPr>
          <w:trHeight w:val="405"/>
        </w:trPr>
        <w:tc>
          <w:tcPr>
            <w:tcW w:w="4220" w:type="dxa"/>
            <w:vAlign w:val="bottom"/>
          </w:tcPr>
          <w:p>
            <w:pPr>
              <w:spacing w:after="0"/>
              <w:rPr>
                <w:sz w:val="20"/>
                <w:szCs w:val="20"/>
                <w:color w:val="auto"/>
              </w:rPr>
            </w:pPr>
            <w:r>
              <w:rPr>
                <w:rFonts w:ascii="Courier New" w:cs="Courier New" w:eastAsia="Courier New" w:hAnsi="Courier New"/>
                <w:sz w:val="18"/>
                <w:szCs w:val="18"/>
                <w:color w:val="auto"/>
              </w:rPr>
              <w:t>Net loss per common share</w:t>
            </w:r>
          </w:p>
        </w:tc>
        <w:tc>
          <w:tcPr>
            <w:tcW w:w="1100" w:type="dxa"/>
            <w:vAlign w:val="bottom"/>
          </w:tcPr>
          <w:p>
            <w:pPr>
              <w:ind w:left="940"/>
              <w:spacing w:after="0"/>
              <w:rPr>
                <w:sz w:val="20"/>
                <w:szCs w:val="20"/>
                <w:color w:val="auto"/>
              </w:rPr>
            </w:pPr>
            <w:r>
              <w:rPr>
                <w:rFonts w:ascii="Courier New" w:cs="Courier New" w:eastAsia="Courier New" w:hAnsi="Courier New"/>
                <w:sz w:val="18"/>
                <w:szCs w:val="18"/>
                <w:color w:val="auto"/>
              </w:rPr>
              <w:t>$</w:t>
            </w:r>
          </w:p>
        </w:tc>
        <w:tc>
          <w:tcPr>
            <w:tcW w:w="116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(.08)</w:t>
            </w:r>
          </w:p>
        </w:tc>
        <w:tc>
          <w:tcPr>
            <w:tcW w:w="480" w:type="dxa"/>
            <w:vAlign w:val="bottom"/>
          </w:tcPr>
          <w:p>
            <w:pPr>
              <w:spacing w:after="0"/>
              <w:rPr>
                <w:sz w:val="24"/>
                <w:szCs w:val="24"/>
                <w:color w:val="auto"/>
              </w:rPr>
            </w:pPr>
          </w:p>
        </w:tc>
        <w:tc>
          <w:tcPr>
            <w:tcW w:w="9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(.17)</w:t>
            </w:r>
          </w:p>
        </w:tc>
      </w:tr>
    </w:tbl>
    <w:p>
      <w:pPr>
        <w:spacing w:after="0" w:line="200" w:lineRule="exact"/>
        <w:rPr>
          <w:sz w:val="20"/>
          <w:szCs w:val="20"/>
          <w:color w:val="auto"/>
        </w:rPr>
      </w:pPr>
    </w:p>
    <w:p>
      <w:pPr>
        <w:spacing w:after="0" w:line="204" w:lineRule="exact"/>
        <w:rPr>
          <w:sz w:val="20"/>
          <w:szCs w:val="20"/>
          <w:color w:val="auto"/>
        </w:rPr>
      </w:pPr>
    </w:p>
    <w:p>
      <w:pPr>
        <w:jc w:val="center"/>
        <w:ind w:right="1779"/>
        <w:spacing w:after="0"/>
        <w:rPr>
          <w:sz w:val="20"/>
          <w:szCs w:val="20"/>
          <w:color w:val="auto"/>
        </w:rPr>
      </w:pPr>
      <w:r>
        <w:rPr>
          <w:rFonts w:ascii="Courier New" w:cs="Courier New" w:eastAsia="Courier New" w:hAnsi="Courier New"/>
          <w:sz w:val="18"/>
          <w:szCs w:val="18"/>
          <w:color w:val="auto"/>
        </w:rPr>
        <w:t>Computation of Weighted Average Number</w:t>
      </w:r>
    </w:p>
    <w:p>
      <w:pPr>
        <w:jc w:val="center"/>
        <w:ind w:right="1779"/>
        <w:spacing w:after="0" w:line="238" w:lineRule="auto"/>
        <w:rPr>
          <w:sz w:val="20"/>
          <w:szCs w:val="20"/>
          <w:color w:val="auto"/>
        </w:rPr>
      </w:pPr>
      <w:r>
        <w:rPr>
          <w:rFonts w:ascii="Courier New" w:cs="Courier New" w:eastAsia="Courier New" w:hAnsi="Courier New"/>
          <w:sz w:val="18"/>
          <w:szCs w:val="18"/>
          <w:color w:val="auto"/>
        </w:rPr>
        <w:t>of Common Shares Outstanding (Unaudited)</w:t>
      </w:r>
    </w:p>
    <w:p>
      <w:pPr>
        <w:spacing w:after="0" w:line="200" w:lineRule="exact"/>
        <w:rPr>
          <w:sz w:val="20"/>
          <w:szCs w:val="20"/>
          <w:color w:val="auto"/>
        </w:rPr>
      </w:pPr>
    </w:p>
    <w:p>
      <w:pPr>
        <w:spacing w:after="0" w:line="210" w:lineRule="exact"/>
        <w:rPr>
          <w:sz w:val="20"/>
          <w:szCs w:val="20"/>
          <w:color w:val="auto"/>
        </w:rPr>
      </w:pPr>
    </w:p>
    <w:p>
      <w:pPr>
        <w:ind w:left="5160"/>
        <w:spacing w:after="0"/>
        <w:rPr>
          <w:sz w:val="20"/>
          <w:szCs w:val="20"/>
          <w:color w:val="auto"/>
        </w:rPr>
      </w:pPr>
      <w:r>
        <w:rPr>
          <w:rFonts w:ascii="Courier New" w:cs="Courier New" w:eastAsia="Courier New" w:hAnsi="Courier New"/>
          <w:sz w:val="16"/>
          <w:szCs w:val="16"/>
          <w:color w:val="auto"/>
        </w:rPr>
        <w:t>For the Three Months Ended</w:t>
      </w:r>
    </w:p>
    <w:p>
      <w:pPr>
        <w:spacing w:after="0" w:line="16" w:lineRule="exact"/>
        <w:rPr>
          <w:sz w:val="20"/>
          <w:szCs w:val="20"/>
          <w:color w:val="auto"/>
        </w:rPr>
      </w:pPr>
    </w:p>
    <w:p>
      <w:pPr>
        <w:ind w:left="5160"/>
        <w:spacing w:after="0"/>
        <w:tabs>
          <w:tab w:leader="none" w:pos="6720" w:val="left"/>
        </w:tabs>
        <w:rPr>
          <w:sz w:val="20"/>
          <w:szCs w:val="20"/>
          <w:color w:val="auto"/>
        </w:rPr>
      </w:pPr>
      <w:r>
        <w:rPr>
          <w:rFonts w:ascii="Courier New" w:cs="Courier New" w:eastAsia="Courier New" w:hAnsi="Courier New"/>
          <w:sz w:val="18"/>
          <w:szCs w:val="18"/>
          <w:color w:val="auto"/>
        </w:rPr>
        <w:t>January 1</w:t>
      </w:r>
      <w:r>
        <w:rPr>
          <w:sz w:val="20"/>
          <w:szCs w:val="20"/>
          <w:color w:val="auto"/>
        </w:rPr>
        <w:tab/>
      </w:r>
      <w:r>
        <w:rPr>
          <w:rFonts w:ascii="Courier New" w:cs="Courier New" w:eastAsia="Courier New" w:hAnsi="Courier New"/>
          <w:sz w:val="16"/>
          <w:szCs w:val="16"/>
          <w:color w:val="auto"/>
        </w:rPr>
        <w:t>December 31</w:t>
      </w:r>
    </w:p>
    <w:p>
      <w:pPr>
        <w:ind w:left="5380"/>
        <w:spacing w:after="0" w:line="238" w:lineRule="auto"/>
        <w:tabs>
          <w:tab w:leader="none" w:pos="7160" w:val="left"/>
        </w:tabs>
        <w:rPr>
          <w:sz w:val="20"/>
          <w:szCs w:val="20"/>
          <w:color w:val="auto"/>
        </w:rPr>
      </w:pPr>
      <w:r>
        <w:rPr>
          <w:rFonts w:ascii="Courier New" w:cs="Courier New" w:eastAsia="Courier New" w:hAnsi="Courier New"/>
          <w:sz w:val="18"/>
          <w:szCs w:val="18"/>
          <w:color w:val="auto"/>
        </w:rPr>
        <w:t>1994</w:t>
      </w:r>
      <w:r>
        <w:rPr>
          <w:sz w:val="20"/>
          <w:szCs w:val="20"/>
          <w:color w:val="auto"/>
        </w:rPr>
        <w:tab/>
      </w:r>
      <w:r>
        <w:rPr>
          <w:rFonts w:ascii="Courier New" w:cs="Courier New" w:eastAsia="Courier New" w:hAnsi="Courier New"/>
          <w:sz w:val="18"/>
          <w:szCs w:val="18"/>
          <w:color w:val="auto"/>
        </w:rPr>
        <w:t>1994</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Weighted average number of</w:t>
      </w:r>
    </w:p>
    <w:p>
      <w:pPr>
        <w:ind w:left="320"/>
        <w:spacing w:after="0" w:line="238" w:lineRule="auto"/>
        <w:rPr>
          <w:sz w:val="20"/>
          <w:szCs w:val="20"/>
          <w:color w:val="auto"/>
        </w:rPr>
      </w:pPr>
      <w:r>
        <w:rPr>
          <w:rFonts w:ascii="Courier New" w:cs="Courier New" w:eastAsia="Courier New" w:hAnsi="Courier New"/>
          <w:sz w:val="18"/>
          <w:szCs w:val="18"/>
          <w:color w:val="auto"/>
        </w:rPr>
        <w:t>shares for computing net loss</w:t>
      </w:r>
    </w:p>
    <w:p>
      <w:pPr>
        <w:sectPr>
          <w:pgSz w:w="11900" w:h="16838" w:orient="portrait"/>
          <w:cols w:equalWidth="0" w:num="1">
            <w:col w:w="10219"/>
          </w:cols>
          <w:pgMar w:left="240" w:top="136" w:right="1440" w:bottom="1440" w:gutter="0" w:footer="0" w:header="0"/>
        </w:sectPr>
      </w:pPr>
    </w:p>
    <w:p>
      <w:pPr>
        <w:spacing w:after="0" w:line="5" w:lineRule="exact"/>
        <w:rPr>
          <w:sz w:val="20"/>
          <w:szCs w:val="20"/>
          <w:color w:val="auto"/>
        </w:rPr>
      </w:pPr>
    </w:p>
    <w:p>
      <w:pPr>
        <w:ind w:left="320"/>
        <w:spacing w:after="0"/>
        <w:rPr>
          <w:sz w:val="20"/>
          <w:szCs w:val="20"/>
          <w:color w:val="auto"/>
        </w:rPr>
      </w:pPr>
      <w:r>
        <w:rPr>
          <w:rFonts w:ascii="Courier New" w:cs="Courier New" w:eastAsia="Courier New" w:hAnsi="Courier New"/>
          <w:sz w:val="16"/>
          <w:szCs w:val="16"/>
          <w:color w:val="auto"/>
        </w:rPr>
        <w:t>per common share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18,658,535(1)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18,667,064(1)</w:t>
      </w:r>
    </w:p>
    <w:p>
      <w:pPr>
        <w:spacing w:after="0" w:line="200" w:lineRule="exact"/>
        <w:rPr>
          <w:sz w:val="20"/>
          <w:szCs w:val="20"/>
          <w:color w:val="auto"/>
        </w:rPr>
      </w:pPr>
    </w:p>
    <w:p>
      <w:pPr>
        <w:sectPr>
          <w:pgSz w:w="11900" w:h="16838" w:orient="portrait"/>
          <w:cols w:equalWidth="0" w:num="3">
            <w:col w:w="4240" w:space="720"/>
            <w:col w:w="1360" w:space="320"/>
            <w:col w:w="3579"/>
          </w:cols>
          <w:pgMar w:left="240" w:top="136" w:right="1440" w:bottom="1440" w:gutter="0" w:footer="0" w:header="0"/>
          <w:type w:val="continuous"/>
        </w:sect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w:t>
      </w:r>
    </w:p>
    <w:p>
      <w:pPr>
        <w:spacing w:after="0" w:line="4" w:lineRule="exact"/>
        <w:rPr>
          <w:sz w:val="20"/>
          <w:szCs w:val="20"/>
          <w:color w:val="auto"/>
        </w:rPr>
      </w:pPr>
    </w:p>
    <w:p>
      <w:pPr>
        <w:ind w:left="640" w:right="3779" w:hanging="632"/>
        <w:spacing w:after="0" w:line="237" w:lineRule="auto"/>
        <w:tabs>
          <w:tab w:leader="none" w:pos="6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On a fully diluted basis, weighted average shares outstanding did not differ from the primary calculation due to the antidilutive effect of common stock equivalents in a loss period.</w:t>
      </w:r>
    </w:p>
    <w:p>
      <w:pPr>
        <w:sectPr>
          <w:pgSz w:w="11900" w:h="16838" w:orient="portrait"/>
          <w:cols w:equalWidth="0" w:num="1">
            <w:col w:w="10219"/>
          </w:cols>
          <w:pgMar w:left="240" w:top="136" w:right="1440" w:bottom="1440" w:gutter="0" w:footer="0" w:header="0"/>
          <w:type w:val="continuous"/>
        </w:sectPr>
      </w:pPr>
    </w:p>
    <w:bookmarkStart w:id="10" w:name="page11"/>
    <w:bookmarkEnd w:id="10"/>
    <w:p>
      <w:pPr>
        <w:spacing w:after="0"/>
        <w:rPr>
          <w:sz w:val="20"/>
          <w:szCs w:val="20"/>
          <w:color w:val="auto"/>
        </w:rPr>
      </w:pPr>
      <w:r>
        <w:rPr>
          <w:rFonts w:ascii="Courier New" w:cs="Courier New" w:eastAsia="Courier New" w:hAnsi="Courier New"/>
          <w:sz w:val="16"/>
          <w:szCs w:val="16"/>
          <w:color w:val="auto"/>
        </w:rPr>
        <w:t>WARNING: THE EDGAR SYSTEM ENCOUNTERED ERROR(S) WHILE PROCESSING THIS SCHEDULE.</w:t>
      </w:r>
    </w:p>
    <w:p>
      <w:pPr>
        <w:sectPr>
          <w:pgSz w:w="11900" w:h="16838" w:orient="portrait"/>
          <w:cols w:equalWidth="0" w:num="1">
            <w:col w:w="10219"/>
          </w:cols>
          <w:pgMar w:left="240" w:top="14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w:t>
      </w:r>
    </w:p>
    <w:p>
      <w:pPr>
        <w:spacing w:after="0" w:line="207" w:lineRule="exact"/>
        <w:rPr>
          <w:sz w:val="20"/>
          <w:szCs w:val="20"/>
          <w:color w:val="auto"/>
        </w:rPr>
      </w:pPr>
    </w:p>
    <w:p>
      <w:pPr>
        <w:ind w:left="40" w:right="2379"/>
        <w:spacing w:after="0" w:line="237" w:lineRule="auto"/>
        <w:rPr>
          <w:sz w:val="20"/>
          <w:szCs w:val="20"/>
          <w:color w:val="auto"/>
        </w:rPr>
      </w:pPr>
      <w:r>
        <w:rPr>
          <w:rFonts w:ascii="Courier New" w:cs="Courier New" w:eastAsia="Courier New" w:hAnsi="Courier New"/>
          <w:sz w:val="18"/>
          <w:szCs w:val="18"/>
          <w:color w:val="auto"/>
        </w:rPr>
        <w:t>This schedule contains summary financial information extracted from the consolidated balance sheets and statements of income of The Scotts Company and is qualified in its entirety by reference to such Form 10-Q for the quarter ended December 31, 1994.</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1000</w:t>
      </w:r>
    </w:p>
    <w:p>
      <w:pPr>
        <w:ind w:left="120"/>
        <w:spacing w:after="0" w:line="238" w:lineRule="auto"/>
        <w:rPr>
          <w:sz w:val="20"/>
          <w:szCs w:val="20"/>
          <w:color w:val="auto"/>
        </w:rPr>
      </w:pPr>
      <w:r>
        <w:rPr>
          <w:rFonts w:ascii="Courier New" w:cs="Courier New" w:eastAsia="Courier New" w:hAnsi="Courier New"/>
          <w:sz w:val="18"/>
          <w:szCs w:val="18"/>
          <w:color w:val="auto"/>
        </w:rPr>
        <w:t>U.S. DOLLARS</w:t>
      </w:r>
    </w:p>
    <w:p>
      <w:pPr>
        <w:spacing w:after="0" w:line="200" w:lineRule="exact"/>
        <w:rPr>
          <w:sz w:val="20"/>
          <w:szCs w:val="20"/>
          <w:color w:val="auto"/>
        </w:rPr>
      </w:pPr>
    </w:p>
    <w:p>
      <w:pPr>
        <w:spacing w:after="0" w:line="204"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QTR-1</w:t>
      </w:r>
    </w:p>
    <w:p>
      <w:pPr>
        <w:ind w:left="2740"/>
        <w:spacing w:after="0" w:line="238" w:lineRule="auto"/>
        <w:rPr>
          <w:sz w:val="20"/>
          <w:szCs w:val="20"/>
          <w:color w:val="auto"/>
        </w:rPr>
      </w:pPr>
      <w:r>
        <w:rPr>
          <w:rFonts w:ascii="Courier New" w:cs="Courier New" w:eastAsia="Courier New" w:hAnsi="Courier New"/>
          <w:sz w:val="18"/>
          <w:szCs w:val="18"/>
          <w:color w:val="auto"/>
        </w:rPr>
        <w:t>SEP-30-1995</w:t>
      </w:r>
    </w:p>
    <w:p>
      <w:pPr>
        <w:ind w:left="3060"/>
        <w:spacing w:after="0"/>
        <w:rPr>
          <w:sz w:val="20"/>
          <w:szCs w:val="20"/>
          <w:color w:val="auto"/>
        </w:rPr>
      </w:pPr>
      <w:r>
        <w:rPr>
          <w:rFonts w:ascii="Courier New" w:cs="Courier New" w:eastAsia="Courier New" w:hAnsi="Courier New"/>
          <w:sz w:val="18"/>
          <w:szCs w:val="18"/>
          <w:color w:val="auto"/>
        </w:rPr>
        <w:t>OCT-01-1994</w:t>
      </w:r>
    </w:p>
    <w:p>
      <w:pPr>
        <w:ind w:left="3280"/>
        <w:spacing w:after="0" w:line="237" w:lineRule="auto"/>
        <w:rPr>
          <w:sz w:val="20"/>
          <w:szCs w:val="20"/>
          <w:color w:val="auto"/>
        </w:rPr>
      </w:pPr>
      <w:r>
        <w:rPr>
          <w:rFonts w:ascii="Courier New" w:cs="Courier New" w:eastAsia="Courier New" w:hAnsi="Courier New"/>
          <w:sz w:val="18"/>
          <w:szCs w:val="18"/>
          <w:color w:val="auto"/>
        </w:rPr>
        <w:t>DEC-31-1994</w:t>
      </w:r>
    </w:p>
    <w:p>
      <w:pPr>
        <w:ind w:left="4020"/>
        <w:spacing w:after="0" w:line="238" w:lineRule="auto"/>
        <w:rPr>
          <w:sz w:val="20"/>
          <w:szCs w:val="20"/>
          <w:color w:val="auto"/>
        </w:rPr>
      </w:pPr>
      <w:r>
        <w:rPr>
          <w:rFonts w:ascii="Courier New" w:cs="Courier New" w:eastAsia="Courier New" w:hAnsi="Courier New"/>
          <w:sz w:val="18"/>
          <w:szCs w:val="18"/>
          <w:color w:val="auto"/>
        </w:rPr>
        <w:t>1</w:t>
      </w:r>
    </w:p>
    <w:p>
      <w:pPr>
        <w:ind w:left="4540"/>
        <w:spacing w:after="0"/>
        <w:rPr>
          <w:sz w:val="20"/>
          <w:szCs w:val="20"/>
          <w:color w:val="auto"/>
        </w:rPr>
      </w:pPr>
      <w:r>
        <w:rPr>
          <w:rFonts w:ascii="Courier New" w:cs="Courier New" w:eastAsia="Courier New" w:hAnsi="Courier New"/>
          <w:sz w:val="18"/>
          <w:szCs w:val="18"/>
          <w:color w:val="auto"/>
        </w:rPr>
        <w:t>5,410</w:t>
      </w:r>
    </w:p>
    <w:p>
      <w:pPr>
        <w:ind w:left="4320"/>
        <w:spacing w:after="0" w:line="237" w:lineRule="auto"/>
        <w:rPr>
          <w:sz w:val="20"/>
          <w:szCs w:val="20"/>
          <w:color w:val="auto"/>
        </w:rPr>
      </w:pPr>
      <w:r>
        <w:rPr>
          <w:rFonts w:ascii="Courier New" w:cs="Courier New" w:eastAsia="Courier New" w:hAnsi="Courier New"/>
          <w:sz w:val="18"/>
          <w:szCs w:val="18"/>
          <w:color w:val="auto"/>
        </w:rPr>
        <w:t>0</w:t>
      </w:r>
    </w:p>
    <w:p>
      <w:pPr>
        <w:ind w:left="3580"/>
        <w:spacing w:after="0"/>
        <w:rPr>
          <w:sz w:val="20"/>
          <w:szCs w:val="20"/>
          <w:color w:val="auto"/>
        </w:rPr>
      </w:pPr>
      <w:r>
        <w:rPr>
          <w:rFonts w:ascii="Courier New" w:cs="Courier New" w:eastAsia="Courier New" w:hAnsi="Courier New"/>
          <w:sz w:val="18"/>
          <w:szCs w:val="18"/>
          <w:color w:val="auto"/>
        </w:rPr>
        <w:t>131,667</w:t>
      </w:r>
    </w:p>
    <w:p>
      <w:pPr>
        <w:ind w:left="3900"/>
        <w:spacing w:after="0" w:line="237" w:lineRule="auto"/>
        <w:rPr>
          <w:sz w:val="20"/>
          <w:szCs w:val="20"/>
          <w:color w:val="auto"/>
        </w:rPr>
      </w:pPr>
      <w:r>
        <w:rPr>
          <w:rFonts w:ascii="Courier New" w:cs="Courier New" w:eastAsia="Courier New" w:hAnsi="Courier New"/>
          <w:sz w:val="18"/>
          <w:szCs w:val="18"/>
          <w:color w:val="auto"/>
        </w:rPr>
        <w:t>3,213</w:t>
      </w:r>
    </w:p>
    <w:p>
      <w:pPr>
        <w:ind w:left="3800"/>
        <w:spacing w:after="0"/>
        <w:rPr>
          <w:sz w:val="20"/>
          <w:szCs w:val="20"/>
          <w:color w:val="auto"/>
        </w:rPr>
      </w:pPr>
      <w:r>
        <w:rPr>
          <w:rFonts w:ascii="Courier New" w:cs="Courier New" w:eastAsia="Courier New" w:hAnsi="Courier New"/>
          <w:sz w:val="18"/>
          <w:szCs w:val="18"/>
          <w:color w:val="auto"/>
        </w:rPr>
        <w:t>145,095</w:t>
      </w:r>
    </w:p>
    <w:p>
      <w:pPr>
        <w:ind w:left="3280"/>
        <w:spacing w:after="0" w:line="237" w:lineRule="auto"/>
        <w:rPr>
          <w:sz w:val="20"/>
          <w:szCs w:val="20"/>
          <w:color w:val="auto"/>
        </w:rPr>
      </w:pPr>
      <w:r>
        <w:rPr>
          <w:rFonts w:ascii="Courier New" w:cs="Courier New" w:eastAsia="Courier New" w:hAnsi="Courier New"/>
          <w:sz w:val="18"/>
          <w:szCs w:val="18"/>
          <w:color w:val="auto"/>
        </w:rPr>
        <w:t>298,694</w:t>
      </w:r>
    </w:p>
    <w:p>
      <w:pPr>
        <w:ind w:left="4320"/>
        <w:spacing w:after="0" w:line="238" w:lineRule="auto"/>
        <w:rPr>
          <w:sz w:val="20"/>
          <w:szCs w:val="20"/>
          <w:color w:val="auto"/>
        </w:rPr>
      </w:pPr>
      <w:r>
        <w:rPr>
          <w:rFonts w:ascii="Courier New" w:cs="Courier New" w:eastAsia="Courier New" w:hAnsi="Courier New"/>
          <w:sz w:val="18"/>
          <w:szCs w:val="18"/>
          <w:color w:val="auto"/>
        </w:rPr>
        <w:t>212,174</w:t>
      </w:r>
    </w:p>
    <w:p>
      <w:pPr>
        <w:ind w:left="3580"/>
        <w:spacing w:after="0"/>
        <w:rPr>
          <w:sz w:val="20"/>
          <w:szCs w:val="20"/>
          <w:color w:val="auto"/>
        </w:rPr>
      </w:pPr>
      <w:r>
        <w:rPr>
          <w:rFonts w:ascii="Courier New" w:cs="Courier New" w:eastAsia="Courier New" w:hAnsi="Courier New"/>
          <w:sz w:val="18"/>
          <w:szCs w:val="18"/>
          <w:color w:val="auto"/>
        </w:rPr>
        <w:t>70,618</w:t>
      </w:r>
    </w:p>
    <w:p>
      <w:pPr>
        <w:ind w:left="3480"/>
        <w:spacing w:after="0" w:line="237" w:lineRule="auto"/>
        <w:rPr>
          <w:sz w:val="20"/>
          <w:szCs w:val="20"/>
          <w:color w:val="auto"/>
        </w:rPr>
      </w:pPr>
      <w:r>
        <w:rPr>
          <w:rFonts w:ascii="Courier New" w:cs="Courier New" w:eastAsia="Courier New" w:hAnsi="Courier New"/>
          <w:sz w:val="18"/>
          <w:szCs w:val="18"/>
          <w:color w:val="auto"/>
        </w:rPr>
        <w:t>576,618</w:t>
      </w:r>
    </w:p>
    <w:p>
      <w:pPr>
        <w:ind w:left="2740"/>
        <w:spacing w:after="0"/>
        <w:rPr>
          <w:sz w:val="20"/>
          <w:szCs w:val="20"/>
          <w:color w:val="auto"/>
        </w:rPr>
      </w:pPr>
      <w:r>
        <w:rPr>
          <w:rFonts w:ascii="Courier New" w:cs="Courier New" w:eastAsia="Courier New" w:hAnsi="Courier New"/>
          <w:sz w:val="18"/>
          <w:szCs w:val="18"/>
          <w:color w:val="auto"/>
        </w:rPr>
        <w:t>163,267</w:t>
      </w:r>
    </w:p>
    <w:p>
      <w:pPr>
        <w:jc w:val="center"/>
        <w:ind w:right="399"/>
        <w:spacing w:after="0" w:line="237" w:lineRule="auto"/>
        <w:rPr>
          <w:sz w:val="20"/>
          <w:szCs w:val="20"/>
          <w:color w:val="auto"/>
        </w:rPr>
      </w:pPr>
      <w:r>
        <w:rPr>
          <w:rFonts w:ascii="Courier New" w:cs="Courier New" w:eastAsia="Courier New" w:hAnsi="Courier New"/>
          <w:sz w:val="18"/>
          <w:szCs w:val="18"/>
          <w:color w:val="auto"/>
        </w:rPr>
        <w:t>0</w:t>
      </w:r>
    </w:p>
    <w:p>
      <w:pPr>
        <w:ind w:left="4540"/>
        <w:spacing w:after="0"/>
        <w:rPr>
          <w:sz w:val="20"/>
          <w:szCs w:val="20"/>
          <w:color w:val="auto"/>
        </w:rPr>
      </w:pPr>
      <w:r>
        <w:rPr>
          <w:rFonts w:ascii="Courier New" w:cs="Courier New" w:eastAsia="Courier New" w:hAnsi="Courier New"/>
          <w:sz w:val="18"/>
          <w:szCs w:val="18"/>
          <w:color w:val="auto"/>
        </w:rPr>
        <w:t>211</w:t>
      </w:r>
    </w:p>
    <w:p>
      <w:pPr>
        <w:ind w:left="3380"/>
        <w:spacing w:after="0" w:line="237" w:lineRule="auto"/>
        <w:rPr>
          <w:sz w:val="20"/>
          <w:szCs w:val="20"/>
          <w:color w:val="auto"/>
        </w:rPr>
      </w:pPr>
      <w:r>
        <w:rPr>
          <w:rFonts w:ascii="Courier New" w:cs="Courier New" w:eastAsia="Courier New" w:hAnsi="Courier New"/>
          <w:sz w:val="18"/>
          <w:szCs w:val="18"/>
          <w:color w:val="auto"/>
        </w:rPr>
        <w:t>0</w:t>
      </w:r>
    </w:p>
    <w:p>
      <w:pPr>
        <w:ind w:left="4440"/>
        <w:spacing w:after="0" w:line="238" w:lineRule="auto"/>
        <w:rPr>
          <w:sz w:val="20"/>
          <w:szCs w:val="20"/>
          <w:color w:val="auto"/>
        </w:rPr>
      </w:pPr>
      <w:r>
        <w:rPr>
          <w:rFonts w:ascii="Courier New" w:cs="Courier New" w:eastAsia="Courier New" w:hAnsi="Courier New"/>
          <w:sz w:val="18"/>
          <w:szCs w:val="18"/>
          <w:color w:val="auto"/>
        </w:rPr>
        <w:t>0</w:t>
      </w:r>
    </w:p>
    <w:p>
      <w:pPr>
        <w:ind w:left="3900"/>
        <w:spacing w:after="0"/>
        <w:rPr>
          <w:sz w:val="20"/>
          <w:szCs w:val="20"/>
          <w:color w:val="auto"/>
        </w:rPr>
      </w:pPr>
      <w:r>
        <w:rPr>
          <w:rFonts w:ascii="Courier New" w:cs="Courier New" w:eastAsia="Courier New" w:hAnsi="Courier New"/>
          <w:sz w:val="18"/>
          <w:szCs w:val="18"/>
          <w:color w:val="auto"/>
        </w:rPr>
        <w:t>164,850</w:t>
      </w:r>
    </w:p>
    <w:p>
      <w:pPr>
        <w:ind w:left="2000"/>
        <w:spacing w:after="0" w:line="237" w:lineRule="auto"/>
        <w:rPr>
          <w:sz w:val="20"/>
          <w:szCs w:val="20"/>
          <w:color w:val="auto"/>
        </w:rPr>
      </w:pPr>
      <w:r>
        <w:rPr>
          <w:rFonts w:ascii="Courier New" w:cs="Courier New" w:eastAsia="Courier New" w:hAnsi="Courier New"/>
          <w:sz w:val="18"/>
          <w:szCs w:val="18"/>
          <w:color w:val="auto"/>
        </w:rPr>
        <w:t>576,618</w:t>
      </w:r>
    </w:p>
    <w:p>
      <w:pPr>
        <w:ind w:left="4320"/>
        <w:spacing w:after="0"/>
        <w:rPr>
          <w:sz w:val="20"/>
          <w:szCs w:val="20"/>
          <w:color w:val="auto"/>
        </w:rPr>
      </w:pPr>
      <w:r>
        <w:rPr>
          <w:rFonts w:ascii="Courier New" w:cs="Courier New" w:eastAsia="Courier New" w:hAnsi="Courier New"/>
          <w:sz w:val="18"/>
          <w:szCs w:val="18"/>
          <w:color w:val="auto"/>
        </w:rPr>
        <w:t>98,019</w:t>
      </w:r>
    </w:p>
    <w:p>
      <w:pPr>
        <w:ind w:left="3380"/>
        <w:spacing w:after="0" w:line="237" w:lineRule="auto"/>
        <w:rPr>
          <w:sz w:val="20"/>
          <w:szCs w:val="20"/>
          <w:color w:val="auto"/>
        </w:rPr>
      </w:pPr>
      <w:r>
        <w:rPr>
          <w:rFonts w:ascii="Courier New" w:cs="Courier New" w:eastAsia="Courier New" w:hAnsi="Courier New"/>
          <w:sz w:val="18"/>
          <w:szCs w:val="18"/>
          <w:color w:val="auto"/>
        </w:rPr>
        <w:t>98,182</w:t>
      </w:r>
    </w:p>
    <w:p>
      <w:pPr>
        <w:ind w:left="4540"/>
        <w:spacing w:after="0"/>
        <w:rPr>
          <w:sz w:val="20"/>
          <w:szCs w:val="20"/>
          <w:color w:val="auto"/>
        </w:rPr>
      </w:pPr>
      <w:r>
        <w:rPr>
          <w:rFonts w:ascii="Courier New" w:cs="Courier New" w:eastAsia="Courier New" w:hAnsi="Courier New"/>
          <w:sz w:val="18"/>
          <w:szCs w:val="18"/>
          <w:color w:val="auto"/>
        </w:rPr>
        <w:t>53,520</w:t>
      </w:r>
    </w:p>
    <w:p>
      <w:pPr>
        <w:ind w:left="3700"/>
        <w:spacing w:after="0" w:line="237" w:lineRule="auto"/>
        <w:rPr>
          <w:sz w:val="20"/>
          <w:szCs w:val="20"/>
          <w:color w:val="auto"/>
        </w:rPr>
      </w:pPr>
      <w:r>
        <w:rPr>
          <w:rFonts w:ascii="Courier New" w:cs="Courier New" w:eastAsia="Courier New" w:hAnsi="Courier New"/>
          <w:sz w:val="18"/>
          <w:szCs w:val="18"/>
          <w:color w:val="auto"/>
        </w:rPr>
        <w:t>96,694</w:t>
      </w:r>
    </w:p>
    <w:p>
      <w:pPr>
        <w:ind w:left="3480"/>
        <w:spacing w:after="0"/>
        <w:rPr>
          <w:sz w:val="20"/>
          <w:szCs w:val="20"/>
          <w:color w:val="auto"/>
        </w:rPr>
      </w:pPr>
      <w:r>
        <w:rPr>
          <w:rFonts w:ascii="Courier New" w:cs="Courier New" w:eastAsia="Courier New" w:hAnsi="Courier New"/>
          <w:sz w:val="18"/>
          <w:szCs w:val="18"/>
          <w:color w:val="auto"/>
        </w:rPr>
        <w:t>1,158</w:t>
      </w:r>
    </w:p>
    <w:p>
      <w:pPr>
        <w:ind w:left="3900"/>
        <w:spacing w:after="0" w:line="237" w:lineRule="auto"/>
        <w:rPr>
          <w:sz w:val="20"/>
          <w:szCs w:val="20"/>
          <w:color w:val="auto"/>
        </w:rPr>
      </w:pPr>
      <w:r>
        <w:rPr>
          <w:rFonts w:ascii="Courier New" w:cs="Courier New" w:eastAsia="Courier New" w:hAnsi="Courier New"/>
          <w:sz w:val="18"/>
          <w:szCs w:val="18"/>
          <w:color w:val="auto"/>
        </w:rPr>
        <w:t>0</w:t>
      </w:r>
    </w:p>
    <w:p>
      <w:pPr>
        <w:ind w:left="3280"/>
        <w:spacing w:after="0" w:line="238" w:lineRule="auto"/>
        <w:rPr>
          <w:sz w:val="20"/>
          <w:szCs w:val="20"/>
          <w:color w:val="auto"/>
        </w:rPr>
      </w:pPr>
      <w:r>
        <w:rPr>
          <w:rFonts w:ascii="Courier New" w:cs="Courier New" w:eastAsia="Courier New" w:hAnsi="Courier New"/>
          <w:sz w:val="18"/>
          <w:szCs w:val="18"/>
          <w:color w:val="auto"/>
        </w:rPr>
        <w:t>5,694</w:t>
      </w:r>
    </w:p>
    <w:p>
      <w:pPr>
        <w:ind w:left="3380"/>
        <w:spacing w:after="0"/>
        <w:rPr>
          <w:sz w:val="20"/>
          <w:szCs w:val="20"/>
          <w:color w:val="auto"/>
        </w:rPr>
      </w:pPr>
      <w:r>
        <w:rPr>
          <w:rFonts w:ascii="Courier New" w:cs="Courier New" w:eastAsia="Courier New" w:hAnsi="Courier New"/>
          <w:sz w:val="18"/>
          <w:szCs w:val="18"/>
          <w:color w:val="auto"/>
        </w:rPr>
        <w:t>(5,364)</w:t>
      </w:r>
    </w:p>
    <w:p>
      <w:pPr>
        <w:ind w:left="3700"/>
        <w:spacing w:after="0" w:line="237" w:lineRule="auto"/>
        <w:rPr>
          <w:sz w:val="20"/>
          <w:szCs w:val="20"/>
          <w:color w:val="auto"/>
        </w:rPr>
      </w:pPr>
      <w:r>
        <w:rPr>
          <w:rFonts w:ascii="Courier New" w:cs="Courier New" w:eastAsia="Courier New" w:hAnsi="Courier New"/>
          <w:sz w:val="18"/>
          <w:szCs w:val="18"/>
          <w:color w:val="auto"/>
        </w:rPr>
        <w:t>(2,226)</w:t>
      </w:r>
    </w:p>
    <w:p>
      <w:pPr>
        <w:ind w:left="2960"/>
        <w:spacing w:after="0"/>
        <w:rPr>
          <w:sz w:val="20"/>
          <w:szCs w:val="20"/>
          <w:color w:val="auto"/>
        </w:rPr>
      </w:pPr>
      <w:r>
        <w:rPr>
          <w:rFonts w:ascii="Courier New" w:cs="Courier New" w:eastAsia="Courier New" w:hAnsi="Courier New"/>
          <w:sz w:val="18"/>
          <w:szCs w:val="18"/>
          <w:color w:val="auto"/>
        </w:rPr>
        <w:t>(3,138)</w:t>
      </w:r>
    </w:p>
    <w:p>
      <w:pPr>
        <w:ind w:left="4120"/>
        <w:spacing w:after="0" w:line="237" w:lineRule="auto"/>
        <w:rPr>
          <w:sz w:val="20"/>
          <w:szCs w:val="20"/>
          <w:color w:val="auto"/>
        </w:rPr>
      </w:pPr>
      <w:r>
        <w:rPr>
          <w:rFonts w:ascii="Courier New" w:cs="Courier New" w:eastAsia="Courier New" w:hAnsi="Courier New"/>
          <w:sz w:val="18"/>
          <w:szCs w:val="18"/>
          <w:color w:val="auto"/>
        </w:rPr>
        <w:t>0</w:t>
      </w:r>
    </w:p>
    <w:p>
      <w:pPr>
        <w:ind w:left="4020"/>
        <w:spacing w:after="0"/>
        <w:rPr>
          <w:sz w:val="20"/>
          <w:szCs w:val="20"/>
          <w:color w:val="auto"/>
        </w:rPr>
      </w:pPr>
      <w:r>
        <w:rPr>
          <w:rFonts w:ascii="Courier New" w:cs="Courier New" w:eastAsia="Courier New" w:hAnsi="Courier New"/>
          <w:sz w:val="18"/>
          <w:szCs w:val="18"/>
          <w:color w:val="auto"/>
        </w:rPr>
        <w:t>0</w:t>
      </w:r>
    </w:p>
    <w:p>
      <w:pPr>
        <w:ind w:left="4640"/>
        <w:spacing w:after="0" w:line="237" w:lineRule="auto"/>
        <w:rPr>
          <w:sz w:val="20"/>
          <w:szCs w:val="20"/>
          <w:color w:val="auto"/>
        </w:rPr>
      </w:pPr>
      <w:r>
        <w:rPr>
          <w:rFonts w:ascii="Courier New" w:cs="Courier New" w:eastAsia="Courier New" w:hAnsi="Courier New"/>
          <w:sz w:val="18"/>
          <w:szCs w:val="18"/>
          <w:color w:val="auto"/>
        </w:rPr>
        <w:t>0</w:t>
      </w:r>
    </w:p>
    <w:p>
      <w:pPr>
        <w:jc w:val="center"/>
        <w:ind w:right="2079"/>
        <w:spacing w:after="0" w:line="238" w:lineRule="auto"/>
        <w:rPr>
          <w:sz w:val="20"/>
          <w:szCs w:val="20"/>
          <w:color w:val="auto"/>
        </w:rPr>
      </w:pPr>
      <w:r>
        <w:rPr>
          <w:rFonts w:ascii="Courier New" w:cs="Courier New" w:eastAsia="Courier New" w:hAnsi="Courier New"/>
          <w:sz w:val="18"/>
          <w:szCs w:val="18"/>
          <w:color w:val="auto"/>
        </w:rPr>
        <w:t>(3,138)</w:t>
      </w:r>
    </w:p>
    <w:p>
      <w:pPr>
        <w:jc w:val="center"/>
        <w:ind w:right="2079"/>
        <w:spacing w:after="0"/>
        <w:rPr>
          <w:sz w:val="20"/>
          <w:szCs w:val="20"/>
          <w:color w:val="auto"/>
        </w:rPr>
      </w:pPr>
      <w:r>
        <w:rPr>
          <w:rFonts w:ascii="Courier New" w:cs="Courier New" w:eastAsia="Courier New" w:hAnsi="Courier New"/>
          <w:sz w:val="18"/>
          <w:szCs w:val="18"/>
          <w:color w:val="auto"/>
        </w:rPr>
        <w:t>(.17)</w:t>
      </w:r>
    </w:p>
    <w:p>
      <w:pPr>
        <w:jc w:val="center"/>
        <w:ind w:right="2079"/>
        <w:spacing w:after="0" w:line="237" w:lineRule="auto"/>
        <w:rPr>
          <w:sz w:val="20"/>
          <w:szCs w:val="20"/>
          <w:color w:val="auto"/>
        </w:rPr>
      </w:pPr>
      <w:r>
        <w:rPr>
          <w:rFonts w:ascii="Courier New" w:cs="Courier New" w:eastAsia="Courier New" w:hAnsi="Courier New"/>
          <w:sz w:val="18"/>
          <w:szCs w:val="18"/>
          <w:color w:val="auto"/>
        </w:rPr>
        <w:t>(.17)</w:t>
      </w:r>
    </w:p>
    <w:sectPr>
      <w:pgSz w:w="11900" w:h="16838" w:orient="portrait"/>
      <w:cols w:equalWidth="0" w:num="1">
        <w:col w:w="10219"/>
      </w:cols>
      <w:pgMar w:left="240" w:top="142"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upperLetter"/>
      <w:start w:val="24"/>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1."/>
      <w:numFmt w:val="decimal"/>
      <w:start w:val="1"/>
    </w:lvl>
  </w:abstractNum>
  <w:abstractNum w:abstractNumId="3">
    <w:nsid w:val="2EB141F2"/>
    <w:multiLevelType w:val="hybridMultilevel"/>
    <w:lvl w:ilvl="0">
      <w:lvlJc w:val="left"/>
      <w:lvlText w:val="%1."/>
      <w:numFmt w:val="decimal"/>
      <w:start w:val="2"/>
    </w:lvl>
  </w:abstractNum>
  <w:abstractNum w:abstractNumId="4">
    <w:nsid w:val="41B71EFB"/>
    <w:multiLevelType w:val="hybridMultilevel"/>
    <w:lvl w:ilvl="0">
      <w:lvlJc w:val="left"/>
      <w:lvlText w:val="%1."/>
      <w:numFmt w:val="decimal"/>
      <w:start w:val="3"/>
    </w:lvl>
  </w:abstractNum>
  <w:abstractNum w:abstractNumId="5">
    <w:nsid w:val="79E2A9E3"/>
    <w:multiLevelType w:val="hybridMultilevel"/>
    <w:lvl w:ilvl="0">
      <w:lvlJc w:val="left"/>
      <w:lvlText w:val="%1."/>
      <w:numFmt w:val="decimal"/>
      <w:start w:val="4"/>
    </w:lvl>
  </w:abstractNum>
  <w:abstractNum w:abstractNumId="6">
    <w:nsid w:val="7545E146"/>
    <w:multiLevelType w:val="hybridMultilevel"/>
    <w:lvl w:ilvl="0">
      <w:lvlJc w:val="left"/>
      <w:lvlText w:val="%1."/>
      <w:numFmt w:val="decimal"/>
      <w:start w:val="5"/>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2019-12-19T23:58:30Z</dcterms:created>
  <dcterms:modified xsi:type="dcterms:W3CDTF">2019-12-19T23:58:30Z</dcterms:modified>
</cp:coreProperties>
</file>