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STUMP DENISE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270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Human Resources</w:t>
            </w:r>
          </w:p>
        </w:tc>
        <w:tc>
          <w:tcPr>
            <w:tcW w:w="0" w:type="dxa"/>
            <w:vAlign w:val="bottom"/>
          </w:tcPr>
          <w:p>
            <w:pPr>
              <w:spacing w:after="0"/>
              <w:rPr>
                <w:sz w:val="1"/>
                <w:szCs w:val="1"/>
                <w:color w:val="auto"/>
              </w:rPr>
            </w:pPr>
          </w:p>
        </w:tc>
      </w:tr>
      <w:tr>
        <w:trPr>
          <w:trHeight w:val="222"/>
        </w:trPr>
        <w:tc>
          <w:tcPr>
            <w:tcW w:w="2780" w:type="dxa"/>
            <w:vAlign w:val="bottom"/>
            <w:gridSpan w:val="2"/>
          </w:tcPr>
          <w:p>
            <w:pPr>
              <w:ind w:left="80"/>
              <w:spacing w:after="0"/>
              <w:rPr>
                <w:sz w:val="20"/>
                <w:szCs w:val="20"/>
                <w:color w:val="auto"/>
              </w:rPr>
            </w:pPr>
            <w:r>
              <w:rPr>
                <w:rFonts w:ascii="Arial" w:cs="Arial" w:eastAsia="Arial" w:hAnsi="Arial"/>
                <w:sz w:val="18"/>
                <w:szCs w:val="18"/>
                <w:color w:val="0000FF"/>
              </w:rPr>
              <w:t>12/04/2008</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78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12/08/2008</w:t>
            </w:r>
          </w:p>
        </w:tc>
        <w:tc>
          <w:tcPr>
            <w:tcW w:w="1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620" w:type="dxa"/>
            <w:vAlign w:val="bottom"/>
            <w:gridSpan w:val="2"/>
            <w:vMerge w:val="restart"/>
          </w:tcPr>
          <w:p>
            <w:pPr>
              <w:ind w:left="680"/>
              <w:spacing w:after="0"/>
              <w:rPr>
                <w:sz w:val="20"/>
                <w:szCs w:val="20"/>
                <w:color w:val="auto"/>
              </w:rPr>
            </w:pPr>
            <w:r>
              <w:rPr>
                <w:rFonts w:ascii="Arial" w:cs="Arial" w:eastAsia="Arial" w:hAnsi="Arial"/>
                <w:sz w:val="18"/>
                <w:szCs w:val="18"/>
                <w:color w:val="0000FF"/>
              </w:rPr>
              <w:t>12/04/2008</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0000FF"/>
                <w:w w:val="98"/>
              </w:rPr>
              <w:t>2.0358</w:t>
            </w: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A</w:t>
            </w: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28.5092</w:t>
            </w:r>
          </w:p>
        </w:tc>
        <w:tc>
          <w:tcPr>
            <w:tcW w:w="1220" w:type="dxa"/>
            <w:vAlign w:val="bottom"/>
            <w:gridSpan w:val="2"/>
            <w:vMerge w:val="restart"/>
          </w:tcPr>
          <w:p>
            <w:pPr>
              <w:ind w:left="260"/>
              <w:spacing w:after="0"/>
              <w:rPr>
                <w:sz w:val="20"/>
                <w:szCs w:val="20"/>
                <w:color w:val="auto"/>
              </w:rPr>
            </w:pPr>
            <w:r>
              <w:rPr>
                <w:rFonts w:ascii="Arial" w:cs="Arial" w:eastAsia="Arial" w:hAnsi="Arial"/>
                <w:sz w:val="18"/>
                <w:szCs w:val="18"/>
                <w:color w:val="0000FF"/>
              </w:rPr>
              <w:t>666.7377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were acquired pursuant to the dividend reinvestment feature of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02/04/2009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Denise S. Stump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9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91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68"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Andrew B. Coogle and Kathy 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Uttley, signing singly, the undersigned's true and lawful attorney-in-fact to:</w:t>
      </w:r>
    </w:p>
    <w:p>
      <w:pPr>
        <w:spacing w:after="0" w:line="224" w:lineRule="exact"/>
        <w:rPr>
          <w:sz w:val="20"/>
          <w:szCs w:val="20"/>
          <w:color w:val="auto"/>
        </w:rPr>
      </w:pPr>
    </w:p>
    <w:p>
      <w:pPr>
        <w:ind w:right="24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jc w:val="both"/>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21st day of February, 2003.</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Denise S. Stump</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Denise S. Stump</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30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2019-12-17T17:25:32Z</dcterms:created>
  <dcterms:modified xsi:type="dcterms:W3CDTF">2019-12-17T17:25:32Z</dcterms:modified>
</cp:coreProperties>
</file>