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 w:lineRule="exact"/>
        <w:rPr>
          <w:sz w:val="24"/>
          <w:szCs w:val="24"/>
          <w:color w:val="auto"/>
        </w:rPr>
      </w:pPr>
    </w:p>
    <w:p>
      <w:pPr>
        <w:ind w:left="4140"/>
        <w:spacing w:after="0"/>
        <w:rPr>
          <w:sz w:val="20"/>
          <w:szCs w:val="20"/>
          <w:color w:val="auto"/>
        </w:rPr>
      </w:pPr>
      <w:r>
        <w:rPr>
          <w:rFonts w:ascii="Arial" w:cs="Arial" w:eastAsia="Arial" w:hAnsi="Arial"/>
          <w:sz w:val="14"/>
          <w:szCs w:val="14"/>
          <w:color w:val="auto"/>
        </w:rPr>
        <w:t>_________________________________________</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_________________________________</w:t>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7"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2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For the quarterly period ended December 31, 2022</w:t>
      </w:r>
    </w:p>
    <w:p>
      <w:pPr>
        <w:spacing w:after="0" w:line="11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OR</w:t>
      </w:r>
    </w:p>
    <w:p>
      <w:pPr>
        <w:spacing w:after="0" w:line="153"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color w:val="auto"/>
        </w:rPr>
        <w:t>001-11593</w:t>
      </w:r>
    </w:p>
    <w:p>
      <w:pPr>
        <w:spacing w:after="0" w:line="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____________________________________</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Scotts Miracle-Gro Company</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7" w:lineRule="exact"/>
        <w:rPr>
          <w:sz w:val="24"/>
          <w:szCs w:val="24"/>
          <w:color w:val="auto"/>
        </w:rPr>
      </w:pPr>
    </w:p>
    <w:p>
      <w:pPr>
        <w:ind w:left="3640"/>
        <w:spacing w:after="0"/>
        <w:rPr>
          <w:sz w:val="20"/>
          <w:szCs w:val="20"/>
          <w:color w:val="auto"/>
        </w:rPr>
      </w:pPr>
      <w:r>
        <w:rPr>
          <w:rFonts w:ascii="Arial" w:cs="Arial" w:eastAsia="Arial" w:hAnsi="Arial"/>
          <w:sz w:val="18"/>
          <w:szCs w:val="18"/>
          <w:b w:val="1"/>
          <w:bCs w:val="1"/>
          <w:color w:val="auto"/>
        </w:rPr>
        <w:t>____________________________________________</w:t>
      </w:r>
    </w:p>
    <w:p>
      <w:pPr>
        <w:spacing w:after="0" w:line="28" w:lineRule="exact"/>
        <w:rPr>
          <w:sz w:val="24"/>
          <w:szCs w:val="24"/>
          <w:color w:val="auto"/>
        </w:rPr>
      </w:pPr>
    </w:p>
    <w:tbl>
      <w:tblPr>
        <w:tblLayout w:type="fixed"/>
        <w:tblInd w:w="1260" w:type="dxa"/>
        <w:tblCellMar>
          <w:top w:w="0" w:type="dxa"/>
          <w:left w:w="0" w:type="dxa"/>
          <w:bottom w:w="0" w:type="dxa"/>
          <w:right w:w="0" w:type="dxa"/>
        </w:tblCellMar>
      </w:tblPr>
      <w:tr>
        <w:trPr>
          <w:trHeight w:val="220"/>
        </w:trPr>
        <w:tc>
          <w:tcPr>
            <w:tcW w:w="4600" w:type="dxa"/>
            <w:vAlign w:val="bottom"/>
          </w:tcPr>
          <w:p>
            <w:pPr>
              <w:jc w:val="center"/>
              <w:ind w:right="2644"/>
              <w:spacing w:after="0"/>
              <w:rPr>
                <w:sz w:val="20"/>
                <w:szCs w:val="20"/>
                <w:color w:val="auto"/>
              </w:rPr>
            </w:pPr>
            <w:r>
              <w:rPr>
                <w:rFonts w:ascii="Arial" w:cs="Arial" w:eastAsia="Arial" w:hAnsi="Arial"/>
                <w:sz w:val="17"/>
                <w:szCs w:val="17"/>
                <w:b w:val="1"/>
                <w:bCs w:val="1"/>
                <w:color w:val="auto"/>
                <w:w w:val="92"/>
              </w:rPr>
              <w:t>Ohio</w:t>
            </w:r>
          </w:p>
        </w:tc>
        <w:tc>
          <w:tcPr>
            <w:tcW w:w="3860" w:type="dxa"/>
            <w:vAlign w:val="bottom"/>
          </w:tcPr>
          <w:p>
            <w:pPr>
              <w:jc w:val="center"/>
              <w:ind w:left="2644"/>
              <w:spacing w:after="0"/>
              <w:rPr>
                <w:sz w:val="20"/>
                <w:szCs w:val="20"/>
                <w:color w:val="auto"/>
              </w:rPr>
            </w:pPr>
            <w:r>
              <w:rPr>
                <w:rFonts w:ascii="Arial" w:cs="Arial" w:eastAsia="Arial" w:hAnsi="Arial"/>
                <w:sz w:val="17"/>
                <w:szCs w:val="17"/>
                <w:b w:val="1"/>
                <w:bCs w:val="1"/>
                <w:color w:val="auto"/>
                <w:w w:val="90"/>
              </w:rPr>
              <w:t>31-1414921</w:t>
            </w:r>
          </w:p>
        </w:tc>
      </w:tr>
      <w:tr>
        <w:trPr>
          <w:trHeight w:val="157"/>
        </w:trPr>
        <w:tc>
          <w:tcPr>
            <w:tcW w:w="4600" w:type="dxa"/>
            <w:vAlign w:val="bottom"/>
          </w:tcPr>
          <w:p>
            <w:pPr>
              <w:jc w:val="center"/>
              <w:ind w:right="2644"/>
              <w:spacing w:after="0" w:line="157" w:lineRule="exact"/>
              <w:rPr>
                <w:sz w:val="20"/>
                <w:szCs w:val="20"/>
                <w:color w:val="auto"/>
              </w:rPr>
            </w:pPr>
            <w:r>
              <w:rPr>
                <w:rFonts w:ascii="Arial" w:cs="Arial" w:eastAsia="Arial" w:hAnsi="Arial"/>
                <w:sz w:val="14"/>
                <w:szCs w:val="14"/>
                <w:b w:val="1"/>
                <w:bCs w:val="1"/>
                <w:color w:val="auto"/>
                <w:w w:val="93"/>
              </w:rPr>
              <w:t>(State or other jurisdiction of</w:t>
            </w:r>
          </w:p>
        </w:tc>
        <w:tc>
          <w:tcPr>
            <w:tcW w:w="3860" w:type="dxa"/>
            <w:vAlign w:val="bottom"/>
          </w:tcPr>
          <w:p>
            <w:pPr>
              <w:jc w:val="center"/>
              <w:ind w:left="2624"/>
              <w:spacing w:after="0" w:line="15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600" w:type="dxa"/>
            <w:vAlign w:val="bottom"/>
          </w:tcPr>
          <w:p>
            <w:pPr>
              <w:jc w:val="center"/>
              <w:ind w:right="2644"/>
              <w:spacing w:after="0"/>
              <w:rPr>
                <w:sz w:val="20"/>
                <w:szCs w:val="20"/>
                <w:color w:val="auto"/>
              </w:rPr>
            </w:pPr>
            <w:r>
              <w:rPr>
                <w:rFonts w:ascii="Arial" w:cs="Arial" w:eastAsia="Arial" w:hAnsi="Arial"/>
                <w:sz w:val="14"/>
                <w:szCs w:val="14"/>
                <w:b w:val="1"/>
                <w:bCs w:val="1"/>
                <w:color w:val="auto"/>
                <w:w w:val="94"/>
              </w:rPr>
              <w:t>incorporation or organization)</w:t>
            </w:r>
          </w:p>
        </w:tc>
        <w:tc>
          <w:tcPr>
            <w:tcW w:w="3860" w:type="dxa"/>
            <w:vAlign w:val="bottom"/>
          </w:tcPr>
          <w:p>
            <w:pPr>
              <w:jc w:val="center"/>
              <w:ind w:left="2644"/>
              <w:spacing w:after="0"/>
              <w:rPr>
                <w:sz w:val="20"/>
                <w:szCs w:val="20"/>
                <w:color w:val="auto"/>
              </w:rPr>
            </w:pPr>
            <w:r>
              <w:rPr>
                <w:rFonts w:ascii="Arial" w:cs="Arial" w:eastAsia="Arial" w:hAnsi="Arial"/>
                <w:sz w:val="14"/>
                <w:szCs w:val="14"/>
                <w:b w:val="1"/>
                <w:bCs w:val="1"/>
                <w:color w:val="auto"/>
                <w:w w:val="96"/>
              </w:rPr>
              <w:t>Identification No.)</w:t>
            </w:r>
          </w:p>
        </w:tc>
      </w:tr>
    </w:tbl>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14111 Scottslawn Road, Marysville, Ohio 43041</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(937</w:t>
      </w:r>
      <w:r>
        <w:rPr>
          <w:rFonts w:ascii="Arial" w:cs="Arial" w:eastAsia="Arial" w:hAnsi="Arial"/>
          <w:sz w:val="17"/>
          <w:szCs w:val="17"/>
          <w:b w:val="1"/>
          <w:bCs w:val="1"/>
          <w:color w:val="auto"/>
        </w:rPr>
        <w:t>)</w:t>
      </w:r>
      <w:r>
        <w:rPr>
          <w:rFonts w:ascii="Arial" w:cs="Arial" w:eastAsia="Arial" w:hAnsi="Arial"/>
          <w:sz w:val="18"/>
          <w:szCs w:val="18"/>
          <w:color w:val="auto"/>
        </w:rPr>
        <w:t xml:space="preserve"> 644-0011</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9" w:lineRule="exact"/>
        <w:rPr>
          <w:sz w:val="24"/>
          <w:szCs w:val="24"/>
          <w:color w:val="auto"/>
        </w:rPr>
      </w:pPr>
    </w:p>
    <w:p>
      <w:pPr>
        <w:ind w:left="3580"/>
        <w:spacing w:after="0"/>
        <w:rPr>
          <w:sz w:val="20"/>
          <w:szCs w:val="20"/>
          <w:color w:val="auto"/>
        </w:rPr>
      </w:pPr>
      <w:r>
        <w:rPr>
          <w:rFonts w:ascii="Arial" w:cs="Arial" w:eastAsia="Arial" w:hAnsi="Arial"/>
          <w:sz w:val="18"/>
          <w:szCs w:val="18"/>
          <w:color w:val="auto"/>
        </w:rPr>
        <w:t>_____________________________________________</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(Former name, former address and former fiscal year, if changed since last report)</w:t>
      </w:r>
    </w:p>
    <w:p>
      <w:pPr>
        <w:spacing w:after="0" w:line="9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registered pursuant to Section 12(b) of the Act:</w:t>
      </w:r>
    </w:p>
    <w:p>
      <w:pPr>
        <w:spacing w:after="0" w:line="47" w:lineRule="exact"/>
        <w:rPr>
          <w:sz w:val="24"/>
          <w:szCs w:val="24"/>
          <w:color w:val="auto"/>
        </w:rPr>
      </w:pPr>
    </w:p>
    <w:tbl>
      <w:tblPr>
        <w:tblLayout w:type="fixed"/>
        <w:tblInd w:w="400" w:type="dxa"/>
        <w:tblCellMar>
          <w:top w:w="0" w:type="dxa"/>
          <w:left w:w="0" w:type="dxa"/>
          <w:bottom w:w="0" w:type="dxa"/>
          <w:right w:w="0" w:type="dxa"/>
        </w:tblCellMar>
      </w:tblPr>
      <w:tr>
        <w:trPr>
          <w:trHeight w:val="184"/>
        </w:trPr>
        <w:tc>
          <w:tcPr>
            <w:tcW w:w="4420" w:type="dxa"/>
            <w:vAlign w:val="bottom"/>
            <w:gridSpan w:val="3"/>
          </w:tcPr>
          <w:p>
            <w:pPr>
              <w:jc w:val="center"/>
              <w:ind w:right="1940"/>
              <w:spacing w:after="0"/>
              <w:rPr>
                <w:sz w:val="20"/>
                <w:szCs w:val="20"/>
                <w:color w:val="auto"/>
              </w:rPr>
            </w:pPr>
            <w:r>
              <w:rPr>
                <w:rFonts w:ascii="Arial" w:cs="Arial" w:eastAsia="Arial" w:hAnsi="Arial"/>
                <w:sz w:val="16"/>
                <w:szCs w:val="16"/>
                <w:color w:val="auto"/>
                <w:w w:val="90"/>
              </w:rPr>
              <w:t>Title of each class</w:t>
            </w:r>
          </w:p>
        </w:tc>
        <w:tc>
          <w:tcPr>
            <w:tcW w:w="3160" w:type="dxa"/>
            <w:vAlign w:val="bottom"/>
            <w:gridSpan w:val="2"/>
          </w:tcPr>
          <w:p>
            <w:pPr>
              <w:jc w:val="center"/>
              <w:ind w:right="1940"/>
              <w:spacing w:after="0"/>
              <w:rPr>
                <w:sz w:val="20"/>
                <w:szCs w:val="20"/>
                <w:color w:val="auto"/>
              </w:rPr>
            </w:pPr>
            <w:r>
              <w:rPr>
                <w:rFonts w:ascii="Arial" w:cs="Arial" w:eastAsia="Arial" w:hAnsi="Arial"/>
                <w:sz w:val="16"/>
                <w:szCs w:val="16"/>
                <w:color w:val="auto"/>
                <w:w w:val="93"/>
              </w:rPr>
              <w:t>Trading Symbol(s)</w:t>
            </w:r>
          </w:p>
        </w:tc>
        <w:tc>
          <w:tcPr>
            <w:tcW w:w="2880" w:type="dxa"/>
            <w:vAlign w:val="bottom"/>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0"/>
        </w:trPr>
        <w:tc>
          <w:tcPr>
            <w:tcW w:w="66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8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1960"/>
              <w:spacing w:after="0"/>
              <w:rPr>
                <w:sz w:val="20"/>
                <w:szCs w:val="20"/>
                <w:color w:val="auto"/>
              </w:rPr>
            </w:pPr>
            <w:r>
              <w:rPr>
                <w:rFonts w:ascii="Arial" w:cs="Arial" w:eastAsia="Arial" w:hAnsi="Arial"/>
                <w:sz w:val="17"/>
                <w:szCs w:val="17"/>
                <w:color w:val="auto"/>
                <w:w w:val="89"/>
              </w:rPr>
              <w:t>Common Shares, $0.01 stated value</w:t>
            </w:r>
          </w:p>
        </w:tc>
        <w:tc>
          <w:tcPr>
            <w:tcW w:w="3160" w:type="dxa"/>
            <w:vAlign w:val="bottom"/>
            <w:gridSpan w:val="2"/>
          </w:tcPr>
          <w:p>
            <w:pPr>
              <w:jc w:val="center"/>
              <w:ind w:right="1940"/>
              <w:spacing w:after="0"/>
              <w:rPr>
                <w:sz w:val="20"/>
                <w:szCs w:val="20"/>
                <w:color w:val="auto"/>
              </w:rPr>
            </w:pPr>
            <w:r>
              <w:rPr>
                <w:rFonts w:ascii="Arial" w:cs="Arial" w:eastAsia="Arial" w:hAnsi="Arial"/>
                <w:sz w:val="18"/>
                <w:szCs w:val="18"/>
                <w:color w:val="auto"/>
                <w:w w:val="92"/>
              </w:rPr>
              <w:t>SMG</w:t>
            </w:r>
          </w:p>
        </w:tc>
        <w:tc>
          <w:tcPr>
            <w:tcW w:w="2880" w:type="dxa"/>
            <w:vAlign w:val="bottom"/>
          </w:tcPr>
          <w:p>
            <w:pPr>
              <w:jc w:val="center"/>
              <w:spacing w:after="0"/>
              <w:rPr>
                <w:sz w:val="20"/>
                <w:szCs w:val="20"/>
                <w:color w:val="auto"/>
              </w:rPr>
            </w:pPr>
            <w:r>
              <w:rPr>
                <w:rFonts w:ascii="Arial" w:cs="Arial" w:eastAsia="Arial" w:hAnsi="Arial"/>
                <w:sz w:val="17"/>
                <w:szCs w:val="17"/>
                <w:color w:val="auto"/>
                <w:w w:val="94"/>
              </w:rPr>
              <w:t>NYSE</w:t>
            </w:r>
          </w:p>
        </w:tc>
      </w:tr>
    </w:tbl>
    <w:p>
      <w:pPr>
        <w:spacing w:after="0" w:line="158" w:lineRule="exact"/>
        <w:rPr>
          <w:sz w:val="24"/>
          <w:szCs w:val="24"/>
          <w:color w:val="auto"/>
        </w:rPr>
      </w:pPr>
    </w:p>
    <w:p>
      <w:pPr>
        <w:jc w:val="both"/>
        <w:spacing w:after="0" w:line="300"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242" w:lineRule="exact"/>
        <w:tabs>
          <w:tab w:leader="none" w:pos="720" w:val="left"/>
          <w:tab w:leader="none" w:pos="1440" w:val="left"/>
        </w:tabs>
        <w:rPr>
          <w:sz w:val="20"/>
          <w:szCs w:val="20"/>
          <w:color w:val="auto"/>
        </w:rPr>
      </w:pPr>
      <w:r>
        <w:rPr>
          <w:rFonts w:ascii="Arial" w:cs="Arial" w:eastAsia="Arial" w:hAnsi="Arial"/>
          <w:sz w:val="17"/>
          <w:szCs w:val="17"/>
          <w:color w:val="auto"/>
        </w:rPr>
        <w:t>90 days.</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6" w:lineRule="exact"/>
        <w:rPr>
          <w:sz w:val="24"/>
          <w:szCs w:val="24"/>
          <w:color w:val="auto"/>
        </w:rPr>
      </w:pPr>
    </w:p>
    <w:p>
      <w:pPr>
        <w:jc w:val="both"/>
        <w:spacing w:after="0" w:line="256"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43" w:lineRule="exact"/>
        <w:rPr>
          <w:sz w:val="24"/>
          <w:szCs w:val="24"/>
          <w:color w:val="auto"/>
        </w:rPr>
      </w:pPr>
    </w:p>
    <w:p>
      <w:pPr>
        <w:jc w:val="both"/>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540" w:type="dxa"/>
        <w:tblCellMar>
          <w:top w:w="0" w:type="dxa"/>
          <w:left w:w="0" w:type="dxa"/>
          <w:bottom w:w="0" w:type="dxa"/>
          <w:right w:w="0" w:type="dxa"/>
        </w:tblCellMar>
      </w:tblPr>
      <w:tr>
        <w:trPr>
          <w:trHeight w:val="224"/>
        </w:trPr>
        <w:tc>
          <w:tcPr>
            <w:tcW w:w="270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Arial" w:cs="Arial" w:eastAsia="Arial" w:hAnsi="Arial"/>
                <w:sz w:val="17"/>
                <w:szCs w:val="17"/>
                <w:color w:val="auto"/>
              </w:rPr>
              <w:t>Accelerated filer</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700" w:type="dxa"/>
            <w:vAlign w:val="bottom"/>
          </w:tcPr>
          <w:p>
            <w:pPr>
              <w:spacing w:after="0"/>
              <w:rPr>
                <w:sz w:val="20"/>
                <w:szCs w:val="20"/>
                <w:color w:val="auto"/>
              </w:rPr>
            </w:pPr>
            <w:r>
              <w:rPr>
                <w:rFonts w:ascii="Arial" w:cs="Arial" w:eastAsia="Arial" w:hAnsi="Arial"/>
                <w:sz w:val="17"/>
                <w:szCs w:val="17"/>
                <w:color w:val="auto"/>
              </w:rPr>
              <w:t>Non-accelerated filer</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300"/>
              <w:spacing w:after="0"/>
              <w:rPr>
                <w:sz w:val="20"/>
                <w:szCs w:val="20"/>
                <w:color w:val="auto"/>
              </w:rPr>
            </w:pPr>
            <w:r>
              <w:rPr>
                <w:rFonts w:ascii="Arial" w:cs="Arial" w:eastAsia="Arial" w:hAnsi="Arial"/>
                <w:sz w:val="17"/>
                <w:szCs w:val="17"/>
                <w:color w:val="auto"/>
              </w:rPr>
              <w:t>Smaller reporting company</w:t>
            </w:r>
          </w:p>
        </w:tc>
        <w:tc>
          <w:tcPr>
            <w:tcW w:w="1020" w:type="dxa"/>
            <w:vAlign w:val="bottom"/>
          </w:tcPr>
          <w:p>
            <w:pPr>
              <w:ind w:left="8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9"/>
        </w:trPr>
        <w:tc>
          <w:tcPr>
            <w:tcW w:w="270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28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spacing w:after="0"/>
              <w:rPr>
                <w:sz w:val="23"/>
                <w:szCs w:val="23"/>
                <w:color w:val="auto"/>
              </w:rPr>
            </w:pPr>
          </w:p>
        </w:tc>
        <w:tc>
          <w:tcPr>
            <w:tcW w:w="1020" w:type="dxa"/>
            <w:vAlign w:val="bottom"/>
          </w:tcPr>
          <w:p>
            <w:pPr>
              <w:spacing w:after="0"/>
              <w:rPr>
                <w:sz w:val="23"/>
                <w:szCs w:val="23"/>
                <w:color w:val="auto"/>
              </w:rPr>
            </w:pPr>
          </w:p>
        </w:tc>
      </w:tr>
    </w:tbl>
    <w:p>
      <w:pPr>
        <w:spacing w:after="0" w:line="169" w:lineRule="exact"/>
        <w:rPr>
          <w:sz w:val="24"/>
          <w:szCs w:val="24"/>
          <w:color w:val="auto"/>
        </w:rPr>
      </w:pPr>
    </w:p>
    <w:p>
      <w:pPr>
        <w:spacing w:after="0" w:line="22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080"/>
        <w:spacing w:after="0" w:line="312"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Arial" w:cs="Arial" w:eastAsia="Arial" w:hAnsi="Arial"/>
          <w:sz w:val="35"/>
          <w:szCs w:val="35"/>
          <w:color w:val="auto"/>
          <w:vertAlign w:val="superscript"/>
        </w:rPr>
        <w:t>Yes</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w:t>
      </w:r>
      <w:r>
        <w:rPr>
          <w:rFonts w:ascii="Arial" w:cs="Arial" w:eastAsia="Arial" w:hAnsi="Arial"/>
          <w:sz w:val="35"/>
          <w:szCs w:val="35"/>
          <w:color w:val="auto"/>
          <w:vertAlign w:val="superscript"/>
        </w:rPr>
        <w:t>No</w:t>
      </w:r>
      <w:r>
        <w:rPr>
          <w:rFonts w:ascii="Arial" w:cs="Arial" w:eastAsia="Arial" w:hAnsi="Arial"/>
          <w:sz w:val="17"/>
          <w:szCs w:val="17"/>
          <w:color w:val="auto"/>
        </w:rPr>
        <w:t xml:space="preserve"> </w:t>
      </w:r>
      <w:r>
        <w:rPr>
          <w:rFonts w:ascii="MS PGothic" w:cs="MS PGothic" w:eastAsia="MS PGothic" w:hAnsi="MS PGothic"/>
          <w:sz w:val="35"/>
          <w:szCs w:val="35"/>
          <w:color w:val="auto"/>
          <w:vertAlign w:val="superscript"/>
        </w:rPr>
        <w:t>☒</w:t>
      </w:r>
      <w:r>
        <w:rPr>
          <w:rFonts w:ascii="Arial" w:cs="Arial" w:eastAsia="Arial" w:hAnsi="Arial"/>
          <w:sz w:val="17"/>
          <w:szCs w:val="17"/>
          <w:color w:val="auto"/>
        </w:rPr>
        <w:t xml:space="preserve"> As of February 3, 2023, there were 55,955,808 Common Shares outstanding.</w:t>
      </w:r>
    </w:p>
    <w:p>
      <w:pPr>
        <w:sectPr>
          <w:pgSz w:w="11900" w:h="16838" w:orient="portrait"/>
          <w:cols w:equalWidth="0" w:num="1">
            <w:col w:w="11240"/>
          </w:cols>
          <w:pgMar w:left="320" w:top="796" w:right="339" w:bottom="1440" w:gutter="0" w:footer="0" w:header="0"/>
        </w:sectPr>
      </w:pP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FFFFFF"/>
        </w:rPr>
        <w:t>Table of Contents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SCOTTS MIRACLE-GRO COMPANY</w:t>
      </w:r>
    </w:p>
    <w:p>
      <w:pPr>
        <w:jc w:val="center"/>
        <w:ind w:right="-19"/>
        <w:spacing w:after="0"/>
        <w:rPr>
          <w:sz w:val="20"/>
          <w:szCs w:val="20"/>
          <w:color w:val="auto"/>
        </w:rPr>
      </w:pPr>
      <w:r>
        <w:rPr>
          <w:rFonts w:ascii="Arial" w:cs="Arial" w:eastAsia="Arial" w:hAnsi="Arial"/>
          <w:sz w:val="18"/>
          <w:szCs w:val="18"/>
          <w:color w:val="auto"/>
        </w:rPr>
        <w:t>INDEX</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6"/>
                <w:szCs w:val="16"/>
                <w:b w:val="1"/>
                <w:bCs w:val="1"/>
                <w:color w:val="auto"/>
              </w:rPr>
              <w:t>PAGE NO.</w:t>
            </w:r>
          </w:p>
        </w:tc>
        <w:tc>
          <w:tcPr>
            <w:tcW w:w="0" w:type="dxa"/>
            <w:vAlign w:val="bottom"/>
          </w:tcPr>
          <w:p>
            <w:pPr>
              <w:spacing w:after="0"/>
              <w:rPr>
                <w:sz w:val="1"/>
                <w:szCs w:val="1"/>
                <w:color w:val="auto"/>
              </w:rPr>
            </w:pPr>
          </w:p>
        </w:tc>
      </w:tr>
      <w:tr>
        <w:trPr>
          <w:trHeight w:val="215"/>
        </w:trPr>
        <w:tc>
          <w:tcPr>
            <w:tcW w:w="10100" w:type="dxa"/>
            <w:vAlign w:val="bottom"/>
            <w:gridSpan w:val="19"/>
          </w:tcPr>
          <w:p>
            <w:pPr>
              <w:spacing w:after="0"/>
              <w:rPr>
                <w:sz w:val="20"/>
                <w:szCs w:val="20"/>
                <w:color w:val="auto"/>
              </w:rPr>
            </w:pPr>
            <w:r>
              <w:rPr>
                <w:rFonts w:ascii="Arial" w:cs="Arial" w:eastAsia="Arial" w:hAnsi="Arial"/>
                <w:sz w:val="18"/>
                <w:szCs w:val="18"/>
                <w:color w:val="0000FF"/>
              </w:rPr>
              <w:t>PART I. FINANCIAL INFORMATION: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9160" w:type="dxa"/>
            <w:vAlign w:val="bottom"/>
            <w:gridSpan w:val="17"/>
          </w:tcPr>
          <w:p>
            <w:pPr>
              <w:spacing w:after="0"/>
              <w:rPr>
                <w:sz w:val="20"/>
                <w:szCs w:val="20"/>
                <w:color w:val="auto"/>
              </w:rPr>
            </w:pPr>
            <w:r>
              <w:rPr>
                <w:rFonts w:ascii="Arial" w:cs="Arial" w:eastAsia="Arial" w:hAnsi="Arial"/>
                <w:sz w:val="18"/>
                <w:szCs w:val="18"/>
                <w:color w:val="0000FF"/>
              </w:rPr>
              <w:t>Financial Statements (Unaudited)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5"/>
          </w:tcPr>
          <w:p>
            <w:pPr>
              <w:spacing w:after="0"/>
              <w:rPr>
                <w:sz w:val="20"/>
                <w:szCs w:val="20"/>
                <w:color w:val="auto"/>
              </w:rPr>
            </w:pPr>
            <w:r>
              <w:rPr>
                <w:rFonts w:ascii="Arial" w:cs="Arial" w:eastAsia="Arial" w:hAnsi="Arial"/>
                <w:sz w:val="18"/>
                <w:szCs w:val="18"/>
                <w:color w:val="0000FF"/>
                <w:w w:val="94"/>
              </w:rPr>
              <w:t>Condensed Consolidated Statements of Operations — Three months ended December 31, 2022 and January 1, 2022</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5"/>
          </w:tcPr>
          <w:p>
            <w:pPr>
              <w:spacing w:after="0"/>
              <w:rPr>
                <w:sz w:val="20"/>
                <w:szCs w:val="20"/>
                <w:color w:val="auto"/>
              </w:rPr>
            </w:pPr>
            <w:r>
              <w:rPr>
                <w:rFonts w:ascii="Arial" w:cs="Arial" w:eastAsia="Arial" w:hAnsi="Arial"/>
                <w:sz w:val="18"/>
                <w:szCs w:val="18"/>
                <w:color w:val="0000FF"/>
                <w:w w:val="91"/>
              </w:rPr>
              <w:t>Condensed Consolidated Statements of Comprehensive Income (Loss) — Three months ended December 31, 2022 and</w:t>
            </w:r>
          </w:p>
        </w:tc>
        <w:tc>
          <w:tcPr>
            <w:tcW w:w="10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0000FF"/>
              </w:rPr>
              <w:t>4</w:t>
            </w:r>
          </w:p>
        </w:tc>
        <w:tc>
          <w:tcPr>
            <w:tcW w:w="0" w:type="dxa"/>
            <w:vAlign w:val="bottom"/>
          </w:tcPr>
          <w:p>
            <w:pPr>
              <w:spacing w:after="0"/>
              <w:rPr>
                <w:sz w:val="1"/>
                <w:szCs w:val="1"/>
                <w:color w:val="auto"/>
              </w:rPr>
            </w:pPr>
          </w:p>
        </w:tc>
      </w:tr>
      <w:tr>
        <w:trPr>
          <w:trHeight w:val="155"/>
        </w:trPr>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Borders>
              <w:top w:val="single" w:sz="8" w:color="0000FF"/>
            </w:tcBorders>
            <w:gridSpan w:val="4"/>
          </w:tcPr>
          <w:p>
            <w:pPr>
              <w:spacing w:after="0" w:line="142" w:lineRule="exact"/>
              <w:rPr>
                <w:sz w:val="20"/>
                <w:szCs w:val="20"/>
                <w:color w:val="auto"/>
              </w:rPr>
            </w:pPr>
            <w:r>
              <w:rPr>
                <w:rFonts w:ascii="Arial" w:cs="Arial" w:eastAsia="Arial" w:hAnsi="Arial"/>
                <w:sz w:val="16"/>
                <w:szCs w:val="16"/>
                <w:color w:val="0000FF"/>
                <w:w w:val="97"/>
              </w:rPr>
              <w:t>January 1, 2022</w:t>
            </w:r>
          </w:p>
        </w:tc>
        <w:tc>
          <w:tcPr>
            <w:tcW w:w="300" w:type="dxa"/>
            <w:vAlign w:val="bottom"/>
            <w:tcBorders>
              <w:top w:val="single" w:sz="8" w:color="0000FF"/>
            </w:tcBorders>
          </w:tcPr>
          <w:p>
            <w:pPr>
              <w:spacing w:after="0"/>
              <w:rPr>
                <w:sz w:val="13"/>
                <w:szCs w:val="13"/>
                <w:color w:val="auto"/>
              </w:rPr>
            </w:pPr>
          </w:p>
        </w:tc>
        <w:tc>
          <w:tcPr>
            <w:tcW w:w="5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gridSpan w:val="2"/>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7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13"/>
          </w:tcPr>
          <w:p>
            <w:pPr>
              <w:spacing w:after="0"/>
              <w:rPr>
                <w:sz w:val="20"/>
                <w:szCs w:val="20"/>
                <w:color w:val="auto"/>
              </w:rPr>
            </w:pPr>
            <w:r>
              <w:rPr>
                <w:rFonts w:ascii="Arial" w:cs="Arial" w:eastAsia="Arial" w:hAnsi="Arial"/>
                <w:sz w:val="18"/>
                <w:szCs w:val="18"/>
                <w:color w:val="0000FF"/>
                <w:w w:val="87"/>
              </w:rPr>
              <w:t>Condensed Consolidated Statements of Cash Flows — Three months ended December 31, 2022 and January 1, 2022</w:t>
            </w:r>
          </w:p>
        </w:tc>
        <w:tc>
          <w:tcPr>
            <w:tcW w:w="500" w:type="dxa"/>
            <w:vAlign w:val="bottom"/>
            <w:gridSpan w:val="2"/>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340" w:type="dxa"/>
            <w:vAlign w:val="bottom"/>
            <w:gridSpan w:val="13"/>
          </w:tcPr>
          <w:p>
            <w:pPr>
              <w:spacing w:after="0"/>
              <w:rPr>
                <w:sz w:val="20"/>
                <w:szCs w:val="20"/>
                <w:color w:val="auto"/>
              </w:rPr>
            </w:pPr>
            <w:r>
              <w:rPr>
                <w:rFonts w:ascii="Arial" w:cs="Arial" w:eastAsia="Arial" w:hAnsi="Arial"/>
                <w:sz w:val="18"/>
                <w:szCs w:val="18"/>
                <w:color w:val="0000FF"/>
                <w:w w:val="96"/>
              </w:rPr>
              <w:t>Condensed Consolidated Balance Sheets — December 31, 2022, January 1, 2022 and September 30, 2022</w:t>
            </w:r>
          </w:p>
        </w:tc>
        <w:tc>
          <w:tcPr>
            <w:tcW w:w="500" w:type="dxa"/>
            <w:vAlign w:val="bottom"/>
            <w:gridSpan w:val="2"/>
          </w:tcPr>
          <w:p>
            <w:pPr>
              <w:spacing w:after="0"/>
              <w:rPr>
                <w:sz w:val="18"/>
                <w:szCs w:val="18"/>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40" w:type="dxa"/>
            <w:vAlign w:val="bottom"/>
            <w:gridSpan w:val="15"/>
          </w:tcPr>
          <w:p>
            <w:pPr>
              <w:spacing w:after="0"/>
              <w:rPr>
                <w:sz w:val="20"/>
                <w:szCs w:val="20"/>
                <w:color w:val="auto"/>
              </w:rPr>
            </w:pPr>
            <w:r>
              <w:rPr>
                <w:rFonts w:ascii="Arial" w:cs="Arial" w:eastAsia="Arial" w:hAnsi="Arial"/>
                <w:sz w:val="18"/>
                <w:szCs w:val="18"/>
                <w:color w:val="0000FF"/>
              </w:rPr>
              <w:t>Notes to Condensed Consolidated Financial Statements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7</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980" w:type="dxa"/>
            <w:vAlign w:val="bottom"/>
            <w:gridSpan w:val="4"/>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7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916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26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4300" w:type="dxa"/>
            <w:vAlign w:val="bottom"/>
            <w:gridSpan w:val="12"/>
          </w:tcPr>
          <w:p>
            <w:pPr>
              <w:spacing w:after="0"/>
              <w:rPr>
                <w:sz w:val="20"/>
                <w:szCs w:val="20"/>
                <w:color w:val="auto"/>
              </w:rPr>
            </w:pPr>
            <w:r>
              <w:rPr>
                <w:rFonts w:ascii="Arial" w:cs="Arial" w:eastAsia="Arial" w:hAnsi="Arial"/>
                <w:sz w:val="18"/>
                <w:szCs w:val="18"/>
                <w:color w:val="0000FF"/>
                <w:w w:val="90"/>
              </w:rPr>
              <w:t>Quantitative and Qualitative Disclosures about Market Risk</w:t>
            </w:r>
          </w:p>
        </w:tc>
        <w:tc>
          <w:tcPr>
            <w:tcW w:w="2140" w:type="dxa"/>
            <w:vAlign w:val="bottom"/>
          </w:tcPr>
          <w:p>
            <w:pPr>
              <w:spacing w:after="0"/>
              <w:rPr>
                <w:sz w:val="18"/>
                <w:szCs w:val="18"/>
                <w:color w:val="auto"/>
              </w:rPr>
            </w:pPr>
          </w:p>
        </w:tc>
        <w:tc>
          <w:tcPr>
            <w:tcW w:w="2720" w:type="dxa"/>
            <w:vAlign w:val="bottom"/>
            <w:gridSpan w:val="4"/>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1760" w:type="dxa"/>
            <w:vAlign w:val="bottom"/>
            <w:gridSpan w:val="7"/>
          </w:tcPr>
          <w:p>
            <w:pPr>
              <w:spacing w:after="0"/>
              <w:rPr>
                <w:sz w:val="20"/>
                <w:szCs w:val="20"/>
                <w:color w:val="auto"/>
              </w:rPr>
            </w:pPr>
            <w:r>
              <w:rPr>
                <w:rFonts w:ascii="Arial" w:cs="Arial" w:eastAsia="Arial" w:hAnsi="Arial"/>
                <w:sz w:val="18"/>
                <w:szCs w:val="18"/>
                <w:color w:val="0000FF"/>
                <w:w w:val="87"/>
              </w:rPr>
              <w:t>Controls and Procedures</w:t>
            </w:r>
          </w:p>
        </w:tc>
        <w:tc>
          <w:tcPr>
            <w:tcW w:w="2540" w:type="dxa"/>
            <w:vAlign w:val="bottom"/>
            <w:gridSpan w:val="5"/>
          </w:tcPr>
          <w:p>
            <w:pPr>
              <w:spacing w:after="0"/>
              <w:rPr>
                <w:sz w:val="18"/>
                <w:szCs w:val="18"/>
                <w:color w:val="auto"/>
              </w:rPr>
            </w:pPr>
          </w:p>
        </w:tc>
        <w:tc>
          <w:tcPr>
            <w:tcW w:w="486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0100" w:type="dxa"/>
            <w:vAlign w:val="bottom"/>
            <w:gridSpan w:val="19"/>
          </w:tcPr>
          <w:p>
            <w:pPr>
              <w:spacing w:after="0"/>
              <w:rPr>
                <w:sz w:val="20"/>
                <w:szCs w:val="20"/>
                <w:color w:val="auto"/>
              </w:rPr>
            </w:pPr>
            <w:r>
              <w:rPr>
                <w:rFonts w:ascii="Arial" w:cs="Arial" w:eastAsia="Arial" w:hAnsi="Arial"/>
                <w:sz w:val="18"/>
                <w:szCs w:val="18"/>
                <w:color w:val="0000FF"/>
              </w:rPr>
              <w:t>PART II. OTHER INFORMATION:</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940" w:type="dxa"/>
            <w:vAlign w:val="bottom"/>
            <w:gridSpan w:val="2"/>
          </w:tcPr>
          <w:p>
            <w:pPr>
              <w:spacing w:after="0"/>
              <w:rPr>
                <w:sz w:val="20"/>
                <w:szCs w:val="20"/>
                <w:color w:val="auto"/>
              </w:rPr>
            </w:pPr>
            <w:r>
              <w:rPr>
                <w:rFonts w:ascii="Arial" w:cs="Arial" w:eastAsia="Arial" w:hAnsi="Arial"/>
                <w:sz w:val="18"/>
                <w:szCs w:val="18"/>
                <w:color w:val="0000FF"/>
              </w:rPr>
              <w:t>Item 1.</w:t>
            </w:r>
          </w:p>
        </w:tc>
        <w:tc>
          <w:tcPr>
            <w:tcW w:w="9160" w:type="dxa"/>
            <w:vAlign w:val="bottom"/>
            <w:gridSpan w:val="17"/>
          </w:tcPr>
          <w:p>
            <w:pPr>
              <w:spacing w:after="0"/>
              <w:rPr>
                <w:sz w:val="20"/>
                <w:szCs w:val="20"/>
                <w:color w:val="auto"/>
              </w:rPr>
            </w:pPr>
            <w:r>
              <w:rPr>
                <w:rFonts w:ascii="Arial" w:cs="Arial" w:eastAsia="Arial" w:hAnsi="Arial"/>
                <w:sz w:val="18"/>
                <w:szCs w:val="18"/>
                <w:color w:val="0000FF"/>
              </w:rPr>
              <w:t>Legal Proceedings</w:t>
            </w:r>
          </w:p>
        </w:tc>
        <w:tc>
          <w:tcPr>
            <w:tcW w:w="1080" w:type="dxa"/>
            <w:vAlign w:val="bottom"/>
            <w:gridSpan w:val="4"/>
          </w:tcPr>
          <w:p>
            <w:pPr>
              <w:jc w:val="right"/>
              <w:ind w:right="20"/>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1A.</w:t>
            </w:r>
          </w:p>
        </w:tc>
        <w:tc>
          <w:tcPr>
            <w:tcW w:w="900" w:type="dxa"/>
            <w:vAlign w:val="bottom"/>
            <w:gridSpan w:val="4"/>
          </w:tcPr>
          <w:p>
            <w:pPr>
              <w:spacing w:after="0"/>
              <w:rPr>
                <w:sz w:val="20"/>
                <w:szCs w:val="20"/>
                <w:color w:val="auto"/>
              </w:rPr>
            </w:pPr>
            <w:r>
              <w:rPr>
                <w:rFonts w:ascii="Arial" w:cs="Arial" w:eastAsia="Arial" w:hAnsi="Arial"/>
                <w:sz w:val="18"/>
                <w:szCs w:val="18"/>
                <w:color w:val="0000FF"/>
                <w:w w:val="87"/>
              </w:rPr>
              <w:t>Risk Factors</w:t>
            </w:r>
          </w:p>
        </w:tc>
        <w:tc>
          <w:tcPr>
            <w:tcW w:w="400" w:type="dxa"/>
            <w:vAlign w:val="bottom"/>
          </w:tcPr>
          <w:p>
            <w:pPr>
              <w:spacing w:after="0"/>
              <w:rPr>
                <w:sz w:val="18"/>
                <w:szCs w:val="18"/>
                <w:color w:val="auto"/>
              </w:rPr>
            </w:pPr>
          </w:p>
        </w:tc>
        <w:tc>
          <w:tcPr>
            <w:tcW w:w="786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39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980" w:type="dxa"/>
            <w:vAlign w:val="bottom"/>
            <w:gridSpan w:val="4"/>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2.</w:t>
            </w:r>
          </w:p>
        </w:tc>
        <w:tc>
          <w:tcPr>
            <w:tcW w:w="4300" w:type="dxa"/>
            <w:vAlign w:val="bottom"/>
            <w:gridSpan w:val="12"/>
          </w:tcPr>
          <w:p>
            <w:pPr>
              <w:spacing w:after="0"/>
              <w:rPr>
                <w:sz w:val="20"/>
                <w:szCs w:val="20"/>
                <w:color w:val="auto"/>
              </w:rPr>
            </w:pPr>
            <w:r>
              <w:rPr>
                <w:rFonts w:ascii="Arial" w:cs="Arial" w:eastAsia="Arial" w:hAnsi="Arial"/>
                <w:sz w:val="18"/>
                <w:szCs w:val="18"/>
                <w:color w:val="0000FF"/>
                <w:w w:val="87"/>
              </w:rPr>
              <w:t>Unregistered Sales of Equity Securities and Use of Proceeds</w:t>
            </w:r>
          </w:p>
        </w:tc>
        <w:tc>
          <w:tcPr>
            <w:tcW w:w="486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140" w:type="dxa"/>
            <w:vAlign w:val="bottom"/>
            <w:tcBorders>
              <w:left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3.</w:t>
            </w:r>
          </w:p>
        </w:tc>
        <w:tc>
          <w:tcPr>
            <w:tcW w:w="2320" w:type="dxa"/>
            <w:vAlign w:val="bottom"/>
            <w:gridSpan w:val="8"/>
          </w:tcPr>
          <w:p>
            <w:pPr>
              <w:spacing w:after="0"/>
              <w:rPr>
                <w:sz w:val="20"/>
                <w:szCs w:val="20"/>
                <w:color w:val="auto"/>
              </w:rPr>
            </w:pPr>
            <w:r>
              <w:rPr>
                <w:rFonts w:ascii="Arial" w:cs="Arial" w:eastAsia="Arial" w:hAnsi="Arial"/>
                <w:sz w:val="18"/>
                <w:szCs w:val="18"/>
                <w:color w:val="0000FF"/>
                <w:w w:val="90"/>
              </w:rPr>
              <w:t>Defaults Upon Senior Securities</w:t>
            </w:r>
          </w:p>
        </w:tc>
        <w:tc>
          <w:tcPr>
            <w:tcW w:w="1980" w:type="dxa"/>
            <w:vAlign w:val="bottom"/>
            <w:gridSpan w:val="4"/>
          </w:tcPr>
          <w:p>
            <w:pPr>
              <w:spacing w:after="0"/>
              <w:rPr>
                <w:sz w:val="18"/>
                <w:szCs w:val="18"/>
                <w:color w:val="auto"/>
              </w:rPr>
            </w:pPr>
          </w:p>
        </w:tc>
        <w:tc>
          <w:tcPr>
            <w:tcW w:w="4860" w:type="dxa"/>
            <w:vAlign w:val="bottom"/>
            <w:gridSpan w:val="5"/>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84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gridSpan w:val="2"/>
          </w:tcPr>
          <w:p>
            <w:pPr>
              <w:spacing w:after="0"/>
              <w:rPr>
                <w:sz w:val="20"/>
                <w:szCs w:val="20"/>
                <w:color w:val="auto"/>
              </w:rPr>
            </w:pPr>
            <w:r>
              <w:rPr>
                <w:rFonts w:ascii="Arial" w:cs="Arial" w:eastAsia="Arial" w:hAnsi="Arial"/>
                <w:sz w:val="18"/>
                <w:szCs w:val="18"/>
                <w:color w:val="0000FF"/>
              </w:rPr>
              <w:t>Item 4.</w:t>
            </w:r>
          </w:p>
        </w:tc>
        <w:tc>
          <w:tcPr>
            <w:tcW w:w="1760" w:type="dxa"/>
            <w:vAlign w:val="bottom"/>
            <w:gridSpan w:val="7"/>
          </w:tcPr>
          <w:p>
            <w:pPr>
              <w:spacing w:after="0"/>
              <w:rPr>
                <w:sz w:val="20"/>
                <w:szCs w:val="20"/>
                <w:color w:val="auto"/>
              </w:rPr>
            </w:pPr>
            <w:r>
              <w:rPr>
                <w:rFonts w:ascii="Arial" w:cs="Arial" w:eastAsia="Arial" w:hAnsi="Arial"/>
                <w:sz w:val="18"/>
                <w:szCs w:val="18"/>
                <w:color w:val="0000FF"/>
                <w:w w:val="90"/>
              </w:rPr>
              <w:t>Mine Safety Disclosures</w:t>
            </w:r>
          </w:p>
        </w:tc>
        <w:tc>
          <w:tcPr>
            <w:tcW w:w="560" w:type="dxa"/>
            <w:vAlign w:val="bottom"/>
          </w:tcPr>
          <w:p>
            <w:pPr>
              <w:spacing w:after="0"/>
              <w:rPr>
                <w:sz w:val="18"/>
                <w:szCs w:val="18"/>
                <w:color w:val="auto"/>
              </w:rPr>
            </w:pPr>
          </w:p>
        </w:tc>
        <w:tc>
          <w:tcPr>
            <w:tcW w:w="6840" w:type="dxa"/>
            <w:vAlign w:val="bottom"/>
            <w:gridSpan w:val="9"/>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5.</w:t>
            </w:r>
          </w:p>
        </w:tc>
        <w:tc>
          <w:tcPr>
            <w:tcW w:w="1760" w:type="dxa"/>
            <w:vAlign w:val="bottom"/>
            <w:gridSpan w:val="7"/>
          </w:tcPr>
          <w:p>
            <w:pPr>
              <w:spacing w:after="0"/>
              <w:rPr>
                <w:sz w:val="20"/>
                <w:szCs w:val="20"/>
                <w:color w:val="auto"/>
              </w:rPr>
            </w:pPr>
            <w:r>
              <w:rPr>
                <w:rFonts w:ascii="Arial" w:cs="Arial" w:eastAsia="Arial" w:hAnsi="Arial"/>
                <w:sz w:val="18"/>
                <w:szCs w:val="18"/>
                <w:color w:val="0000FF"/>
              </w:rPr>
              <w:t>Other Information</w:t>
            </w:r>
          </w:p>
        </w:tc>
        <w:tc>
          <w:tcPr>
            <w:tcW w:w="7400" w:type="dxa"/>
            <w:vAlign w:val="bottom"/>
            <w:gridSpan w:val="10"/>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7860" w:type="dxa"/>
            <w:vAlign w:val="bottom"/>
            <w:gridSpan w:val="1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 w:type="dxa"/>
            <w:vAlign w:val="bottom"/>
            <w:gridSpan w:val="2"/>
          </w:tcPr>
          <w:p>
            <w:pPr>
              <w:spacing w:after="0"/>
              <w:rPr>
                <w:sz w:val="20"/>
                <w:szCs w:val="20"/>
                <w:color w:val="auto"/>
              </w:rPr>
            </w:pPr>
            <w:r>
              <w:rPr>
                <w:rFonts w:ascii="Arial" w:cs="Arial" w:eastAsia="Arial" w:hAnsi="Arial"/>
                <w:sz w:val="18"/>
                <w:szCs w:val="18"/>
                <w:color w:val="0000FF"/>
              </w:rPr>
              <w:t>Item 6.</w:t>
            </w:r>
          </w:p>
        </w:tc>
        <w:tc>
          <w:tcPr>
            <w:tcW w:w="600" w:type="dxa"/>
            <w:vAlign w:val="bottom"/>
            <w:gridSpan w:val="3"/>
          </w:tcPr>
          <w:p>
            <w:pPr>
              <w:spacing w:after="0"/>
              <w:rPr>
                <w:sz w:val="20"/>
                <w:szCs w:val="20"/>
                <w:color w:val="auto"/>
              </w:rPr>
            </w:pPr>
            <w:r>
              <w:rPr>
                <w:rFonts w:ascii="Arial" w:cs="Arial" w:eastAsia="Arial" w:hAnsi="Arial"/>
                <w:sz w:val="18"/>
                <w:szCs w:val="18"/>
                <w:color w:val="0000FF"/>
                <w:w w:val="91"/>
              </w:rPr>
              <w:t>Exhibits</w:t>
            </w:r>
          </w:p>
        </w:tc>
        <w:tc>
          <w:tcPr>
            <w:tcW w:w="700" w:type="dxa"/>
            <w:vAlign w:val="bottom"/>
            <w:gridSpan w:val="2"/>
          </w:tcPr>
          <w:p>
            <w:pPr>
              <w:spacing w:after="0"/>
              <w:rPr>
                <w:sz w:val="18"/>
                <w:szCs w:val="18"/>
                <w:color w:val="auto"/>
              </w:rPr>
            </w:pPr>
          </w:p>
        </w:tc>
        <w:tc>
          <w:tcPr>
            <w:tcW w:w="7860" w:type="dxa"/>
            <w:vAlign w:val="bottom"/>
            <w:gridSpan w:val="12"/>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40</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560" w:type="dxa"/>
            <w:vAlign w:val="bottom"/>
            <w:gridSpan w:val="1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40" w:type="dxa"/>
            <w:vAlign w:val="bottom"/>
            <w:gridSpan w:val="3"/>
          </w:tcPr>
          <w:p>
            <w:pPr>
              <w:spacing w:after="0"/>
              <w:rPr>
                <w:sz w:val="20"/>
                <w:szCs w:val="20"/>
                <w:color w:val="auto"/>
              </w:rPr>
            </w:pPr>
            <w:r>
              <w:rPr>
                <w:rFonts w:ascii="Arial" w:cs="Arial" w:eastAsia="Arial" w:hAnsi="Arial"/>
                <w:sz w:val="18"/>
                <w:szCs w:val="18"/>
                <w:color w:val="0000FF"/>
                <w:w w:val="92"/>
              </w:rPr>
              <w:t>Index to Exhibits</w:t>
            </w:r>
          </w:p>
        </w:tc>
        <w:tc>
          <w:tcPr>
            <w:tcW w:w="8860" w:type="dxa"/>
            <w:vAlign w:val="bottom"/>
            <w:gridSpan w:val="16"/>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41</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0000FF"/>
                <w:w w:val="85"/>
              </w:rPr>
              <w:t>Signatures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gridSpan w:val="3"/>
          </w:tcPr>
          <w:p>
            <w:pPr>
              <w:jc w:val="right"/>
              <w:ind w:right="20"/>
              <w:spacing w:after="0"/>
              <w:rPr>
                <w:sz w:val="20"/>
                <w:szCs w:val="20"/>
                <w:color w:val="auto"/>
              </w:rPr>
            </w:pPr>
            <w:r>
              <w:rPr>
                <w:rFonts w:ascii="Arial" w:cs="Arial" w:eastAsia="Arial" w:hAnsi="Arial"/>
                <w:sz w:val="18"/>
                <w:szCs w:val="18"/>
                <w:color w:val="0000FF"/>
                <w:w w:val="79"/>
              </w:rPr>
              <w:t>42</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FFFF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447.3</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118.7</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154.1</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21"/>
        </w:trPr>
        <w:tc>
          <w:tcPr>
            <w:tcW w:w="814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(50.0)</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loss per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Diluted net loss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(0.90)</w:t>
            </w:r>
          </w:p>
        </w:tc>
      </w:tr>
      <w:tr>
        <w:trPr>
          <w:trHeight w:val="270"/>
        </w:trPr>
        <w:tc>
          <w:tcPr>
            <w:tcW w:w="8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30"/>
        </w:trPr>
        <w:tc>
          <w:tcPr>
            <w:tcW w:w="8140" w:type="dxa"/>
            <w:vAlign w:val="bottom"/>
          </w:tcPr>
          <w:p>
            <w:pPr>
              <w:ind w:left="2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w:t>
            </w: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Weighted-average common shares outstanding during the period plus dilutive potential common shares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00" w:type="dxa"/>
            <w:vAlign w:val="bottom"/>
            <w:gridSpan w:val="4"/>
          </w:tcPr>
          <w:p>
            <w:pPr>
              <w:jc w:val="right"/>
              <w:ind w:right="834"/>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8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24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2022</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foreign currency translation adjustment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9"/>
        </w:trPr>
        <w:tc>
          <w:tcPr>
            <w:tcW w:w="8100" w:type="dxa"/>
            <w:vAlign w:val="bottom"/>
          </w:tcPr>
          <w:p>
            <w:pPr>
              <w:ind w:left="480"/>
              <w:spacing w:after="0"/>
              <w:rPr>
                <w:sz w:val="20"/>
                <w:szCs w:val="20"/>
                <w:color w:val="auto"/>
              </w:rPr>
            </w:pPr>
            <w:r>
              <w:rPr>
                <w:rFonts w:ascii="Arial" w:cs="Arial" w:eastAsia="Arial" w:hAnsi="Arial"/>
                <w:sz w:val="18"/>
                <w:szCs w:val="18"/>
                <w:color w:val="auto"/>
              </w:rPr>
              <w:t>Net unrealized gain (loss) on derivative instruments, net of tax</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Reclassification of net unrealized gains on derivative instruments to net loss, net of tax</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100" w:type="dxa"/>
            <w:vAlign w:val="bottom"/>
          </w:tcPr>
          <w:p>
            <w:pPr>
              <w:ind w:left="480"/>
              <w:spacing w:after="0"/>
              <w:rPr>
                <w:sz w:val="20"/>
                <w:szCs w:val="20"/>
                <w:color w:val="auto"/>
              </w:rPr>
            </w:pPr>
            <w:r>
              <w:rPr>
                <w:rFonts w:ascii="Arial" w:cs="Arial" w:eastAsia="Arial" w:hAnsi="Arial"/>
                <w:sz w:val="18"/>
                <w:szCs w:val="18"/>
                <w:color w:val="auto"/>
              </w:rPr>
              <w:t>Net unrealized gain (loss) on securities, net of tax</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Pension and other post-retirement benefit adjustments,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1"/>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right"/>
              <w:ind w:right="331"/>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1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15"/>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68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140" w:type="dxa"/>
            <w:vAlign w:val="bottom"/>
          </w:tcPr>
          <w:p>
            <w:pPr>
              <w:ind w:left="68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230"/>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8140" w:type="dxa"/>
            <w:vAlign w:val="bottom"/>
          </w:tcPr>
          <w:p>
            <w:pPr>
              <w:ind w:left="680"/>
              <w:spacing w:after="0"/>
              <w:rPr>
                <w:sz w:val="20"/>
                <w:szCs w:val="20"/>
                <w:color w:val="auto"/>
              </w:rPr>
            </w:pPr>
            <w:r>
              <w:rPr>
                <w:rFonts w:ascii="Arial" w:cs="Arial" w:eastAsia="Arial" w:hAnsi="Arial"/>
                <w:sz w:val="18"/>
                <w:szCs w:val="18"/>
                <w:color w:val="auto"/>
              </w:rPr>
              <w:t>Deferred taxes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140" w:type="dxa"/>
            <w:vAlign w:val="bottom"/>
          </w:tcPr>
          <w:p>
            <w:pPr>
              <w:ind w:left="6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1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Changes in assets and liabilities, net of acquired businesses: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71.6</w:t>
            </w:r>
          </w:p>
        </w:tc>
      </w:tr>
      <w:tr>
        <w:trPr>
          <w:trHeight w:val="229"/>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w:t>
            </w: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Prepaid and 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29"/>
        </w:trPr>
        <w:tc>
          <w:tcPr>
            <w:tcW w:w="8140" w:type="dxa"/>
            <w:vAlign w:val="bottom"/>
          </w:tcPr>
          <w:p>
            <w:pPr>
              <w:ind w:left="11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81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Other non-current items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1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8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(765.1)</w:t>
            </w:r>
          </w:p>
        </w:tc>
      </w:tr>
      <w:tr>
        <w:trPr>
          <w:trHeight w:val="236"/>
        </w:trPr>
        <w:tc>
          <w:tcPr>
            <w:tcW w:w="8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Investments in property, plant and equipment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(46.1)</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for acquisitions, net of cash acquired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w:t>
            </w:r>
          </w:p>
        </w:tc>
      </w:tr>
      <w:tr>
        <w:trPr>
          <w:trHeight w:val="229"/>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investing, net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8140" w:type="dxa"/>
            <w:vAlign w:val="bottom"/>
            <w:shd w:val="clear" w:color="auto" w:fill="CCEEFF"/>
          </w:tcPr>
          <w:p>
            <w:pPr>
              <w:ind w:left="14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r>
      <w:tr>
        <w:trPr>
          <w:trHeight w:val="236"/>
        </w:trPr>
        <w:tc>
          <w:tcPr>
            <w:tcW w:w="8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Borrowings under revolving and bank lines of credit and term loans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645.6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989.1</w:t>
            </w:r>
          </w:p>
        </w:tc>
      </w:tr>
      <w:tr>
        <w:trPr>
          <w:trHeight w:val="229"/>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Repayments under revolving and bank lines of credit and term loans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r>
      <w:tr>
        <w:trPr>
          <w:trHeight w:val="230"/>
        </w:trPr>
        <w:tc>
          <w:tcPr>
            <w:tcW w:w="814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Common Shares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w:t>
            </w:r>
          </w:p>
        </w:tc>
      </w:tr>
      <w:tr>
        <w:trPr>
          <w:trHeight w:val="230"/>
        </w:trPr>
        <w:tc>
          <w:tcPr>
            <w:tcW w:w="81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Cash received from exercise of stock options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814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782.6</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(227.7)</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244.1</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35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20" w:type="dxa"/>
            <w:vAlign w:val="bottom"/>
          </w:tcPr>
          <w:p>
            <w:pPr>
              <w:spacing w:after="0"/>
              <w:rPr>
                <w:sz w:val="14"/>
                <w:szCs w:val="14"/>
                <w:color w:val="auto"/>
              </w:rPr>
            </w:pPr>
          </w:p>
        </w:tc>
        <w:tc>
          <w:tcPr>
            <w:tcW w:w="1280" w:type="dxa"/>
            <w:vAlign w:val="bottom"/>
          </w:tcPr>
          <w:p>
            <w:pPr>
              <w:jc w:val="right"/>
              <w:ind w:right="211"/>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5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r>
      <w:tr>
        <w:trPr>
          <w:trHeight w:val="216"/>
        </w:trPr>
        <w:tc>
          <w:tcPr>
            <w:tcW w:w="6520" w:type="dxa"/>
            <w:vAlign w:val="bottom"/>
          </w:tcPr>
          <w:p>
            <w:pPr>
              <w:ind w:left="5280"/>
              <w:spacing w:after="0"/>
              <w:rPr>
                <w:sz w:val="20"/>
                <w:szCs w:val="20"/>
                <w:color w:val="auto"/>
              </w:rPr>
            </w:pPr>
            <w:r>
              <w:rPr>
                <w:rFonts w:ascii="Arial" w:cs="Arial" w:eastAsia="Arial" w:hAnsi="Arial"/>
                <w:sz w:val="18"/>
                <w:szCs w:val="18"/>
                <w:b w:val="1"/>
                <w:bCs w:val="1"/>
                <w:color w:val="auto"/>
              </w:rPr>
              <w:t>ASSETS</w:t>
            </w: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86.8</w:t>
            </w:r>
          </w:p>
        </w:tc>
      </w:tr>
      <w:tr>
        <w:trPr>
          <w:trHeight w:val="229"/>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less allowances of $12.0, $9.8 and $14.4, respectively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r>
      <w:tr>
        <w:trPr>
          <w:trHeight w:val="229"/>
        </w:trPr>
        <w:tc>
          <w:tcPr>
            <w:tcW w:w="6520" w:type="dxa"/>
            <w:vAlign w:val="bottom"/>
          </w:tcPr>
          <w:p>
            <w:pPr>
              <w:ind w:left="360"/>
              <w:spacing w:after="0"/>
              <w:rPr>
                <w:sz w:val="20"/>
                <w:szCs w:val="20"/>
                <w:color w:val="auto"/>
              </w:rPr>
            </w:pPr>
            <w:r>
              <w:rPr>
                <w:rFonts w:ascii="Arial" w:cs="Arial" w:eastAsia="Arial" w:hAnsi="Arial"/>
                <w:sz w:val="18"/>
                <w:szCs w:val="18"/>
                <w:color w:val="auto"/>
              </w:rPr>
              <w:t>Accounts receivable pledged</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79.8</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1,343.5</w:t>
            </w:r>
          </w:p>
        </w:tc>
      </w:tr>
      <w:tr>
        <w:trPr>
          <w:trHeight w:val="229"/>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Prepaid and other current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1,981.9</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Investment in unconsolidated affiliates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193.8</w:t>
            </w:r>
          </w:p>
        </w:tc>
      </w:tr>
      <w:tr>
        <w:trPr>
          <w:trHeight w:val="176"/>
        </w:trPr>
        <w:tc>
          <w:tcPr>
            <w:tcW w:w="65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Property, plant and equipment, net of accumulated depreciation of $780.6, $753.0 and</w:t>
            </w:r>
          </w:p>
        </w:tc>
        <w:tc>
          <w:tcPr>
            <w:tcW w:w="3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243"/>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$777.9, respectively</w:t>
            </w:r>
          </w:p>
        </w:tc>
        <w:tc>
          <w:tcPr>
            <w:tcW w:w="3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606.0</w:t>
            </w:r>
          </w:p>
        </w:tc>
      </w:tr>
      <w:tr>
        <w:trPr>
          <w:trHeight w:val="230"/>
        </w:trPr>
        <w:tc>
          <w:tcPr>
            <w:tcW w:w="6520" w:type="dxa"/>
            <w:vAlign w:val="bottom"/>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254.0</w:t>
            </w:r>
          </w:p>
        </w:tc>
      </w:tr>
      <w:tr>
        <w:trPr>
          <w:trHeight w:val="229"/>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680.9</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4,296.8</w:t>
            </w:r>
          </w:p>
        </w:tc>
      </w:tr>
      <w:tr>
        <w:trPr>
          <w:trHeight w:val="20"/>
        </w:trPr>
        <w:tc>
          <w:tcPr>
            <w:tcW w:w="6820" w:type="dxa"/>
            <w:vAlign w:val="bottom"/>
            <w:tcBorders>
              <w:top w:val="single" w:sz="8" w:color="CCEEFF"/>
            </w:tcBorders>
            <w:gridSpan w:val="2"/>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r>
      <w:tr>
        <w:trPr>
          <w:trHeight w:val="163"/>
        </w:trPr>
        <w:tc>
          <w:tcPr>
            <w:tcW w:w="65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229"/>
        </w:trPr>
        <w:tc>
          <w:tcPr>
            <w:tcW w:w="6820" w:type="dxa"/>
            <w:vAlign w:val="bottom"/>
            <w:gridSpan w:val="2"/>
            <w:shd w:val="clear" w:color="auto" w:fill="CCEEFF"/>
          </w:tcPr>
          <w:p>
            <w:pPr>
              <w:ind w:left="4480"/>
              <w:spacing w:after="0"/>
              <w:rPr>
                <w:sz w:val="20"/>
                <w:szCs w:val="20"/>
                <w:color w:val="auto"/>
              </w:rPr>
            </w:pPr>
            <w:r>
              <w:rPr>
                <w:rFonts w:ascii="Arial" w:cs="Arial" w:eastAsia="Arial" w:hAnsi="Arial"/>
                <w:sz w:val="18"/>
                <w:szCs w:val="18"/>
                <w:b w:val="1"/>
                <w:bCs w:val="1"/>
                <w:color w:val="auto"/>
              </w:rPr>
              <w:t>LIABILITIES AND EQUITY</w:t>
            </w: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debt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144.3</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422.6</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r>
      <w:tr>
        <w:trPr>
          <w:trHeight w:val="223"/>
        </w:trPr>
        <w:tc>
          <w:tcPr>
            <w:tcW w:w="652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963.9</w:t>
            </w: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2,826.2</w:t>
            </w:r>
          </w:p>
        </w:tc>
      </w:tr>
      <w:tr>
        <w:trPr>
          <w:trHeight w:val="229"/>
        </w:trPr>
        <w:tc>
          <w:tcPr>
            <w:tcW w:w="6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w:t>
            </w:r>
          </w:p>
        </w:tc>
      </w:tr>
      <w:tr>
        <w:trPr>
          <w:trHeight w:val="223"/>
        </w:trPr>
        <w:tc>
          <w:tcPr>
            <w:tcW w:w="65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liabilities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4,149.1</w:t>
            </w:r>
          </w:p>
        </w:tc>
      </w:tr>
      <w:tr>
        <w:trPr>
          <w:trHeight w:val="229"/>
        </w:trPr>
        <w:tc>
          <w:tcPr>
            <w:tcW w:w="6520" w:type="dxa"/>
            <w:vAlign w:val="bottom"/>
          </w:tcPr>
          <w:p>
            <w:pPr>
              <w:ind w:left="20"/>
              <w:spacing w:after="0"/>
              <w:rPr>
                <w:sz w:val="20"/>
                <w:szCs w:val="20"/>
                <w:color w:val="auto"/>
              </w:rPr>
            </w:pPr>
            <w:r>
              <w:rPr>
                <w:rFonts w:ascii="Arial" w:cs="Arial" w:eastAsia="Arial" w:hAnsi="Arial"/>
                <w:sz w:val="18"/>
                <w:szCs w:val="18"/>
                <w:color w:val="auto"/>
              </w:rPr>
              <w:t>Commitments and contingencies (Note 11)</w:t>
            </w: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75"/>
        </w:trPr>
        <w:tc>
          <w:tcPr>
            <w:tcW w:w="6520" w:type="dxa"/>
            <w:vAlign w:val="bottom"/>
          </w:tcPr>
          <w:p>
            <w:pPr>
              <w:ind w:left="360"/>
              <w:spacing w:after="0" w:line="176" w:lineRule="exact"/>
              <w:rPr>
                <w:sz w:val="20"/>
                <w:szCs w:val="20"/>
                <w:color w:val="auto"/>
              </w:rPr>
            </w:pPr>
            <w:r>
              <w:rPr>
                <w:rFonts w:ascii="Arial" w:cs="Arial" w:eastAsia="Arial" w:hAnsi="Arial"/>
                <w:sz w:val="18"/>
                <w:szCs w:val="18"/>
                <w:color w:val="auto"/>
                <w:w w:val="98"/>
              </w:rPr>
              <w:t>Common shares and capital in excess of $0.01 stated value per share; shares</w:t>
            </w: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outstanding of 55.9, 55.0 and 55.5, respectively</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364.0</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1,020.1</w:t>
            </w:r>
          </w:p>
        </w:tc>
      </w:tr>
      <w:tr>
        <w:trPr>
          <w:trHeight w:val="230"/>
        </w:trPr>
        <w:tc>
          <w:tcPr>
            <w:tcW w:w="6520" w:type="dxa"/>
            <w:vAlign w:val="bottom"/>
          </w:tcPr>
          <w:p>
            <w:pPr>
              <w:ind w:left="360"/>
              <w:spacing w:after="0"/>
              <w:rPr>
                <w:sz w:val="20"/>
                <w:szCs w:val="20"/>
                <w:color w:val="auto"/>
              </w:rPr>
            </w:pPr>
            <w:r>
              <w:rPr>
                <w:rFonts w:ascii="Arial" w:cs="Arial" w:eastAsia="Arial" w:hAnsi="Arial"/>
                <w:sz w:val="18"/>
                <w:szCs w:val="18"/>
                <w:color w:val="auto"/>
              </w:rPr>
              <w:t>Treasury shares, at cost; 12.3, 13.2 and 12.8 shares, respectively</w:t>
            </w:r>
          </w:p>
        </w:tc>
        <w:tc>
          <w:tcPr>
            <w:tcW w:w="3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(1,056.7)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(1,091.8)</w:t>
            </w:r>
          </w:p>
        </w:tc>
      </w:tr>
      <w:tr>
        <w:trPr>
          <w:trHeight w:val="230"/>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r>
      <w:tr>
        <w:trPr>
          <w:trHeight w:val="223"/>
        </w:trPr>
        <w:tc>
          <w:tcPr>
            <w:tcW w:w="65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w:t>
            </w:r>
          </w:p>
        </w:tc>
      </w:tr>
      <w:tr>
        <w:trPr>
          <w:trHeight w:val="248"/>
        </w:trPr>
        <w:tc>
          <w:tcPr>
            <w:tcW w:w="65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liabilities and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 (UNAUDITED)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Nature of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Scotts Miracle-Gro Company (“Scotts Miracle-Gro”) and its subsidiaries (collectively, with Scotts Miracle-Gro, the “Company”) are engaged in the manufacturing, marketing and sale of products for lawn and garden care and indoor and hydroponic gardening. The Company’s products are sold in North America, Europe and Asia.</w:t>
      </w:r>
    </w:p>
    <w:p>
      <w:pPr>
        <w:spacing w:after="0" w:line="10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Company’s North America consumer lawn and garden business is highly seasonal, with approximately 75% of its annual net sales occurring in the second and third fiscal quarters. The Company’s Hawthorne segment sales are also impacted by seasonal patterns for certain product categories due to the timing of outdoor growing in North America during the second and third fiscal quarters, and the timing of certain controlled agricultural lighting project sales during the third and fourth fiscal quarters.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Organization and Basis of Presentation</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The Company’s unaudited condensed consolidated financial statements for the three months ended December 31, 2022 and January 1, 2022 are presented in accordance with accounting principles generally accepted in the United States of America (“GAAP”). The condensed consolidated financial statements include the accounts of Scotts Miracle-Gro and its subsidiaries. All intercompany transactions and accounts have been eliminated in consolidation. The Company’s consolidation criteria are based on majority ownership (as evidenced by a majority voting interest in the entity) and an objective evaluation and determination of effective management control. The results of businesses acquired or disposed of are included in the condensed consolidated financial statements from the date of each acquisition or up to the date of disposal, respectively. In the opinion of management, interim results reflect all normal and recurring adjustments and are not necessarily indicative of results for a full year.</w:t>
      </w:r>
    </w:p>
    <w:p>
      <w:pPr>
        <w:spacing w:after="0" w:line="9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GAAP have been omitted or condensed pursuant to the rules and regulations of the Securities and Exchange Commission (“SEC”). Accordingly, this Quarterly Report on Form 10-Q for the fiscal quarter ended December 31, 2022 (this “Form 10-Q”) should be read in conjunction with Scotts Miracle-Gro’s Annual Report on Form 10-K for the fiscal year ended September 30, 2022 (the “2022 Annual Report”), which includes a complete set of footnote disclosures, including the Company’s significant accounting policies.</w:t>
      </w:r>
    </w:p>
    <w:p>
      <w:pPr>
        <w:spacing w:after="0" w:line="120"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Company’s Condensed Consolidated Balance Sheet at September 30, 2022 has been derived from the Company’s audited Consolidated Balance Sheet at that date, but does not include all of the information and footnotes required by GAAP for complete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Long-Lived Assets</w:t>
      </w:r>
    </w:p>
    <w:p>
      <w:pPr>
        <w:spacing w:after="0" w:line="14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Company had non-cash investing activities of $19.2 and $5.5 during the three months ended December 31, 2022 and January 1, 2022, respectively, representing unpaid liabilities to acquire property, plant and equipment.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Statements of Cash Flows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8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240" w:type="dxa"/>
            <w:vAlign w:val="bottom"/>
          </w:tcPr>
          <w:p>
            <w:pPr>
              <w:jc w:val="right"/>
              <w:ind w:right="339"/>
              <w:spacing w:after="0" w:line="129" w:lineRule="exact"/>
              <w:rPr>
                <w:sz w:val="20"/>
                <w:szCs w:val="20"/>
                <w:color w:val="auto"/>
              </w:rPr>
            </w:pPr>
            <w:r>
              <w:rPr>
                <w:rFonts w:ascii="Arial" w:cs="Arial" w:eastAsia="Arial" w:hAnsi="Arial"/>
                <w:sz w:val="14"/>
                <w:szCs w:val="14"/>
                <w:b w:val="1"/>
                <w:bCs w:val="1"/>
                <w:color w:val="auto"/>
              </w:rPr>
              <w:t>January 1,</w:t>
            </w:r>
          </w:p>
        </w:tc>
      </w:tr>
      <w:tr>
        <w:trPr>
          <w:trHeight w:val="196"/>
        </w:trPr>
        <w:tc>
          <w:tcPr>
            <w:tcW w:w="8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Income tax payments (refunds)</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r>
    </w:tbl>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Cash flow from operating activities for the three months ended December 31, 2022 was favorably impacted by extended payment terms with vendors across the U.S. Consumer and Hawthorne segments for payments originally due in the final weeks of the first quarter of fiscal 2023 that were paid in the second quarter of fiscal 2023.</w:t>
      </w:r>
    </w:p>
    <w:p>
      <w:pPr>
        <w:spacing w:after="0" w:line="200" w:lineRule="exact"/>
        <w:rPr>
          <w:sz w:val="20"/>
          <w:szCs w:val="20"/>
          <w:color w:val="auto"/>
        </w:rPr>
      </w:pPr>
    </w:p>
    <w:p>
      <w:pPr>
        <w:spacing w:after="0" w:line="32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7" w:name="page8"/>
    <w:bookmarkEnd w:id="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 AND INVESTMENTS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Cyco</w:t>
      </w:r>
    </w:p>
    <w:p>
      <w:pPr>
        <w:spacing w:after="0" w:line="171"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On April 28, 2022, the Company’s Hawthorne segment completed the acquisition of substantially all of the assets of S.J. Enterprises PTY LTD, d.b.a. Cyco (“Cyco”), an Australia-based provider of premium nutrients, additives and growing media products for indoor growing sold mostly in the United States, for an estimated purchase price of $37.3. The purchase price includes contingent consideration, a non-cash investing activity, with an initial fair value of $3.1 and a maximum payout of $10.0, which will be paid by the Company based on the achievement of certain performance metrics through December 31, 2024. Prior to the transaction, the Company served as the exclusive distributor of Cyco’s products in the United States. The valuation of the acquired assets included (i) $1.3 of inventory, (ii) $10.5 of finite-lived identifiable intangible assets and (iii) $25.6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Luxx Lighting</w:t>
      </w:r>
    </w:p>
    <w:p>
      <w:pPr>
        <w:spacing w:after="0" w:line="17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December 30, 2021, the Company’s Hawthorne segment completed the acquisition of substantially all of the assets of Luxx Lighting, Inc., a provider of lighting products for indoor growing. The purchase price was $213.2, a portion of which was paid by the issuance of 0.1 million common shares of Scotts Miracle-Gro (“Common Shares”), a non-cash investing and financing activity, with a fair value of $21.0 based on the share price at the time of payment. The valuation of the acquired assets included (i) $32.8 of inventory and accounts receivable, (ii) $5.7 of other current assets, (iii) $24.2 of current liabilities, (iv) $47.3 of finite-lived identifiable intangible assets and (v) $151.6 of tax-deductible goodwill. Identifiable intangible assets included trade names, customer relationships and non-compete agreements with useful lives ranging between 5 and 25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True Liberty Bags</w:t>
      </w:r>
    </w:p>
    <w:p>
      <w:pPr>
        <w:spacing w:after="0" w:line="17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On December 23, 2021, the Company’s Hawthorne segment completed the acquisition of substantially all of the assets of True Liberty Bags, a leading provider of liners and storage solutions to dry and cure plant products, for $10.1. The valuation of the acquired assets included (i) $1.1 of inventory,</w:t>
      </w:r>
    </w:p>
    <w:p>
      <w:pPr>
        <w:jc w:val="both"/>
        <w:ind w:firstLine="8"/>
        <w:spacing w:after="0" w:line="253" w:lineRule="auto"/>
        <w:tabs>
          <w:tab w:leader="none" w:pos="294" w:val="left"/>
        </w:tabs>
        <w:numPr>
          <w:ilvl w:val="0"/>
          <w:numId w:val="3"/>
        </w:numPr>
        <w:rPr>
          <w:rFonts w:ascii="Arial" w:cs="Arial" w:eastAsia="Arial" w:hAnsi="Arial"/>
          <w:sz w:val="18"/>
          <w:szCs w:val="18"/>
          <w:color w:val="auto"/>
        </w:rPr>
      </w:pPr>
      <w:r>
        <w:rPr>
          <w:rFonts w:ascii="Arial" w:cs="Arial" w:eastAsia="Arial" w:hAnsi="Arial"/>
          <w:sz w:val="18"/>
          <w:szCs w:val="18"/>
          <w:color w:val="auto"/>
        </w:rPr>
        <w:t>$5.8 of finite-lived identifiable intangible assets and (iii) $3.2 of tax-deductible goodwill. Identifiable intangible assets included trade names and customer relationships with useful lives of 15 years. The estimated fair values of the identifiable intangible assets were determined using an income-based approach, which includes market participant expectations of cash flows that an asset will generate over the remaining useful life discounted to present value using an appropriate discount rate.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 IN UNCONSOLIDATED AFFILIATES</w:t>
      </w:r>
    </w:p>
    <w:p>
      <w:pPr>
        <w:spacing w:after="0" w:line="14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On December 31, 2020, the Company acquired a 50% equity interest in Bonnie Plants, LLC, a joint venture with Alabama Farmers Cooperative, Inc. (“AFC”) focused on planting, growing, developing, distributing, marketing and selling live plants. During the three months ended December 31, 2022, the Company and AFC agreed to amend the joint venture agreement to allow AFC to make an additional equity contribution to Bonnie Plants, LLC, and, subsequent to this contribution by AFC, the Company now owns a 45% equity interest in Bonnie Plants, LLC. The Company’s interest is accounted for using the equity method of accounting, with the Company’s proportionate share of Bonnie Plants, LLC’s earnings reflected in the Condensed Consolidated Statements of Operations. During the three months ended December 31, 2022 and January 1, 2022, the Company recorded equity in loss of unconsolidated affiliates of $11.4 and $7.3, respectively, associated with Bonnie Plants, LLC.</w:t>
      </w:r>
    </w:p>
    <w:p>
      <w:pPr>
        <w:spacing w:after="0" w:line="200" w:lineRule="exact"/>
        <w:rPr>
          <w:sz w:val="20"/>
          <w:szCs w:val="20"/>
          <w:color w:val="auto"/>
        </w:rPr>
      </w:pPr>
    </w:p>
    <w:p>
      <w:pPr>
        <w:spacing w:after="0" w:line="31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8" w:name="page9"/>
    <w:bookmarkEnd w:id="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IMPAIRMENT, RESTRUCTURING AND OTHER</w:t>
      </w:r>
    </w:p>
    <w:p>
      <w:pPr>
        <w:spacing w:after="0" w:line="16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6"/>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right"/>
              <w:ind w:right="336"/>
              <w:spacing w:after="0" w:line="129" w:lineRule="exact"/>
              <w:rPr>
                <w:sz w:val="20"/>
                <w:szCs w:val="20"/>
                <w:color w:val="auto"/>
              </w:rPr>
            </w:pPr>
            <w:r>
              <w:rPr>
                <w:rFonts w:ascii="Arial" w:cs="Arial" w:eastAsia="Arial" w:hAnsi="Arial"/>
                <w:sz w:val="14"/>
                <w:szCs w:val="14"/>
                <w:b w:val="1"/>
                <w:bCs w:val="1"/>
                <w:color w:val="auto"/>
              </w:rPr>
              <w:t>January 1,</w:t>
            </w: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8140" w:type="dxa"/>
            <w:vAlign w:val="bottom"/>
          </w:tcPr>
          <w:p>
            <w:pPr>
              <w:ind w:left="220"/>
              <w:spacing w:after="0"/>
              <w:rPr>
                <w:sz w:val="20"/>
                <w:szCs w:val="20"/>
                <w:color w:val="auto"/>
              </w:rPr>
            </w:pPr>
            <w:r>
              <w:rPr>
                <w:rFonts w:ascii="Arial" w:cs="Arial" w:eastAsia="Arial" w:hAnsi="Arial"/>
                <w:sz w:val="18"/>
                <w:szCs w:val="18"/>
                <w:color w:val="auto"/>
              </w:rPr>
              <w:t>Restructuring and other charges, net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140" w:type="dxa"/>
            <w:vAlign w:val="bottom"/>
          </w:tcPr>
          <w:p>
            <w:pPr>
              <w:ind w:left="20"/>
              <w:spacing w:after="0"/>
              <w:rPr>
                <w:sz w:val="20"/>
                <w:szCs w:val="20"/>
                <w:color w:val="auto"/>
              </w:rPr>
            </w:pPr>
            <w:r>
              <w:rPr>
                <w:rFonts w:ascii="Arial" w:cs="Arial" w:eastAsia="Arial" w:hAnsi="Arial"/>
                <w:sz w:val="18"/>
                <w:szCs w:val="18"/>
                <w:color w:val="auto"/>
              </w:rPr>
              <w:t>Total impairment, restructuring and other charges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
        </w:trPr>
        <w:tc>
          <w:tcPr>
            <w:tcW w:w="8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activity related to liabilities associated with restructuring activities during the three months ended December 31,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40" w:type="dxa"/>
            <w:vAlign w:val="bottom"/>
          </w:tcPr>
          <w:p>
            <w:pPr>
              <w:spacing w:after="0"/>
              <w:rPr>
                <w:sz w:val="20"/>
                <w:szCs w:val="20"/>
                <w:color w:val="auto"/>
              </w:rPr>
            </w:pPr>
            <w:r>
              <w:rPr>
                <w:rFonts w:ascii="Arial" w:cs="Arial" w:eastAsia="Arial" w:hAnsi="Arial"/>
                <w:sz w:val="18"/>
                <w:szCs w:val="18"/>
                <w:color w:val="auto"/>
              </w:rPr>
              <w:t>2022:</w:t>
            </w: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161"/>
        </w:trPr>
        <w:tc>
          <w:tcPr>
            <w:tcW w:w="9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accrued at September 30, 2022</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85"/>
              </w:rPr>
              <w:t>31.5</w:t>
            </w:r>
          </w:p>
        </w:tc>
      </w:tr>
      <w:tr>
        <w:trPr>
          <w:trHeight w:val="229"/>
        </w:trPr>
        <w:tc>
          <w:tcPr>
            <w:tcW w:w="974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580" w:type="dxa"/>
            <w:vAlign w:val="bottom"/>
          </w:tcPr>
          <w:p>
            <w:pPr>
              <w:spacing w:after="0"/>
              <w:rPr>
                <w:sz w:val="19"/>
                <w:szCs w:val="19"/>
                <w:color w:val="auto"/>
              </w:rPr>
            </w:pPr>
          </w:p>
        </w:tc>
        <w:tc>
          <w:tcPr>
            <w:tcW w:w="920" w:type="dxa"/>
            <w:vAlign w:val="bottom"/>
          </w:tcPr>
          <w:p>
            <w:pPr>
              <w:jc w:val="center"/>
              <w:ind w:left="370"/>
              <w:spacing w:after="0"/>
              <w:rPr>
                <w:sz w:val="20"/>
                <w:szCs w:val="20"/>
                <w:color w:val="auto"/>
              </w:rPr>
            </w:pPr>
            <w:r>
              <w:rPr>
                <w:rFonts w:ascii="Arial" w:cs="Arial" w:eastAsia="Arial" w:hAnsi="Arial"/>
                <w:sz w:val="18"/>
                <w:szCs w:val="18"/>
                <w:color w:val="auto"/>
                <w:w w:val="85"/>
              </w:rPr>
              <w:t>10.1</w:t>
            </w: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w:t>
            </w:r>
          </w:p>
        </w:tc>
        <w:tc>
          <w:tcPr>
            <w:tcW w:w="5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50"/>
              <w:spacing w:after="0"/>
              <w:rPr>
                <w:sz w:val="20"/>
                <w:szCs w:val="20"/>
                <w:color w:val="auto"/>
              </w:rPr>
            </w:pPr>
            <w:r>
              <w:rPr>
                <w:rFonts w:ascii="Arial" w:cs="Arial" w:eastAsia="Arial" w:hAnsi="Arial"/>
                <w:sz w:val="18"/>
                <w:szCs w:val="18"/>
                <w:color w:val="auto"/>
                <w:w w:val="93"/>
              </w:rPr>
              <w:t>(12.3)</w:t>
            </w:r>
          </w:p>
        </w:tc>
      </w:tr>
      <w:tr>
        <w:trPr>
          <w:trHeight w:val="223"/>
        </w:trPr>
        <w:tc>
          <w:tcPr>
            <w:tcW w:w="9740" w:type="dxa"/>
            <w:vAlign w:val="bottom"/>
          </w:tcPr>
          <w:p>
            <w:pPr>
              <w:ind w:left="20"/>
              <w:spacing w:after="0"/>
              <w:rPr>
                <w:sz w:val="20"/>
                <w:szCs w:val="20"/>
                <w:color w:val="auto"/>
              </w:rPr>
            </w:pPr>
            <w:r>
              <w:rPr>
                <w:rFonts w:ascii="Arial" w:cs="Arial" w:eastAsia="Arial" w:hAnsi="Arial"/>
                <w:sz w:val="18"/>
                <w:szCs w:val="18"/>
                <w:color w:val="auto"/>
              </w:rPr>
              <w:t>Amounts accrued at December 31, 2022</w:t>
            </w: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color w:val="auto"/>
                <w:w w:val="85"/>
              </w:rPr>
              <w:t>29.3</w:t>
            </w:r>
          </w:p>
        </w:tc>
      </w:tr>
      <w:tr>
        <w:trPr>
          <w:trHeight w:val="21"/>
        </w:trPr>
        <w:tc>
          <w:tcPr>
            <w:tcW w:w="97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2022, restructuring accruals include $4.5 that is classified as long-term.</w:t>
      </w:r>
    </w:p>
    <w:p>
      <w:pPr>
        <w:spacing w:after="0" w:line="104"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During fiscal 2022, the Company began implementing a series of organizational changes and initiatives intended to create operational and management-level efficiencies. As part of this restructuring initiative, the Company is reducing the size of its supply chain network, reducing staffing levels and implementing other cost-reduction initiatives. During the three months ended December 31, 2022, the Company incurred costs of $14.5 associated with this restructuring initiative primarily related to employee termination benefits, facility closure costs and impairment of property, plant and equipment. The Company incurred costs of $1.0 in its U.S. Consumer segment and $8.4 in its Hawthorne segment in the “Cost of sales—impairment, restructuring and other” line in the Condensed Consolidated Statements of Operations during the three months ended December 31, 2022. The Company incurred costs of $0.2 in its U.S. Consumer segment, $1.0 in its Hawthorne segment, $0.1 in its Other segment and $3.8 at Corporate in the “Impairment, restructuring and other” line in the Condensed Consolidated Statements of Operations during the three months ended December 31, 2022. Costs incurred from the inception of this restructuring initiative through December 31, 2022 were $44.7 for the Hawthorne segment, $22.8 for the U.S. Consumer segment, $0.8 for the Other segment and $11.5 for Corporate.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Inventories consisted of the following for each of the periods presented: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4"/>
                <w:szCs w:val="14"/>
                <w:color w:val="auto"/>
              </w:rPr>
            </w:pPr>
          </w:p>
        </w:tc>
        <w:tc>
          <w:tcPr>
            <w:tcW w:w="1300" w:type="dxa"/>
            <w:vAlign w:val="bottom"/>
          </w:tcPr>
          <w:p>
            <w:pPr>
              <w:jc w:val="right"/>
              <w:ind w:right="236"/>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65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926.2</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Raw materials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338.8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293.2</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Work-in-process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1,343.5</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9" w:name="page10"/>
    <w:bookmarkEnd w:id="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MARKETING AGREEMENT</w:t>
      </w:r>
    </w:p>
    <w:p>
      <w:pPr>
        <w:spacing w:after="0" w:line="162" w:lineRule="exact"/>
        <w:rPr>
          <w:sz w:val="20"/>
          <w:szCs w:val="20"/>
          <w:color w:val="auto"/>
        </w:rPr>
      </w:pPr>
    </w:p>
    <w:p>
      <w:pPr>
        <w:jc w:val="both"/>
        <w:ind w:firstLine="405"/>
        <w:spacing w:after="0" w:line="237" w:lineRule="auto"/>
        <w:rPr>
          <w:sz w:val="20"/>
          <w:szCs w:val="20"/>
          <w:color w:val="auto"/>
        </w:rPr>
      </w:pPr>
      <w:r>
        <w:rPr>
          <w:rFonts w:ascii="Arial" w:cs="Arial" w:eastAsia="Arial" w:hAnsi="Arial"/>
          <w:sz w:val="17"/>
          <w:szCs w:val="17"/>
          <w:color w:val="auto"/>
        </w:rPr>
        <w:t>The Scotts Company LLC (“Scotts LLC”) is the exclusive agent of Monsanto Company, a subsidiary of Bayer AG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in the United States and certain other specified countries. The annual commission payable under the Third Amended and Restated Exclusive Agency and Marketing Agreement (the “Third Restated Agreement”) is equal to 50% of the actual earnings before interest and income taxes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for each program year in the markets covered by the Third Restated Agreement (“Program EBIT”). The Third Restated Agreement also requires the Company to make annual payments of $18.0 to Monsanto as a contribution against the overall expenses of its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 subject to reduction pursuant to the Third Restated Agreement for any program year in which the Program EBIT does not equal or exceed $36.0.</w:t>
      </w:r>
    </w:p>
    <w:p>
      <w:pPr>
        <w:spacing w:after="0" w:line="139"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Unless Monsanto terminates the Third Restated Agreement due to an event of default by the Company, termination rights under the Third Restated Agreement include the following:</w:t>
      </w:r>
    </w:p>
    <w:p>
      <w:pPr>
        <w:spacing w:after="0" w:line="8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terminate the Third Restated Agreement upon the insolvency or bankruptcy of Monsanto;</w:t>
      </w:r>
    </w:p>
    <w:p>
      <w:pPr>
        <w:spacing w:after="0" w:line="157" w:lineRule="exact"/>
        <w:rPr>
          <w:rFonts w:ascii="Arial" w:cs="Arial" w:eastAsia="Arial" w:hAnsi="Arial"/>
          <w:sz w:val="18"/>
          <w:szCs w:val="18"/>
          <w:color w:val="auto"/>
        </w:rPr>
      </w:pPr>
    </w:p>
    <w:p>
      <w:pPr>
        <w:jc w:val="both"/>
        <w:ind w:left="660" w:hanging="328"/>
        <w:spacing w:after="0" w:line="234"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Monsanto may terminate the Third Restated Agreement in the event that Monsanto decides to decommission the permits, licenses and registrations needed for, and the trademarks, trade names, packages, copyrights and designs used in, the sale of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products in the lawn and garden market (a “Brand Decommissioning Termination”); and</w:t>
      </w:r>
    </w:p>
    <w:p>
      <w:pPr>
        <w:spacing w:after="0" w:line="13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party may terminate the Third Restated Agreement if Program EBIT falls below $50.0 and, in such case, no termination fee would be payable to either party.</w:t>
      </w:r>
    </w:p>
    <w:p>
      <w:pPr>
        <w:spacing w:after="0" w:line="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termination fee structure requires Monsanto to pay a termination fee to the Company in an amount equal to (i) $375.0 upon a Brand Decommissioning Termination, and (ii) the greater of $175.0 or four times an amount equal to the average of the Program EBIT for the three program years before the year of termination, minus $186.4, if Monsanto or its successor terminates the Third Restated Agreement as a result of a Roundup Sale or Change of Control of Monsanto (each, as defined in the Third Restated Agreement).</w:t>
      </w:r>
    </w:p>
    <w:p>
      <w:pPr>
        <w:spacing w:after="0" w:line="11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elements of the net commission and reimbursements earned under the Third Restated Agreement and included in the “Net sales” line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Operations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5320" w:type="dxa"/>
            <w:vAlign w:val="bottom"/>
          </w:tcPr>
          <w:p>
            <w:pPr>
              <w:spacing w:after="0"/>
              <w:rPr>
                <w:sz w:val="2"/>
                <w:szCs w:val="2"/>
                <w:color w:val="auto"/>
              </w:rPr>
            </w:pPr>
          </w:p>
        </w:tc>
        <w:tc>
          <w:tcPr>
            <w:tcW w:w="28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3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right"/>
              <w:ind w:right="335"/>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28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commission</w:t>
            </w: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Contribution expenses</w:t>
            </w: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commission</w:t>
            </w:r>
          </w:p>
        </w:tc>
        <w:tc>
          <w:tcPr>
            <w:tcW w:w="28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w w:val="99"/>
              </w:rPr>
              <w:t>Reimbursements associated with Roundup</w:t>
            </w:r>
            <w:r>
              <w:rPr>
                <w:rFonts w:ascii="Arial" w:cs="Arial" w:eastAsia="Arial" w:hAnsi="Arial"/>
                <w:sz w:val="23"/>
                <w:szCs w:val="23"/>
                <w:color w:val="auto"/>
                <w:w w:val="99"/>
                <w:vertAlign w:val="superscript"/>
              </w:rPr>
              <w:t>®</w:t>
            </w:r>
            <w:r>
              <w:rPr>
                <w:rFonts w:ascii="Arial" w:cs="Arial" w:eastAsia="Arial" w:hAnsi="Arial"/>
                <w:sz w:val="18"/>
                <w:szCs w:val="18"/>
                <w:color w:val="auto"/>
                <w:w w:val="99"/>
              </w:rPr>
              <w:t xml:space="preserve"> marketing agreement</w:t>
            </w:r>
          </w:p>
        </w:tc>
        <w:tc>
          <w:tcPr>
            <w:tcW w:w="28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360"/>
              <w:spacing w:after="0" w:line="223" w:lineRule="exact"/>
              <w:rPr>
                <w:sz w:val="20"/>
                <w:szCs w:val="20"/>
                <w:color w:val="auto"/>
              </w:rPr>
            </w:pPr>
            <w:r>
              <w:rPr>
                <w:rFonts w:ascii="Arial" w:cs="Arial" w:eastAsia="Arial" w:hAnsi="Arial"/>
                <w:sz w:val="18"/>
                <w:szCs w:val="18"/>
                <w:color w:val="auto"/>
                <w:w w:val="96"/>
              </w:rPr>
              <w:t>Total net sales associated with Roundup</w:t>
            </w:r>
            <w:r>
              <w:rPr>
                <w:rFonts w:ascii="Arial" w:cs="Arial" w:eastAsia="Arial" w:hAnsi="Arial"/>
                <w:sz w:val="23"/>
                <w:szCs w:val="23"/>
                <w:color w:val="auto"/>
                <w:w w:val="96"/>
                <w:vertAlign w:val="superscript"/>
              </w:rPr>
              <w:t>®</w:t>
            </w:r>
            <w:r>
              <w:rPr>
                <w:rFonts w:ascii="Arial" w:cs="Arial" w:eastAsia="Arial" w:hAnsi="Arial"/>
                <w:sz w:val="18"/>
                <w:szCs w:val="18"/>
                <w:color w:val="auto"/>
                <w:w w:val="96"/>
              </w:rPr>
              <w:t xml:space="preserve"> marketing agreement</w:t>
            </w:r>
          </w:p>
        </w:tc>
        <w:tc>
          <w:tcPr>
            <w:tcW w:w="28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211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532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9A9A9A"/>
            </w:tcBorders>
          </w:tcPr>
          <w:p>
            <w:pPr>
              <w:spacing w:after="0"/>
              <w:rPr>
                <w:sz w:val="10"/>
                <w:szCs w:val="10"/>
                <w:color w:val="auto"/>
              </w:rPr>
            </w:pPr>
          </w:p>
        </w:tc>
        <w:tc>
          <w:tcPr>
            <w:tcW w:w="2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0" w:name="page11"/>
    <w:bookmarkEnd w:id="1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DEBT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components of debt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January 1,</w:t>
            </w:r>
          </w:p>
        </w:tc>
        <w:tc>
          <w:tcPr>
            <w:tcW w:w="200" w:type="dxa"/>
            <w:vAlign w:val="bottom"/>
          </w:tcPr>
          <w:p>
            <w:pPr>
              <w:spacing w:after="0"/>
              <w:rPr>
                <w:sz w:val="14"/>
                <w:szCs w:val="14"/>
                <w:color w:val="auto"/>
              </w:rPr>
            </w:pPr>
          </w:p>
        </w:tc>
        <w:tc>
          <w:tcPr>
            <w:tcW w:w="130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30,</w:t>
            </w:r>
          </w:p>
        </w:tc>
      </w:tr>
      <w:tr>
        <w:trPr>
          <w:trHeight w:val="196"/>
        </w:trPr>
        <w:tc>
          <w:tcPr>
            <w:tcW w:w="65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r>
      <w:tr>
        <w:trPr>
          <w:trHeight w:val="216"/>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Credit Facilities: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6500" w:type="dxa"/>
            <w:vAlign w:val="bottom"/>
          </w:tcPr>
          <w:p>
            <w:pPr>
              <w:ind w:left="220"/>
              <w:spacing w:after="0"/>
              <w:rPr>
                <w:sz w:val="20"/>
                <w:szCs w:val="20"/>
                <w:color w:val="auto"/>
              </w:rPr>
            </w:pPr>
            <w:r>
              <w:rPr>
                <w:rFonts w:ascii="Arial" w:cs="Arial" w:eastAsia="Arial" w:hAnsi="Arial"/>
                <w:sz w:val="18"/>
                <w:szCs w:val="18"/>
                <w:color w:val="auto"/>
              </w:rPr>
              <w:t>Revolving loans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681.5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856.5</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300.5</w:t>
            </w:r>
          </w:p>
        </w:tc>
      </w:tr>
      <w:tr>
        <w:trPr>
          <w:trHeight w:val="229"/>
        </w:trPr>
        <w:tc>
          <w:tcPr>
            <w:tcW w:w="6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2031 – 4.000%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2032 – 4.375%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Senior Notes due 2029 – 4.500%</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450.0</w:t>
            </w:r>
          </w:p>
        </w:tc>
      </w:tr>
      <w:tr>
        <w:trPr>
          <w:trHeight w:val="230"/>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2026 – 5.250%</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29"/>
        </w:trPr>
        <w:tc>
          <w:tcPr>
            <w:tcW w:w="6500" w:type="dxa"/>
            <w:vAlign w:val="bottom"/>
          </w:tcPr>
          <w:p>
            <w:pPr>
              <w:ind w:left="20"/>
              <w:spacing w:after="0"/>
              <w:rPr>
                <w:sz w:val="20"/>
                <w:szCs w:val="20"/>
                <w:color w:val="auto"/>
              </w:rPr>
            </w:pPr>
            <w:r>
              <w:rPr>
                <w:rFonts w:ascii="Arial" w:cs="Arial" w:eastAsia="Arial" w:hAnsi="Arial"/>
                <w:sz w:val="18"/>
                <w:szCs w:val="18"/>
                <w:color w:val="auto"/>
              </w:rPr>
              <w:t>Receivables facility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75.0</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Finance lease obligations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2,992.1</w:t>
            </w:r>
          </w:p>
        </w:tc>
      </w:tr>
      <w:tr>
        <w:trPr>
          <w:trHeight w:val="230"/>
        </w:trPr>
        <w:tc>
          <w:tcPr>
            <w:tcW w:w="6500" w:type="dxa"/>
            <w:vAlign w:val="bottom"/>
          </w:tcPr>
          <w:p>
            <w:pPr>
              <w:ind w:left="20"/>
              <w:spacing w:after="0"/>
              <w:rPr>
                <w:sz w:val="20"/>
                <w:szCs w:val="20"/>
                <w:color w:val="auto"/>
              </w:rPr>
            </w:pPr>
            <w:r>
              <w:rPr>
                <w:rFonts w:ascii="Arial" w:cs="Arial" w:eastAsia="Arial" w:hAnsi="Arial"/>
                <w:sz w:val="18"/>
                <w:szCs w:val="18"/>
                <w:color w:val="auto"/>
              </w:rPr>
              <w:t>Less current portions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144.3</w:t>
            </w:r>
          </w:p>
        </w:tc>
      </w:tr>
      <w:tr>
        <w:trPr>
          <w:trHeight w:val="229"/>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65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3,189.6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3,082.2</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2,826.2</w:t>
            </w:r>
          </w:p>
        </w:tc>
      </w:tr>
      <w:tr>
        <w:trPr>
          <w:trHeight w:val="20"/>
        </w:trPr>
        <w:tc>
          <w:tcPr>
            <w:tcW w:w="6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April 8, 2022, the Company entered into a sixth amended and restated credit agreement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Facilities”).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111"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Under the terms of the Sixth A&amp;R Credit Agreement, loans bear interest, at the Company’s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the Company’s intellectual property.</w:t>
      </w:r>
    </w:p>
    <w:p>
      <w:pPr>
        <w:spacing w:after="0" w:line="129"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On June 8, 2022, the Company entered into Amendment No. 1 (the “Amendment”) to the Sixth A&amp;R Credit Agreement. The Amendment increases the maximum permitted leverage ratio for the quarterly leverage covenant effective for the third quarter of fiscal 2022 until the earlier of (i) April 1, 2024 and (ii) subject to certain conditions specified in the Amendment, the termination by the Company of such increase (such period,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the Company’s quarterly-tested leverage ratio exceeds 4.75. Additionally, the Amendment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per fiscal year and (ii) other dividends, distributions or other restricted payments in an aggregate amount not to exceed $25.0. The Amendment also requires pro forma compliance with certain leverage levels specified in the Amendment with respect to the Company’s ability to consummate certain acquisitions and incur debt.</w:t>
      </w:r>
    </w:p>
    <w:p>
      <w:pPr>
        <w:spacing w:after="0" w:line="200" w:lineRule="exact"/>
        <w:rPr>
          <w:sz w:val="20"/>
          <w:szCs w:val="20"/>
          <w:color w:val="auto"/>
        </w:rPr>
      </w:pPr>
    </w:p>
    <w:p>
      <w:pPr>
        <w:spacing w:after="0" w:line="32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1" w:name="page12"/>
    <w:bookmarkEnd w:id="1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December 31, 2022, the Company had letters of credit outstanding in the aggregate principal amount of $5.0 and had $813.5 of borrowing availability under the Sixth A&amp;R Credit Agreement. The weighted average interest rates on average borrowings under the credit facilities were 6.6% and 1.8% for the three months ended December 31, 2022 and January 1, 2022, respectively.</w:t>
      </w:r>
    </w:p>
    <w:p>
      <w:pPr>
        <w:spacing w:after="0" w:line="10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The Sixth A&amp;R Credit Agreement contains, among other obligations, an affirmative covenant regarding the Company’s leverage ratio determined as of the end of each of its fiscal quarters calculated as average total indebtedness, divided by the Company’s earnings before interest, taxes, depreciation and amortization, as adjusted pursuant to the terms of the Sixth A&amp;R Credit Agreement (“Adjusted EBITDA”). Pursuant to the Amendment,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The Company’s leverage ratio was 5.90 at December 31, 2022. The Sixth A&amp;R Credit Agreement also contains an affirmative covenant regarding the Company’s interest coverage ratio determined as of the end of each of its fiscal quarters. The interest coverage ratio is calculated as Adjusted EBITDA divided by interest expense, as described in the Sixth A&amp;R Credit Agreement, and excludes costs related to refinancings. The minimum required interest coverage ratio is 3.00. The Company’s interest coverage ratio was 4.36 for the twelve months ended December 31, 2022.</w:t>
      </w:r>
    </w:p>
    <w:p>
      <w:pPr>
        <w:spacing w:after="0" w:line="86"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As of December 31, 2022, the Company was in compliance with all applicable covenants in the agreements governing its debt. Based on the Company’s projections of its financial performance for the twelve-month period subsequent to the date of the filing of the financial statements on Form 10-Q, the Company expects to remain in compliance with the financial covenants under the Company’s Sixth A&amp;R Credit Agreement. However, the Company’s assessment of its ability to meet its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as defined below, and cause the Senior Notes to become due and payable at that time. As of December 31, 2022, the Company’s indebtedness under the Sixth A&amp;R Credit Agreement and Senior Notes was $3,244.0. The Company does not have sufficient cash on hand or available liquidity that can be utilized to repay these outstanding amounts in the event of default.</w:t>
      </w:r>
    </w:p>
    <w:p>
      <w:pPr>
        <w:spacing w:after="0" w:line="88"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As part of its contingency planning to address potential future circumstances that could result in noncompliance, the Company has contemplated alternative plans including additional restructuring activities to reduce operating expenses and certain cash management strategies that are within the Company’s control. Additionally, the Company has contemplated alternative plans that are subject to market conditions and not in the Company’s control, including, among others, discussions with its lenders to amend the terms of its financial covenant under the Sixth A&amp;R Credit Agreement and generating cash by completing other financing transactions, which may include issuing equity. There is no assurance that the Company will be successful in implementing these alternative plans.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December 15, 2016, Scotts Miracle-Gro issued $250.0 aggregate principal amount of 5.250% Senior Notes due 2026 (the “5.250% Senior Notes”). The 5.250% Senior Notes represent general unsecured senior obligations and rank equal in right of payment with the Company’s existing and future unsecured senior debt. The 5.250% Senior Notes have interest payment dates of June 15 and December 15 of each year.</w:t>
      </w:r>
    </w:p>
    <w:p>
      <w:pPr>
        <w:spacing w:after="0" w:line="30"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October 22, 2019, Scotts Miracle-Gro issued $450.0 aggregate principal amount of 4.500% Senior Notes due 2029 (the “4.500% Senior Notes”). The 4.500% Senior Notes represent general unsecured senior obligations and rank equal in right of payment with the Company’s existing and future unsecured senior debt. The 4.500% Senior Notes have interest payment dates of April 15 and October 15 of each year.</w:t>
      </w:r>
    </w:p>
    <w:p>
      <w:pPr>
        <w:spacing w:after="0" w:line="9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March 17, 2021, Scotts Miracle-Gro issued $500.0 aggregate principal amount of 4.000% Senior Notes due 2031 (the “4.000% Senior Notes”). The 4.000% Senior Notes represent general unsecured senior obligations and rank equal in right of payment with the Company’s existing and future unsecured senior debt. The 4.000% Senior Notes have interest payment dates of April 1 and October 1 of each year.</w:t>
      </w:r>
    </w:p>
    <w:p>
      <w:pPr>
        <w:spacing w:after="0" w:line="9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On August 13, 2021, Scotts Miracle-Gro issued $400.0 aggregate principal amount of 4.375% Senior Notes due 2032 (the “4.375% Senior Notes”). The 4.375% Senior Notes represent general unsecured senior obligations and rank equal in right of payment with the Company’s existing and future unsecured senior debt. The 4.375% Senior Notes have interest payment dates of February 1 and August 1 of each year.</w:t>
      </w:r>
    </w:p>
    <w:p>
      <w:pPr>
        <w:spacing w:after="0" w:line="8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200" w:lineRule="exact"/>
        <w:rPr>
          <w:sz w:val="20"/>
          <w:szCs w:val="20"/>
          <w:color w:val="auto"/>
        </w:rPr>
      </w:pPr>
    </w:p>
    <w:p>
      <w:pPr>
        <w:spacing w:after="0" w:line="30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2" w:name="page13"/>
    <w:bookmarkEnd w:id="1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05"/>
        <w:spacing w:after="0" w:line="244" w:lineRule="auto"/>
        <w:rPr>
          <w:sz w:val="20"/>
          <w:szCs w:val="20"/>
          <w:color w:val="auto"/>
        </w:rPr>
      </w:pPr>
      <w:r>
        <w:rPr>
          <w:rFonts w:ascii="Arial" w:cs="Arial" w:eastAsia="Arial" w:hAnsi="Arial"/>
          <w:sz w:val="18"/>
          <w:szCs w:val="18"/>
          <w:color w:val="auto"/>
        </w:rPr>
        <w:t>On April 7, 2017, the Company entered into a Master Repurchase Agreement (including the annexes thereto, the “Repurchase Agreement”) and a Master Framework Agreement, as amended (the “Framework Agreement” and, together with the Repurchase Agreement, the “Receivables Facility”). Under the Receivables Facility, the Company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 which may be sold under the Receivables Facility is $400.0 and the commitment amount during the seasonal commitment period beginning on February 24, 2023 and ending on June 16, 2023 is $160.0. The Receivables Facility expires on August 18, 2023.</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accounts for the sale of receivables under the Receivables Facility as short-term debt and continues to carry the receivables on its Condensed Consolidated Balance Sheets, primarily as a result of the Company’s requirement to repurchase receivables sold. As of December 31, 2022 and January 1, 2022, there were $161.0 and $94.0, respectively, in borrowings on receivables pledged as collateral under the Receivables Facility, and the carrying value of the receivables pledged as collateral was $178.9 and $104.4,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5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enters into interest rate swap agreements with major financial institutions that effectively convert a portion of the Company’s variable-rate debt to a fixed rate. Interest payments made between the effective date and expiration date are hedged by the swap agreements. Swap agreements that were hedging interest payments as of December 31, 2022, January 1, 2022 and September 30, 2022 had a maximum total U.S. dollar equivalent notional amount of $800.0, $600.0 and $800.0, respectively. The notional amount, effective date, expiration date and rate of each of the swap agreements outstanding at December 31, 2022 are shown in the table below:</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jc w:val="right"/>
              <w:ind w:right="855"/>
              <w:spacing w:after="0"/>
              <w:rPr>
                <w:sz w:val="20"/>
                <w:szCs w:val="20"/>
                <w:color w:val="auto"/>
              </w:rPr>
            </w:pPr>
            <w:r>
              <w:rPr>
                <w:rFonts w:ascii="Arial" w:cs="Arial" w:eastAsia="Arial" w:hAnsi="Arial"/>
                <w:sz w:val="14"/>
                <w:szCs w:val="14"/>
                <w:b w:val="1"/>
                <w:bCs w:val="1"/>
                <w:color w:val="auto"/>
              </w:rPr>
              <w:t>Notional</w:t>
            </w:r>
          </w:p>
        </w:tc>
        <w:tc>
          <w:tcPr>
            <w:tcW w:w="34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92"/>
        </w:trPr>
        <w:tc>
          <w:tcPr>
            <w:tcW w:w="2400" w:type="dxa"/>
            <w:vAlign w:val="bottom"/>
          </w:tcPr>
          <w:p>
            <w:pPr>
              <w:jc w:val="right"/>
              <w:ind w:right="755"/>
              <w:spacing w:after="0"/>
              <w:rPr>
                <w:sz w:val="20"/>
                <w:szCs w:val="20"/>
                <w:color w:val="auto"/>
              </w:rPr>
            </w:pPr>
            <w:r>
              <w:rPr>
                <w:rFonts w:ascii="Arial" w:cs="Arial" w:eastAsia="Arial" w:hAnsi="Arial"/>
                <w:sz w:val="14"/>
                <w:szCs w:val="14"/>
                <w:b w:val="1"/>
                <w:bCs w:val="1"/>
                <w:color w:val="auto"/>
              </w:rPr>
              <w:t>Amount ($)</w:t>
            </w:r>
          </w:p>
        </w:tc>
        <w:tc>
          <w:tcPr>
            <w:tcW w:w="34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9"/>
        </w:trPr>
        <w:tc>
          <w:tcPr>
            <w:tcW w:w="2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2400" w:type="dxa"/>
            <w:vAlign w:val="bottom"/>
          </w:tcPr>
          <w:p>
            <w:pPr>
              <w:jc w:val="right"/>
              <w:spacing w:after="0"/>
              <w:rPr>
                <w:sz w:val="20"/>
                <w:szCs w:val="20"/>
                <w:color w:val="auto"/>
              </w:rPr>
            </w:pPr>
            <w:r>
              <w:rPr>
                <w:rFonts w:ascii="Arial" w:cs="Arial" w:eastAsia="Arial" w:hAnsi="Arial"/>
                <w:sz w:val="18"/>
                <w:szCs w:val="18"/>
                <w:color w:val="auto"/>
              </w:rPr>
              <w:t>300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30"/>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30"/>
        </w:trPr>
        <w:tc>
          <w:tcPr>
            <w:tcW w:w="2400" w:type="dxa"/>
            <w:vAlign w:val="bottom"/>
          </w:tcPr>
          <w:p>
            <w:pPr>
              <w:jc w:val="right"/>
              <w:spacing w:after="0"/>
              <w:rPr>
                <w:sz w:val="20"/>
                <w:szCs w:val="20"/>
                <w:color w:val="auto"/>
              </w:rPr>
            </w:pPr>
            <w:r>
              <w:rPr>
                <w:rFonts w:ascii="Arial" w:cs="Arial" w:eastAsia="Arial" w:hAnsi="Arial"/>
                <w:sz w:val="18"/>
                <w:szCs w:val="18"/>
                <w:color w:val="auto"/>
              </w:rPr>
              <w:t>200</w:t>
            </w:r>
          </w:p>
        </w:tc>
        <w:tc>
          <w:tcPr>
            <w:tcW w:w="34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Weighted Average Interest Rate</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interest rates on the Company’s debt were 5.2% and 3.6% for the three months ended December 31, 2022 and January 1, 2022, respectively.</w:t>
      </w:r>
    </w:p>
    <w:p>
      <w:pPr>
        <w:spacing w:after="0" w:line="200" w:lineRule="exact"/>
        <w:rPr>
          <w:sz w:val="20"/>
          <w:szCs w:val="20"/>
          <w:color w:val="auto"/>
        </w:rPr>
      </w:pPr>
    </w:p>
    <w:p>
      <w:pPr>
        <w:spacing w:after="0" w:line="30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34"/>
        </w:trPr>
        <w:tc>
          <w:tcPr>
            <w:tcW w:w="3660" w:type="dxa"/>
            <w:vAlign w:val="bottom"/>
          </w:tcPr>
          <w:p>
            <w:pPr>
              <w:ind w:left="20"/>
              <w:spacing w:after="0"/>
              <w:rPr>
                <w:sz w:val="20"/>
                <w:szCs w:val="20"/>
                <w:color w:val="auto"/>
              </w:rPr>
            </w:pPr>
            <w:r>
              <w:rPr>
                <w:rFonts w:ascii="Arial" w:cs="Arial" w:eastAsia="Arial" w:hAnsi="Arial"/>
                <w:sz w:val="18"/>
                <w:szCs w:val="18"/>
                <w:color w:val="FFFFFF"/>
              </w:rPr>
              <w:t>Contents</w:t>
            </w:r>
          </w:p>
        </w:tc>
        <w:tc>
          <w:tcPr>
            <w:tcW w:w="4720" w:type="dxa"/>
            <w:vAlign w:val="bottom"/>
            <w:gridSpan w:val="10"/>
          </w:tcPr>
          <w:p>
            <w:pPr>
              <w:jc w:val="center"/>
              <w:ind w:right="800"/>
              <w:spacing w:after="0"/>
              <w:rPr>
                <w:sz w:val="20"/>
                <w:szCs w:val="20"/>
                <w:color w:val="auto"/>
              </w:rPr>
            </w:pPr>
            <w:r>
              <w:rPr>
                <w:rFonts w:ascii="Arial" w:cs="Arial" w:eastAsia="Arial" w:hAnsi="Arial"/>
                <w:sz w:val="18"/>
                <w:szCs w:val="18"/>
                <w:b w:val="1"/>
                <w:bCs w:val="1"/>
                <w:color w:val="auto"/>
              </w:rPr>
              <w:t>THE SCOTTS MIRACLE-GRO COMPANY</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60" w:type="dxa"/>
            <w:vAlign w:val="bottom"/>
            <w:gridSpan w:val="14"/>
          </w:tcPr>
          <w:p>
            <w:pPr>
              <w:jc w:val="center"/>
              <w:ind w:left="1291"/>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80" w:type="dxa"/>
            <w:vAlign w:val="bottom"/>
            <w:gridSpan w:val="6"/>
          </w:tcPr>
          <w:p>
            <w:pPr>
              <w:jc w:val="center"/>
              <w:ind w:right="1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21"/>
        </w:trPr>
        <w:tc>
          <w:tcPr>
            <w:tcW w:w="3660" w:type="dxa"/>
            <w:vAlign w:val="bottom"/>
          </w:tcPr>
          <w:p>
            <w:pPr>
              <w:spacing w:after="0"/>
              <w:rPr>
                <w:sz w:val="20"/>
                <w:szCs w:val="20"/>
                <w:color w:val="auto"/>
              </w:rPr>
            </w:pPr>
            <w:r>
              <w:rPr>
                <w:rFonts w:ascii="Arial" w:cs="Arial" w:eastAsia="Arial" w:hAnsi="Arial"/>
                <w:sz w:val="18"/>
                <w:szCs w:val="18"/>
                <w:b w:val="1"/>
                <w:bCs w:val="1"/>
                <w:color w:val="auto"/>
              </w:rPr>
              <w:t>NOTE 8. EQUITY</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8380" w:type="dxa"/>
            <w:vAlign w:val="bottom"/>
            <w:gridSpan w:val="11"/>
          </w:tcPr>
          <w:p>
            <w:pPr>
              <w:ind w:left="420"/>
              <w:spacing w:after="0"/>
              <w:rPr>
                <w:sz w:val="20"/>
                <w:szCs w:val="20"/>
                <w:color w:val="auto"/>
              </w:rPr>
            </w:pPr>
            <w:r>
              <w:rPr>
                <w:rFonts w:ascii="Arial" w:cs="Arial" w:eastAsia="Arial" w:hAnsi="Arial"/>
                <w:sz w:val="18"/>
                <w:szCs w:val="18"/>
                <w:color w:val="auto"/>
              </w:rPr>
              <w:t>The following tables provide a summary of the changes in equity for each of the periods indicated:</w:t>
            </w: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Common Shares and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8"/>
              </w:rPr>
              <w:t>Capital in</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Treasury</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300" w:type="dxa"/>
            <w:vAlign w:val="bottom"/>
          </w:tcPr>
          <w:p>
            <w:pPr>
              <w:spacing w:after="0"/>
              <w:rPr>
                <w:sz w:val="12"/>
                <w:szCs w:val="12"/>
                <w:color w:val="auto"/>
              </w:rPr>
            </w:pPr>
          </w:p>
        </w:tc>
        <w:tc>
          <w:tcPr>
            <w:tcW w:w="108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Excess of Stated</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Comprehensive Loss</w:t>
            </w:r>
          </w:p>
        </w:tc>
        <w:tc>
          <w:tcPr>
            <w:tcW w:w="300" w:type="dxa"/>
            <w:vAlign w:val="bottom"/>
          </w:tcPr>
          <w:p>
            <w:pPr>
              <w:spacing w:after="0"/>
              <w:rPr>
                <w:sz w:val="17"/>
                <w:szCs w:val="17"/>
                <w:color w:val="auto"/>
              </w:rPr>
            </w:pPr>
          </w:p>
        </w:tc>
        <w:tc>
          <w:tcPr>
            <w:tcW w:w="1080" w:type="dxa"/>
            <w:vAlign w:val="bottom"/>
          </w:tcPr>
          <w:p>
            <w:pPr>
              <w:jc w:val="center"/>
              <w:ind w:right="2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(1,091.8)</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($0.66 per share)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Treasury share purchases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 issuances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Balance at December 31, 2022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917.9</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(1,056.7)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3660" w:type="dxa"/>
            <w:vAlign w:val="bottom"/>
            <w:vMerge w:val="restart"/>
          </w:tcPr>
          <w:p>
            <w:pPr>
              <w:spacing w:after="0"/>
              <w:rPr>
                <w:sz w:val="20"/>
                <w:szCs w:val="20"/>
                <w:color w:val="auto"/>
              </w:rPr>
            </w:pPr>
            <w:r>
              <w:rPr>
                <w:rFonts w:ascii="Arial" w:cs="Arial" w:eastAsia="Arial" w:hAnsi="Arial"/>
                <w:sz w:val="14"/>
                <w:szCs w:val="14"/>
                <w:color w:val="auto"/>
                <w:w w:val="98"/>
              </w:rPr>
              <w:t>The sum of the components may not equal due to rounding.</w:t>
            </w: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4"/>
        </w:trPr>
        <w:tc>
          <w:tcPr>
            <w:tcW w:w="36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5"/>
        </w:trPr>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Common Shares and</w:t>
            </w: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Capital in</w:t>
            </w:r>
          </w:p>
        </w:tc>
        <w:tc>
          <w:tcPr>
            <w:tcW w:w="26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Retained</w:t>
            </w:r>
          </w:p>
        </w:tc>
        <w:tc>
          <w:tcPr>
            <w:tcW w:w="30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Treasury</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Accumulated Other</w:t>
            </w:r>
          </w:p>
        </w:tc>
        <w:tc>
          <w:tcPr>
            <w:tcW w:w="300" w:type="dxa"/>
            <w:vAlign w:val="bottom"/>
          </w:tcPr>
          <w:p>
            <w:pPr>
              <w:spacing w:after="0"/>
              <w:rPr>
                <w:sz w:val="12"/>
                <w:szCs w:val="12"/>
                <w:color w:val="auto"/>
              </w:rPr>
            </w:pPr>
          </w:p>
        </w:tc>
        <w:tc>
          <w:tcPr>
            <w:tcW w:w="1080" w:type="dxa"/>
            <w:vAlign w:val="bottom"/>
            <w:vMerge w:val="restart"/>
          </w:tcPr>
          <w:p>
            <w:pPr>
              <w:jc w:val="center"/>
              <w:ind w:right="214"/>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4"/>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7"/>
              </w:rPr>
              <w:t>Excess of Stated</w:t>
            </w:r>
          </w:p>
        </w:tc>
        <w:tc>
          <w:tcPr>
            <w:tcW w:w="2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7"/>
                <w:szCs w:val="17"/>
                <w:color w:val="auto"/>
              </w:rPr>
            </w:pPr>
          </w:p>
        </w:tc>
        <w:tc>
          <w:tcPr>
            <w:tcW w:w="1200" w:type="dxa"/>
            <w:vAlign w:val="bottom"/>
            <w:gridSpan w:val="2"/>
          </w:tcPr>
          <w:p>
            <w:pPr>
              <w:ind w:left="140"/>
              <w:spacing w:after="0"/>
              <w:rPr>
                <w:sz w:val="20"/>
                <w:szCs w:val="20"/>
                <w:color w:val="auto"/>
              </w:rPr>
            </w:pPr>
            <w:r>
              <w:rPr>
                <w:rFonts w:ascii="Arial" w:cs="Arial" w:eastAsia="Arial" w:hAnsi="Arial"/>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Shares</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Comprehensive Loss</w:t>
            </w:r>
          </w:p>
        </w:tc>
        <w:tc>
          <w:tcPr>
            <w:tcW w:w="300" w:type="dxa"/>
            <w:vAlign w:val="bottom"/>
          </w:tcPr>
          <w:p>
            <w:pPr>
              <w:spacing w:after="0"/>
              <w:rPr>
                <w:sz w:val="17"/>
                <w:szCs w:val="17"/>
                <w:color w:val="auto"/>
              </w:rPr>
            </w:pPr>
          </w:p>
        </w:tc>
        <w:tc>
          <w:tcPr>
            <w:tcW w:w="1080" w:type="dxa"/>
            <w:vAlign w:val="bottom"/>
          </w:tcPr>
          <w:p>
            <w:pPr>
              <w:jc w:val="center"/>
              <w:ind w:right="214"/>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29"/>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September 30, 2021</w:t>
            </w:r>
          </w:p>
        </w:tc>
        <w:tc>
          <w:tcPr>
            <w:tcW w:w="3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1,605.1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(1,002.4)</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1,013.3</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Share-based compensation</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($0.66 per share)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Treasury share purchases</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share issuances</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Balance at January 1, 2022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486.9</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1,517.8</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(1,112.4)</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00" w:lineRule="exact"/>
        <w:rPr>
          <w:sz w:val="20"/>
          <w:szCs w:val="20"/>
          <w:color w:val="auto"/>
        </w:rPr>
      </w:pPr>
    </w:p>
    <w:p>
      <w:pPr>
        <w:spacing w:after="0" w:line="37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ind w:left="20"/>
              <w:spacing w:after="0"/>
              <w:rPr>
                <w:sz w:val="20"/>
                <w:szCs w:val="20"/>
                <w:color w:val="auto"/>
              </w:rPr>
            </w:pPr>
            <w:r>
              <w:rPr>
                <w:rFonts w:ascii="Arial" w:cs="Arial" w:eastAsia="Arial" w:hAnsi="Arial"/>
                <w:sz w:val="18"/>
                <w:szCs w:val="18"/>
                <w:color w:val="FFFFFF"/>
              </w:rPr>
              <w:t>Contents</w:t>
            </w:r>
          </w:p>
        </w:tc>
        <w:tc>
          <w:tcPr>
            <w:tcW w:w="4720" w:type="dxa"/>
            <w:vAlign w:val="bottom"/>
            <w:gridSpan w:val="10"/>
          </w:tcPr>
          <w:p>
            <w:pPr>
              <w:jc w:val="center"/>
              <w:ind w:right="880"/>
              <w:spacing w:after="0"/>
              <w:rPr>
                <w:sz w:val="20"/>
                <w:szCs w:val="20"/>
                <w:color w:val="auto"/>
              </w:rPr>
            </w:pPr>
            <w:r>
              <w:rPr>
                <w:rFonts w:ascii="Arial" w:cs="Arial" w:eastAsia="Arial" w:hAnsi="Arial"/>
                <w:sz w:val="18"/>
                <w:szCs w:val="18"/>
                <w:b w:val="1"/>
                <w:bCs w:val="1"/>
                <w:color w:val="auto"/>
              </w:rPr>
              <w:t>THE SCOTTS MIRACLE-GRO COMPANY</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9880" w:type="dxa"/>
            <w:vAlign w:val="bottom"/>
            <w:gridSpan w:val="15"/>
          </w:tcPr>
          <w:p>
            <w:pPr>
              <w:jc w:val="center"/>
              <w:ind w:left="127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00" w:type="dxa"/>
            <w:vAlign w:val="bottom"/>
            <w:gridSpan w:val="7"/>
          </w:tcPr>
          <w:p>
            <w:pPr>
              <w:jc w:val="right"/>
              <w:spacing w:after="0"/>
              <w:rPr>
                <w:sz w:val="20"/>
                <w:szCs w:val="20"/>
                <w:color w:val="auto"/>
              </w:rPr>
            </w:pPr>
            <w:r>
              <w:rPr>
                <w:rFonts w:ascii="Arial" w:cs="Arial" w:eastAsia="Arial" w:hAnsi="Arial"/>
                <w:sz w:val="16"/>
                <w:szCs w:val="16"/>
                <w:b w:val="1"/>
                <w:bCs w:val="1"/>
                <w:color w:val="auto"/>
                <w:w w:val="93"/>
              </w:rPr>
              <w:t>(Dollars in millions, except per share data)</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4"/>
        </w:trPr>
        <w:tc>
          <w:tcPr>
            <w:tcW w:w="3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Accumulated Other Comprehensive Loss</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40" w:type="dxa"/>
            <w:vAlign w:val="bottom"/>
            <w:shd w:val="clear" w:color="auto" w:fill="000000"/>
          </w:tcPr>
          <w:p>
            <w:pPr>
              <w:spacing w:after="0" w:line="20" w:lineRule="exact"/>
              <w:rPr>
                <w:sz w:val="1"/>
                <w:szCs w:val="1"/>
                <w:color w:val="auto"/>
              </w:rPr>
            </w:pPr>
          </w:p>
        </w:tc>
        <w:tc>
          <w:tcPr>
            <w:tcW w:w="23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880" w:type="dxa"/>
            <w:vAlign w:val="bottom"/>
            <w:gridSpan w:val="15"/>
          </w:tcPr>
          <w:p>
            <w:pPr>
              <w:ind w:left="420"/>
              <w:spacing w:after="0"/>
              <w:rPr>
                <w:sz w:val="20"/>
                <w:szCs w:val="20"/>
                <w:color w:val="auto"/>
              </w:rPr>
            </w:pPr>
            <w:r>
              <w:rPr>
                <w:rFonts w:ascii="Arial" w:cs="Arial" w:eastAsia="Arial" w:hAnsi="Arial"/>
                <w:sz w:val="18"/>
                <w:szCs w:val="18"/>
                <w:color w:val="auto"/>
                <w:w w:val="94"/>
              </w:rPr>
              <w:t>Changes in accumulated other comprehensive loss (“AOCL”) by component were as follows for each of the periods indicated:</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3040" w:type="dxa"/>
            <w:vAlign w:val="bottom"/>
          </w:tcPr>
          <w:p>
            <w:pPr>
              <w:spacing w:after="0"/>
              <w:rPr>
                <w:sz w:val="2"/>
                <w:szCs w:val="2"/>
                <w:color w:val="auto"/>
              </w:rPr>
            </w:pPr>
          </w:p>
        </w:tc>
        <w:tc>
          <w:tcPr>
            <w:tcW w:w="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0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Foreign Currency</w:t>
            </w:r>
          </w:p>
        </w:tc>
        <w:tc>
          <w:tcPr>
            <w:tcW w:w="146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5"/>
              </w:rPr>
              <w:t>Net Unrealized Gain</w:t>
            </w:r>
          </w:p>
        </w:tc>
        <w:tc>
          <w:tcPr>
            <w:tcW w:w="14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5"/>
              </w:rPr>
              <w:t>Net Unrealized Gain</w:t>
            </w:r>
          </w:p>
        </w:tc>
        <w:tc>
          <w:tcPr>
            <w:tcW w:w="14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Pension and Other</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Accumulated Other</w:t>
            </w:r>
          </w:p>
        </w:tc>
        <w:tc>
          <w:tcPr>
            <w:tcW w:w="0" w:type="dxa"/>
            <w:vAlign w:val="bottom"/>
          </w:tcPr>
          <w:p>
            <w:pPr>
              <w:spacing w:after="0"/>
              <w:rPr>
                <w:sz w:val="1"/>
                <w:szCs w:val="1"/>
                <w:color w:val="auto"/>
              </w:rPr>
            </w:pPr>
          </w:p>
        </w:tc>
      </w:tr>
      <w:tr>
        <w:trPr>
          <w:trHeight w:val="148"/>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(Loss)</w:t>
            </w:r>
          </w:p>
        </w:tc>
        <w:tc>
          <w:tcPr>
            <w:tcW w:w="1440" w:type="dxa"/>
            <w:vAlign w:val="bottom"/>
            <w:gridSpan w:val="3"/>
            <w:vMerge w:val="continue"/>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5"/>
              </w:rPr>
              <w:t>On Derivative</w:t>
            </w:r>
          </w:p>
        </w:tc>
        <w:tc>
          <w:tcPr>
            <w:tcW w:w="180" w:type="dxa"/>
            <w:vAlign w:val="bottom"/>
          </w:tcPr>
          <w:p>
            <w:pPr>
              <w:spacing w:after="0"/>
              <w:rPr>
                <w:sz w:val="12"/>
                <w:szCs w:val="12"/>
                <w:color w:val="auto"/>
              </w:rPr>
            </w:pPr>
          </w:p>
        </w:tc>
        <w:tc>
          <w:tcPr>
            <w:tcW w:w="12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90"/>
              </w:rPr>
              <w:t>(Loss)</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2"/>
              </w:rPr>
              <w:t>Post-Retirement</w:t>
            </w:r>
          </w:p>
        </w:tc>
        <w:tc>
          <w:tcPr>
            <w:tcW w:w="160" w:type="dxa"/>
            <w:vAlign w:val="bottom"/>
          </w:tcPr>
          <w:p>
            <w:pPr>
              <w:spacing w:after="0"/>
              <w:rPr>
                <w:sz w:val="12"/>
                <w:szCs w:val="12"/>
                <w:color w:val="auto"/>
              </w:rPr>
            </w:pPr>
          </w:p>
        </w:tc>
        <w:tc>
          <w:tcPr>
            <w:tcW w:w="1200" w:type="dxa"/>
            <w:vAlign w:val="bottom"/>
          </w:tcPr>
          <w:p>
            <w:pPr>
              <w:jc w:val="center"/>
              <w:ind w:right="73"/>
              <w:spacing w:after="0" w:line="145"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Instruments</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On Securities</w:t>
            </w:r>
          </w:p>
        </w:tc>
        <w:tc>
          <w:tcPr>
            <w:tcW w:w="14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Benefit Adjustments</w:t>
            </w:r>
          </w:p>
        </w:tc>
        <w:tc>
          <w:tcPr>
            <w:tcW w:w="160" w:type="dxa"/>
            <w:vAlign w:val="bottom"/>
          </w:tcPr>
          <w:p>
            <w:pPr>
              <w:spacing w:after="0"/>
              <w:rPr>
                <w:sz w:val="17"/>
                <w:szCs w:val="17"/>
                <w:color w:val="auto"/>
              </w:rPr>
            </w:pPr>
          </w:p>
        </w:tc>
        <w:tc>
          <w:tcPr>
            <w:tcW w:w="120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Income (Loss)</w:t>
            </w:r>
          </w:p>
        </w:tc>
        <w:tc>
          <w:tcPr>
            <w:tcW w:w="0" w:type="dxa"/>
            <w:vAlign w:val="bottom"/>
          </w:tcPr>
          <w:p>
            <w:pPr>
              <w:spacing w:after="0"/>
              <w:rPr>
                <w:sz w:val="1"/>
                <w:szCs w:val="1"/>
                <w:color w:val="auto"/>
              </w:rPr>
            </w:pPr>
          </w:p>
        </w:tc>
      </w:tr>
      <w:tr>
        <w:trPr>
          <w:trHeight w:val="229"/>
        </w:trPr>
        <w:tc>
          <w:tcPr>
            <w:tcW w:w="37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September 30, 2022</w:t>
            </w:r>
          </w:p>
        </w:tc>
        <w:tc>
          <w:tcPr>
            <w:tcW w:w="3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40"/>
              <w:spacing w:after="0" w:line="189" w:lineRule="exact"/>
              <w:rPr>
                <w:sz w:val="20"/>
                <w:szCs w:val="20"/>
                <w:color w:val="auto"/>
              </w:rPr>
            </w:pPr>
            <w:r>
              <w:rPr>
                <w:rFonts w:ascii="Arial" w:cs="Arial" w:eastAsia="Arial" w:hAnsi="Arial"/>
                <w:sz w:val="18"/>
                <w:szCs w:val="18"/>
                <w:color w:val="auto"/>
              </w:rPr>
              <w:t>Other comprehensive income (loss) before</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reclassifications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188"/>
        </w:trPr>
        <w:tc>
          <w:tcPr>
            <w:tcW w:w="37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w w:val="95"/>
              </w:rPr>
              <w:t>Amounts reclassified from accumulated other</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comprehensive net income (loss)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29"/>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3"/>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December 31, 2022</w:t>
            </w:r>
          </w:p>
        </w:tc>
        <w:tc>
          <w:tcPr>
            <w:tcW w:w="36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0" w:type="dxa"/>
            <w:vAlign w:val="bottom"/>
          </w:tcPr>
          <w:p>
            <w:pPr>
              <w:spacing w:after="0"/>
              <w:rPr>
                <w:sz w:val="1"/>
                <w:szCs w:val="1"/>
                <w:color w:val="auto"/>
              </w:rPr>
            </w:pPr>
          </w:p>
        </w:tc>
      </w:tr>
      <w:tr>
        <w:trPr>
          <w:trHeight w:val="20"/>
        </w:trPr>
        <w:tc>
          <w:tcPr>
            <w:tcW w:w="30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0"/>
              <w:spacing w:after="0"/>
              <w:rPr>
                <w:sz w:val="20"/>
                <w:szCs w:val="20"/>
                <w:color w:val="auto"/>
              </w:rPr>
            </w:pPr>
            <w:r>
              <w:rPr>
                <w:rFonts w:ascii="Arial" w:cs="Arial" w:eastAsia="Arial" w:hAnsi="Arial"/>
                <w:sz w:val="18"/>
                <w:szCs w:val="18"/>
                <w:color w:val="auto"/>
              </w:rPr>
              <w:t>Balance at September 30, 2021</w:t>
            </w:r>
          </w:p>
        </w:tc>
        <w:tc>
          <w:tcPr>
            <w:tcW w:w="3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(72.5)</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188"/>
        </w:trPr>
        <w:tc>
          <w:tcPr>
            <w:tcW w:w="3700" w:type="dxa"/>
            <w:vAlign w:val="bottom"/>
            <w:gridSpan w:val="2"/>
            <w:shd w:val="clear" w:color="auto" w:fill="CCEEFF"/>
          </w:tcPr>
          <w:p>
            <w:pPr>
              <w:ind w:left="240"/>
              <w:spacing w:after="0" w:line="189" w:lineRule="exact"/>
              <w:rPr>
                <w:sz w:val="20"/>
                <w:szCs w:val="20"/>
                <w:color w:val="auto"/>
              </w:rPr>
            </w:pPr>
            <w:r>
              <w:rPr>
                <w:rFonts w:ascii="Arial" w:cs="Arial" w:eastAsia="Arial" w:hAnsi="Arial"/>
                <w:sz w:val="18"/>
                <w:szCs w:val="18"/>
                <w:color w:val="auto"/>
              </w:rPr>
              <w:t>Other comprehensive income (loss) before</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reclassifications</w:t>
            </w: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188"/>
        </w:trPr>
        <w:tc>
          <w:tcPr>
            <w:tcW w:w="3700" w:type="dxa"/>
            <w:vAlign w:val="bottom"/>
            <w:gridSpan w:val="2"/>
          </w:tcPr>
          <w:p>
            <w:pPr>
              <w:ind w:left="240"/>
              <w:spacing w:after="0" w:line="189" w:lineRule="exact"/>
              <w:rPr>
                <w:sz w:val="20"/>
                <w:szCs w:val="20"/>
                <w:color w:val="auto"/>
              </w:rPr>
            </w:pPr>
            <w:r>
              <w:rPr>
                <w:rFonts w:ascii="Arial" w:cs="Arial" w:eastAsia="Arial" w:hAnsi="Arial"/>
                <w:sz w:val="18"/>
                <w:szCs w:val="18"/>
                <w:color w:val="auto"/>
                <w:w w:val="95"/>
              </w:rPr>
              <w:t>Amounts reclassified from accumulated other</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700" w:type="dxa"/>
            <w:vAlign w:val="bottom"/>
            <w:gridSpan w:val="2"/>
          </w:tcPr>
          <w:p>
            <w:pPr>
              <w:ind w:left="240"/>
              <w:spacing w:after="0"/>
              <w:rPr>
                <w:sz w:val="20"/>
                <w:szCs w:val="20"/>
                <w:color w:val="auto"/>
              </w:rPr>
            </w:pPr>
            <w:r>
              <w:rPr>
                <w:rFonts w:ascii="Arial" w:cs="Arial" w:eastAsia="Arial" w:hAnsi="Arial"/>
                <w:sz w:val="18"/>
                <w:szCs w:val="18"/>
                <w:color w:val="auto"/>
              </w:rPr>
              <w:t>comprehensive net income (loss)</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7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Income tax benefit (expense)</w:t>
            </w: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w w:val="93"/>
              </w:rPr>
              <w:t>Net current period other comprehensive income (loss)</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48"/>
        </w:trPr>
        <w:tc>
          <w:tcPr>
            <w:tcW w:w="3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Balance at January 1, 2022</w:t>
            </w: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 Repurchases</w:t>
      </w:r>
    </w:p>
    <w:p>
      <w:pPr>
        <w:spacing w:after="0" w:line="1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On February 6, 2020, Scotts Miracle-Gro announced that its Board of Directors authorized the repurchase of up to $750.0 of Common Shares from April 30, 2020 through March 25, 2023. The share repurchase authorization may be suspended or discontinued by the Board of Directors at any time, and there can be no guarantee as to the timing or amount of any repurchases. During the three months ended December 31, 2022 and January 1, 2022, Scotts Miracle-Gro repurchased 0.0 million and 0.8 million Common Shares under this share repurchase authorization for $0.0 and $125.0, respectively. Treasury share purchases also include cash paid to tax authorities to satisfy statutory income tax withholding obligations related to share-based compensation of $0.8 and $4.5 for the three months ended December 31, 2022 and January 1, 2022,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Share-Based Awards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Total share-based compensation was as follows for each of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39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398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right"/>
              <w:ind w:right="339"/>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3980" w:type="dxa"/>
            <w:vAlign w:val="bottom"/>
            <w:tcBorders>
              <w:bottom w:val="single" w:sz="8" w:color="CCEEFF"/>
            </w:tcBorders>
          </w:tcPr>
          <w:p>
            <w:pPr>
              <w:spacing w:after="0"/>
              <w:rPr>
                <w:sz w:val="16"/>
                <w:szCs w:val="16"/>
                <w:color w:val="auto"/>
              </w:rPr>
            </w:pPr>
          </w:p>
        </w:tc>
        <w:tc>
          <w:tcPr>
            <w:tcW w:w="4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r>
      <w:tr>
        <w:trPr>
          <w:trHeight w:val="229"/>
        </w:trPr>
        <w:tc>
          <w:tcPr>
            <w:tcW w:w="3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4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Related tax benefit recognized</w:t>
            </w:r>
          </w:p>
        </w:tc>
        <w:tc>
          <w:tcPr>
            <w:tcW w:w="4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863"/>
        </w:trPr>
        <w:tc>
          <w:tcPr>
            <w:tcW w:w="3980" w:type="dxa"/>
            <w:vAlign w:val="bottom"/>
          </w:tcPr>
          <w:p>
            <w:pPr>
              <w:spacing w:after="0"/>
              <w:rPr>
                <w:sz w:val="24"/>
                <w:szCs w:val="24"/>
                <w:color w:val="auto"/>
              </w:rPr>
            </w:pPr>
          </w:p>
        </w:tc>
        <w:tc>
          <w:tcPr>
            <w:tcW w:w="4160" w:type="dxa"/>
            <w:vAlign w:val="bottom"/>
          </w:tcPr>
          <w:p>
            <w:pPr>
              <w:jc w:val="right"/>
              <w:ind w:right="211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5"/>
        </w:trPr>
        <w:tc>
          <w:tcPr>
            <w:tcW w:w="3980" w:type="dxa"/>
            <w:vAlign w:val="bottom"/>
            <w:tcBorders>
              <w:bottom w:val="single" w:sz="8" w:color="9A9A9A"/>
            </w:tcBorders>
          </w:tcPr>
          <w:p>
            <w:pPr>
              <w:spacing w:after="0"/>
              <w:rPr>
                <w:sz w:val="10"/>
                <w:szCs w:val="10"/>
                <w:color w:val="auto"/>
              </w:rPr>
            </w:pPr>
          </w:p>
        </w:tc>
        <w:tc>
          <w:tcPr>
            <w:tcW w:w="41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3500" w:type="dxa"/>
            <w:vAlign w:val="bottom"/>
          </w:tcPr>
          <w:p>
            <w:pPr>
              <w:ind w:left="20"/>
              <w:spacing w:after="0"/>
              <w:rPr>
                <w:sz w:val="20"/>
                <w:szCs w:val="20"/>
                <w:color w:val="auto"/>
              </w:rPr>
            </w:pPr>
            <w:r>
              <w:rPr>
                <w:rFonts w:ascii="Arial" w:cs="Arial" w:eastAsia="Arial" w:hAnsi="Arial"/>
                <w:sz w:val="18"/>
                <w:szCs w:val="18"/>
                <w:color w:val="FFFFFF"/>
              </w:rPr>
              <w:t>Contents</w:t>
            </w:r>
          </w:p>
        </w:tc>
        <w:tc>
          <w:tcPr>
            <w:tcW w:w="476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rPr>
              <w:t>THE SCOTTS MIRACLE-GRO COMPANY</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10"/>
        </w:trPr>
        <w:tc>
          <w:tcPr>
            <w:tcW w:w="9980" w:type="dxa"/>
            <w:vAlign w:val="bottom"/>
            <w:gridSpan w:val="10"/>
          </w:tcPr>
          <w:p>
            <w:pPr>
              <w:jc w:val="center"/>
              <w:ind w:left="1171"/>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tc>
        <w:tc>
          <w:tcPr>
            <w:tcW w:w="1260" w:type="dxa"/>
            <w:vAlign w:val="bottom"/>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4760" w:type="dxa"/>
            <w:vAlign w:val="bottom"/>
            <w:gridSpan w:val="6"/>
          </w:tcPr>
          <w:p>
            <w:pPr>
              <w:jc w:val="center"/>
              <w:ind w:right="540"/>
              <w:spacing w:after="0"/>
              <w:rPr>
                <w:sz w:val="20"/>
                <w:szCs w:val="20"/>
                <w:color w:val="auto"/>
              </w:rPr>
            </w:pPr>
            <w:r>
              <w:rPr>
                <w:rFonts w:ascii="Arial" w:cs="Arial" w:eastAsia="Arial" w:hAnsi="Arial"/>
                <w:sz w:val="16"/>
                <w:szCs w:val="16"/>
                <w:b w:val="1"/>
                <w:bCs w:val="1"/>
                <w:color w:val="auto"/>
                <w:w w:val="91"/>
              </w:rPr>
              <w:t>(Dollars in millions, except per share data)</w:t>
            </w: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694"/>
        </w:trPr>
        <w:tc>
          <w:tcPr>
            <w:tcW w:w="350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Stock Options</w:t>
            </w:r>
          </w:p>
        </w:tc>
        <w:tc>
          <w:tcPr>
            <w:tcW w:w="16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51"/>
        </w:trPr>
        <w:tc>
          <w:tcPr>
            <w:tcW w:w="6600" w:type="dxa"/>
            <w:vAlign w:val="bottom"/>
            <w:gridSpan w:val="3"/>
          </w:tcPr>
          <w:p>
            <w:pPr>
              <w:ind w:left="420"/>
              <w:spacing w:after="0"/>
              <w:rPr>
                <w:sz w:val="20"/>
                <w:szCs w:val="20"/>
                <w:color w:val="auto"/>
              </w:rPr>
            </w:pPr>
            <w:r>
              <w:rPr>
                <w:rFonts w:ascii="Arial" w:cs="Arial" w:eastAsia="Arial" w:hAnsi="Arial"/>
                <w:sz w:val="18"/>
                <w:szCs w:val="18"/>
                <w:color w:val="auto"/>
              </w:rPr>
              <w:t>Details of the Company’s stock option activities are summarized below:</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6"/>
        </w:trPr>
        <w:tc>
          <w:tcPr>
            <w:tcW w:w="3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40" w:type="dxa"/>
            <w:vAlign w:val="bottom"/>
          </w:tcPr>
          <w:p>
            <w:pPr>
              <w:jc w:val="right"/>
              <w:ind w:right="437"/>
              <w:spacing w:after="0"/>
              <w:rPr>
                <w:sz w:val="20"/>
                <w:szCs w:val="20"/>
                <w:color w:val="auto"/>
              </w:rPr>
            </w:pPr>
            <w:r>
              <w:rPr>
                <w:rFonts w:ascii="Arial" w:cs="Arial" w:eastAsia="Arial" w:hAnsi="Arial"/>
                <w:sz w:val="14"/>
                <w:szCs w:val="14"/>
                <w:b w:val="1"/>
                <w:bCs w:val="1"/>
                <w:color w:val="auto"/>
              </w:rPr>
              <w:t>No.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Wtd. Avg.</w:t>
            </w: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Wtd. Avg.</w:t>
            </w: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2"/>
              </w:rPr>
              <w:t>Aggregate</w:t>
            </w:r>
          </w:p>
        </w:tc>
      </w:tr>
      <w:tr>
        <w:trPr>
          <w:trHeight w:val="192"/>
        </w:trPr>
        <w:tc>
          <w:tcPr>
            <w:tcW w:w="35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jc w:val="right"/>
              <w:ind w:right="377"/>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Exercise Price</w:t>
            </w:r>
          </w:p>
        </w:tc>
        <w:tc>
          <w:tcPr>
            <w:tcW w:w="17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5"/>
              </w:rPr>
              <w:t>Remaining Life</w:t>
            </w:r>
          </w:p>
        </w:tc>
        <w:tc>
          <w:tcPr>
            <w:tcW w:w="1260" w:type="dxa"/>
            <w:vAlign w:val="bottom"/>
          </w:tcPr>
          <w:p>
            <w:pPr>
              <w:jc w:val="center"/>
              <w:ind w:right="99"/>
              <w:spacing w:after="0"/>
              <w:rPr>
                <w:sz w:val="20"/>
                <w:szCs w:val="20"/>
                <w:color w:val="auto"/>
              </w:rPr>
            </w:pPr>
            <w:r>
              <w:rPr>
                <w:rFonts w:ascii="Arial" w:cs="Arial" w:eastAsia="Arial" w:hAnsi="Arial"/>
                <w:sz w:val="14"/>
                <w:szCs w:val="14"/>
                <w:b w:val="1"/>
                <w:bCs w:val="1"/>
                <w:color w:val="auto"/>
                <w:w w:val="96"/>
              </w:rPr>
              <w:t>Intrinsic Value</w:t>
            </w:r>
          </w:p>
        </w:tc>
      </w:tr>
      <w:tr>
        <w:trPr>
          <w:trHeight w:val="229"/>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Awards outstanding at September 30, 2022</w:t>
            </w:r>
          </w:p>
        </w:tc>
        <w:tc>
          <w:tcPr>
            <w:tcW w:w="166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528,471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110.86</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6"/>
              </w:rPr>
              <w:t>4.4 years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9"/>
        </w:trPr>
        <w:tc>
          <w:tcPr>
            <w:tcW w:w="3500" w:type="dxa"/>
            <w:vAlign w:val="bottom"/>
          </w:tcPr>
          <w:p>
            <w:pPr>
              <w:ind w:left="20"/>
              <w:spacing w:after="0"/>
              <w:rPr>
                <w:sz w:val="20"/>
                <w:szCs w:val="20"/>
                <w:color w:val="auto"/>
              </w:rPr>
            </w:pPr>
            <w:r>
              <w:rPr>
                <w:rFonts w:ascii="Arial" w:cs="Arial" w:eastAsia="Arial" w:hAnsi="Arial"/>
                <w:sz w:val="18"/>
                <w:szCs w:val="18"/>
                <w:color w:val="auto"/>
              </w:rPr>
              <w:t>Granted</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632,457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50.40</w:t>
            </w: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3"/>
        </w:trPr>
        <w:tc>
          <w:tcPr>
            <w:tcW w:w="3500" w:type="dxa"/>
            <w:vAlign w:val="bottom"/>
          </w:tcPr>
          <w:p>
            <w:pPr>
              <w:ind w:left="20"/>
              <w:spacing w:after="0"/>
              <w:rPr>
                <w:sz w:val="20"/>
                <w:szCs w:val="20"/>
                <w:color w:val="auto"/>
              </w:rPr>
            </w:pPr>
            <w:r>
              <w:rPr>
                <w:rFonts w:ascii="Arial" w:cs="Arial" w:eastAsia="Arial" w:hAnsi="Arial"/>
                <w:sz w:val="18"/>
                <w:szCs w:val="18"/>
                <w:color w:val="auto"/>
              </w:rPr>
              <w:t>Awards outstanding at December 31, 2022</w:t>
            </w:r>
          </w:p>
        </w:tc>
        <w:tc>
          <w:tcPr>
            <w:tcW w:w="16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1,153,981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77.36</w:t>
            </w:r>
          </w:p>
        </w:tc>
        <w:tc>
          <w:tcPr>
            <w:tcW w:w="100" w:type="dxa"/>
            <w:vAlign w:val="bottom"/>
          </w:tcPr>
          <w:p>
            <w:pPr>
              <w:spacing w:after="0"/>
              <w:rPr>
                <w:sz w:val="19"/>
                <w:szCs w:val="19"/>
                <w:color w:val="auto"/>
              </w:rPr>
            </w:pPr>
          </w:p>
        </w:tc>
        <w:tc>
          <w:tcPr>
            <w:tcW w:w="1720" w:type="dxa"/>
            <w:vAlign w:val="bottom"/>
            <w:gridSpan w:val="3"/>
          </w:tcPr>
          <w:p>
            <w:pPr>
              <w:ind w:left="780"/>
              <w:spacing w:after="0"/>
              <w:rPr>
                <w:sz w:val="20"/>
                <w:szCs w:val="20"/>
                <w:color w:val="auto"/>
              </w:rPr>
            </w:pPr>
            <w:r>
              <w:rPr>
                <w:rFonts w:ascii="Arial" w:cs="Arial" w:eastAsia="Arial" w:hAnsi="Arial"/>
                <w:sz w:val="18"/>
                <w:szCs w:val="18"/>
                <w:color w:val="auto"/>
                <w:w w:val="97"/>
              </w:rPr>
              <w:t>7.3 years  $</w:t>
            </w:r>
          </w:p>
        </w:tc>
        <w:tc>
          <w:tcPr>
            <w:tcW w:w="1260" w:type="dxa"/>
            <w:vAlign w:val="bottom"/>
          </w:tcPr>
          <w:p>
            <w:pPr>
              <w:ind w:left="1000"/>
              <w:spacing w:after="0"/>
              <w:rPr>
                <w:sz w:val="20"/>
                <w:szCs w:val="20"/>
                <w:color w:val="auto"/>
              </w:rPr>
            </w:pPr>
            <w:r>
              <w:rPr>
                <w:rFonts w:ascii="Arial" w:cs="Arial" w:eastAsia="Arial" w:hAnsi="Arial"/>
                <w:sz w:val="18"/>
                <w:szCs w:val="18"/>
                <w:color w:val="auto"/>
              </w:rPr>
              <w:t>—</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r>
      <w:tr>
        <w:trPr>
          <w:trHeight w:val="223"/>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w:t>
            </w:r>
          </w:p>
        </w:tc>
        <w:tc>
          <w:tcPr>
            <w:tcW w:w="16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00" w:type="dxa"/>
            <w:vAlign w:val="bottom"/>
            <w:shd w:val="clear" w:color="auto" w:fill="CCEEFF"/>
          </w:tcPr>
          <w:p>
            <w:pPr>
              <w:spacing w:after="0"/>
              <w:rPr>
                <w:sz w:val="19"/>
                <w:szCs w:val="19"/>
                <w:color w:val="auto"/>
              </w:rPr>
            </w:pPr>
          </w:p>
        </w:tc>
        <w:tc>
          <w:tcPr>
            <w:tcW w:w="1720" w:type="dxa"/>
            <w:vAlign w:val="bottom"/>
            <w:gridSpan w:val="3"/>
            <w:shd w:val="clear" w:color="auto" w:fill="CCEEFF"/>
          </w:tcPr>
          <w:p>
            <w:pPr>
              <w:ind w:left="780"/>
              <w:spacing w:after="0"/>
              <w:rPr>
                <w:sz w:val="20"/>
                <w:szCs w:val="20"/>
                <w:color w:val="auto"/>
              </w:rPr>
            </w:pPr>
            <w:r>
              <w:rPr>
                <w:rFonts w:ascii="Arial" w:cs="Arial" w:eastAsia="Arial" w:hAnsi="Arial"/>
                <w:sz w:val="18"/>
                <w:szCs w:val="18"/>
                <w:color w:val="auto"/>
              </w:rPr>
              <w:t>2.7 years</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weighted-average fair value per share of each option granted during the three months ended December 31, 2022 was $13.67. No options were granted during the three months ended January 1, 2022. As of December 31, 2022, there was $3.5 of total unrecognized pre-tax compensation cost, net of estimated forfeitures, related to nonvested stock options that is expected to be recognized over a weighted-average period of 2.3 years. Cash received from the exercise of stock options, including amounts received from employee purchases under the employee stock purchase plan, was $0.6 and $0.9 for the three months ended December 31, 2022 and January 1, 2022, respectively.</w:t>
      </w:r>
    </w:p>
    <w:p>
      <w:pPr>
        <w:spacing w:after="0" w:line="10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grant date fair value of stock option awards is estimated using a binomial model. Expected market price volatility is based on implied volatilities from traded options on Common Shares and historical volatility specific to the Common Shares. Historical data, including demographic factors impacting historical exercise behavior, is used to estimate stock option exercises and employee terminations within the valuation model. The risk-free rate for periods within the contractual life of the stock option is based on the U.S. Treasury yield curve in effect at the time of grant. The expected life of stock options is based on historical experience and expectations for grants outstanding. The weighted average assumptions for awards granted in fiscal 2023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36.8 %</w:t>
            </w: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5060" w:type="dxa"/>
            <w:vAlign w:val="bottom"/>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5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Expected life</w:t>
            </w:r>
          </w:p>
        </w:tc>
        <w:tc>
          <w:tcPr>
            <w:tcW w:w="5060" w:type="dxa"/>
            <w:vAlign w:val="bottom"/>
          </w:tcPr>
          <w:p>
            <w:pPr>
              <w:jc w:val="right"/>
              <w:spacing w:after="0"/>
              <w:rPr>
                <w:sz w:val="20"/>
                <w:szCs w:val="20"/>
                <w:color w:val="auto"/>
              </w:rPr>
            </w:pPr>
            <w:r>
              <w:rPr>
                <w:rFonts w:ascii="Arial" w:cs="Arial" w:eastAsia="Arial" w:hAnsi="Arial"/>
                <w:sz w:val="18"/>
                <w:szCs w:val="18"/>
                <w:color w:val="auto"/>
              </w:rPr>
              <w:t>6.1 years</w:t>
            </w:r>
          </w:p>
        </w:tc>
      </w:tr>
    </w:tbl>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stock-based awards</w:t>
      </w:r>
    </w:p>
    <w:p>
      <w:pPr>
        <w:spacing w:after="0" w:line="1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Restricted stock-based awards granted to employees and non-employee directors (including restricted stock units and deferred stock units) during the three months ended December 31, 2022 were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60" w:type="dxa"/>
            <w:vAlign w:val="bottom"/>
          </w:tcPr>
          <w:p>
            <w:pPr>
              <w:ind w:left="820"/>
              <w:spacing w:after="0"/>
              <w:rPr>
                <w:sz w:val="20"/>
                <w:szCs w:val="20"/>
                <w:color w:val="auto"/>
              </w:rPr>
            </w:pPr>
            <w:r>
              <w:rPr>
                <w:rFonts w:ascii="Arial" w:cs="Arial" w:eastAsia="Arial" w:hAnsi="Arial"/>
                <w:sz w:val="14"/>
                <w:szCs w:val="14"/>
                <w:b w:val="1"/>
                <w:bCs w:val="1"/>
                <w:color w:val="auto"/>
              </w:rPr>
              <w:t>No. of</w:t>
            </w: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Wtd. Avg. Grant Date</w:t>
            </w:r>
          </w:p>
        </w:tc>
      </w:tr>
      <w:tr>
        <w:trPr>
          <w:trHeight w:val="196"/>
        </w:trPr>
        <w:tc>
          <w:tcPr>
            <w:tcW w:w="718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Units</w:t>
            </w:r>
          </w:p>
        </w:tc>
        <w:tc>
          <w:tcPr>
            <w:tcW w:w="7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 per Unit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2022</w:t>
            </w: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320,575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143.19</w:t>
            </w: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20" w:type="dxa"/>
            <w:vAlign w:val="bottom"/>
          </w:tcPr>
          <w:p>
            <w:pPr>
              <w:jc w:val="right"/>
              <w:spacing w:after="0"/>
              <w:rPr>
                <w:sz w:val="20"/>
                <w:szCs w:val="20"/>
                <w:color w:val="auto"/>
              </w:rPr>
            </w:pPr>
            <w:r>
              <w:rPr>
                <w:rFonts w:ascii="Arial" w:cs="Arial" w:eastAsia="Arial" w:hAnsi="Arial"/>
                <w:sz w:val="18"/>
                <w:szCs w:val="18"/>
                <w:color w:val="auto"/>
                <w:w w:val="95"/>
              </w:rPr>
              <w:t>301,522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50.59</w:t>
            </w:r>
          </w:p>
        </w:tc>
      </w:tr>
      <w:tr>
        <w:trPr>
          <w:trHeight w:val="230"/>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109.88</w:t>
            </w:r>
          </w:p>
        </w:tc>
      </w:tr>
      <w:tr>
        <w:trPr>
          <w:trHeight w:val="230"/>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103.63</w:t>
            </w:r>
          </w:p>
        </w:tc>
      </w:tr>
      <w:tr>
        <w:trPr>
          <w:trHeight w:val="243"/>
        </w:trPr>
        <w:tc>
          <w:tcPr>
            <w:tcW w:w="8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outstanding at December 31, 2022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606,433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98.15</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weighted-average grant-date fair value of restricted stock-based awards granted was $50.59 and $154.34 per share for the three months ended December 31, 2022 and January 1, 2022, respectively. As of December 31, 2022, there was $20.8 of total unrecognized pre-tax compensation cost, net of estimated forfeitures, related to nonvested restricted stock-based awards that is expected to be recognized over a weighted-average period of 1.8 years.</w:t>
      </w:r>
    </w:p>
    <w:p>
      <w:pPr>
        <w:spacing w:after="0" w:line="200" w:lineRule="exact"/>
        <w:rPr>
          <w:sz w:val="20"/>
          <w:szCs w:val="20"/>
          <w:color w:val="auto"/>
        </w:rPr>
      </w:pPr>
    </w:p>
    <w:p>
      <w:pPr>
        <w:spacing w:after="0" w:line="2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6" w:name="page17"/>
    <w:bookmarkEnd w:id="1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Performance-based awards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Performance-based award activity during the three months ended December 31, 2022 was as follows (based on target award amounts):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220" w:type="dxa"/>
            <w:vAlign w:val="bottom"/>
          </w:tcPr>
          <w:p>
            <w:pPr>
              <w:ind w:left="820"/>
              <w:spacing w:after="0"/>
              <w:rPr>
                <w:sz w:val="20"/>
                <w:szCs w:val="20"/>
                <w:color w:val="auto"/>
              </w:rPr>
            </w:pPr>
            <w:r>
              <w:rPr>
                <w:rFonts w:ascii="Arial" w:cs="Arial" w:eastAsia="Arial" w:hAnsi="Arial"/>
                <w:sz w:val="14"/>
                <w:szCs w:val="14"/>
                <w:b w:val="1"/>
                <w:bCs w:val="1"/>
                <w:color w:val="auto"/>
                <w:w w:val="95"/>
              </w:rPr>
              <w:t>No. of</w:t>
            </w: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jc w:val="right"/>
              <w:ind w:right="215"/>
              <w:spacing w:after="0"/>
              <w:rPr>
                <w:sz w:val="20"/>
                <w:szCs w:val="20"/>
                <w:color w:val="auto"/>
              </w:rPr>
            </w:pPr>
            <w:r>
              <w:rPr>
                <w:rFonts w:ascii="Arial" w:cs="Arial" w:eastAsia="Arial" w:hAnsi="Arial"/>
                <w:sz w:val="14"/>
                <w:szCs w:val="14"/>
                <w:b w:val="1"/>
                <w:bCs w:val="1"/>
                <w:color w:val="auto"/>
              </w:rPr>
              <w:t>Wtd. Avg. Grant Date</w:t>
            </w:r>
          </w:p>
        </w:tc>
      </w:tr>
      <w:tr>
        <w:trPr>
          <w:trHeight w:val="192"/>
        </w:trPr>
        <w:tc>
          <w:tcPr>
            <w:tcW w:w="718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Units</w:t>
            </w: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Fair Value per Unit</w:t>
            </w: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outstanding at September 30, 2022</w:t>
            </w:r>
          </w:p>
        </w:tc>
        <w:tc>
          <w:tcPr>
            <w:tcW w:w="12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130.94</w:t>
            </w:r>
          </w:p>
        </w:tc>
      </w:tr>
      <w:tr>
        <w:trPr>
          <w:trHeight w:val="229"/>
        </w:trPr>
        <w:tc>
          <w:tcPr>
            <w:tcW w:w="840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591,309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63.61</w:t>
            </w:r>
          </w:p>
        </w:tc>
      </w:tr>
      <w:tr>
        <w:trPr>
          <w:trHeight w:val="230"/>
        </w:trPr>
        <w:tc>
          <w:tcPr>
            <w:tcW w:w="84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Vested </w:t>
            </w:r>
            <w:r>
              <w:rPr>
                <w:rFonts w:ascii="Arial" w:cs="Arial" w:eastAsia="Arial" w:hAnsi="Arial"/>
                <w:sz w:val="23"/>
                <w:szCs w:val="23"/>
                <w:color w:val="auto"/>
                <w:vertAlign w:val="superscript"/>
              </w:rPr>
              <w:t>(a)</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(124,261)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131.44</w:t>
            </w:r>
          </w:p>
        </w:tc>
      </w:tr>
      <w:tr>
        <w:trPr>
          <w:trHeight w:val="243"/>
        </w:trPr>
        <w:tc>
          <w:tcPr>
            <w:tcW w:w="8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Awards outstanding at December 31, 2022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576,498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76.32</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r>
    </w:tbl>
    <w:p>
      <w:pPr>
        <w:spacing w:after="0" w:line="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(a)</w:t>
        <w:tab/>
        <w:t>Vested at a weighted average of 100% of the target performance share units granted.</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weighted-average grant-date fair value of performance-based awards granted was $63.61 per share for the three months ended December 31, 2022. No performance-based awards were granted during the three months ended January 1, 2022. As of December 31, 2022, there was $30.8 of total unrecognized pre-tax compensation cost, net of estimated forfeitures, related to nonvested performance-based awards that is expected to be recognized over a weighted-average period of 0.8 years. The total fair value of performance-based units vested was $6.0 for the three months ended December 31, 2022.</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Restricted shares issued to vendor</w:t>
      </w:r>
    </w:p>
    <w:p>
      <w:pPr>
        <w:spacing w:after="0" w:line="15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During the three months ended December 31, 2022, the Company issued 0.4 million restricted shares, with a grant date fair value of $51.43 per share, out of its treasury shares to a vendor in exchange for advertising services. As of December 31, 2022, there was $17.9 of total unrecognized pre-tax compensation cost related to these restricted shares that is expected to be recognized over the remainder of fiscal 2023.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COMMON SHARE</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a reconciliation of the weighted average number of shares outstanding (in millions) used to calculate basic and diluted income per Common Share:</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80" w:type="dxa"/>
            <w:vAlign w:val="bottom"/>
            <w:gridSpan w:val="4"/>
          </w:tcPr>
          <w:p>
            <w:pPr>
              <w:jc w:val="right"/>
              <w:ind w:right="81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8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8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right"/>
              <w:ind w:right="334"/>
              <w:spacing w:after="0" w:line="129"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8"/>
        </w:trPr>
        <w:tc>
          <w:tcPr>
            <w:tcW w:w="814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8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360"/>
              <w:spacing w:after="0"/>
              <w:rPr>
                <w:sz w:val="20"/>
                <w:szCs w:val="20"/>
                <w:color w:val="auto"/>
              </w:rPr>
            </w:pPr>
            <w:r>
              <w:rPr>
                <w:rFonts w:ascii="Arial" w:cs="Arial" w:eastAsia="Arial" w:hAnsi="Arial"/>
                <w:sz w:val="18"/>
                <w:szCs w:val="18"/>
                <w:color w:val="auto"/>
              </w:rPr>
              <w:t>Basic net loss per common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40" w:type="dxa"/>
            <w:vAlign w:val="bottom"/>
            <w:vMerge w:val="continue"/>
          </w:tcPr>
          <w:p>
            <w:pPr>
              <w:spacing w:after="0"/>
              <w:rPr>
                <w:sz w:val="15"/>
                <w:szCs w:val="15"/>
                <w:color w:val="auto"/>
              </w:rPr>
            </w:pPr>
          </w:p>
        </w:tc>
        <w:tc>
          <w:tcPr>
            <w:tcW w:w="220" w:type="dxa"/>
            <w:vAlign w:val="bottom"/>
            <w:tcBorders>
              <w:bottom w:val="single" w:sz="8" w:color="auto"/>
            </w:tcBorders>
          </w:tcPr>
          <w:p>
            <w:pPr>
              <w:jc w:val="right"/>
              <w:ind w:right="30"/>
              <w:spacing w:after="0" w:line="17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Diluted net loss per common share:</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360"/>
              <w:spacing w:after="0"/>
              <w:rPr>
                <w:sz w:val="20"/>
                <w:szCs w:val="20"/>
                <w:color w:val="auto"/>
              </w:rPr>
            </w:pPr>
            <w:r>
              <w:rPr>
                <w:rFonts w:ascii="Arial" w:cs="Arial" w:eastAsia="Arial" w:hAnsi="Arial"/>
                <w:sz w:val="18"/>
                <w:szCs w:val="18"/>
                <w:color w:val="auto"/>
              </w:rPr>
              <w:t>Weighted-average common shares outstanding during the period</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Dilutive potential common shares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40" w:type="dxa"/>
            <w:vAlign w:val="bottom"/>
          </w:tcPr>
          <w:p>
            <w:pPr>
              <w:ind w:left="360"/>
              <w:spacing w:after="0"/>
              <w:rPr>
                <w:sz w:val="20"/>
                <w:szCs w:val="20"/>
                <w:color w:val="auto"/>
              </w:rPr>
            </w:pPr>
            <w:r>
              <w:rPr>
                <w:rFonts w:ascii="Arial" w:cs="Arial" w:eastAsia="Arial" w:hAnsi="Arial"/>
                <w:sz w:val="18"/>
                <w:szCs w:val="18"/>
                <w:color w:val="auto"/>
                <w:w w:val="94"/>
              </w:rPr>
              <w:t>Weighted-average common shares outstanding during the period plus dilutive potential common shares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140" w:type="dxa"/>
            <w:vAlign w:val="bottom"/>
            <w:tcBorders>
              <w:bottom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color w:val="auto"/>
              </w:rPr>
              <w:t>Diluted net loss per common share:</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stock options outstanding</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Diluted average common shares used in the diluted loss per common share calculation for the three months ended December 31, 2022 and January 1, 2022 were 55.5 million and 55.4 million, respectively, which excluded potential Common Shares of 0.2 million and 1.3 million, respectively, because the effect of their inclusion would be anti-dilutive as the Company incurred a net loss for the three months ended December 31, 2022 and January 1, 2022.</w:t>
      </w:r>
    </w:p>
    <w:p>
      <w:pPr>
        <w:spacing w:after="0" w:line="200" w:lineRule="exact"/>
        <w:rPr>
          <w:sz w:val="20"/>
          <w:szCs w:val="20"/>
          <w:color w:val="auto"/>
        </w:rPr>
      </w:pPr>
    </w:p>
    <w:p>
      <w:pPr>
        <w:spacing w:after="0" w:line="28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7" w:name="page18"/>
    <w:bookmarkEnd w:id="1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6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effective tax rates for the three months ended December 31, 2022 and January 1, 2022 were 31.4% and 22.7%, respectively. The increase in the effective tax rate was driven by favorable discrete items recognized during the three months ended December 31, 2022, which increased the effective tax rate because the Company incurred a net loss during the period. The effective tax rate used for interim reporting purposes is based on management’s best estimate of factors impacting the effective tax rate for the full fiscal year and includes the impact of discrete items recognized in the quarter. There can be no assurance that the effective tax rate estimated for interim financial reporting purposes will approximate the effective tax rate determined at fiscal year-end.</w:t>
      </w:r>
    </w:p>
    <w:p>
      <w:pPr>
        <w:spacing w:after="0" w:line="7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Scotts Miracle-Gro or one of its subsidiaries files income tax returns in the U.S. federal jurisdiction and various state, local and foreign jurisdictions. Subject to the following exceptions, the Company is no longer subject to examination by these tax authorities for fiscal years prior to 2019. There are currently no ongoing audits with respect to the U.S. federal jurisdiction. With respect to the foreign jurisdictions, a German audit covering fiscal years 2014 through 2017 is in process. The Company is currently under examination by certain U.S. state and local tax authorities covering various periods from fiscal years 2017 through 2021. In addition to the aforementioned audits, certain other tax deficiency notices and refund claims for previous years remain unresolved.</w:t>
      </w:r>
    </w:p>
    <w:p>
      <w:pPr>
        <w:spacing w:after="0" w:line="1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currently anticipates that few of its open and active audits will be resolved within the next twelve months. The Company is unable to make a reasonably reliable estimate as to when or if cash settlements with taxing authorities may occur. Although the outcomes of such examinations and the timing of any payments required upon the conclusion of such examinations are subject to significant uncertainty, the Company does not anticipate that the resolution of these tax matters or any events related thereto will result in a material change to its consolidated financial position, results of operations or cash flows.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CONTINGENCIES</w:t>
      </w:r>
    </w:p>
    <w:p>
      <w:pPr>
        <w:spacing w:after="0" w:line="1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Management regularly evaluates the Company’s contingencies, including various judicial and administrative proceedings and claims arising in the ordinary course of business, including product and general liabilities, workers’ compensation, property losses and other liabilities for which the Company is self-insured or retains a high exposure limit. Self-insurance accruals are established based on actuarial loss estimates for specific individual claims plus actuarially estimated amounts for incurred but not reported claims and adverse development factors applied to existing claims. Legal costs incurred in connection with the resolution of claims, lawsuits and other contingencies generally are expensed as incurred. In the opinion of management, the assessment of contingencies is reasonable and related accruals, in the aggregate, are adequate; however, there can be no assurance that final resolution of these matters will not have a material effect on the Company’s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Regulatory Matters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December 31, 2022, $2.5 was accrued in the “Other liabilities” line in the Condensed Consolidated Balance Sheets for environmental actions, the majority of which are for site remediation. The Company believes that the amounts accrued are adequate to cover such known environmental exposures based on current facts and estimates of likely outcomes. Although it is reasonably possible that the costs to resolve such known environmental exposures will exceed the amounts accrued, any variation from accrued amounts is not expected to be material.</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5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Company has been named as a defendant in a number of cases alleging injuries that the lawsuits claim resulted from exposure to asbestos-containing products, apparently based on the Company’s historic use of vermiculite in certain of its products. In many of these cases, the complaints are not specific about the plaintiffs’ contacts with the Company or its products. The cases vary, but complaints in these cases generally seek unspecified monetary damages (actual, compensatory, consequential and punitive) from multiple defendants. The Company believes that the claims against it are without merit and is vigorously defending against them. No accruals have been recorded in the Company’s condensed consolidated financial statements as the likelihood of a loss is not probable at this time; and the Company does not believe a reasonably possible loss would be material to, nor does it expect the ultimate resolution of these cases will have a material adverse effect on, the Company’s financial condition, results of operations or cash flows. There can be no assurance that future developments related to pending claims or claims filed in the future, whether as a result of adverse outcomes or as a result of significant defense costs, will not have a material effect on the Company’s financial condition, results of operations or cash flows.</w:t>
      </w:r>
    </w:p>
    <w:p>
      <w:pPr>
        <w:spacing w:after="0" w:line="200" w:lineRule="exact"/>
        <w:rPr>
          <w:sz w:val="20"/>
          <w:szCs w:val="20"/>
          <w:color w:val="auto"/>
        </w:rPr>
      </w:pPr>
    </w:p>
    <w:p>
      <w:pPr>
        <w:spacing w:after="0" w:line="30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8" w:name="page19"/>
    <w:bookmarkEnd w:id="1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is involved in other lawsuits and claims which arise in the normal course of business. These claims individually and in the aggregate are not expected to result in a material effect on the Company’s financial condition, results of operations or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DERIVATIVE INSTRUMENTS AND HEDGING ACTIVITIES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exposed to market risks, such as changes in interest rates, currency exchange rates and commodity prices. To manage a portion of the volatility related to these exposures, the Company enters into various financial transactions. The utilization of these financial transactions is governed by policies covering acceptable counterparty exposure, instrument types and other hedging practices. The Company does not hold or issue derivative financial instruments for speculative trading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Exchange Rate Risk Management</w:t>
      </w:r>
    </w:p>
    <w:p>
      <w:pPr>
        <w:spacing w:after="0" w:line="158"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uses currency forward contracts to manage the exchange rate risk associated with intercompany loans and certain other balances denominated in foreign currencies. Currency forward contracts are valued using observable forward rates in commonly quoted intervals for the full term of the contracts. The notional amount of outstanding currency forward contracts was $159.9, $164.2 and $178.6 at December 31, 2022, January 1, 2022 and September 30, 2022, respectively. Contracts outstanding at December 31, 2022 will mature over the next two fiscal quarters.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 Management</w:t>
      </w:r>
    </w:p>
    <w:p>
      <w:pPr>
        <w:spacing w:after="0" w:line="144"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Company enters into interest rate swap agreements as a means to hedge its variable interest rate risk on debt instruments. Net amounts to be received or paid under the swap agreements are reflected as adjustments to interest expense. The Company has outstanding interest rate swap agreements with major financial institutions that effectively convert a portion of the Company’s variable-rate debt to a fixed rate. Interest rate swap agreements are valued based on the present value of the estimated future net cash flows using implied rates in the applicable yield curve as of the valuation date. Swap agreements that were hedging interest payments as of December 31, 2022, January 1, 2022 and September 30, 2022 had a maximum total U.S. dollar equivalent notional amount of $800.0, $600.0 and $800.0, respectively. Refer to “NOTE 7. DEBT” for the terms of the swap agreements outstanding at December 31, 2022. Included in the AOCL balance at December 31, 2022 was a gain of $10.5 related to interest rate swap agreements that is expected to be reclassified to earnings during the next twelve months, consistent with the timing of the underlying hedged transactions.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 Management</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enters into hedging arrangements designed to fix the price of a portion of its projected future urea and diesel requirements. Commodity contracts are valued using observable commodity exchange prices in active markets. Included in the AOCL balance at December 31, 2022 was a gain of $4.1 related to commodity hedges that is expected to be reclassified to earnings during the next twelve months, consistent with the timing of the underlying hedged transactions.</w:t>
      </w:r>
    </w:p>
    <w:p>
      <w:pPr>
        <w:spacing w:after="0" w:line="1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had the following outstanding commodity contracts that were entered into to hedge forecasted purchases: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Commodity</w:t>
            </w:r>
          </w:p>
        </w:tc>
        <w:tc>
          <w:tcPr>
            <w:tcW w:w="2080" w:type="dxa"/>
            <w:vAlign w:val="bottom"/>
            <w:gridSpan w:val="2"/>
          </w:tcPr>
          <w:p>
            <w:pPr>
              <w:ind w:left="560"/>
              <w:spacing w:after="0"/>
              <w:rPr>
                <w:sz w:val="20"/>
                <w:szCs w:val="20"/>
                <w:color w:val="auto"/>
              </w:rPr>
            </w:pPr>
            <w:r>
              <w:rPr>
                <w:rFonts w:ascii="Arial" w:cs="Arial" w:eastAsia="Arial" w:hAnsi="Arial"/>
                <w:sz w:val="14"/>
                <w:szCs w:val="14"/>
                <w:b w:val="1"/>
                <w:bCs w:val="1"/>
                <w:color w:val="auto"/>
              </w:rPr>
              <w:t>December 31,</w:t>
            </w:r>
          </w:p>
        </w:tc>
        <w:tc>
          <w:tcPr>
            <w:tcW w:w="2100" w:type="dxa"/>
            <w:vAlign w:val="bottom"/>
            <w:gridSpan w:val="2"/>
          </w:tcPr>
          <w:p>
            <w:pPr>
              <w:ind w:left="660"/>
              <w:spacing w:after="0"/>
              <w:rPr>
                <w:sz w:val="20"/>
                <w:szCs w:val="20"/>
                <w:color w:val="auto"/>
              </w:rPr>
            </w:pPr>
            <w:r>
              <w:rPr>
                <w:rFonts w:ascii="Arial" w:cs="Arial" w:eastAsia="Arial" w:hAnsi="Arial"/>
                <w:sz w:val="14"/>
                <w:szCs w:val="14"/>
                <w:b w:val="1"/>
                <w:bCs w:val="1"/>
                <w:color w:val="auto"/>
              </w:rPr>
              <w:t>January 1,</w:t>
            </w:r>
          </w:p>
        </w:tc>
        <w:tc>
          <w:tcPr>
            <w:tcW w:w="1980" w:type="dxa"/>
            <w:vAlign w:val="bottom"/>
          </w:tcPr>
          <w:p>
            <w:pPr>
              <w:jc w:val="right"/>
              <w:ind w:right="477"/>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5080" w:type="dxa"/>
            <w:vAlign w:val="bottom"/>
            <w:gridSpan w:val="2"/>
            <w:vMerge w:val="continue"/>
          </w:tcPr>
          <w:p>
            <w:pPr>
              <w:spacing w:after="0"/>
              <w:rPr>
                <w:sz w:val="16"/>
                <w:szCs w:val="16"/>
                <w:color w:val="auto"/>
              </w:rPr>
            </w:pPr>
          </w:p>
        </w:tc>
        <w:tc>
          <w:tcPr>
            <w:tcW w:w="1980" w:type="dxa"/>
            <w:vAlign w:val="bottom"/>
          </w:tcPr>
          <w:p>
            <w:pPr>
              <w:jc w:val="right"/>
              <w:ind w:right="7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980" w:type="dxa"/>
            <w:vAlign w:val="bottom"/>
          </w:tcPr>
          <w:p>
            <w:pPr>
              <w:jc w:val="right"/>
              <w:ind w:right="75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Urea</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 tons</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58,500 tons</w:t>
            </w:r>
          </w:p>
        </w:tc>
        <w:tc>
          <w:tcPr>
            <w:tcW w:w="12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54,000 tons</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Diesel</w:t>
            </w:r>
          </w:p>
        </w:tc>
        <w:tc>
          <w:tcPr>
            <w:tcW w:w="2080" w:type="dxa"/>
            <w:vAlign w:val="bottom"/>
            <w:gridSpan w:val="2"/>
          </w:tcPr>
          <w:p>
            <w:pPr>
              <w:jc w:val="right"/>
              <w:ind w:right="120"/>
              <w:spacing w:after="0"/>
              <w:rPr>
                <w:sz w:val="20"/>
                <w:szCs w:val="20"/>
                <w:color w:val="auto"/>
              </w:rPr>
            </w:pPr>
            <w:r>
              <w:rPr>
                <w:rFonts w:ascii="Arial" w:cs="Arial" w:eastAsia="Arial" w:hAnsi="Arial"/>
                <w:sz w:val="18"/>
                <w:szCs w:val="18"/>
                <w:color w:val="auto"/>
              </w:rPr>
              <w:t>2,058,000 gallons</w:t>
            </w:r>
          </w:p>
        </w:tc>
        <w:tc>
          <w:tcPr>
            <w:tcW w:w="2100" w:type="dxa"/>
            <w:vAlign w:val="bottom"/>
            <w:gridSpan w:val="2"/>
          </w:tcPr>
          <w:p>
            <w:pPr>
              <w:jc w:val="right"/>
              <w:ind w:right="140"/>
              <w:spacing w:after="0"/>
              <w:rPr>
                <w:sz w:val="20"/>
                <w:szCs w:val="20"/>
                <w:color w:val="auto"/>
              </w:rPr>
            </w:pPr>
            <w:r>
              <w:rPr>
                <w:rFonts w:ascii="Arial" w:cs="Arial" w:eastAsia="Arial" w:hAnsi="Arial"/>
                <w:sz w:val="18"/>
                <w:szCs w:val="18"/>
                <w:color w:val="auto"/>
              </w:rPr>
              <w:t>4,662,000 gallons</w:t>
            </w:r>
          </w:p>
        </w:tc>
        <w:tc>
          <w:tcPr>
            <w:tcW w:w="1980" w:type="dxa"/>
            <w:vAlign w:val="bottom"/>
          </w:tcPr>
          <w:p>
            <w:pPr>
              <w:jc w:val="right"/>
              <w:spacing w:after="0"/>
              <w:rPr>
                <w:sz w:val="20"/>
                <w:szCs w:val="20"/>
                <w:color w:val="auto"/>
              </w:rPr>
            </w:pPr>
            <w:r>
              <w:rPr>
                <w:rFonts w:ascii="Arial" w:cs="Arial" w:eastAsia="Arial" w:hAnsi="Arial"/>
                <w:sz w:val="18"/>
                <w:szCs w:val="18"/>
                <w:color w:val="auto"/>
              </w:rPr>
              <w:t>3,150,000 gallons</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Heating Oil</w:t>
            </w:r>
          </w:p>
        </w:tc>
        <w:tc>
          <w:tcPr>
            <w:tcW w:w="2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1,092,000 gallons</w:t>
            </w:r>
          </w:p>
        </w:tc>
        <w:tc>
          <w:tcPr>
            <w:tcW w:w="2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2,184,000 gallons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1,218,000 gallons</w:t>
            </w:r>
          </w:p>
        </w:tc>
        <w:tc>
          <w:tcPr>
            <w:tcW w:w="0" w:type="dxa"/>
            <w:vAlign w:val="bottom"/>
          </w:tcPr>
          <w:p>
            <w:pPr>
              <w:spacing w:after="0"/>
              <w:rPr>
                <w:sz w:val="1"/>
                <w:szCs w:val="1"/>
                <w:color w:val="auto"/>
              </w:rPr>
            </w:pPr>
          </w:p>
        </w:tc>
      </w:tr>
      <w:tr>
        <w:trPr>
          <w:trHeight w:val="864"/>
        </w:trPr>
        <w:tc>
          <w:tcPr>
            <w:tcW w:w="4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jc w:val="right"/>
              <w:ind w:right="1036"/>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19" w:name="page20"/>
    <w:bookmarkEnd w:id="1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Fair Values of Derivative Instruments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values of the Company’s derivative instruments, which represent Level 2 fair value measurements,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Assets / (Liabilities)</w:t>
            </w: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Designated as Hedging Instruments</w:t>
            </w:r>
          </w:p>
        </w:tc>
        <w:tc>
          <w:tcPr>
            <w:tcW w:w="3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1"/>
                <w:szCs w:val="11"/>
                <w:color w:val="auto"/>
              </w:rPr>
            </w:pPr>
          </w:p>
        </w:tc>
        <w:tc>
          <w:tcPr>
            <w:tcW w:w="1480" w:type="dxa"/>
            <w:vAlign w:val="bottom"/>
            <w:gridSpan w:val="2"/>
          </w:tcPr>
          <w:p>
            <w:pPr>
              <w:jc w:val="center"/>
              <w:ind w:right="220"/>
              <w:spacing w:after="0" w:line="133" w:lineRule="exact"/>
              <w:rPr>
                <w:sz w:val="20"/>
                <w:szCs w:val="20"/>
                <w:color w:val="auto"/>
              </w:rPr>
            </w:pPr>
            <w:r>
              <w:rPr>
                <w:rFonts w:ascii="Arial" w:cs="Arial" w:eastAsia="Arial" w:hAnsi="Arial"/>
                <w:sz w:val="14"/>
                <w:szCs w:val="14"/>
                <w:b w:val="1"/>
                <w:bCs w:val="1"/>
                <w:color w:val="auto"/>
                <w:w w:val="95"/>
              </w:rPr>
              <w:t>January 1,</w:t>
            </w:r>
          </w:p>
        </w:tc>
        <w:tc>
          <w:tcPr>
            <w:tcW w:w="200" w:type="dxa"/>
            <w:vAlign w:val="bottom"/>
          </w:tcPr>
          <w:p>
            <w:pPr>
              <w:spacing w:after="0"/>
              <w:rPr>
                <w:sz w:val="11"/>
                <w:szCs w:val="11"/>
                <w:color w:val="auto"/>
              </w:rPr>
            </w:pPr>
          </w:p>
        </w:tc>
        <w:tc>
          <w:tcPr>
            <w:tcW w:w="1280" w:type="dxa"/>
            <w:vAlign w:val="bottom"/>
          </w:tcPr>
          <w:p>
            <w:pPr>
              <w:jc w:val="right"/>
              <w:ind w:right="213"/>
              <w:spacing w:after="0" w:line="13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500" w:type="dxa"/>
            <w:vAlign w:val="bottom"/>
            <w:gridSpan w:val="2"/>
            <w:vMerge w:val="continue"/>
          </w:tcPr>
          <w:p>
            <w:pPr>
              <w:spacing w:after="0"/>
              <w:rPr>
                <w:sz w:val="16"/>
                <w:szCs w:val="16"/>
                <w:color w:val="auto"/>
              </w:rPr>
            </w:pPr>
          </w:p>
        </w:tc>
        <w:tc>
          <w:tcPr>
            <w:tcW w:w="30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3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20" w:type="dxa"/>
            <w:vAlign w:val="bottom"/>
            <w:tcBorders>
              <w:top w:val="single" w:sz="8" w:color="CCEEFF"/>
            </w:tcBorders>
            <w:shd w:val="clear" w:color="auto" w:fill="CCEEFF"/>
          </w:tcPr>
          <w:p>
            <w:pPr>
              <w:spacing w:after="0"/>
              <w:rPr>
                <w:sz w:val="19"/>
                <w:szCs w:val="19"/>
                <w:color w:val="auto"/>
              </w:rPr>
            </w:pPr>
          </w:p>
        </w:tc>
        <w:tc>
          <w:tcPr>
            <w:tcW w:w="2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29"/>
        </w:trPr>
        <w:tc>
          <w:tcPr>
            <w:tcW w:w="3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gridSpan w:val="4"/>
            <w:shd w:val="clear" w:color="auto" w:fill="CCEEFF"/>
          </w:tcPr>
          <w:p>
            <w:pPr>
              <w:ind w:left="360"/>
              <w:spacing w:after="0"/>
              <w:rPr>
                <w:sz w:val="20"/>
                <w:szCs w:val="20"/>
                <w:color w:val="auto"/>
              </w:rPr>
            </w:pPr>
            <w:r>
              <w:rPr>
                <w:rFonts w:ascii="Arial" w:cs="Arial" w:eastAsia="Arial" w:hAnsi="Arial"/>
                <w:sz w:val="18"/>
                <w:szCs w:val="18"/>
                <w:color w:val="auto"/>
              </w:rPr>
              <w:t>Total derivatives designated as hedging instruments</w:t>
            </w: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500" w:type="dxa"/>
            <w:vAlign w:val="bottom"/>
            <w:gridSpan w:val="2"/>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Commodity hedging instruments</w:t>
            </w: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gridSpan w:val="4"/>
          </w:tcPr>
          <w:p>
            <w:pPr>
              <w:ind w:left="360"/>
              <w:spacing w:after="0"/>
              <w:rPr>
                <w:sz w:val="20"/>
                <w:szCs w:val="20"/>
                <w:color w:val="auto"/>
              </w:rPr>
            </w:pPr>
            <w:r>
              <w:rPr>
                <w:rFonts w:ascii="Arial" w:cs="Arial" w:eastAsia="Arial" w:hAnsi="Arial"/>
                <w:sz w:val="18"/>
                <w:szCs w:val="18"/>
                <w:color w:val="auto"/>
              </w:rPr>
              <w:t>Total derivatives not designated as hedging instruments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 derivatives</w:t>
            </w:r>
          </w:p>
        </w:tc>
        <w:tc>
          <w:tcPr>
            <w:tcW w:w="2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3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effect of derivative instruments on AOCL, net of tax, and the Condensed Consolidated Statements of Operations for each of the periods presented was as follows:</w:t>
      </w:r>
    </w:p>
    <w:p>
      <w:pPr>
        <w:spacing w:after="0" w:line="17" w:lineRule="exact"/>
        <w:rPr>
          <w:sz w:val="20"/>
          <w:szCs w:val="20"/>
          <w:color w:val="auto"/>
        </w:rPr>
      </w:pPr>
    </w:p>
    <w:p>
      <w:pPr>
        <w:jc w:val="center"/>
        <w:ind w:left="8120"/>
        <w:spacing w:after="0"/>
        <w:rPr>
          <w:sz w:val="20"/>
          <w:szCs w:val="20"/>
          <w:color w:val="auto"/>
        </w:rPr>
      </w:pPr>
      <w:r>
        <w:rPr>
          <w:rFonts w:ascii="Arial" w:cs="Arial" w:eastAsia="Arial" w:hAnsi="Arial"/>
          <w:sz w:val="14"/>
          <w:szCs w:val="14"/>
          <w:b w:val="1"/>
          <w:bCs w:val="1"/>
          <w:color w:val="auto"/>
        </w:rPr>
        <w:t>Amount of Gain / (Loss)</w:t>
      </w:r>
    </w:p>
    <w:p>
      <w:pPr>
        <w:jc w:val="center"/>
        <w:ind w:left="8120"/>
        <w:spacing w:after="0"/>
        <w:rPr>
          <w:sz w:val="20"/>
          <w:szCs w:val="20"/>
          <w:color w:val="auto"/>
        </w:rPr>
      </w:pPr>
      <w:r>
        <w:rPr>
          <w:rFonts w:ascii="Arial" w:cs="Arial" w:eastAsia="Arial" w:hAnsi="Arial"/>
          <w:sz w:val="14"/>
          <w:szCs w:val="14"/>
          <w:b w:val="1"/>
          <w:bCs w:val="1"/>
          <w:color w:val="auto"/>
        </w:rPr>
        <w:t>Recognized in AOCL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22225</wp:posOffset>
            </wp:positionV>
            <wp:extent cx="19716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71675" cy="8255"/>
                    </a:xfrm>
                    <a:prstGeom prst="rect">
                      <a:avLst/>
                    </a:prstGeom>
                    <a:noFill/>
                  </pic:spPr>
                </pic:pic>
              </a:graphicData>
            </a:graphic>
          </wp:anchor>
        </w:drawing>
      </w:r>
    </w:p>
    <w:p>
      <w:pPr>
        <w:spacing w:after="0" w:line="19" w:lineRule="exact"/>
        <w:rPr>
          <w:sz w:val="20"/>
          <w:szCs w:val="20"/>
          <w:color w:val="auto"/>
        </w:rPr>
      </w:pPr>
    </w:p>
    <w:p>
      <w:pPr>
        <w:ind w:left="904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32385</wp:posOffset>
            </wp:positionV>
            <wp:extent cx="19716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00" w:type="dxa"/>
            <w:vAlign w:val="bottom"/>
            <w:vMerge w:val="restart"/>
          </w:tcPr>
          <w:p>
            <w:pPr>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4020" w:type="dxa"/>
            <w:vAlign w:val="bottom"/>
          </w:tcPr>
          <w:p>
            <w:pPr>
              <w:jc w:val="center"/>
              <w:ind w:left="2228"/>
              <w:spacing w:after="0"/>
              <w:rPr>
                <w:sz w:val="20"/>
                <w:szCs w:val="20"/>
                <w:color w:val="auto"/>
              </w:rPr>
            </w:pPr>
            <w:r>
              <w:rPr>
                <w:rFonts w:ascii="Arial" w:cs="Arial" w:eastAsia="Arial" w:hAnsi="Arial"/>
                <w:sz w:val="14"/>
                <w:szCs w:val="14"/>
                <w:b w:val="1"/>
                <w:bCs w:val="1"/>
                <w:color w:val="auto"/>
                <w:w w:val="92"/>
              </w:rPr>
              <w:t>December 31,</w:t>
            </w:r>
          </w:p>
        </w:tc>
        <w:tc>
          <w:tcPr>
            <w:tcW w:w="1080" w:type="dxa"/>
            <w:vAlign w:val="bottom"/>
          </w:tcPr>
          <w:p>
            <w:pPr>
              <w:jc w:val="center"/>
              <w:ind w:left="348"/>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86"/>
        </w:trPr>
        <w:tc>
          <w:tcPr>
            <w:tcW w:w="5700" w:type="dxa"/>
            <w:vAlign w:val="bottom"/>
            <w:vMerge w:val="continue"/>
          </w:tcPr>
          <w:p>
            <w:pPr>
              <w:spacing w:after="0"/>
              <w:rPr>
                <w:sz w:val="16"/>
                <w:szCs w:val="16"/>
                <w:color w:val="auto"/>
              </w:rPr>
            </w:pPr>
          </w:p>
        </w:tc>
        <w:tc>
          <w:tcPr>
            <w:tcW w:w="4020" w:type="dxa"/>
            <w:vAlign w:val="bottom"/>
          </w:tcPr>
          <w:p>
            <w:pPr>
              <w:jc w:val="right"/>
              <w:ind w:right="648"/>
              <w:spacing w:after="0"/>
              <w:rPr>
                <w:sz w:val="20"/>
                <w:szCs w:val="20"/>
                <w:color w:val="auto"/>
              </w:rPr>
            </w:pPr>
            <w:r>
              <w:rPr>
                <w:rFonts w:ascii="Arial" w:cs="Arial" w:eastAsia="Arial" w:hAnsi="Arial"/>
                <w:sz w:val="14"/>
                <w:szCs w:val="14"/>
                <w:b w:val="1"/>
                <w:bCs w:val="1"/>
                <w:color w:val="auto"/>
              </w:rPr>
              <w:t>2022</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7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24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2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6"/>
              <w:spacing w:after="0"/>
              <w:rPr>
                <w:sz w:val="20"/>
                <w:szCs w:val="20"/>
                <w:color w:val="auto"/>
              </w:rPr>
            </w:pPr>
            <w:r>
              <w:rPr>
                <w:rFonts w:ascii="Arial" w:cs="Arial" w:eastAsia="Arial" w:hAnsi="Arial"/>
                <w:sz w:val="18"/>
                <w:szCs w:val="18"/>
                <w:color w:val="auto"/>
                <w:w w:val="87"/>
              </w:rPr>
              <w:t>6.8</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87"/>
              </w:rPr>
              <w:t>9.6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8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4"/>
              </w:rPr>
              <w:t>Amount of Gain / (Loss)</w:t>
            </w:r>
          </w:p>
        </w:tc>
        <w:tc>
          <w:tcPr>
            <w:tcW w:w="0" w:type="dxa"/>
            <w:vAlign w:val="bottom"/>
          </w:tcPr>
          <w:p>
            <w:pPr>
              <w:spacing w:after="0"/>
              <w:rPr>
                <w:sz w:val="1"/>
                <w:szCs w:val="1"/>
                <w:color w:val="auto"/>
              </w:rPr>
            </w:pPr>
          </w:p>
        </w:tc>
      </w:tr>
      <w:tr>
        <w:trPr>
          <w:trHeight w:val="25"/>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Reclassified from</w:t>
            </w: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3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6"/>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in Cash Flow Hedging Relationships</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AOCL into</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92"/>
        </w:trPr>
        <w:tc>
          <w:tcPr>
            <w:tcW w:w="5780" w:type="dxa"/>
            <w:vAlign w:val="bottom"/>
            <w:gridSpan w:val="2"/>
            <w:vMerge w:val="continue"/>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Statement of Operations</w:t>
            </w:r>
          </w:p>
        </w:tc>
        <w:tc>
          <w:tcPr>
            <w:tcW w:w="22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9"/>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756"/>
              <w:spacing w:after="0"/>
              <w:rPr>
                <w:sz w:val="20"/>
                <w:szCs w:val="20"/>
                <w:color w:val="auto"/>
              </w:rPr>
            </w:pPr>
            <w:r>
              <w:rPr>
                <w:rFonts w:ascii="Arial" w:cs="Arial" w:eastAsia="Arial" w:hAnsi="Arial"/>
                <w:sz w:val="18"/>
                <w:szCs w:val="18"/>
                <w:color w:val="auto"/>
                <w:w w:val="97"/>
              </w:rPr>
              <w:t>(0.8)</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6"/>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87"/>
              </w:rPr>
              <w:t>0.2</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4"/>
          </w:tcPr>
          <w:p>
            <w:pPr>
              <w:jc w:val="center"/>
              <w:ind w:right="136"/>
              <w:spacing w:after="0"/>
              <w:rPr>
                <w:sz w:val="20"/>
                <w:szCs w:val="20"/>
                <w:color w:val="auto"/>
              </w:rPr>
            </w:pPr>
            <w:r>
              <w:rPr>
                <w:rFonts w:ascii="Arial" w:cs="Arial" w:eastAsia="Arial" w:hAnsi="Arial"/>
                <w:sz w:val="14"/>
                <w:szCs w:val="14"/>
                <w:b w:val="1"/>
                <w:bCs w:val="1"/>
                <w:color w:val="auto"/>
                <w:w w:val="94"/>
              </w:rPr>
              <w:t>Amount of Gain / (Loss)</w:t>
            </w:r>
          </w:p>
        </w:tc>
        <w:tc>
          <w:tcPr>
            <w:tcW w:w="0" w:type="dxa"/>
            <w:vAlign w:val="bottom"/>
          </w:tcPr>
          <w:p>
            <w:pPr>
              <w:spacing w:after="0"/>
              <w:rPr>
                <w:sz w:val="1"/>
                <w:szCs w:val="1"/>
                <w:color w:val="auto"/>
              </w:rPr>
            </w:pPr>
          </w:p>
        </w:tc>
      </w:tr>
      <w:tr>
        <w:trPr>
          <w:trHeight w:val="25"/>
        </w:trPr>
        <w:tc>
          <w:tcPr>
            <w:tcW w:w="5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center"/>
              <w:ind w:right="136"/>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66"/>
        </w:trPr>
        <w:tc>
          <w:tcPr>
            <w:tcW w:w="57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Recognized in</w:t>
            </w:r>
          </w:p>
        </w:tc>
        <w:tc>
          <w:tcPr>
            <w:tcW w:w="220" w:type="dxa"/>
            <w:vAlign w:val="bottom"/>
          </w:tcPr>
          <w:p>
            <w:pPr>
              <w:spacing w:after="0"/>
              <w:rPr>
                <w:sz w:val="14"/>
                <w:szCs w:val="14"/>
                <w:color w:val="auto"/>
              </w:rPr>
            </w:pPr>
          </w:p>
        </w:tc>
        <w:tc>
          <w:tcPr>
            <w:tcW w:w="13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5"/>
              </w:rPr>
              <w:t>January 1,</w:t>
            </w:r>
          </w:p>
        </w:tc>
        <w:tc>
          <w:tcPr>
            <w:tcW w:w="0" w:type="dxa"/>
            <w:vAlign w:val="bottom"/>
          </w:tcPr>
          <w:p>
            <w:pPr>
              <w:spacing w:after="0"/>
              <w:rPr>
                <w:sz w:val="1"/>
                <w:szCs w:val="1"/>
                <w:color w:val="auto"/>
              </w:rPr>
            </w:pPr>
          </w:p>
        </w:tc>
      </w:tr>
      <w:tr>
        <w:trPr>
          <w:trHeight w:val="192"/>
        </w:trPr>
        <w:tc>
          <w:tcPr>
            <w:tcW w:w="5780" w:type="dxa"/>
            <w:vAlign w:val="bottom"/>
            <w:gridSpan w:val="2"/>
            <w:vMerge w:val="continue"/>
          </w:tcPr>
          <w:p>
            <w:pPr>
              <w:spacing w:after="0"/>
              <w:rPr>
                <w:sz w:val="16"/>
                <w:szCs w:val="16"/>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Statement of Operations</w:t>
            </w:r>
          </w:p>
        </w:tc>
        <w:tc>
          <w:tcPr>
            <w:tcW w:w="220" w:type="dxa"/>
            <w:vAlign w:val="bottom"/>
          </w:tcPr>
          <w:p>
            <w:pPr>
              <w:spacing w:after="0"/>
              <w:rPr>
                <w:sz w:val="16"/>
                <w:szCs w:val="16"/>
                <w:color w:val="auto"/>
              </w:rPr>
            </w:pPr>
          </w:p>
        </w:tc>
        <w:tc>
          <w:tcPr>
            <w:tcW w:w="1280" w:type="dxa"/>
            <w:vAlign w:val="bottom"/>
          </w:tcPr>
          <w:p>
            <w:pPr>
              <w:jc w:val="center"/>
              <w:ind w:right="15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7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29"/>
        </w:trPr>
        <w:tc>
          <w:tcPr>
            <w:tcW w:w="56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Currency forward contracts</w:t>
            </w:r>
          </w:p>
        </w:tc>
        <w:tc>
          <w:tcPr>
            <w:tcW w:w="100" w:type="dxa"/>
            <w:vAlign w:val="bottom"/>
            <w:tcBorders>
              <w:top w:val="single" w:sz="8" w:color="CCEEFF"/>
            </w:tcBorders>
            <w:shd w:val="clear" w:color="auto" w:fill="CCEEFF"/>
          </w:tcPr>
          <w:p>
            <w:pPr>
              <w:spacing w:after="0"/>
              <w:rPr>
                <w:sz w:val="19"/>
                <w:szCs w:val="19"/>
                <w:color w:val="auto"/>
              </w:rPr>
            </w:pPr>
          </w:p>
        </w:tc>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7"/>
              </w:rPr>
              <w:t>Other income / expense, net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87"/>
              </w:rPr>
              <w:t>1.0</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Commodity hedging instruments</w:t>
            </w:r>
          </w:p>
        </w:tc>
        <w:tc>
          <w:tcPr>
            <w:tcW w:w="23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left="776"/>
              <w:spacing w:after="0"/>
              <w:rPr>
                <w:sz w:val="20"/>
                <w:szCs w:val="20"/>
                <w:color w:val="auto"/>
              </w:rPr>
            </w:pPr>
            <w:r>
              <w:rPr>
                <w:rFonts w:ascii="Arial" w:cs="Arial" w:eastAsia="Arial" w:hAnsi="Arial"/>
                <w:sz w:val="18"/>
                <w:szCs w:val="18"/>
                <w:color w:val="auto"/>
                <w:w w:val="87"/>
              </w:rPr>
              <w:t>0.6</w:t>
            </w:r>
          </w:p>
        </w:tc>
        <w:tc>
          <w:tcPr>
            <w:tcW w:w="0" w:type="dxa"/>
            <w:vAlign w:val="bottom"/>
          </w:tcPr>
          <w:p>
            <w:pPr>
              <w:spacing w:after="0"/>
              <w:rPr>
                <w:sz w:val="1"/>
                <w:szCs w:val="1"/>
                <w:color w:val="auto"/>
              </w:rPr>
            </w:pPr>
          </w:p>
        </w:tc>
      </w:tr>
      <w:tr>
        <w:trPr>
          <w:trHeight w:val="248"/>
        </w:trPr>
        <w:tc>
          <w:tcPr>
            <w:tcW w:w="578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87"/>
              </w:rPr>
              <w:t>1.6</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0" w:name="page21"/>
    <w:bookmarkEnd w:id="2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MEASUREMENTS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fair value of the Company’s assets and liabilities for which disclosure of fair value is required: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ind w:left="4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2020" w:type="dxa"/>
            <w:vAlign w:val="bottom"/>
            <w:gridSpan w:val="5"/>
          </w:tcPr>
          <w:p>
            <w:pPr>
              <w:ind w:left="560"/>
              <w:spacing w:after="0"/>
              <w:rPr>
                <w:sz w:val="20"/>
                <w:szCs w:val="20"/>
                <w:color w:val="auto"/>
              </w:rPr>
            </w:pPr>
            <w:r>
              <w:rPr>
                <w:rFonts w:ascii="Arial" w:cs="Arial" w:eastAsia="Arial" w:hAnsi="Arial"/>
                <w:sz w:val="14"/>
                <w:szCs w:val="14"/>
                <w:b w:val="1"/>
                <w:bCs w:val="1"/>
                <w:color w:val="auto"/>
              </w:rPr>
              <w:t>January 1,</w:t>
            </w:r>
          </w:p>
        </w:tc>
        <w:tc>
          <w:tcPr>
            <w:tcW w:w="160" w:type="dxa"/>
            <w:vAlign w:val="bottom"/>
          </w:tcPr>
          <w:p>
            <w:pPr>
              <w:spacing w:after="0"/>
              <w:rPr>
                <w:sz w:val="14"/>
                <w:szCs w:val="14"/>
                <w:color w:val="auto"/>
              </w:rPr>
            </w:pPr>
          </w:p>
        </w:tc>
        <w:tc>
          <w:tcPr>
            <w:tcW w:w="1920" w:type="dxa"/>
            <w:vAlign w:val="bottom"/>
            <w:gridSpan w:val="4"/>
          </w:tcPr>
          <w:p>
            <w:pPr>
              <w:jc w:val="right"/>
              <w:ind w:right="51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200" w:type="dxa"/>
            <w:vAlign w:val="bottom"/>
            <w:gridSpan w:val="2"/>
          </w:tcPr>
          <w:p>
            <w:pPr>
              <w:jc w:val="center"/>
              <w:ind w:right="100"/>
              <w:spacing w:after="0" w:line="122" w:lineRule="exact"/>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0"/>
                <w:szCs w:val="10"/>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0"/>
                <w:szCs w:val="10"/>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0"/>
                <w:szCs w:val="10"/>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160" w:type="dxa"/>
            <w:vAlign w:val="bottom"/>
          </w:tcPr>
          <w:p>
            <w:pPr>
              <w:spacing w:after="0"/>
              <w:rPr>
                <w:sz w:val="10"/>
                <w:szCs w:val="10"/>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0"/>
                <w:szCs w:val="10"/>
                <w:color w:val="auto"/>
              </w:rPr>
            </w:pPr>
          </w:p>
        </w:tc>
        <w:tc>
          <w:tcPr>
            <w:tcW w:w="84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5"/>
              </w:rPr>
              <w:t>Estimated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Hierarchy</w:t>
            </w: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Level</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2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620" w:type="dxa"/>
            <w:vAlign w:val="bottom"/>
          </w:tcPr>
          <w:p>
            <w:pPr>
              <w:ind w:left="220"/>
              <w:spacing w:after="0" w:line="176" w:lineRule="exact"/>
              <w:rPr>
                <w:sz w:val="20"/>
                <w:szCs w:val="20"/>
                <w:color w:val="auto"/>
              </w:rPr>
            </w:pPr>
            <w:r>
              <w:rPr>
                <w:rFonts w:ascii="Arial" w:cs="Arial" w:eastAsia="Arial" w:hAnsi="Arial"/>
                <w:sz w:val="18"/>
                <w:szCs w:val="18"/>
                <w:color w:val="auto"/>
              </w:rPr>
              <w:t>Investment securities in non-qualified</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retirement plan assets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1</w:t>
            </w: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debt investments</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3</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20" w:type="dxa"/>
            <w:vAlign w:val="bottom"/>
          </w:tcPr>
          <w:p>
            <w:pPr>
              <w:ind w:left="20"/>
              <w:spacing w:after="0"/>
              <w:rPr>
                <w:sz w:val="20"/>
                <w:szCs w:val="20"/>
                <w:color w:val="auto"/>
              </w:rPr>
            </w:pPr>
            <w:r>
              <w:rPr>
                <w:rFonts w:ascii="Arial" w:cs="Arial" w:eastAsia="Arial" w:hAnsi="Arial"/>
                <w:sz w:val="18"/>
                <w:szCs w:val="18"/>
                <w:color w:val="auto"/>
              </w:rPr>
              <w:t>Debt instruments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Credit facilities – revolving loans</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29"/>
        </w:trPr>
        <w:tc>
          <w:tcPr>
            <w:tcW w:w="3620" w:type="dxa"/>
            <w:vAlign w:val="bottom"/>
          </w:tcPr>
          <w:p>
            <w:pPr>
              <w:ind w:left="220"/>
              <w:spacing w:after="0"/>
              <w:rPr>
                <w:sz w:val="20"/>
                <w:szCs w:val="20"/>
                <w:color w:val="auto"/>
              </w:rPr>
            </w:pPr>
            <w:r>
              <w:rPr>
                <w:rFonts w:ascii="Arial" w:cs="Arial" w:eastAsia="Arial" w:hAnsi="Arial"/>
                <w:sz w:val="18"/>
                <w:szCs w:val="18"/>
                <w:color w:val="auto"/>
              </w:rPr>
              <w:t>Credit facilities – term loans</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962.5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975.0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due 2031 – 4.000%</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Senior Notes due 2032 – 4.375%</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 due 2029 – 4.500%</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Senior Notes due 2026 – 5.250%</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Receivables facility</w:t>
            </w: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Other debt</w:t>
            </w: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Level 2</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balance of Level 3 convertible debt investments carried at fair value are presented below. There were no transfers into or out of Level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4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74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874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December 31, 2022</w:t>
            </w:r>
          </w:p>
        </w:tc>
        <w:tc>
          <w:tcPr>
            <w:tcW w:w="100" w:type="dxa"/>
            <w:vAlign w:val="bottom"/>
          </w:tcPr>
          <w:p>
            <w:pPr>
              <w:spacing w:after="0"/>
              <w:rPr>
                <w:sz w:val="16"/>
                <w:szCs w:val="16"/>
                <w:color w:val="auto"/>
              </w:rPr>
            </w:pPr>
          </w:p>
        </w:tc>
        <w:tc>
          <w:tcPr>
            <w:tcW w:w="1100" w:type="dxa"/>
            <w:vAlign w:val="bottom"/>
          </w:tcPr>
          <w:p>
            <w:pPr>
              <w:jc w:val="right"/>
              <w:ind w:right="34"/>
              <w:spacing w:after="0"/>
              <w:rPr>
                <w:sz w:val="20"/>
                <w:szCs w:val="20"/>
                <w:color w:val="auto"/>
              </w:rPr>
            </w:pPr>
            <w:r>
              <w:rPr>
                <w:rFonts w:ascii="Arial" w:cs="Arial" w:eastAsia="Arial" w:hAnsi="Arial"/>
                <w:sz w:val="14"/>
                <w:szCs w:val="14"/>
                <w:b w:val="1"/>
                <w:bCs w:val="1"/>
                <w:color w:val="auto"/>
                <w:w w:val="92"/>
              </w:rPr>
              <w:t>January 1, 2022</w:t>
            </w:r>
          </w:p>
        </w:tc>
      </w:tr>
      <w:tr>
        <w:trPr>
          <w:trHeight w:val="230"/>
        </w:trPr>
        <w:tc>
          <w:tcPr>
            <w:tcW w:w="8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190.3</w:t>
            </w:r>
          </w:p>
        </w:tc>
      </w:tr>
      <w:tr>
        <w:trPr>
          <w:trHeight w:val="229"/>
        </w:trPr>
        <w:tc>
          <w:tcPr>
            <w:tcW w:w="8740" w:type="dxa"/>
            <w:vAlign w:val="bottom"/>
          </w:tcPr>
          <w:p>
            <w:pPr>
              <w:ind w:left="20"/>
              <w:spacing w:after="0"/>
              <w:rPr>
                <w:sz w:val="20"/>
                <w:szCs w:val="20"/>
                <w:color w:val="auto"/>
              </w:rPr>
            </w:pPr>
            <w:r>
              <w:rPr>
                <w:rFonts w:ascii="Arial" w:cs="Arial" w:eastAsia="Arial" w:hAnsi="Arial"/>
                <w:sz w:val="18"/>
                <w:szCs w:val="18"/>
                <w:color w:val="auto"/>
              </w:rPr>
              <w:t>Total realized / unrealized gains included in net earnings</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8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realized / unrealized gains (losses) included in OCI</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874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w:t>
            </w:r>
          </w:p>
        </w:tc>
      </w:tr>
      <w:tr>
        <w:trPr>
          <w:trHeight w:val="21"/>
        </w:trPr>
        <w:tc>
          <w:tcPr>
            <w:tcW w:w="8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both"/>
        <w:ind w:firstLine="445"/>
        <w:spacing w:after="0" w:line="293" w:lineRule="auto"/>
        <w:rPr>
          <w:sz w:val="20"/>
          <w:szCs w:val="20"/>
          <w:color w:val="auto"/>
        </w:rPr>
      </w:pPr>
      <w:r>
        <w:rPr>
          <w:rFonts w:ascii="Arial" w:cs="Arial" w:eastAsia="Arial" w:hAnsi="Arial"/>
          <w:sz w:val="16"/>
          <w:szCs w:val="16"/>
          <w:color w:val="auto"/>
        </w:rPr>
        <w:t>The amortized cost basis of convertible debt investments was $223.0, $194.2 and $222.1 at December 31, 2022, January 1, 2022 and September 30, 2022, respectively. At December 31, 2022, January 1, 2022 and September 30, 2022, gross unrealized losses on convertible debt investments were $131.9, $2.9 and $105.1, respectively. These investments have been in a continuous unrealized loss position for greater than 12 months as of December 31, 2022. The decline in fair value of the convertible debt investments is related to a decline in the value of the underlying conversion options and is not reflective of a credit risk associated with the notes. The Company believes it will recover its cost basis in the convertible debt securities and that the Company has the ability to hold the securities until they recover in value and had no intent to sell or convert them at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1" w:name="page22"/>
    <w:bookmarkEnd w:id="2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LEASES</w:t>
      </w:r>
    </w:p>
    <w:p>
      <w:pPr>
        <w:spacing w:after="0" w:line="175"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Company leases certain property and equipment from third parties under various non-cancelable lease agreements, including industrial, commercial and office properties and equipment that support the management, manufacturing, distribution and research and development of products marketed and sold by the Company. The lease agreements generally require that the Company pay taxes, insurance and maintenance expenses related to the leased assets. At December 31, 2022, the Company had entered into operating leases that were yet to commence with a combined total expected lease liability of $49.8. From time to time, the Company will sublease portions of its facilities, resulting in sublease income. Sublease income and the related cash flows were not material to the condensed consolidated financial statements for the three months ended December 31, 2022 and January 1, 2022.</w:t>
      </w:r>
    </w:p>
    <w:p>
      <w:pPr>
        <w:spacing w:after="0" w:line="11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 leases certain vehicles (primarily cars and light trucks) under agreements that are cancellable after the first year, but typically continue on a month-to-month basis until canceled by the Company. The vehicle leases and certain other non-cancelable operating leases contain residual value guarantees that create a contingent obligation on the part of the Company to compensate the lessor if the leased asset cannot be sold for an amount in excess of a specified minimum value at the conclusion of the lease term. If all such vehicle leases had been canceled as of December 31, 2022, the Company’s residual value guarantee would have approximated $3.9.</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balance sheet information related to the Company’s leases was as follows: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3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Balance Sheet Location</w:t>
            </w:r>
          </w:p>
        </w:tc>
        <w:tc>
          <w:tcPr>
            <w:tcW w:w="220" w:type="dxa"/>
            <w:vAlign w:val="bottom"/>
          </w:tcPr>
          <w:p>
            <w:pPr>
              <w:spacing w:after="0"/>
              <w:rPr>
                <w:sz w:val="14"/>
                <w:szCs w:val="14"/>
                <w:color w:val="auto"/>
              </w:rPr>
            </w:pPr>
          </w:p>
        </w:tc>
        <w:tc>
          <w:tcPr>
            <w:tcW w:w="136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180" w:type="dxa"/>
            <w:vAlign w:val="bottom"/>
            <w:gridSpan w:val="3"/>
          </w:tcPr>
          <w:p>
            <w:pPr>
              <w:jc w:val="right"/>
              <w:ind w:right="275"/>
              <w:spacing w:after="0"/>
              <w:rPr>
                <w:sz w:val="20"/>
                <w:szCs w:val="20"/>
                <w:color w:val="auto"/>
              </w:rPr>
            </w:pPr>
            <w:r>
              <w:rPr>
                <w:rFonts w:ascii="Arial" w:cs="Arial" w:eastAsia="Arial" w:hAnsi="Arial"/>
                <w:sz w:val="14"/>
                <w:szCs w:val="14"/>
                <w:b w:val="1"/>
                <w:bCs w:val="1"/>
                <w:color w:val="auto"/>
              </w:rPr>
              <w:t>January 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3240" w:type="dxa"/>
            <w:vAlign w:val="bottom"/>
          </w:tcPr>
          <w:p>
            <w:pPr>
              <w:spacing w:after="0"/>
              <w:rPr>
                <w:sz w:val="16"/>
                <w:szCs w:val="16"/>
                <w:color w:val="auto"/>
              </w:rPr>
            </w:pPr>
          </w:p>
        </w:tc>
        <w:tc>
          <w:tcPr>
            <w:tcW w:w="33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3"/>
          </w:tcPr>
          <w:p>
            <w:pPr>
              <w:ind w:left="340"/>
              <w:spacing w:after="0"/>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3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leases:</w:t>
            </w:r>
          </w:p>
        </w:tc>
        <w:tc>
          <w:tcPr>
            <w:tcW w:w="3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Right-of-use assets</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281.2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294.4</w:t>
            </w:r>
          </w:p>
        </w:tc>
        <w:tc>
          <w:tcPr>
            <w:tcW w:w="34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57"/>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0"/>
              <w:spacing w:after="0"/>
              <w:rPr>
                <w:sz w:val="20"/>
                <w:szCs w:val="20"/>
                <w:color w:val="auto"/>
              </w:rPr>
            </w:pPr>
            <w:r>
              <w:rPr>
                <w:rFonts w:ascii="Arial" w:cs="Arial" w:eastAsia="Arial" w:hAnsi="Arial"/>
                <w:sz w:val="18"/>
                <w:szCs w:val="18"/>
                <w:color w:val="auto"/>
              </w:rPr>
              <w:t>Current lease liabilities</w:t>
            </w:r>
          </w:p>
        </w:tc>
        <w:tc>
          <w:tcPr>
            <w:tcW w:w="3340" w:type="dxa"/>
            <w:vAlign w:val="bottom"/>
            <w:gridSpan w:val="2"/>
          </w:tcPr>
          <w:p>
            <w:pPr>
              <w:ind w:left="20"/>
              <w:spacing w:after="0"/>
              <w:rPr>
                <w:sz w:val="20"/>
                <w:szCs w:val="20"/>
                <w:color w:val="auto"/>
              </w:rPr>
            </w:pPr>
            <w:r>
              <w:rPr>
                <w:rFonts w:ascii="Arial" w:cs="Arial" w:eastAsia="Arial" w:hAnsi="Arial"/>
                <w:sz w:val="18"/>
                <w:szCs w:val="18"/>
                <w:color w:val="auto"/>
              </w:rPr>
              <w:t>Other current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lease liabilities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0"/>
        </w:trPr>
        <w:tc>
          <w:tcPr>
            <w:tcW w:w="3240" w:type="dxa"/>
            <w:vAlign w:val="bottom"/>
            <w:tcBorders>
              <w:bottom w:val="single" w:sz="8" w:color="CCEEFF"/>
            </w:tcBorders>
          </w:tcPr>
          <w:p>
            <w:pPr>
              <w:spacing w:after="0" w:line="20" w:lineRule="exact"/>
              <w:rPr>
                <w:sz w:val="1"/>
                <w:szCs w:val="1"/>
                <w:color w:val="auto"/>
              </w:rPr>
            </w:pPr>
          </w:p>
        </w:tc>
        <w:tc>
          <w:tcPr>
            <w:tcW w:w="3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240" w:type="dxa"/>
            <w:vAlign w:val="bottom"/>
            <w:shd w:val="clear" w:color="auto" w:fill="CCEEFF"/>
          </w:tcPr>
          <w:p>
            <w:pPr>
              <w:spacing w:after="0"/>
              <w:rPr>
                <w:sz w:val="19"/>
                <w:szCs w:val="19"/>
                <w:color w:val="auto"/>
              </w:rPr>
            </w:pP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Finance leases:</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34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r>
        <w:trPr>
          <w:trHeight w:val="256"/>
        </w:trPr>
        <w:tc>
          <w:tcPr>
            <w:tcW w:w="324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portion of debt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lease liabilities</w:t>
            </w:r>
          </w:p>
        </w:tc>
        <w:tc>
          <w:tcPr>
            <w:tcW w:w="33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liabilities</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6580" w:type="dxa"/>
            <w:vAlign w:val="bottom"/>
            <w:tcBorders>
              <w:top w:val="single" w:sz="8" w:color="CCEEFF"/>
              <w:bottom w:val="single" w:sz="8" w:color="CCEEFF"/>
            </w:tcBorders>
            <w:gridSpan w:val="3"/>
            <w:vMerge w:val="restart"/>
          </w:tcPr>
          <w:p>
            <w:pPr>
              <w:ind w:left="420"/>
              <w:spacing w:after="0"/>
              <w:rPr>
                <w:sz w:val="20"/>
                <w:szCs w:val="20"/>
                <w:color w:val="auto"/>
              </w:rPr>
            </w:pPr>
            <w:r>
              <w:rPr>
                <w:rFonts w:ascii="Arial" w:cs="Arial" w:eastAsia="Arial" w:hAnsi="Arial"/>
                <w:sz w:val="18"/>
                <w:szCs w:val="18"/>
                <w:color w:val="auto"/>
              </w:rPr>
              <w:t>Components of lease cost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5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24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60" w:type="dxa"/>
            <w:vAlign w:val="bottom"/>
            <w:gridSpan w:val="7"/>
          </w:tcPr>
          <w:p>
            <w:pPr>
              <w:jc w:val="right"/>
              <w:ind w:right="51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5"/>
          </w:tcPr>
          <w:p>
            <w:pPr>
              <w:ind w:left="40"/>
              <w:spacing w:after="0" w:line="13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1"/>
                <w:szCs w:val="11"/>
                <w:color w:val="auto"/>
              </w:rPr>
            </w:pPr>
          </w:p>
        </w:tc>
        <w:tc>
          <w:tcPr>
            <w:tcW w:w="1020" w:type="dxa"/>
            <w:vAlign w:val="bottom"/>
          </w:tcPr>
          <w:p>
            <w:pPr>
              <w:jc w:val="right"/>
              <w:ind w:right="193"/>
              <w:spacing w:after="0" w:line="133"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3240" w:type="dxa"/>
            <w:vAlign w:val="bottom"/>
            <w:tcBorders>
              <w:bottom w:val="single" w:sz="8" w:color="CCEEFF"/>
            </w:tcBorders>
          </w:tcPr>
          <w:p>
            <w:pPr>
              <w:spacing w:after="0"/>
              <w:rPr>
                <w:sz w:val="16"/>
                <w:szCs w:val="16"/>
                <w:color w:val="auto"/>
              </w:rPr>
            </w:pPr>
          </w:p>
        </w:tc>
        <w:tc>
          <w:tcPr>
            <w:tcW w:w="32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line="229" w:lineRule="exact"/>
              <w:rPr>
                <w:sz w:val="20"/>
                <w:szCs w:val="20"/>
                <w:color w:val="auto"/>
              </w:rPr>
            </w:pPr>
            <w:r>
              <w:rPr>
                <w:rFonts w:ascii="Arial" w:cs="Arial" w:eastAsia="Arial" w:hAnsi="Arial"/>
                <w:sz w:val="18"/>
                <w:szCs w:val="18"/>
                <w:color w:val="auto"/>
              </w:rPr>
              <w:t xml:space="preserve">Operating lease cost </w:t>
            </w:r>
            <w:r>
              <w:rPr>
                <w:rFonts w:ascii="Arial" w:cs="Arial" w:eastAsia="Arial" w:hAnsi="Arial"/>
                <w:sz w:val="23"/>
                <w:szCs w:val="23"/>
                <w:color w:val="auto"/>
                <w:vertAlign w:val="superscript"/>
              </w:rPr>
              <w:t>(a)</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5"/>
              </w:rPr>
              <w:t>6.5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56"/>
        </w:trPr>
        <w:tc>
          <w:tcPr>
            <w:tcW w:w="324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3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3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3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Interest on lease liabilities</w:t>
            </w:r>
          </w:p>
        </w:tc>
        <w:tc>
          <w:tcPr>
            <w:tcW w:w="3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0.3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3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finance lease cost</w:t>
            </w:r>
          </w:p>
        </w:tc>
        <w:tc>
          <w:tcPr>
            <w:tcW w:w="3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660" w:hanging="652"/>
        <w:spacing w:after="0" w:line="277" w:lineRule="auto"/>
        <w:tabs>
          <w:tab w:leader="none" w:pos="657"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lease cost includes amortization of right-of-use assets of $19.0 and $17.6 for the three months ended December 31, 2022 and January 1, 2022, respectively. Short-term lease expense is excluded from operating lease cost and is not material.</w:t>
      </w:r>
    </w:p>
    <w:p>
      <w:pPr>
        <w:spacing w:after="0" w:line="200" w:lineRule="exact"/>
        <w:rPr>
          <w:sz w:val="20"/>
          <w:szCs w:val="20"/>
          <w:color w:val="auto"/>
        </w:rPr>
      </w:pPr>
    </w:p>
    <w:p>
      <w:pPr>
        <w:spacing w:after="0" w:line="30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2" w:name="page23"/>
    <w:bookmarkEnd w:id="22"/>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and non-cash activity related to the Company’s leases were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7"/>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6"/>
                <w:szCs w:val="16"/>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133"/>
        </w:trPr>
        <w:tc>
          <w:tcPr>
            <w:tcW w:w="8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4"/>
          </w:tcPr>
          <w:p>
            <w:pPr>
              <w:jc w:val="right"/>
              <w:ind w:right="3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jc w:val="right"/>
              <w:ind w:right="190"/>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ind w:left="300"/>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6"/>
                <w:szCs w:val="16"/>
                <w:color w:val="auto"/>
              </w:rPr>
            </w:pPr>
          </w:p>
        </w:tc>
      </w:tr>
      <w:tr>
        <w:trPr>
          <w:trHeight w:val="216"/>
        </w:trPr>
        <w:tc>
          <w:tcPr>
            <w:tcW w:w="8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5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r>
      <w:tr>
        <w:trPr>
          <w:trHeight w:val="230"/>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Operating cash flows from operating leases, net</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22.2</w:t>
            </w:r>
          </w:p>
        </w:tc>
        <w:tc>
          <w:tcPr>
            <w:tcW w:w="920" w:type="dxa"/>
            <w:vAlign w:val="bottom"/>
            <w:gridSpan w:val="3"/>
          </w:tcPr>
          <w:p>
            <w:pPr>
              <w:jc w:val="right"/>
              <w:ind w:right="568"/>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9"/>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cash flows from 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8140" w:type="dxa"/>
            <w:vAlign w:val="bottom"/>
            <w:gridSpan w:val="2"/>
          </w:tcPr>
          <w:p>
            <w:pPr>
              <w:ind w:left="220"/>
              <w:spacing w:after="0"/>
              <w:rPr>
                <w:sz w:val="20"/>
                <w:szCs w:val="20"/>
                <w:color w:val="auto"/>
              </w:rPr>
            </w:pPr>
            <w:r>
              <w:rPr>
                <w:rFonts w:ascii="Arial" w:cs="Arial" w:eastAsia="Arial" w:hAnsi="Arial"/>
                <w:sz w:val="18"/>
                <w:szCs w:val="18"/>
                <w:color w:val="auto"/>
              </w:rPr>
              <w:t>Financing cash flows from finance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7"/>
        </w:trPr>
        <w:tc>
          <w:tcPr>
            <w:tcW w:w="80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r>
      <w:tr>
        <w:trPr>
          <w:trHeight w:val="229"/>
        </w:trPr>
        <w:tc>
          <w:tcPr>
            <w:tcW w:w="8140" w:type="dxa"/>
            <w:vAlign w:val="bottom"/>
            <w:gridSpan w:val="2"/>
          </w:tcPr>
          <w:p>
            <w:pPr>
              <w:ind w:left="20"/>
              <w:spacing w:after="0"/>
              <w:rPr>
                <w:sz w:val="20"/>
                <w:szCs w:val="20"/>
                <w:color w:val="auto"/>
              </w:rPr>
            </w:pPr>
            <w:r>
              <w:rPr>
                <w:rFonts w:ascii="Arial" w:cs="Arial" w:eastAsia="Arial" w:hAnsi="Arial"/>
                <w:sz w:val="18"/>
                <w:szCs w:val="18"/>
                <w:b w:val="1"/>
                <w:bCs w:val="1"/>
                <w:color w:val="auto"/>
              </w:rPr>
              <w:t>Right-of-use assets obtained in exchange for lease obligations: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8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leases</w:t>
            </w: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920" w:type="dxa"/>
            <w:vAlign w:val="bottom"/>
            <w:gridSpan w:val="3"/>
            <w:shd w:val="clear" w:color="auto" w:fill="CCEEFF"/>
          </w:tcPr>
          <w:p>
            <w:pPr>
              <w:jc w:val="right"/>
              <w:ind w:right="568"/>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473"/>
        </w:trPr>
        <w:tc>
          <w:tcPr>
            <w:tcW w:w="8140" w:type="dxa"/>
            <w:vAlign w:val="bottom"/>
            <w:gridSpan w:val="2"/>
          </w:tcPr>
          <w:p>
            <w:pPr>
              <w:ind w:left="420"/>
              <w:spacing w:after="0"/>
              <w:rPr>
                <w:sz w:val="20"/>
                <w:szCs w:val="20"/>
                <w:color w:val="auto"/>
              </w:rPr>
            </w:pPr>
            <w:r>
              <w:rPr>
                <w:rFonts w:ascii="Arial" w:cs="Arial" w:eastAsia="Arial" w:hAnsi="Arial"/>
                <w:sz w:val="18"/>
                <w:szCs w:val="18"/>
                <w:color w:val="auto"/>
                <w:w w:val="95"/>
              </w:rPr>
              <w:t>Weighted-average remaining lease term and discount rate for the Company’s leases were as follows: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62"/>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0" w:type="dxa"/>
            <w:vAlign w:val="bottom"/>
            <w:gridSpan w:val="6"/>
          </w:tcPr>
          <w:p>
            <w:pPr>
              <w:jc w:val="right"/>
              <w:ind w:right="268"/>
              <w:spacing w:after="0"/>
              <w:rPr>
                <w:sz w:val="20"/>
                <w:szCs w:val="20"/>
                <w:color w:val="auto"/>
              </w:rPr>
            </w:pPr>
            <w:r>
              <w:rPr>
                <w:rFonts w:ascii="Arial" w:cs="Arial" w:eastAsia="Arial" w:hAnsi="Arial"/>
                <w:sz w:val="14"/>
                <w:szCs w:val="14"/>
                <w:b w:val="1"/>
                <w:bCs w:val="1"/>
                <w:color w:val="auto"/>
                <w:w w:val="92"/>
              </w:rPr>
              <w:t>December 31,</w:t>
            </w:r>
          </w:p>
        </w:tc>
        <w:tc>
          <w:tcPr>
            <w:tcW w:w="460" w:type="dxa"/>
            <w:vAlign w:val="bottom"/>
          </w:tcPr>
          <w:p>
            <w:pPr>
              <w:spacing w:after="0"/>
              <w:rPr>
                <w:sz w:val="14"/>
                <w:szCs w:val="14"/>
                <w:color w:val="auto"/>
              </w:rPr>
            </w:pPr>
          </w:p>
        </w:tc>
      </w:tr>
      <w:tr>
        <w:trPr>
          <w:trHeight w:val="196"/>
        </w:trPr>
        <w:tc>
          <w:tcPr>
            <w:tcW w:w="8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ind w:right="548"/>
              <w:spacing w:after="0"/>
              <w:rPr>
                <w:sz w:val="20"/>
                <w:szCs w:val="20"/>
                <w:color w:val="auto"/>
              </w:rPr>
            </w:pPr>
            <w:r>
              <w:rPr>
                <w:rFonts w:ascii="Arial" w:cs="Arial" w:eastAsia="Arial" w:hAnsi="Arial"/>
                <w:sz w:val="14"/>
                <w:szCs w:val="14"/>
                <w:b w:val="1"/>
                <w:bCs w:val="1"/>
                <w:color w:val="auto"/>
                <w:w w:val="89"/>
              </w:rPr>
              <w:t>2022</w:t>
            </w:r>
          </w:p>
        </w:tc>
        <w:tc>
          <w:tcPr>
            <w:tcW w:w="460" w:type="dxa"/>
            <w:vAlign w:val="bottom"/>
            <w:tcBorders>
              <w:bottom w:val="single" w:sz="8" w:color="auto"/>
            </w:tcBorders>
          </w:tcPr>
          <w:p>
            <w:pPr>
              <w:spacing w:after="0"/>
              <w:rPr>
                <w:sz w:val="17"/>
                <w:szCs w:val="17"/>
                <w:color w:val="auto"/>
              </w:rPr>
            </w:pPr>
          </w:p>
        </w:tc>
      </w:tr>
      <w:tr>
        <w:trPr>
          <w:trHeight w:val="216"/>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remaining lease term (in years):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2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29"/>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8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r>
      <w:tr>
        <w:trPr>
          <w:trHeight w:val="229"/>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Weighted-average discount rate:</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r>
      <w:tr>
        <w:trPr>
          <w:trHeight w:val="230"/>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Operating leases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1"/>
              </w:rPr>
              <w:t>3.6 %</w:t>
            </w:r>
          </w:p>
        </w:tc>
      </w:tr>
      <w:tr>
        <w:trPr>
          <w:trHeight w:val="229"/>
        </w:trPr>
        <w:tc>
          <w:tcPr>
            <w:tcW w:w="81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4.4 %</w:t>
            </w:r>
          </w:p>
        </w:tc>
      </w:tr>
      <w:tr>
        <w:trPr>
          <w:trHeight w:val="459"/>
        </w:trPr>
        <w:tc>
          <w:tcPr>
            <w:tcW w:w="8880" w:type="dxa"/>
            <w:vAlign w:val="bottom"/>
            <w:gridSpan w:val="5"/>
          </w:tcPr>
          <w:p>
            <w:pPr>
              <w:ind w:left="420"/>
              <w:spacing w:after="0"/>
              <w:rPr>
                <w:sz w:val="20"/>
                <w:szCs w:val="20"/>
                <w:color w:val="auto"/>
              </w:rPr>
            </w:pPr>
            <w:r>
              <w:rPr>
                <w:rFonts w:ascii="Arial" w:cs="Arial" w:eastAsia="Arial" w:hAnsi="Arial"/>
                <w:sz w:val="18"/>
                <w:szCs w:val="18"/>
                <w:color w:val="auto"/>
                <w:w w:val="96"/>
              </w:rPr>
              <w:t>Maturities of lease liabilities by fiscal year for the Company’s leases as of December 31, 2022 were as follows:</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4"/>
        </w:trPr>
        <w:tc>
          <w:tcPr>
            <w:tcW w:w="814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w:t>
            </w:r>
          </w:p>
        </w:tc>
        <w:tc>
          <w:tcPr>
            <w:tcW w:w="1440" w:type="dxa"/>
            <w:vAlign w:val="bottom"/>
            <w:gridSpan w:val="4"/>
          </w:tcPr>
          <w:p>
            <w:pPr>
              <w:jc w:val="right"/>
              <w:ind w:right="74"/>
              <w:spacing w:after="0"/>
              <w:rPr>
                <w:sz w:val="20"/>
                <w:szCs w:val="20"/>
                <w:color w:val="auto"/>
              </w:rPr>
            </w:pPr>
            <w:r>
              <w:rPr>
                <w:rFonts w:ascii="Arial" w:cs="Arial" w:eastAsia="Arial" w:hAnsi="Arial"/>
                <w:sz w:val="14"/>
                <w:szCs w:val="14"/>
                <w:b w:val="1"/>
                <w:bCs w:val="1"/>
                <w:color w:val="auto"/>
              </w:rPr>
              <w:t>Operating Leases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w w:val="95"/>
              </w:rPr>
              <w:t>Finance Leases</w:t>
            </w:r>
          </w:p>
        </w:tc>
      </w:tr>
      <w:tr>
        <w:trPr>
          <w:trHeight w:val="25"/>
        </w:trPr>
        <w:tc>
          <w:tcPr>
            <w:tcW w:w="8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(remainder of the year)</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Thereafter</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30"/>
        </w:trPr>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Imputed interest</w:t>
            </w: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w w:val="93"/>
              </w:rPr>
              <w:t>(28.8)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8"/>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RETIREMENT PLANS</w:t>
      </w:r>
    </w:p>
    <w:p>
      <w:pPr>
        <w:spacing w:after="0" w:line="162"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During the three months ended December 31, 2022, a defined benefit pension plan associated with the former business in the United Kingdom entered into a buy-in insurance policy in exchange for a premium payment of $75.9, which is subject to adjustment as a result of subsequent data cleansing activities. Under the terms of this buy-in insurance policy, the insurer is liable to pay the benefits to the plan but the plan still retains full legal responsibility to pay the benefits to plan participants using the insurance payments. The buy-in policy will be treated as an asset of the plan going forward until such time as the buy-in policy is converted to a buy-out policy, which is when individual insurance policies will be assigned to each plan participant and the plan will no longer have legal responsibility to pay the benefits to the plan participants.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3" w:name="page24"/>
    <w:bookmarkEnd w:id="2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SEGMENT INFORMATION</w:t>
      </w:r>
    </w:p>
    <w:p>
      <w:pPr>
        <w:spacing w:after="0" w:line="16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Company divides its operations into three reportable segments: U.S. Consumer, Hawthorne and Other. U.S. Consumer consists of the Company’s consumer lawn and garden business in the United States. Hawthorne consists of the Company’s indoor and hydroponic gardening business. Other primarily consists of the Company’s consumer lawn and garden business outside the United States. This identification of reportable segments is consistent with how the segments report to and are managed by the chief operating decision maker of the Company. In addition, Corporate consists of general and administrative expenses and certain other income and expense items not allocated to the business segments.</w:t>
      </w:r>
    </w:p>
    <w:p>
      <w:pPr>
        <w:spacing w:after="0" w:line="109"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performance of each reportable segment is evaluated based on several factors, including income (loss) before income taxes, amortization, impairment, restructuring and other charges (“Segment Profit (Loss)”). Senior management uses Segment Profit (Loss) to evaluate segment performance because the Company believes this measure is indicative of performance trends and the overall earnings potential of each segment.</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financial information for the Company’s reportable segments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8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2022</w:t>
            </w:r>
          </w:p>
        </w:tc>
      </w:tr>
      <w:tr>
        <w:trPr>
          <w:trHeight w:val="215"/>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806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369.0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342.4</w:t>
            </w:r>
          </w:p>
        </w:tc>
      </w:tr>
      <w:tr>
        <w:trPr>
          <w:trHeight w:val="229"/>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30"/>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248"/>
        </w:trPr>
        <w:tc>
          <w:tcPr>
            <w:tcW w:w="80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 (Loss):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8060" w:type="dxa"/>
            <w:vAlign w:val="bottom"/>
          </w:tcPr>
          <w:p>
            <w:pPr>
              <w:ind w:left="240"/>
              <w:spacing w:after="0"/>
              <w:rPr>
                <w:sz w:val="20"/>
                <w:szCs w:val="20"/>
                <w:color w:val="auto"/>
              </w:rPr>
            </w:pPr>
            <w:r>
              <w:rPr>
                <w:rFonts w:ascii="Arial" w:cs="Arial" w:eastAsia="Arial" w:hAnsi="Arial"/>
                <w:sz w:val="18"/>
                <w:szCs w:val="18"/>
                <w:color w:val="auto"/>
              </w:rPr>
              <w:t>U.S. Consumer</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0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06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 amortization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Impairment, restructuring and 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060" w:type="dxa"/>
            <w:vAlign w:val="bottom"/>
          </w:tcPr>
          <w:p>
            <w:pPr>
              <w:ind w:left="480"/>
              <w:spacing w:after="0"/>
              <w:rPr>
                <w:sz w:val="20"/>
                <w:szCs w:val="20"/>
                <w:color w:val="auto"/>
              </w:rPr>
            </w:pPr>
            <w:r>
              <w:rPr>
                <w:rFonts w:ascii="Arial" w:cs="Arial" w:eastAsia="Arial" w:hAnsi="Arial"/>
                <w:sz w:val="18"/>
                <w:szCs w:val="18"/>
                <w:color w:val="auto"/>
              </w:rPr>
              <w:t>Loss before income taxes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r>
      <w:tr>
        <w:trPr>
          <w:trHeight w:val="21"/>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4" w:name="page25"/>
    <w:bookmarkEnd w:id="2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 (UNAUDITED) — (Continued)</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(Dollars in millions, except per share data)</w:t>
      </w:r>
    </w:p>
    <w:p>
      <w:pPr>
        <w:spacing w:after="0" w:line="34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net sales by product category for the periods indicated: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6"/>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jc w:val="center"/>
              <w:ind w:right="32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333"/>
              <w:spacing w:after="0" w:line="133" w:lineRule="exact"/>
              <w:rPr>
                <w:sz w:val="20"/>
                <w:szCs w:val="20"/>
                <w:color w:val="auto"/>
              </w:rPr>
            </w:pPr>
            <w:r>
              <w:rPr>
                <w:rFonts w:ascii="Arial" w:cs="Arial" w:eastAsia="Arial" w:hAnsi="Arial"/>
                <w:sz w:val="14"/>
                <w:szCs w:val="14"/>
                <w:b w:val="1"/>
                <w:bCs w:val="1"/>
                <w:color w:val="auto"/>
              </w:rPr>
              <w:t>January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80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123.8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 and mulch</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Controls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Other, primarily gardening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Hawthorne: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Lighting</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environments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Nutrients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Pr>
          <w:p>
            <w:pPr>
              <w:ind w:left="360"/>
              <w:spacing w:after="0"/>
              <w:rPr>
                <w:sz w:val="20"/>
                <w:szCs w:val="20"/>
                <w:color w:val="auto"/>
              </w:rPr>
            </w:pPr>
            <w:r>
              <w:rPr>
                <w:rFonts w:ascii="Arial" w:cs="Arial" w:eastAsia="Arial" w:hAnsi="Arial"/>
                <w:sz w:val="18"/>
                <w:szCs w:val="18"/>
                <w:color w:val="auto"/>
              </w:rPr>
              <w:t>Other, primarily hardware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Growing media</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Lawn care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primarily gardening and controls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The following table presents net sales by geographic area for the periods indicated:</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80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8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gridSpan w:val="6"/>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8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8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3"/>
          </w:tcPr>
          <w:p>
            <w:pPr>
              <w:jc w:val="center"/>
              <w:ind w:right="300"/>
              <w:spacing w:after="0" w:line="129"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20" w:type="dxa"/>
            <w:vAlign w:val="bottom"/>
          </w:tcPr>
          <w:p>
            <w:pPr>
              <w:jc w:val="right"/>
              <w:ind w:right="313"/>
              <w:spacing w:after="0" w:line="129" w:lineRule="exact"/>
              <w:rPr>
                <w:sz w:val="20"/>
                <w:szCs w:val="20"/>
                <w:color w:val="auto"/>
              </w:rPr>
            </w:pPr>
            <w:r>
              <w:rPr>
                <w:rFonts w:ascii="Arial" w:cs="Arial" w:eastAsia="Arial" w:hAnsi="Arial"/>
                <w:sz w:val="14"/>
                <w:szCs w:val="14"/>
                <w:b w:val="1"/>
                <w:bCs w:val="1"/>
                <w:color w:val="auto"/>
              </w:rPr>
              <w:t>January 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80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360"/>
              <w:spacing w:after="0"/>
              <w:rPr>
                <w:sz w:val="20"/>
                <w:szCs w:val="20"/>
                <w:color w:val="auto"/>
              </w:rPr>
            </w:pPr>
            <w:r>
              <w:rPr>
                <w:rFonts w:ascii="Arial" w:cs="Arial" w:eastAsia="Arial" w:hAnsi="Arial"/>
                <w:sz w:val="18"/>
                <w:szCs w:val="18"/>
                <w:color w:val="auto"/>
              </w:rPr>
              <w:t>United States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465.0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2" w:right="379" w:bottom="1440" w:gutter="0" w:footer="0" w:header="0"/>
        </w:sectPr>
      </w:pPr>
    </w:p>
    <w:bookmarkStart w:id="25" w:name="page26"/>
    <w:bookmarkEnd w:id="2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purpose of this Management’s Discussion and Analysis (“MD&amp;A”) is to provide an understanding of our financial condition and results of operations by focusing on changes in certain key measures from year-to-year. This MD&amp;A includes the following sections:</w:t>
      </w:r>
    </w:p>
    <w:p>
      <w:pPr>
        <w:spacing w:after="0" w:line="62" w:lineRule="exact"/>
        <w:rPr>
          <w:sz w:val="20"/>
          <w:szCs w:val="20"/>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Segment results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This MD&amp;A should be read in conjunction with “Management’s Discussion and Analysis of Financial Condition and Results of Operations” included in Scotts Miracle-Gro’s Annual Report on Form 10-K for the fiscal year ended September 30, 2022 (the “2022 Annual Report”) and our condensed consolidated financial statements included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08"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Our operations are divided into three reportable segments: U.S. Consumer, Hawthorne and Other. U.S. Consumer consists of our consumer lawn and garden business in the United States. Hawthorne consists of our indoor and hydroponic gardening business. Other primarily consists of our consumer lawn and garden business outside the United States. This division of reportable segments is consistent with how the segments report to and are managed by our chief operating decision maker. In addition, Corporate consists of general and administrative expenses and certain other income and expense items not allocated to the business segments. See “SEGMENT RESULTS” below for additional information regarding our evaluation of segment performance.</w:t>
      </w:r>
    </w:p>
    <w:p>
      <w:pPr>
        <w:spacing w:after="0" w:line="26" w:lineRule="exact"/>
        <w:rPr>
          <w:sz w:val="20"/>
          <w:szCs w:val="20"/>
          <w:color w:val="auto"/>
        </w:rPr>
      </w:pPr>
    </w:p>
    <w:p>
      <w:pPr>
        <w:jc w:val="both"/>
        <w:ind w:firstLine="445"/>
        <w:spacing w:after="0" w:line="237" w:lineRule="auto"/>
        <w:rPr>
          <w:sz w:val="20"/>
          <w:szCs w:val="20"/>
          <w:color w:val="auto"/>
        </w:rPr>
      </w:pPr>
      <w:r>
        <w:rPr>
          <w:rFonts w:ascii="Arial" w:cs="Arial" w:eastAsia="Arial" w:hAnsi="Arial"/>
          <w:sz w:val="17"/>
          <w:szCs w:val="17"/>
          <w:color w:val="auto"/>
        </w:rPr>
        <w:t>Through our U.S. Consumer and Other segments, we are the leading manufacturer and marketer of branded consumer lawn and garden products in North America. Our products are marketed under some of the most recognized brand names in the industry. Our key consumer lawn and garden brands include Scotts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Turf Builder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lawn fertilizer and Scotts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grass seed products; Miracle-Gro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soil, plant food and gardening products; Ortho</w:t>
      </w:r>
      <w:r>
        <w:rPr>
          <w:rFonts w:ascii="Arial" w:cs="Arial" w:eastAsia="Arial" w:hAnsi="Arial"/>
          <w:sz w:val="22"/>
          <w:szCs w:val="22"/>
          <w:color w:val="auto"/>
          <w:vertAlign w:val="superscript"/>
        </w:rPr>
        <w:t>®</w:t>
      </w:r>
      <w:r>
        <w:rPr>
          <w:rFonts w:ascii="Arial" w:cs="Arial" w:eastAsia="Arial" w:hAnsi="Arial"/>
          <w:sz w:val="17"/>
          <w:szCs w:val="17"/>
          <w:color w:val="auto"/>
        </w:rPr>
        <w:t xml:space="preserve"> herbicide and pesticide products; and Tomcat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rodent control and animal repellent products. We also have a presence in similar branded consumer products in China. We are the exclusive agent of Monsanto for the marketing and distribution of certain of Monsanto’s consumer Roundup</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branded products within the United States and certain other specified countries. In addition, we have an equity interest in Bonnie Plants, LLC, a joint venture with AFC focused on planting, growing, developing, distributing, marketing and selling live plants.</w:t>
      </w:r>
    </w:p>
    <w:p>
      <w:pPr>
        <w:spacing w:after="0" w:line="85" w:lineRule="exact"/>
        <w:rPr>
          <w:sz w:val="20"/>
          <w:szCs w:val="20"/>
          <w:color w:val="auto"/>
        </w:rPr>
      </w:pPr>
    </w:p>
    <w:p>
      <w:pPr>
        <w:jc w:val="both"/>
        <w:ind w:firstLine="445"/>
        <w:spacing w:after="0" w:line="238" w:lineRule="auto"/>
        <w:rPr>
          <w:sz w:val="20"/>
          <w:szCs w:val="20"/>
          <w:color w:val="auto"/>
        </w:rPr>
      </w:pPr>
      <w:r>
        <w:rPr>
          <w:rFonts w:ascii="Arial" w:cs="Arial" w:eastAsia="Arial" w:hAnsi="Arial"/>
          <w:sz w:val="18"/>
          <w:szCs w:val="18"/>
          <w:color w:val="auto"/>
        </w:rPr>
        <w:t>Through our Hawthorne segment, we are a leading manufacturer, marketer and distributor of lighting, nutrients, growing media, growing environments and hardware products for indoor and hydroponic gardening. Our key brands include General Hydroponics</w:t>
      </w:r>
      <w:r>
        <w:rPr>
          <w:rFonts w:ascii="Arial" w:cs="Arial" w:eastAsia="Arial" w:hAnsi="Arial"/>
          <w:sz w:val="23"/>
          <w:szCs w:val="23"/>
          <w:color w:val="auto"/>
          <w:vertAlign w:val="superscript"/>
        </w:rPr>
        <w:t>®</w:t>
      </w:r>
      <w:r>
        <w:rPr>
          <w:rFonts w:ascii="Arial" w:cs="Arial" w:eastAsia="Arial" w:hAnsi="Arial"/>
          <w:sz w:val="18"/>
          <w:szCs w:val="18"/>
          <w:color w:val="auto"/>
        </w:rPr>
        <w:t>, Gavita</w:t>
      </w:r>
      <w:r>
        <w:rPr>
          <w:rFonts w:ascii="Arial" w:cs="Arial" w:eastAsia="Arial" w:hAnsi="Arial"/>
          <w:sz w:val="23"/>
          <w:szCs w:val="23"/>
          <w:color w:val="auto"/>
          <w:vertAlign w:val="superscript"/>
        </w:rPr>
        <w:t>®</w:t>
      </w:r>
      <w:r>
        <w:rPr>
          <w:rFonts w:ascii="Arial" w:cs="Arial" w:eastAsia="Arial" w:hAnsi="Arial"/>
          <w:sz w:val="18"/>
          <w:szCs w:val="18"/>
          <w:color w:val="auto"/>
        </w:rPr>
        <w:t>, Botanicare</w:t>
      </w:r>
      <w:r>
        <w:rPr>
          <w:rFonts w:ascii="Arial" w:cs="Arial" w:eastAsia="Arial" w:hAnsi="Arial"/>
          <w:sz w:val="23"/>
          <w:szCs w:val="23"/>
          <w:color w:val="auto"/>
          <w:vertAlign w:val="superscript"/>
        </w:rPr>
        <w:t>®</w:t>
      </w:r>
      <w:r>
        <w:rPr>
          <w:rFonts w:ascii="Arial" w:cs="Arial" w:eastAsia="Arial" w:hAnsi="Arial"/>
          <w:sz w:val="18"/>
          <w:szCs w:val="18"/>
          <w:color w:val="auto"/>
        </w:rPr>
        <w:t>, Agrolux</w:t>
      </w:r>
      <w:r>
        <w:rPr>
          <w:rFonts w:ascii="Arial" w:cs="Arial" w:eastAsia="Arial" w:hAnsi="Arial"/>
          <w:sz w:val="23"/>
          <w:szCs w:val="23"/>
          <w:color w:val="auto"/>
          <w:vertAlign w:val="superscript"/>
        </w:rPr>
        <w:t>®</w:t>
      </w:r>
      <w:r>
        <w:rPr>
          <w:rFonts w:ascii="Arial" w:cs="Arial" w:eastAsia="Arial" w:hAnsi="Arial"/>
          <w:sz w:val="18"/>
          <w:szCs w:val="18"/>
          <w:color w:val="auto"/>
        </w:rPr>
        <w:t>, Can-Filters</w:t>
      </w:r>
      <w:r>
        <w:rPr>
          <w:rFonts w:ascii="Arial" w:cs="Arial" w:eastAsia="Arial" w:hAnsi="Arial"/>
          <w:sz w:val="23"/>
          <w:szCs w:val="23"/>
          <w:color w:val="auto"/>
          <w:vertAlign w:val="superscript"/>
        </w:rPr>
        <w:t>®</w:t>
      </w:r>
      <w:r>
        <w:rPr>
          <w:rFonts w:ascii="Arial" w:cs="Arial" w:eastAsia="Arial" w:hAnsi="Arial"/>
          <w:sz w:val="18"/>
          <w:szCs w:val="18"/>
          <w:color w:val="auto"/>
        </w:rPr>
        <w:t>, Gro Pro</w:t>
      </w:r>
      <w:r>
        <w:rPr>
          <w:rFonts w:ascii="Arial" w:cs="Arial" w:eastAsia="Arial" w:hAnsi="Arial"/>
          <w:sz w:val="23"/>
          <w:szCs w:val="23"/>
          <w:color w:val="auto"/>
          <w:vertAlign w:val="superscript"/>
        </w:rPr>
        <w:t>®</w:t>
      </w:r>
      <w:r>
        <w:rPr>
          <w:rFonts w:ascii="Arial" w:cs="Arial" w:eastAsia="Arial" w:hAnsi="Arial"/>
          <w:sz w:val="18"/>
          <w:szCs w:val="18"/>
          <w:color w:val="auto"/>
        </w:rPr>
        <w:t>, Mother Earth</w:t>
      </w:r>
      <w:r>
        <w:rPr>
          <w:rFonts w:ascii="Arial" w:cs="Arial" w:eastAsia="Arial" w:hAnsi="Arial"/>
          <w:sz w:val="23"/>
          <w:szCs w:val="23"/>
          <w:color w:val="auto"/>
          <w:vertAlign w:val="superscript"/>
        </w:rPr>
        <w:t>®</w:t>
      </w:r>
      <w:r>
        <w:rPr>
          <w:rFonts w:ascii="Arial" w:cs="Arial" w:eastAsia="Arial" w:hAnsi="Arial"/>
          <w:sz w:val="18"/>
          <w:szCs w:val="18"/>
          <w:color w:val="auto"/>
        </w:rPr>
        <w:t>, Hurricane</w:t>
      </w:r>
      <w:r>
        <w:rPr>
          <w:rFonts w:ascii="Arial" w:cs="Arial" w:eastAsia="Arial" w:hAnsi="Arial"/>
          <w:sz w:val="23"/>
          <w:szCs w:val="23"/>
          <w:color w:val="auto"/>
          <w:vertAlign w:val="superscript"/>
        </w:rPr>
        <w:t>®</w:t>
      </w:r>
      <w:r>
        <w:rPr>
          <w:rFonts w:ascii="Arial" w:cs="Arial" w:eastAsia="Arial" w:hAnsi="Arial"/>
          <w:sz w:val="18"/>
          <w:szCs w:val="18"/>
          <w:color w:val="auto"/>
        </w:rPr>
        <w:t>, Grower’s Edge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HydroLogic</w:t>
      </w:r>
      <w:r>
        <w:rPr>
          <w:rFonts w:ascii="Arial" w:cs="Arial" w:eastAsia="Arial" w:hAnsi="Arial"/>
          <w:sz w:val="23"/>
          <w:szCs w:val="23"/>
          <w:color w:val="auto"/>
          <w:vertAlign w:val="superscript"/>
        </w:rPr>
        <w:t>TM</w:t>
      </w:r>
      <w:r>
        <w:rPr>
          <w:rFonts w:ascii="Arial" w:cs="Arial" w:eastAsia="Arial" w:hAnsi="Arial"/>
          <w:sz w:val="18"/>
          <w:szCs w:val="18"/>
          <w:color w:val="auto"/>
        </w:rPr>
        <w:t>.</w:t>
      </w:r>
    </w:p>
    <w:p>
      <w:pPr>
        <w:spacing w:after="0" w:line="13"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Due to the seasonal nature of the consumer lawn and garden business, for our U.S. Consumer and Other segments, significant portions of our products ship to our retail customers during our second and third fiscal quarters, as noted in the following table. Our annual net sales are further concentrated in the second and third fiscal quarters by retailers who rely on our ability to deliver products closer to when consumers buy our products, thereby reducing retailers’ pre-season inventories. For our Hawthorne segment, sales are also impacted by seasonal patterns for certain product categories due to the timing of outdoor growing in North America during our second and third fiscal quarters, and the timing of certain controlled agricultural lighting project sales during our third and fourth fiscal quarters.</w:t>
      </w:r>
    </w:p>
    <w:p>
      <w:pPr>
        <w:jc w:val="center"/>
        <w:ind w:left="6180"/>
        <w:spacing w:after="0" w:line="237" w:lineRule="auto"/>
        <w:rPr>
          <w:sz w:val="20"/>
          <w:szCs w:val="20"/>
          <w:color w:val="auto"/>
        </w:rPr>
      </w:pPr>
      <w:r>
        <w:rPr>
          <w:rFonts w:ascii="Arial" w:cs="Arial" w:eastAsia="Arial" w:hAnsi="Arial"/>
          <w:sz w:val="14"/>
          <w:szCs w:val="14"/>
          <w:b w:val="1"/>
          <w:bCs w:val="1"/>
          <w:color w:val="auto"/>
        </w:rPr>
        <w:t>Percent of Net Sales from Continuing</w:t>
      </w:r>
    </w:p>
    <w:p>
      <w:pPr>
        <w:spacing w:after="0" w:line="1" w:lineRule="exact"/>
        <w:rPr>
          <w:sz w:val="20"/>
          <w:szCs w:val="20"/>
          <w:color w:val="auto"/>
        </w:rPr>
      </w:pPr>
    </w:p>
    <w:p>
      <w:pPr>
        <w:jc w:val="center"/>
        <w:ind w:left="6220"/>
        <w:spacing w:after="0"/>
        <w:rPr>
          <w:sz w:val="20"/>
          <w:szCs w:val="20"/>
          <w:color w:val="auto"/>
        </w:rPr>
      </w:pPr>
      <w:r>
        <w:rPr>
          <w:rFonts w:ascii="Arial" w:cs="Arial" w:eastAsia="Arial" w:hAnsi="Arial"/>
          <w:sz w:val="14"/>
          <w:szCs w:val="14"/>
          <w:b w:val="1"/>
          <w:bCs w:val="1"/>
          <w:color w:val="auto"/>
        </w:rPr>
        <w:t>Operations by Quarter</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4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2020</w:t>
            </w:r>
          </w:p>
        </w:tc>
      </w:tr>
      <w:tr>
        <w:trPr>
          <w:trHeight w:val="229"/>
        </w:trPr>
        <w:tc>
          <w:tcPr>
            <w:tcW w:w="6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Quarter</w:t>
            </w:r>
          </w:p>
        </w:tc>
        <w:tc>
          <w:tcPr>
            <w:tcW w:w="10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Second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42.8 %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37.1 %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33.5 %</w:t>
            </w:r>
          </w:p>
        </w:tc>
      </w:tr>
      <w:tr>
        <w:trPr>
          <w:trHeight w:val="23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Third Quarter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36.1 %</w:t>
            </w:r>
          </w:p>
        </w:tc>
      </w:tr>
      <w:tr>
        <w:trPr>
          <w:trHeight w:val="230"/>
        </w:trPr>
        <w:tc>
          <w:tcPr>
            <w:tcW w:w="7240" w:type="dxa"/>
            <w:vAlign w:val="bottom"/>
            <w:gridSpan w:val="2"/>
          </w:tcPr>
          <w:p>
            <w:pPr>
              <w:ind w:left="20"/>
              <w:spacing w:after="0"/>
              <w:rPr>
                <w:sz w:val="20"/>
                <w:szCs w:val="20"/>
                <w:color w:val="auto"/>
              </w:rPr>
            </w:pPr>
            <w:r>
              <w:rPr>
                <w:rFonts w:ascii="Arial" w:cs="Arial" w:eastAsia="Arial" w:hAnsi="Arial"/>
                <w:sz w:val="18"/>
                <w:szCs w:val="18"/>
                <w:color w:val="auto"/>
              </w:rPr>
              <w:t>Fourth Quarter</w:t>
            </w:r>
          </w:p>
        </w:tc>
        <w:tc>
          <w:tcPr>
            <w:tcW w:w="600" w:type="dxa"/>
            <w:vAlign w:val="bottom"/>
          </w:tcPr>
          <w:p>
            <w:pPr>
              <w:jc w:val="right"/>
              <w:spacing w:after="0"/>
              <w:rPr>
                <w:sz w:val="20"/>
                <w:szCs w:val="20"/>
                <w:color w:val="auto"/>
              </w:rPr>
            </w:pPr>
            <w:r>
              <w:rPr>
                <w:rFonts w:ascii="Arial" w:cs="Arial" w:eastAsia="Arial" w:hAnsi="Arial"/>
                <w:sz w:val="18"/>
                <w:szCs w:val="18"/>
                <w:color w:val="auto"/>
                <w:w w:val="99"/>
              </w:rPr>
              <w:t>12.6 %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15.0 %</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21.5 %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6" w:name="page27"/>
    <w:bookmarkEnd w:id="2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Events</w:t>
      </w:r>
    </w:p>
    <w:p>
      <w:pPr>
        <w:spacing w:after="0" w:line="90"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During fiscal 2022, we began implementing a series of Company-wide organizational changes and initiatives intended to create operational and management-level efficiencies. As part of this restructuring initiative, we are reducing the size of our supply chain network, reducing staffing levels and implementing other cost-reduction initiatives. These activities are expected to deliver $185.0 of annualized savings in fiscal 2023 with line of sight to additional savings through fiscal 2024. Costs incurred from the inception of this restructuring initiative through December 31, 2022 were $79.8, primarily related to employee termination benefits, facility closure costs and impairment of property, plant and equipment.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the components of earnings as a percentage of net sales for the three months ended December 31, 2022 and January 1, 2022:</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4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January 1,</w:t>
            </w:r>
          </w:p>
        </w:tc>
        <w:tc>
          <w:tcPr>
            <w:tcW w:w="1380" w:type="dxa"/>
            <w:vAlign w:val="bottom"/>
          </w:tcPr>
          <w:p>
            <w:pPr>
              <w:jc w:val="right"/>
              <w:ind w:right="452"/>
              <w:spacing w:after="0"/>
              <w:rPr>
                <w:sz w:val="20"/>
                <w:szCs w:val="20"/>
                <w:color w:val="auto"/>
              </w:rPr>
            </w:pPr>
            <w:r>
              <w:rPr>
                <w:rFonts w:ascii="Arial" w:cs="Arial" w:eastAsia="Arial" w:hAnsi="Arial"/>
                <w:sz w:val="14"/>
                <w:szCs w:val="14"/>
                <w:b w:val="1"/>
                <w:bCs w:val="1"/>
                <w:color w:val="auto"/>
              </w:rPr>
              <w:t>% of</w:t>
            </w:r>
          </w:p>
        </w:tc>
      </w:tr>
      <w:tr>
        <w:trPr>
          <w:trHeight w:val="196"/>
        </w:trPr>
        <w:tc>
          <w:tcPr>
            <w:tcW w:w="5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ind w:right="37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Net Sales</w:t>
            </w:r>
          </w:p>
        </w:tc>
        <w:tc>
          <w:tcPr>
            <w:tcW w:w="200" w:type="dxa"/>
            <w:vAlign w:val="bottom"/>
          </w:tcPr>
          <w:p>
            <w:pPr>
              <w:spacing w:after="0"/>
              <w:rPr>
                <w:sz w:val="17"/>
                <w:szCs w:val="17"/>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380" w:type="dxa"/>
            <w:vAlign w:val="bottom"/>
          </w:tcPr>
          <w:p>
            <w:pPr>
              <w:jc w:val="right"/>
              <w:ind w:right="312"/>
              <w:spacing w:after="0"/>
              <w:rPr>
                <w:sz w:val="20"/>
                <w:szCs w:val="20"/>
                <w:color w:val="auto"/>
              </w:rPr>
            </w:pPr>
            <w:r>
              <w:rPr>
                <w:rFonts w:ascii="Arial" w:cs="Arial" w:eastAsia="Arial" w:hAnsi="Arial"/>
                <w:sz w:val="14"/>
                <w:szCs w:val="14"/>
                <w:b w:val="1"/>
                <w:bCs w:val="1"/>
                <w:color w:val="auto"/>
              </w:rPr>
              <w:t>Net Sales</w:t>
            </w:r>
          </w:p>
        </w:tc>
      </w:tr>
      <w:tr>
        <w:trPr>
          <w:trHeight w:val="229"/>
        </w:trPr>
        <w:tc>
          <w:tcPr>
            <w:tcW w:w="5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420.6</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79.0</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1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36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Pr>
          <w:p>
            <w:pPr>
              <w:spacing w:after="0"/>
              <w:rPr>
                <w:sz w:val="19"/>
                <w:szCs w:val="19"/>
                <w:color w:val="auto"/>
              </w:rPr>
            </w:pPr>
          </w:p>
        </w:tc>
        <w:tc>
          <w:tcPr>
            <w:tcW w:w="13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21.0</w:t>
            </w: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572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27.2</w:t>
            </w:r>
          </w:p>
        </w:tc>
      </w:tr>
      <w:tr>
        <w:trPr>
          <w:trHeight w:val="229"/>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Impairment, restructuring and other</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w:t>
            </w:r>
          </w:p>
        </w:tc>
      </w:tr>
      <w:tr>
        <w:trPr>
          <w:trHeight w:val="230"/>
        </w:trPr>
        <w:tc>
          <w:tcPr>
            <w:tcW w:w="5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(income) expense,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from operations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(6.3)</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Equity in (income) loss of unconsolidated affiliates</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9"/>
                <w:szCs w:val="19"/>
                <w:color w:val="auto"/>
              </w:rPr>
            </w:pP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1.3</w:t>
            </w:r>
          </w:p>
        </w:tc>
      </w:tr>
      <w:tr>
        <w:trPr>
          <w:trHeight w:val="229"/>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4.2</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expense, net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(0.3)</w:t>
            </w:r>
          </w:p>
        </w:tc>
      </w:tr>
      <w:tr>
        <w:trPr>
          <w:trHeight w:val="223"/>
        </w:trPr>
        <w:tc>
          <w:tcPr>
            <w:tcW w:w="5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(loss) before income taxes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(11.4)</w:t>
            </w:r>
          </w:p>
        </w:tc>
      </w:tr>
      <w:tr>
        <w:trPr>
          <w:trHeight w:val="230"/>
        </w:trPr>
        <w:tc>
          <w:tcPr>
            <w:tcW w:w="5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2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(2.6)</w:t>
            </w:r>
          </w:p>
        </w:tc>
      </w:tr>
      <w:tr>
        <w:trPr>
          <w:trHeight w:val="248"/>
        </w:trPr>
        <w:tc>
          <w:tcPr>
            <w:tcW w:w="5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The sum of the components may not equal due to rounding.</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Net sales for the three months ended December 31, 2022 were $526.6, a decrease of 7.0% from net sales of $566.0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January 1, 2022. Factors contributing to the change in net sales are outlined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440" w:type="dxa"/>
            <w:vAlign w:val="bottom"/>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5080" w:type="dxa"/>
            <w:vAlign w:val="bottom"/>
          </w:tcPr>
          <w:p>
            <w:pPr>
              <w:spacing w:after="0"/>
              <w:rPr>
                <w:sz w:val="17"/>
                <w:szCs w:val="17"/>
                <w:color w:val="auto"/>
              </w:rPr>
            </w:pPr>
          </w:p>
        </w:tc>
        <w:tc>
          <w:tcPr>
            <w:tcW w:w="2440" w:type="dxa"/>
            <w:vAlign w:val="bottom"/>
          </w:tcPr>
          <w:p>
            <w:pPr>
              <w:jc w:val="right"/>
              <w:ind w:right="559"/>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3720" w:type="dxa"/>
            <w:vAlign w:val="bottom"/>
            <w:tcBorders>
              <w:bottom w:val="single" w:sz="8" w:color="CCEEFF"/>
            </w:tcBorders>
          </w:tcPr>
          <w:p>
            <w:pPr>
              <w:spacing w:after="0"/>
              <w:rPr>
                <w:sz w:val="2"/>
                <w:szCs w:val="2"/>
                <w:color w:val="auto"/>
              </w:rPr>
            </w:pPr>
          </w:p>
        </w:tc>
        <w:tc>
          <w:tcPr>
            <w:tcW w:w="508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and mix</w:t>
            </w:r>
          </w:p>
        </w:tc>
        <w:tc>
          <w:tcPr>
            <w:tcW w:w="5080" w:type="dxa"/>
            <w:vAlign w:val="bottom"/>
            <w:shd w:val="clear" w:color="auto" w:fill="CCEEFF"/>
          </w:tcPr>
          <w:p>
            <w:pPr>
              <w:spacing w:after="0"/>
              <w:rPr>
                <w:sz w:val="19"/>
                <w:szCs w:val="19"/>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9"/>
        </w:trPr>
        <w:tc>
          <w:tcPr>
            <w:tcW w:w="3720" w:type="dxa"/>
            <w:vAlign w:val="bottom"/>
          </w:tcPr>
          <w:p>
            <w:pPr>
              <w:ind w:left="20"/>
              <w:spacing w:after="0"/>
              <w:rPr>
                <w:sz w:val="20"/>
                <w:szCs w:val="20"/>
                <w:color w:val="auto"/>
              </w:rPr>
            </w:pPr>
            <w:r>
              <w:rPr>
                <w:rFonts w:ascii="Arial" w:cs="Arial" w:eastAsia="Arial" w:hAnsi="Arial"/>
                <w:sz w:val="18"/>
                <w:szCs w:val="18"/>
                <w:color w:val="auto"/>
              </w:rPr>
              <w:t>Foreign exchange rates</w:t>
            </w:r>
          </w:p>
        </w:tc>
        <w:tc>
          <w:tcPr>
            <w:tcW w:w="7520" w:type="dxa"/>
            <w:vAlign w:val="bottom"/>
            <w:gridSpan w:val="2"/>
          </w:tcPr>
          <w:p>
            <w:pPr>
              <w:jc w:val="right"/>
              <w:ind w:right="99"/>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7520" w:type="dxa"/>
            <w:vAlign w:val="bottom"/>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720" w:type="dxa"/>
            <w:vAlign w:val="bottom"/>
          </w:tcPr>
          <w:p>
            <w:pPr>
              <w:ind w:left="20"/>
              <w:spacing w:after="0"/>
              <w:rPr>
                <w:sz w:val="20"/>
                <w:szCs w:val="20"/>
                <w:color w:val="auto"/>
              </w:rPr>
            </w:pPr>
            <w:r>
              <w:rPr>
                <w:rFonts w:ascii="Arial" w:cs="Arial" w:eastAsia="Arial" w:hAnsi="Arial"/>
                <w:sz w:val="18"/>
                <w:szCs w:val="18"/>
                <w:color w:val="auto"/>
              </w:rPr>
              <w:t>Acquisitions</w:t>
            </w:r>
          </w:p>
        </w:tc>
        <w:tc>
          <w:tcPr>
            <w:tcW w:w="7520" w:type="dxa"/>
            <w:vAlign w:val="bottom"/>
            <w:gridSpan w:val="2"/>
          </w:tcPr>
          <w:p>
            <w:pPr>
              <w:jc w:val="right"/>
              <w:ind w:right="139"/>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net sales</w:t>
            </w:r>
          </w:p>
        </w:tc>
        <w:tc>
          <w:tcPr>
            <w:tcW w:w="5080" w:type="dxa"/>
            <w:vAlign w:val="bottom"/>
            <w:tcBorders>
              <w:top w:val="single" w:sz="8" w:color="CCEEFF"/>
              <w:bottom w:val="single" w:sz="8" w:color="CCEEFF"/>
            </w:tcBorders>
            <w:shd w:val="clear" w:color="auto" w:fill="CCEEFF"/>
          </w:tcPr>
          <w:p>
            <w:pPr>
              <w:spacing w:after="0"/>
              <w:rPr>
                <w:sz w:val="21"/>
                <w:szCs w:val="21"/>
                <w:color w:val="auto"/>
              </w:rPr>
            </w:pPr>
          </w:p>
        </w:tc>
        <w:tc>
          <w:tcPr>
            <w:tcW w:w="2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5080" w:type="dxa"/>
            <w:vAlign w:val="bottom"/>
            <w:tcBorders>
              <w:top w:val="single" w:sz="8" w:color="CCEEFF"/>
              <w:bottom w:val="single" w:sz="8" w:color="CCEEFF"/>
            </w:tcBorders>
            <w:vMerge w:val="restart"/>
          </w:tcPr>
          <w:p>
            <w:pPr>
              <w:jc w:val="right"/>
              <w:ind w:right="2770"/>
              <w:spacing w:after="0"/>
              <w:rPr>
                <w:sz w:val="20"/>
                <w:szCs w:val="20"/>
                <w:color w:val="auto"/>
              </w:rPr>
            </w:pPr>
            <w:r>
              <w:rPr>
                <w:rFonts w:ascii="Arial" w:cs="Arial" w:eastAsia="Arial" w:hAnsi="Arial"/>
                <w:sz w:val="18"/>
                <w:szCs w:val="18"/>
                <w:color w:val="auto"/>
              </w:rPr>
              <w:t>27</w:t>
            </w:r>
          </w:p>
        </w:tc>
        <w:tc>
          <w:tcPr>
            <w:tcW w:w="2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3720" w:type="dxa"/>
            <w:vAlign w:val="bottom"/>
          </w:tcPr>
          <w:p>
            <w:pPr>
              <w:spacing w:after="0"/>
              <w:rPr>
                <w:sz w:val="24"/>
                <w:szCs w:val="24"/>
                <w:color w:val="auto"/>
              </w:rPr>
            </w:pPr>
          </w:p>
        </w:tc>
        <w:tc>
          <w:tcPr>
            <w:tcW w:w="5080" w:type="dxa"/>
            <w:vAlign w:val="bottom"/>
            <w:vMerge w:val="continue"/>
          </w:tcPr>
          <w:p>
            <w:pPr>
              <w:spacing w:after="0"/>
              <w:rPr>
                <w:sz w:val="24"/>
                <w:szCs w:val="24"/>
                <w:color w:val="auto"/>
              </w:rPr>
            </w:pP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5080" w:type="dxa"/>
            <w:vAlign w:val="bottom"/>
            <w:tcBorders>
              <w:bottom w:val="single" w:sz="8" w:color="9A9A9A"/>
            </w:tcBorders>
          </w:tcPr>
          <w:p>
            <w:pPr>
              <w:spacing w:after="0"/>
              <w:rPr>
                <w:sz w:val="10"/>
                <w:szCs w:val="10"/>
                <w:color w:val="auto"/>
              </w:rPr>
            </w:pPr>
          </w:p>
        </w:tc>
        <w:tc>
          <w:tcPr>
            <w:tcW w:w="24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7" w:name="page28"/>
    <w:bookmarkEnd w:id="2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decrease in net sales for the three months ended December 31, 2022 as compared to the three months ended January 1, 2022 was primarily driven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103" w:lineRule="exact"/>
        <w:rPr>
          <w:sz w:val="20"/>
          <w:szCs w:val="20"/>
          <w:color w:val="auto"/>
        </w:rPr>
      </w:pPr>
    </w:p>
    <w:p>
      <w:pPr>
        <w:ind w:left="980" w:hanging="324"/>
        <w:spacing w:after="0" w:line="277" w:lineRule="auto"/>
        <w:tabs>
          <w:tab w:leader="none" w:pos="976" w:val="left"/>
        </w:tabs>
        <w:numPr>
          <w:ilvl w:val="0"/>
          <w:numId w:val="8"/>
        </w:numPr>
        <w:rPr>
          <w:rFonts w:ascii="Arial" w:cs="Arial" w:eastAsia="Arial" w:hAnsi="Arial"/>
          <w:sz w:val="14"/>
          <w:szCs w:val="14"/>
          <w:color w:val="333333"/>
        </w:rPr>
      </w:pPr>
      <w:r>
        <w:rPr>
          <w:rFonts w:ascii="Arial" w:cs="Arial" w:eastAsia="Arial" w:hAnsi="Arial"/>
          <w:sz w:val="18"/>
          <w:szCs w:val="18"/>
          <w:color w:val="auto"/>
        </w:rPr>
        <w:t>decreased sales volume driven by hardware, lighting, nutrients, growing media and growing environments products in our Hawthorne segment; and lawn care and plant food products in our U.S. Consumer segment; and</w:t>
      </w:r>
    </w:p>
    <w:p>
      <w:pPr>
        <w:spacing w:after="0" w:line="62" w:lineRule="exact"/>
        <w:rPr>
          <w:rFonts w:ascii="Arial" w:cs="Arial" w:eastAsia="Arial" w:hAnsi="Arial"/>
          <w:sz w:val="14"/>
          <w:szCs w:val="14"/>
          <w:color w:val="333333"/>
        </w:rPr>
      </w:pPr>
    </w:p>
    <w:p>
      <w:pPr>
        <w:ind w:left="980" w:hanging="324"/>
        <w:spacing w:after="0" w:line="277" w:lineRule="auto"/>
        <w:tabs>
          <w:tab w:leader="none" w:pos="97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unfavorable impact of foreign exchange rates as a result of the strengthening of the U.S. dollar relative to the euro and the Canadian dollar;</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partially offset by increased pricing in our U.S. Consumer, Hawthorne and Other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addition of net sales from acquisitions in our Hawthorne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shows the major components of cost of sales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00" w:type="dxa"/>
            <w:vAlign w:val="bottom"/>
            <w:gridSpan w:val="4"/>
          </w:tcPr>
          <w:p>
            <w:pPr>
              <w:jc w:val="right"/>
              <w:ind w:right="63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3"/>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100" w:type="dxa"/>
            <w:vAlign w:val="bottom"/>
          </w:tcPr>
          <w:p>
            <w:pPr>
              <w:jc w:val="right"/>
              <w:ind w:right="252"/>
              <w:spacing w:after="0" w:line="133"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2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235.9</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Distribution and warehousing</w:t>
            </w:r>
          </w:p>
        </w:tc>
        <w:tc>
          <w:tcPr>
            <w:tcW w:w="1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115.1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Manufacturing labor and overhead</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430.9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447.3</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420"/>
              <w:spacing w:after="0"/>
              <w:rPr>
                <w:sz w:val="20"/>
                <w:szCs w:val="20"/>
                <w:color w:val="auto"/>
              </w:rPr>
            </w:pPr>
            <w:r>
              <w:rPr>
                <w:rFonts w:ascii="Arial" w:cs="Arial" w:eastAsia="Arial" w:hAnsi="Arial"/>
                <w:sz w:val="18"/>
                <w:szCs w:val="18"/>
                <w:color w:val="auto"/>
              </w:rPr>
              <w:t>Factors contributing to the change in cost of sales are outlined in the following table: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00" w:type="dxa"/>
            <w:vAlign w:val="bottom"/>
            <w:gridSpan w:val="4"/>
          </w:tcPr>
          <w:p>
            <w:pPr>
              <w:jc w:val="right"/>
              <w:ind w:right="41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03"/>
        </w:trPr>
        <w:tc>
          <w:tcPr>
            <w:tcW w:w="8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00" w:type="dxa"/>
            <w:vAlign w:val="bottom"/>
            <w:gridSpan w:val="4"/>
          </w:tcPr>
          <w:p>
            <w:pPr>
              <w:jc w:val="right"/>
              <w:ind w:right="492"/>
              <w:spacing w:after="0"/>
              <w:rPr>
                <w:sz w:val="20"/>
                <w:szCs w:val="20"/>
                <w:color w:val="auto"/>
              </w:rPr>
            </w:pPr>
            <w:r>
              <w:rPr>
                <w:rFonts w:ascii="Arial" w:cs="Arial" w:eastAsia="Arial" w:hAnsi="Arial"/>
                <w:sz w:val="14"/>
                <w:szCs w:val="14"/>
                <w:b w:val="1"/>
                <w:bCs w:val="1"/>
                <w:color w:val="auto"/>
              </w:rPr>
              <w:t>December 31, 2022</w:t>
            </w:r>
          </w:p>
        </w:tc>
        <w:tc>
          <w:tcPr>
            <w:tcW w:w="0" w:type="dxa"/>
            <w:vAlign w:val="bottom"/>
          </w:tcPr>
          <w:p>
            <w:pPr>
              <w:spacing w:after="0"/>
              <w:rPr>
                <w:sz w:val="1"/>
                <w:szCs w:val="1"/>
                <w:color w:val="auto"/>
              </w:rPr>
            </w:pPr>
          </w:p>
        </w:tc>
      </w:tr>
      <w:tr>
        <w:trPr>
          <w:trHeight w:val="25"/>
        </w:trPr>
        <w:tc>
          <w:tcPr>
            <w:tcW w:w="84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mix and other</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Foreign exchange rates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Costs associated with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Material cost changes</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cost of sales</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81"/>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cost of sales for the three months ended December 31, 2022 as compared to the three months ended January 1, 2022 was primarily driven by:</w:t>
      </w:r>
    </w:p>
    <w:p>
      <w:pPr>
        <w:spacing w:after="0" w:line="62"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lower sales volume and mix in our U.S. Consumer and Hawthorne segments;</w:t>
      </w:r>
    </w:p>
    <w:p>
      <w:pPr>
        <w:spacing w:after="0" w:line="117" w:lineRule="exact"/>
        <w:rPr>
          <w:rFonts w:ascii="Arial" w:cs="Arial" w:eastAsia="Arial" w:hAnsi="Arial"/>
          <w:sz w:val="18"/>
          <w:szCs w:val="18"/>
          <w:color w:val="auto"/>
        </w:rPr>
      </w:pPr>
    </w:p>
    <w:p>
      <w:pPr>
        <w:ind w:left="980" w:right="20" w:hanging="324"/>
        <w:spacing w:after="0" w:line="277" w:lineRule="auto"/>
        <w:tabs>
          <w:tab w:leader="none" w:pos="97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favorable impact of foreign exchange rates as a result of the strengthening of the U.S. dollar relative to the euro and the Canadian dollar; and</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decrease in costs associated with the 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marketing agreement;</w:t>
      </w:r>
    </w:p>
    <w:p>
      <w:pPr>
        <w:spacing w:after="0" w:line="59"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partially offset by higher material costs in our U.S. Consumer and Hawthorne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8" w:name="page29"/>
    <w:bookmarkEnd w:id="28"/>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158"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As a percentage of net sales, our gross margin rate was 18.2% and 21.0% for the three months ended December 31, 2022 and January 1, 2022, respectively. Factors contributing to the change in gross margin rate are outlined in the following table: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800" w:type="dxa"/>
            <w:vAlign w:val="bottom"/>
          </w:tcPr>
          <w:p>
            <w:pPr>
              <w:spacing w:after="0"/>
              <w:rPr>
                <w:sz w:val="16"/>
                <w:szCs w:val="16"/>
                <w:color w:val="auto"/>
              </w:rPr>
            </w:pPr>
          </w:p>
        </w:tc>
        <w:tc>
          <w:tcPr>
            <w:tcW w:w="2440" w:type="dxa"/>
            <w:vAlign w:val="bottom"/>
          </w:tcPr>
          <w:p>
            <w:pPr>
              <w:ind w:left="580"/>
              <w:spacing w:after="0"/>
              <w:rPr>
                <w:sz w:val="20"/>
                <w:szCs w:val="20"/>
                <w:color w:val="auto"/>
              </w:rPr>
            </w:pPr>
            <w:r>
              <w:rPr>
                <w:rFonts w:ascii="Arial" w:cs="Arial" w:eastAsia="Arial" w:hAnsi="Arial"/>
                <w:sz w:val="14"/>
                <w:szCs w:val="14"/>
                <w:b w:val="1"/>
                <w:bCs w:val="1"/>
                <w:color w:val="auto"/>
              </w:rPr>
              <w:t>Three Months Ended</w:t>
            </w:r>
          </w:p>
        </w:tc>
      </w:tr>
      <w:tr>
        <w:trPr>
          <w:trHeight w:val="203"/>
        </w:trPr>
        <w:tc>
          <w:tcPr>
            <w:tcW w:w="8800" w:type="dxa"/>
            <w:vAlign w:val="bottom"/>
          </w:tcPr>
          <w:p>
            <w:pPr>
              <w:spacing w:after="0"/>
              <w:rPr>
                <w:sz w:val="17"/>
                <w:szCs w:val="17"/>
                <w:color w:val="auto"/>
              </w:rPr>
            </w:pPr>
          </w:p>
        </w:tc>
        <w:tc>
          <w:tcPr>
            <w:tcW w:w="2440" w:type="dxa"/>
            <w:vAlign w:val="bottom"/>
          </w:tcPr>
          <w:p>
            <w:pPr>
              <w:ind w:left="640"/>
              <w:spacing w:after="0"/>
              <w:rPr>
                <w:sz w:val="20"/>
                <w:szCs w:val="20"/>
                <w:color w:val="auto"/>
              </w:rPr>
            </w:pPr>
            <w:r>
              <w:rPr>
                <w:rFonts w:ascii="Arial" w:cs="Arial" w:eastAsia="Arial" w:hAnsi="Arial"/>
                <w:sz w:val="14"/>
                <w:szCs w:val="14"/>
                <w:b w:val="1"/>
                <w:bCs w:val="1"/>
                <w:color w:val="auto"/>
              </w:rPr>
              <w:t>December 31, 2022</w:t>
            </w:r>
          </w:p>
        </w:tc>
      </w:tr>
      <w:tr>
        <w:trPr>
          <w:trHeight w:val="26"/>
        </w:trPr>
        <w:tc>
          <w:tcPr>
            <w:tcW w:w="8800" w:type="dxa"/>
            <w:vAlign w:val="bottom"/>
            <w:tcBorders>
              <w:bottom w:val="single" w:sz="8" w:color="CCEEFF"/>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r>
      <w:tr>
        <w:trPr>
          <w:trHeight w:val="223"/>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 mix and other</w:t>
            </w:r>
          </w:p>
        </w:tc>
        <w:tc>
          <w:tcPr>
            <w:tcW w:w="2440" w:type="dxa"/>
            <w:vAlign w:val="bottom"/>
            <w:shd w:val="clear" w:color="auto" w:fill="CCEEFF"/>
          </w:tcPr>
          <w:p>
            <w:pPr>
              <w:ind w:left="1920"/>
              <w:spacing w:after="0"/>
              <w:rPr>
                <w:sz w:val="20"/>
                <w:szCs w:val="20"/>
                <w:color w:val="auto"/>
              </w:rPr>
            </w:pPr>
            <w:r>
              <w:rPr>
                <w:rFonts w:ascii="Arial" w:cs="Arial" w:eastAsia="Arial" w:hAnsi="Arial"/>
                <w:sz w:val="18"/>
                <w:szCs w:val="18"/>
                <w:color w:val="auto"/>
                <w:w w:val="94"/>
              </w:rPr>
              <w:t>(7.1)%</w:t>
            </w:r>
          </w:p>
        </w:tc>
      </w:tr>
      <w:tr>
        <w:trPr>
          <w:trHeight w:val="229"/>
        </w:trPr>
        <w:tc>
          <w:tcPr>
            <w:tcW w:w="8800" w:type="dxa"/>
            <w:vAlign w:val="bottom"/>
          </w:tcPr>
          <w:p>
            <w:pPr>
              <w:ind w:left="20"/>
              <w:spacing w:after="0"/>
              <w:rPr>
                <w:sz w:val="20"/>
                <w:szCs w:val="20"/>
                <w:color w:val="auto"/>
              </w:rPr>
            </w:pPr>
            <w:r>
              <w:rPr>
                <w:rFonts w:ascii="Arial" w:cs="Arial" w:eastAsia="Arial" w:hAnsi="Arial"/>
                <w:sz w:val="18"/>
                <w:szCs w:val="18"/>
                <w:color w:val="auto"/>
              </w:rPr>
              <w:t>Material costs</w:t>
            </w:r>
          </w:p>
        </w:tc>
        <w:tc>
          <w:tcPr>
            <w:tcW w:w="2440" w:type="dxa"/>
            <w:vAlign w:val="bottom"/>
          </w:tcPr>
          <w:p>
            <w:pPr>
              <w:ind w:left="1920"/>
              <w:spacing w:after="0"/>
              <w:rPr>
                <w:sz w:val="20"/>
                <w:szCs w:val="20"/>
                <w:color w:val="auto"/>
              </w:rPr>
            </w:pPr>
            <w:r>
              <w:rPr>
                <w:rFonts w:ascii="Arial" w:cs="Arial" w:eastAsia="Arial" w:hAnsi="Arial"/>
                <w:sz w:val="18"/>
                <w:szCs w:val="18"/>
                <w:color w:val="auto"/>
              </w:rPr>
              <w:t>(4.2)</w:t>
            </w:r>
          </w:p>
        </w:tc>
      </w:tr>
      <w:tr>
        <w:trPr>
          <w:trHeight w:val="230"/>
        </w:trPr>
        <w:tc>
          <w:tcPr>
            <w:tcW w:w="8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Pricing</w:t>
            </w:r>
          </w:p>
        </w:tc>
        <w:tc>
          <w:tcPr>
            <w:tcW w:w="2440" w:type="dxa"/>
            <w:vAlign w:val="bottom"/>
            <w:shd w:val="clear" w:color="auto" w:fill="CCEEFF"/>
          </w:tcPr>
          <w:p>
            <w:pPr>
              <w:ind w:left="2000"/>
              <w:spacing w:after="0"/>
              <w:rPr>
                <w:sz w:val="20"/>
                <w:szCs w:val="20"/>
                <w:color w:val="auto"/>
              </w:rPr>
            </w:pPr>
            <w:r>
              <w:rPr>
                <w:rFonts w:ascii="Arial" w:cs="Arial" w:eastAsia="Arial" w:hAnsi="Arial"/>
                <w:sz w:val="18"/>
                <w:szCs w:val="18"/>
                <w:color w:val="auto"/>
              </w:rPr>
              <w:t>9.8</w:t>
            </w:r>
          </w:p>
        </w:tc>
      </w:tr>
      <w:tr>
        <w:trPr>
          <w:trHeight w:val="229"/>
        </w:trPr>
        <w:tc>
          <w:tcPr>
            <w:tcW w:w="88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Roundup</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commissions and reimbursements</w:t>
            </w:r>
          </w:p>
        </w:tc>
        <w:tc>
          <w:tcPr>
            <w:tcW w:w="2440" w:type="dxa"/>
            <w:vAlign w:val="bottom"/>
            <w:tcBorders>
              <w:bottom w:val="single" w:sz="8" w:color="auto"/>
            </w:tcBorders>
          </w:tcPr>
          <w:p>
            <w:pPr>
              <w:ind w:left="2000"/>
              <w:spacing w:after="0"/>
              <w:rPr>
                <w:sz w:val="20"/>
                <w:szCs w:val="20"/>
                <w:color w:val="auto"/>
              </w:rPr>
            </w:pPr>
            <w:r>
              <w:rPr>
                <w:rFonts w:ascii="Arial" w:cs="Arial" w:eastAsia="Arial" w:hAnsi="Arial"/>
                <w:sz w:val="18"/>
                <w:szCs w:val="18"/>
                <w:color w:val="auto"/>
              </w:rPr>
              <w:t>0.6</w:t>
            </w:r>
          </w:p>
        </w:tc>
      </w:tr>
      <w:tr>
        <w:trPr>
          <w:trHeight w:val="223"/>
        </w:trPr>
        <w:tc>
          <w:tcPr>
            <w:tcW w:w="8800" w:type="dxa"/>
            <w:vAlign w:val="bottom"/>
            <w:shd w:val="clear" w:color="auto" w:fill="CCEEFF"/>
          </w:tcPr>
          <w:p>
            <w:pPr>
              <w:spacing w:after="0"/>
              <w:rPr>
                <w:sz w:val="19"/>
                <w:szCs w:val="19"/>
                <w:color w:val="auto"/>
              </w:rPr>
            </w:pPr>
          </w:p>
        </w:tc>
        <w:tc>
          <w:tcPr>
            <w:tcW w:w="2440" w:type="dxa"/>
            <w:vAlign w:val="bottom"/>
            <w:shd w:val="clear" w:color="auto" w:fill="CCEEFF"/>
          </w:tcPr>
          <w:p>
            <w:pPr>
              <w:ind w:left="1920"/>
              <w:spacing w:after="0"/>
              <w:rPr>
                <w:sz w:val="20"/>
                <w:szCs w:val="20"/>
                <w:color w:val="auto"/>
              </w:rPr>
            </w:pPr>
            <w:r>
              <w:rPr>
                <w:rFonts w:ascii="Arial" w:cs="Arial" w:eastAsia="Arial" w:hAnsi="Arial"/>
                <w:sz w:val="18"/>
                <w:szCs w:val="18"/>
                <w:color w:val="auto"/>
                <w:w w:val="94"/>
              </w:rPr>
              <w:t>(0.9)%</w:t>
            </w:r>
          </w:p>
        </w:tc>
      </w:tr>
      <w:tr>
        <w:trPr>
          <w:trHeight w:val="229"/>
        </w:trPr>
        <w:tc>
          <w:tcPr>
            <w:tcW w:w="8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Impairment, restructuring and other</w:t>
            </w:r>
          </w:p>
        </w:tc>
        <w:tc>
          <w:tcPr>
            <w:tcW w:w="2440" w:type="dxa"/>
            <w:vAlign w:val="bottom"/>
            <w:tcBorders>
              <w:bottom w:val="single" w:sz="8" w:color="auto"/>
            </w:tcBorders>
          </w:tcPr>
          <w:p>
            <w:pPr>
              <w:ind w:left="1920"/>
              <w:spacing w:after="0"/>
              <w:rPr>
                <w:sz w:val="20"/>
                <w:szCs w:val="20"/>
                <w:color w:val="auto"/>
              </w:rPr>
            </w:pPr>
            <w:r>
              <w:rPr>
                <w:rFonts w:ascii="Arial" w:cs="Arial" w:eastAsia="Arial" w:hAnsi="Arial"/>
                <w:sz w:val="18"/>
                <w:szCs w:val="18"/>
                <w:color w:val="auto"/>
              </w:rPr>
              <w:t>(1.9)</w:t>
            </w:r>
          </w:p>
        </w:tc>
      </w:tr>
      <w:tr>
        <w:trPr>
          <w:trHeight w:val="248"/>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gross margin rate</w:t>
            </w:r>
          </w:p>
        </w:tc>
        <w:tc>
          <w:tcPr>
            <w:tcW w:w="2440" w:type="dxa"/>
            <w:vAlign w:val="bottom"/>
            <w:tcBorders>
              <w:bottom w:val="single" w:sz="8" w:color="auto"/>
            </w:tcBorders>
            <w:shd w:val="clear" w:color="auto" w:fill="CCEEFF"/>
          </w:tcPr>
          <w:p>
            <w:pPr>
              <w:ind w:left="1920"/>
              <w:spacing w:after="0"/>
              <w:rPr>
                <w:sz w:val="20"/>
                <w:szCs w:val="20"/>
                <w:color w:val="auto"/>
              </w:rPr>
            </w:pPr>
            <w:r>
              <w:rPr>
                <w:rFonts w:ascii="Arial" w:cs="Arial" w:eastAsia="Arial" w:hAnsi="Arial"/>
                <w:sz w:val="18"/>
                <w:szCs w:val="18"/>
                <w:color w:val="auto"/>
                <w:w w:val="94"/>
              </w:rPr>
              <w:t>(2.8)%</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decrease in gross margin rate for the three months ended December 31, 2022 as compared to the three months ended January 1, 2022 was primarily driven by:</w:t>
      </w:r>
    </w:p>
    <w:p>
      <w:pPr>
        <w:spacing w:after="0" w:line="62" w:lineRule="exact"/>
        <w:rPr>
          <w:sz w:val="20"/>
          <w:szCs w:val="20"/>
          <w:color w:val="auto"/>
        </w:rPr>
      </w:pPr>
    </w:p>
    <w:p>
      <w:pPr>
        <w:ind w:left="980" w:hanging="324"/>
        <w:spacing w:after="0" w:line="277" w:lineRule="auto"/>
        <w:tabs>
          <w:tab w:leader="none" w:pos="975"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unfavorable leverage of fixed costs driven by lower sales volume in our Hawthorne segment and decreased production in our U.S. Consumer segment;</w:t>
      </w:r>
    </w:p>
    <w:p>
      <w:pPr>
        <w:spacing w:after="0" w:line="6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material costs in our U.S. Consumer and Hawthorne segments;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increase in impairment, restructuring and other charges;</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333333"/>
        </w:rPr>
      </w:pPr>
      <w:r>
        <w:rPr>
          <w:rFonts w:ascii="Arial" w:cs="Arial" w:eastAsia="Arial" w:hAnsi="Arial"/>
          <w:sz w:val="18"/>
          <w:szCs w:val="18"/>
          <w:color w:val="auto"/>
        </w:rPr>
        <w:t>partially offset by increased pricing in our U.S. Consumer, Hawthorne and Other segments.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the components of selling, general and administrative expenses (“SG&amp;A”)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5"/>
              <w:spacing w:after="0"/>
              <w:rPr>
                <w:sz w:val="20"/>
                <w:szCs w:val="20"/>
                <w:color w:val="auto"/>
              </w:rPr>
            </w:pPr>
            <w:r>
              <w:rPr>
                <w:rFonts w:ascii="Arial" w:cs="Arial" w:eastAsia="Arial" w:hAnsi="Arial"/>
                <w:sz w:val="14"/>
                <w:szCs w:val="14"/>
                <w:b w:val="1"/>
                <w:bCs w:val="1"/>
                <w:color w:val="auto"/>
              </w:rPr>
              <w:t>Three Months Ended</w:t>
            </w:r>
          </w:p>
        </w:tc>
      </w:tr>
      <w:tr>
        <w:trPr>
          <w:trHeight w:val="25"/>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3"/>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100" w:type="dxa"/>
            <w:vAlign w:val="bottom"/>
          </w:tcPr>
          <w:p>
            <w:pPr>
              <w:jc w:val="right"/>
              <w:ind w:right="255"/>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Advertising</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w:t>
            </w:r>
          </w:p>
        </w:tc>
      </w:tr>
      <w:tr>
        <w:trPr>
          <w:trHeight w:val="223"/>
        </w:trPr>
        <w:tc>
          <w:tcPr>
            <w:tcW w:w="84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SG&amp;A decreased $25.6, or 16.6%, during the three months ended December 31, 2022 compared to the three months ended January 1, 2022. Advertising expense decreased $3.0, or 16.4%, due to the timing of media spending in our U.S. Consumer segment. Share-based compensation expense, which excludes certain advertising expenses paid for in Common Shares, increased $11.5, or 157.5%, driven by short-term variable incentive compensation that was provided to employees as share-based awards for fiscal 2023 in lieu of a cash-based program, as well as expense associated with certain annual awards that were granted during the first quarter of fiscal 2023 as compared to the second quarter of fiscal 2022. Other SG&amp;A decreased $30.2, or 27.8%, due to reductions in staffing levels and other cost-reduction initiatives.</w:t>
      </w:r>
    </w:p>
    <w:p>
      <w:pPr>
        <w:spacing w:after="0" w:line="200" w:lineRule="exact"/>
        <w:rPr>
          <w:sz w:val="20"/>
          <w:szCs w:val="20"/>
          <w:color w:val="auto"/>
        </w:rPr>
      </w:pPr>
    </w:p>
    <w:p>
      <w:pPr>
        <w:spacing w:after="0" w:line="31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29" w:name="page30"/>
    <w:bookmarkEnd w:id="29"/>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Restructuring and Other</w:t>
      </w:r>
    </w:p>
    <w:p>
      <w:pPr>
        <w:spacing w:after="0" w:line="14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Activity described herein is classified within the “Cost of sales—impairment, restructuring and other” and “Impairment, restructuring and other” lines in the Condensed Consolidated Statements of Operations. The following table details impairment, restructuring and other charges for each of the periods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3"/>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1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sales—impairment, restructuring and other:</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Restructuring and other charges, net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 plant and equipment impairments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Restructuring and other charges, net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8480" w:type="dxa"/>
            <w:vAlign w:val="bottom"/>
          </w:tcPr>
          <w:p>
            <w:pPr>
              <w:ind w:left="20"/>
              <w:spacing w:after="0"/>
              <w:rPr>
                <w:sz w:val="20"/>
                <w:szCs w:val="20"/>
                <w:color w:val="auto"/>
              </w:rPr>
            </w:pPr>
            <w:r>
              <w:rPr>
                <w:rFonts w:ascii="Arial" w:cs="Arial" w:eastAsia="Arial" w:hAnsi="Arial"/>
                <w:sz w:val="18"/>
                <w:szCs w:val="18"/>
                <w:color w:val="auto"/>
              </w:rPr>
              <w:t>Impairment, restructuring and other charges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During fiscal 2022, we began implementing a series of organizational changes and initiatives intended to create operational and management-level efficiencies. As part of this restructuring initiative, we are reducing the size of our supply chain network, reducing staffing levels and implementing other cost-reduction initiatives. During the three months ended December 31, 2022, we incurred costs of $14.5 associated with this restructuring initiative primarily related to employee termination benefits, facility closure costs and impairment of property, plant and equipment. We incurred costs of $1.0 in our U.S. Consumer segment and $8.4 in our Hawthorne segment in the “Cost of sales—impairment, restructuring and other” line in the Condensed Consolidated Statements of Operations during the three months ended December 31, 2022. We incurred costs of $0.2 in our U.S. Consumer segment, $1.0 in our Hawthorne segment, $0.1 in our Other segment and $3.8 at Corporate in the “Impairment, restructuring and other” line in the Condensed Consolidated Statements of Operations during the three months ended December 31, 2022. Costs incurred from the inception of this restructuring initiative through December 31, 2022 were $44.7 for our Hawthorne segment, $22.8 for our U.S. Consumer segment, $0.8 for our Other segment and $11.5 for Corporate. We continue to evaluate additional network and organizational changes, which, if executed, may result in additional restructuring charges in future periods.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Other (income) expense is comprised of activities such as royalty income from the licensing of certain of our brand names and foreign exchange transaction gains and losses. Other (income) expense was $0.5 and $(1.8) for the three months ended December 31, 2022 and January 1, 2022, respectively. The change was primarily due to foreign exchange transaction gains and losses.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Loss from operations was $41.8 for the three months ended December 31, 2022, an increase of 18.1% compared to $35.4 for the three months ended January 1, 2022. The increase in loss from operations was driven by lower net sales, a decrease in gross margin rate, lower other income and higher impairment, restructuring and other charges, partially offset by lower SG&amp;A.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 Loss of Unconsolidated Affiliates</w:t>
      </w:r>
    </w:p>
    <w:p>
      <w:pPr>
        <w:spacing w:after="0" w:line="144"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recorded equity in loss of unconsolidated affiliates associated with Bonnie Plants, LLC of $11.4 and $7.3 during the three months ended December 31, 2022 and January 1, 2022, respectively. We anticipated a net loss for Bonnie Plants, LLC in the first quarter due to the seasonal nature of its business, in which sales are heavily weighted to the spring and summer selling periods during our second and third fiscal quarters.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Interest expense was $42.7 for the three months ended December 31, 2022, an increase of 79.4% compared to $23.8 for the three months ended January 1, 2022. The increase was driven by higher average borrowings of $652.4 and an increase in our weighted average interest rate of 160 basis points. The increase in average borrowings was due to higher inventory production, capital expenditures, acquisition activity and repurchases of our Common Shares. The increase in our weighted average interest rate was primarily driven by higher borrowing rates on the Sixth A&amp;R Credit Agreement.</w:t>
      </w: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0" w:name="page31"/>
    <w:bookmarkEnd w:id="30"/>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effective tax rates for the three months ended December 31, 2022 and January 1, 2022 were 31.4% and 22.7%, respectively. The increase in the effective tax rate was driven by favorable discrete items recognized during the three months ended December 31, 2022, which increased the effective tax rate because we incurred a net loss during the period. The effective tax rate used for interim purposes is based on our best estimate of factors impacting the effective tax rate for the full fiscal year. Factors affecting the estimated effective tax rate include assumptions as to income by jurisdiction (domestic and foreign), the availability and utilization of tax credits and the existence of elements of income and expense that may not be taxable or deductible. The estimated effective tax rate is subject to revision in later interim periods and at fiscal year-end as facts and circumstances change during the course of the fiscal year. There can be no assurance that the effective tax rate estimated for interim financial reporting purposes will approximate the effective tax rate determined at fiscal year-end.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5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Net loss was $64.7, or $1.17 per diluted share, for the three months ended December 31, 2022 compared to $50.0, or $0.90 per diluted share, for the three months ended January 1, 2022. The increase in net loss was driven by lower net sales, a decrease in gross margin rate, lower other income, higher interest expense, higher equity in loss of unconsolidated affiliates and higher impairment, restructuring and other charges, partially offset by lower SG&amp;A.</w:t>
      </w:r>
    </w:p>
    <w:p>
      <w:pPr>
        <w:spacing w:after="0" w:line="68"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Diluted average common shares used in the diluted loss per common share calculation for the three months ended December 31, 2022 and January 1, 2022 were 55.5 million and 55.4 million, respectively, which excluded potential Common Shares of 0.2 million and 1.3 million, respectively, because the effect of their inclusion would be anti-dilutive as we incurred a net loss for the three months ended December 31, 2022 and January 1, 2022.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6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performance of each reportable segment is evaluated based on several factors, including income (loss) before income taxes, amortization, impairment, restructuring and other charges (“Segment Profit (Loss)”), which is a non-GAAP financial measure. Senior management uses Segment Profit (Loss) to evaluate segment performance because they believe this measure is indicative of performance trends and the overall earnings potential of each segment.</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net sales by segment: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4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49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58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100" w:type="dxa"/>
            <w:vAlign w:val="bottom"/>
          </w:tcPr>
          <w:p>
            <w:pPr>
              <w:jc w:val="right"/>
              <w:ind w:right="256"/>
              <w:spacing w:after="0" w:line="133" w:lineRule="exact"/>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3580" w:type="dxa"/>
            <w:vAlign w:val="bottom"/>
            <w:tcBorders>
              <w:bottom w:val="single" w:sz="8" w:color="CCEEFF"/>
            </w:tcBorders>
          </w:tcPr>
          <w:p>
            <w:pPr>
              <w:spacing w:after="0"/>
              <w:rPr>
                <w:sz w:val="16"/>
                <w:szCs w:val="16"/>
                <w:color w:val="auto"/>
              </w:rPr>
            </w:pPr>
          </w:p>
        </w:tc>
        <w:tc>
          <w:tcPr>
            <w:tcW w:w="49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49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342.4</w:t>
            </w:r>
          </w:p>
        </w:tc>
        <w:tc>
          <w:tcPr>
            <w:tcW w:w="0" w:type="dxa"/>
            <w:vAlign w:val="bottom"/>
          </w:tcPr>
          <w:p>
            <w:pPr>
              <w:spacing w:after="0"/>
              <w:rPr>
                <w:sz w:val="1"/>
                <w:szCs w:val="1"/>
                <w:color w:val="auto"/>
              </w:rPr>
            </w:pPr>
          </w:p>
        </w:tc>
      </w:tr>
      <w:tr>
        <w:trPr>
          <w:trHeight w:val="230"/>
        </w:trPr>
        <w:tc>
          <w:tcPr>
            <w:tcW w:w="35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4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49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3"/>
        </w:trPr>
        <w:tc>
          <w:tcPr>
            <w:tcW w:w="3580" w:type="dxa"/>
            <w:vAlign w:val="bottom"/>
          </w:tcPr>
          <w:p>
            <w:pPr>
              <w:ind w:left="480"/>
              <w:spacing w:after="0"/>
              <w:rPr>
                <w:sz w:val="20"/>
                <w:szCs w:val="20"/>
                <w:color w:val="auto"/>
              </w:rPr>
            </w:pPr>
            <w:r>
              <w:rPr>
                <w:rFonts w:ascii="Arial" w:cs="Arial" w:eastAsia="Arial" w:hAnsi="Arial"/>
                <w:sz w:val="18"/>
                <w:szCs w:val="18"/>
                <w:color w:val="auto"/>
              </w:rPr>
              <w:t>Consolidated</w:t>
            </w:r>
          </w:p>
        </w:tc>
        <w:tc>
          <w:tcPr>
            <w:tcW w:w="49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566.0</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4900" w:type="dxa"/>
            <w:vAlign w:val="bottom"/>
            <w:vMerge w:val="restart"/>
          </w:tcPr>
          <w:p>
            <w:pPr>
              <w:jc w:val="right"/>
              <w:ind w:right="2450"/>
              <w:spacing w:after="0"/>
              <w:rPr>
                <w:sz w:val="20"/>
                <w:szCs w:val="20"/>
                <w:color w:val="auto"/>
              </w:rPr>
            </w:pPr>
            <w:r>
              <w:rPr>
                <w:rFonts w:ascii="Arial" w:cs="Arial" w:eastAsia="Arial" w:hAnsi="Arial"/>
                <w:sz w:val="18"/>
                <w:szCs w:val="18"/>
                <w:color w:val="auto"/>
              </w:rPr>
              <w:t>31</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580" w:type="dxa"/>
            <w:vAlign w:val="bottom"/>
          </w:tcPr>
          <w:p>
            <w:pPr>
              <w:spacing w:after="0"/>
              <w:rPr>
                <w:sz w:val="24"/>
                <w:szCs w:val="24"/>
                <w:color w:val="auto"/>
              </w:rPr>
            </w:pPr>
          </w:p>
        </w:tc>
        <w:tc>
          <w:tcPr>
            <w:tcW w:w="4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580" w:type="dxa"/>
            <w:vAlign w:val="bottom"/>
            <w:tcBorders>
              <w:bottom w:val="single" w:sz="8" w:color="9A9A9A"/>
            </w:tcBorders>
          </w:tcPr>
          <w:p>
            <w:pPr>
              <w:spacing w:after="0"/>
              <w:rPr>
                <w:sz w:val="10"/>
                <w:szCs w:val="10"/>
                <w:color w:val="auto"/>
              </w:rPr>
            </w:pPr>
          </w:p>
        </w:tc>
        <w:tc>
          <w:tcPr>
            <w:tcW w:w="4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1" w:name="page32"/>
    <w:bookmarkEnd w:id="31"/>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sets forth Segment Profit (Loss) as well as a reconciliation to loss before income taxes, the most directly comparable GAAP measure: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33"/>
        </w:trPr>
        <w:tc>
          <w:tcPr>
            <w:tcW w:w="8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1"/>
                <w:szCs w:val="11"/>
                <w:color w:val="auto"/>
              </w:rPr>
            </w:pPr>
          </w:p>
        </w:tc>
        <w:tc>
          <w:tcPr>
            <w:tcW w:w="1100" w:type="dxa"/>
            <w:vAlign w:val="bottom"/>
          </w:tcPr>
          <w:p>
            <w:pPr>
              <w:jc w:val="right"/>
              <w:ind w:right="253"/>
              <w:spacing w:after="0" w:line="133" w:lineRule="exact"/>
              <w:rPr>
                <w:sz w:val="20"/>
                <w:szCs w:val="20"/>
                <w:color w:val="auto"/>
              </w:rPr>
            </w:pPr>
            <w:r>
              <w:rPr>
                <w:rFonts w:ascii="Arial" w:cs="Arial" w:eastAsia="Arial" w:hAnsi="Arial"/>
                <w:sz w:val="14"/>
                <w:szCs w:val="14"/>
                <w:b w:val="1"/>
                <w:bCs w:val="1"/>
                <w:color w:val="auto"/>
              </w:rPr>
              <w:t>January 1,</w:t>
            </w:r>
          </w:p>
        </w:tc>
      </w:tr>
      <w:tr>
        <w:trPr>
          <w:trHeight w:val="192"/>
        </w:trPr>
        <w:tc>
          <w:tcPr>
            <w:tcW w:w="84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Consumer</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Hawthorne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Total Segment Profit (Non-GAAP)</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30"/>
        </w:trPr>
        <w:tc>
          <w:tcPr>
            <w:tcW w:w="8480" w:type="dxa"/>
            <w:vAlign w:val="bottom"/>
          </w:tcPr>
          <w:p>
            <w:pPr>
              <w:ind w:left="20"/>
              <w:spacing w:after="0"/>
              <w:rPr>
                <w:sz w:val="20"/>
                <w:szCs w:val="20"/>
                <w:color w:val="auto"/>
              </w:rPr>
            </w:pPr>
            <w:r>
              <w:rPr>
                <w:rFonts w:ascii="Arial" w:cs="Arial" w:eastAsia="Arial" w:hAnsi="Arial"/>
                <w:sz w:val="18"/>
                <w:szCs w:val="18"/>
                <w:color w:val="auto"/>
              </w:rPr>
              <w:t>Intangible asset amortization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 restructuring and 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Equity in loss of unconsolidated affiliates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0"/>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non-operating income,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Loss before income taxes (GAAP)</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Consumer</w:t>
      </w:r>
    </w:p>
    <w:p>
      <w:pPr>
        <w:spacing w:after="0" w:line="144"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U.S. Consumer segment net sales were $369.0 in the first quarter of fiscal 2023, an increase of 7.8% from first quarter of fiscal 2022 net sales of $342.4. The increase was driven by increased pricing of 13.0%, partially offset by unfavorable volume and mix of 5.3%. The impact of volume and mix was driven by lower sales of lawn care and plant food products.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U.S. Consumer Segment Profit was $31.3 in the first quarter of fiscal 2023, an increase of 192.5% from the first quarter of fiscal 2022 Segment Profit of $10.7. The increase was due to higher net sales, a higher gross margin rate and lower SG&amp;A.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Hawthorne</w:t>
      </w:r>
    </w:p>
    <w:p>
      <w:pPr>
        <w:spacing w:after="0" w:line="14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Hawthorne segment net sales were $131.5 in the first quarter of fiscal 2023, a decrease of 31.0% from first quarter of fiscal 2022 net sales of $190.6. The decrease was driven by lower sales volume of 36.2% and unfavorable foreign exchange rates of 2.6%, partially offset by increased pricing of 4.6% and acquisitions of 3.1%. The decrease in sales volume was driven by hardware, lighting, nutrients, growing media and growing environments products.</w:t>
      </w:r>
    </w:p>
    <w:p>
      <w:pPr>
        <w:spacing w:after="0" w:line="8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Hawthorne Segment Loss was $16.2 in the first quarter of fiscal 2023, an increase from first quarter of fiscal 2022 Segment Loss of $5.3. The increase was driven by lower net sales and a lower gross margin rate, partially offset by lower SG&amp;A.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Other segment net sales were $26.1 in the first quarter of fiscal 2023, a decrease of 20.9% from the first quarter of fiscal 2022 net sales of $33.0. The decrease was driven by lower sales volume of 18.7% and unfavorable foreign exchange rates of 5.3%, partially offset by increased pricing of 3.7%.</w:t>
      </w:r>
    </w:p>
    <w:p>
      <w:pPr>
        <w:spacing w:after="0" w:line="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Other Segment Profit was $1.4 in the first quarter of fiscal 2023, an increase of 7.7% from the first quarter of fiscal 2022 Segment Profit of $1.3. The increase was driven by lower SG&amp;A, partially offset by lower net sales and a lower gross margin rate.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w:t>
      </w:r>
    </w:p>
    <w:p>
      <w:pPr>
        <w:spacing w:after="0" w:line="144"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Corporate expenses were $31.9 in the first quarter of fiscal 2023, an increase of 1.6% from first quarter of fiscal 2022 expenses of $31.4. The increase was driven by higher share-based compensation expense partially offset by reductions in staffing levels and other cost-reduction initiatives.</w:t>
      </w:r>
    </w:p>
    <w:p>
      <w:pPr>
        <w:spacing w:after="0" w:line="200" w:lineRule="exact"/>
        <w:rPr>
          <w:sz w:val="20"/>
          <w:szCs w:val="20"/>
          <w:color w:val="auto"/>
        </w:rPr>
      </w:pPr>
    </w:p>
    <w:p>
      <w:pPr>
        <w:spacing w:after="0" w:line="28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25"/>
        </w:trPr>
        <w:tc>
          <w:tcPr>
            <w:tcW w:w="3860" w:type="dxa"/>
            <w:vAlign w:val="bottom"/>
          </w:tcPr>
          <w:p>
            <w:pPr>
              <w:ind w:left="20"/>
              <w:spacing w:after="0"/>
              <w:rPr>
                <w:sz w:val="20"/>
                <w:szCs w:val="20"/>
                <w:color w:val="auto"/>
              </w:rPr>
            </w:pPr>
            <w:r>
              <w:rPr>
                <w:rFonts w:ascii="Arial" w:cs="Arial" w:eastAsia="Arial" w:hAnsi="Arial"/>
                <w:sz w:val="18"/>
                <w:szCs w:val="18"/>
                <w:color w:val="FFFFFF"/>
              </w:rPr>
              <w:t>Contents</w:t>
            </w:r>
          </w:p>
        </w:tc>
        <w:tc>
          <w:tcPr>
            <w:tcW w:w="4500" w:type="dxa"/>
            <w:vAlign w:val="bottom"/>
            <w:gridSpan w:val="2"/>
          </w:tcPr>
          <w:p>
            <w:pPr>
              <w:jc w:val="center"/>
              <w:ind w:right="890"/>
              <w:spacing w:after="0"/>
              <w:rPr>
                <w:sz w:val="20"/>
                <w:szCs w:val="20"/>
                <w:color w:val="auto"/>
              </w:rPr>
            </w:pPr>
            <w:r>
              <w:rPr>
                <w:rFonts w:ascii="Arial" w:cs="Arial" w:eastAsia="Arial" w:hAnsi="Arial"/>
                <w:sz w:val="18"/>
                <w:szCs w:val="18"/>
                <w:b w:val="1"/>
                <w:bCs w:val="1"/>
                <w:color w:val="auto"/>
              </w:rPr>
              <w:t>THE SCOTTS MIRACLE-GRO COMPANY</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186"/>
        </w:trPr>
        <w:tc>
          <w:tcPr>
            <w:tcW w:w="3860" w:type="dxa"/>
            <w:vAlign w:val="bottom"/>
          </w:tcPr>
          <w:p>
            <w:pPr>
              <w:spacing w:after="0"/>
              <w:rPr>
                <w:sz w:val="16"/>
                <w:szCs w:val="16"/>
                <w:color w:val="auto"/>
              </w:rPr>
            </w:pPr>
          </w:p>
        </w:tc>
        <w:tc>
          <w:tcPr>
            <w:tcW w:w="4500" w:type="dxa"/>
            <w:vAlign w:val="bottom"/>
            <w:gridSpan w:val="2"/>
          </w:tcPr>
          <w:p>
            <w:pPr>
              <w:jc w:val="center"/>
              <w:ind w:right="890"/>
              <w:spacing w:after="0"/>
              <w:rPr>
                <w:sz w:val="20"/>
                <w:szCs w:val="20"/>
                <w:color w:val="auto"/>
              </w:rPr>
            </w:pPr>
            <w:r>
              <w:rPr>
                <w:rFonts w:ascii="Arial" w:cs="Arial" w:eastAsia="Arial" w:hAnsi="Arial"/>
                <w:sz w:val="14"/>
                <w:szCs w:val="14"/>
                <w:b w:val="1"/>
                <w:bCs w:val="1"/>
                <w:color w:val="auto"/>
                <w:w w:val="92"/>
              </w:rPr>
              <w:t>(Dollars in millions, except per share data)</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863"/>
        </w:trPr>
        <w:tc>
          <w:tcPr>
            <w:tcW w:w="386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3860" w:type="dxa"/>
            <w:vAlign w:val="bottom"/>
          </w:tcPr>
          <w:p>
            <w:pPr>
              <w:ind w:left="420"/>
              <w:spacing w:after="0"/>
              <w:rPr>
                <w:sz w:val="20"/>
                <w:szCs w:val="20"/>
                <w:color w:val="auto"/>
              </w:rPr>
            </w:pPr>
            <w:r>
              <w:rPr>
                <w:rFonts w:ascii="Arial" w:cs="Arial" w:eastAsia="Arial" w:hAnsi="Arial"/>
                <w:sz w:val="18"/>
                <w:szCs w:val="18"/>
                <w:color w:val="auto"/>
                <w:w w:val="91"/>
              </w:rPr>
              <w:t>The following table summarizes cash activities:</w:t>
            </w: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39"/>
        </w:trPr>
        <w:tc>
          <w:tcPr>
            <w:tcW w:w="3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80" w:type="dxa"/>
            <w:vAlign w:val="bottom"/>
            <w:gridSpan w:val="4"/>
          </w:tcPr>
          <w:p>
            <w:pPr>
              <w:ind w:left="680"/>
              <w:spacing w:after="0"/>
              <w:rPr>
                <w:sz w:val="20"/>
                <w:szCs w:val="20"/>
                <w:color w:val="auto"/>
              </w:rPr>
            </w:pPr>
            <w:r>
              <w:rPr>
                <w:rFonts w:ascii="Arial" w:cs="Arial" w:eastAsia="Arial" w:hAnsi="Arial"/>
                <w:sz w:val="14"/>
                <w:szCs w:val="14"/>
                <w:b w:val="1"/>
                <w:bCs w:val="1"/>
                <w:color w:val="auto"/>
              </w:rPr>
              <w:t>Three Months Ended</w:t>
            </w:r>
          </w:p>
        </w:tc>
      </w:tr>
      <w:tr>
        <w:trPr>
          <w:trHeight w:val="26"/>
        </w:trPr>
        <w:tc>
          <w:tcPr>
            <w:tcW w:w="38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386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1"/>
                <w:szCs w:val="11"/>
                <w:color w:val="auto"/>
              </w:rPr>
            </w:pPr>
          </w:p>
        </w:tc>
        <w:tc>
          <w:tcPr>
            <w:tcW w:w="1240" w:type="dxa"/>
            <w:vAlign w:val="bottom"/>
          </w:tcPr>
          <w:p>
            <w:pPr>
              <w:jc w:val="center"/>
              <w:ind w:right="177"/>
              <w:spacing w:after="0" w:line="133" w:lineRule="exact"/>
              <w:rPr>
                <w:sz w:val="20"/>
                <w:szCs w:val="20"/>
                <w:color w:val="auto"/>
              </w:rPr>
            </w:pPr>
            <w:r>
              <w:rPr>
                <w:rFonts w:ascii="Arial" w:cs="Arial" w:eastAsia="Arial" w:hAnsi="Arial"/>
                <w:sz w:val="14"/>
                <w:szCs w:val="14"/>
                <w:b w:val="1"/>
                <w:bCs w:val="1"/>
                <w:color w:val="auto"/>
                <w:w w:val="95"/>
              </w:rPr>
              <w:t>January 1,</w:t>
            </w:r>
          </w:p>
        </w:tc>
      </w:tr>
      <w:tr>
        <w:trPr>
          <w:trHeight w:val="192"/>
        </w:trPr>
        <w:tc>
          <w:tcPr>
            <w:tcW w:w="3860" w:type="dxa"/>
            <w:vAlign w:val="bottom"/>
            <w:tcBorders>
              <w:bottom w:val="single" w:sz="8" w:color="CCEEFF"/>
            </w:tcBorders>
          </w:tcPr>
          <w:p>
            <w:pPr>
              <w:spacing w:after="0"/>
              <w:rPr>
                <w:sz w:val="16"/>
                <w:szCs w:val="16"/>
                <w:color w:val="auto"/>
              </w:rPr>
            </w:pPr>
          </w:p>
        </w:tc>
        <w:tc>
          <w:tcPr>
            <w:tcW w:w="4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center"/>
              <w:ind w:left="577"/>
              <w:spacing w:after="0"/>
              <w:rPr>
                <w:sz w:val="20"/>
                <w:szCs w:val="20"/>
                <w:color w:val="auto"/>
              </w:rPr>
            </w:pPr>
            <w:r>
              <w:rPr>
                <w:rFonts w:ascii="Arial" w:cs="Arial" w:eastAsia="Arial" w:hAnsi="Arial"/>
                <w:sz w:val="18"/>
                <w:szCs w:val="18"/>
                <w:color w:val="auto"/>
                <w:w w:val="94"/>
              </w:rPr>
              <w:t>(765.1)</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center"/>
              <w:ind w:left="577"/>
              <w:spacing w:after="0"/>
              <w:rPr>
                <w:sz w:val="20"/>
                <w:szCs w:val="20"/>
                <w:color w:val="auto"/>
              </w:rPr>
            </w:pPr>
            <w:r>
              <w:rPr>
                <w:rFonts w:ascii="Arial" w:cs="Arial" w:eastAsia="Arial" w:hAnsi="Arial"/>
                <w:sz w:val="18"/>
                <w:szCs w:val="18"/>
                <w:color w:val="auto"/>
                <w:w w:val="94"/>
              </w:rPr>
              <w:t>(245.2)</w:t>
            </w: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center"/>
              <w:ind w:left="597"/>
              <w:spacing w:after="0"/>
              <w:rPr>
                <w:sz w:val="20"/>
                <w:szCs w:val="20"/>
                <w:color w:val="auto"/>
              </w:rPr>
            </w:pPr>
            <w:r>
              <w:rPr>
                <w:rFonts w:ascii="Arial" w:cs="Arial" w:eastAsia="Arial" w:hAnsi="Arial"/>
                <w:sz w:val="18"/>
                <w:szCs w:val="18"/>
                <w:color w:val="auto"/>
                <w:w w:val="88"/>
              </w:rPr>
              <w:t>782.6</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Cash used in operating activities totaled $431.6 for the three months ended December 31, 2022, a decrease of $333.5 as compared to $765.1 for the three months ended January 1, 2022. This decrease was driven by lower inventory production, accounts payable timing, lower short-term variable cash incentive compensation payouts and higher income tax refunds received, partially offset by higher accounts receivable, higher interest payments and higher payments associated with restructuring activities. Higher accounts receivable is driven by the timing of sales. Accounts payable timing is driven by the favorable impact of extended payment terms with vendors across the U.S. Consumer and Hawthorne segments for payments originally due in the final weeks of the first quarter of fiscal 2023 that were paid in the second quarter of fiscal 2023.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58"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Cash used in investing activities totaled $36.0 for the three months ended December 31, 2022, a decrease of $209.2 as compared to $245.2 for the three months ended January 1, 2022. Cash used for investments in property, plant and equipment during the first three months of fiscal 2023 and 2022 was $29.6 and $46.1, respectively. In addition, we had other investing cash outflows of $6.4, primarily associated with currency forward contracts, during the three months ended December 31, 2022. During the three months ended January 1, 2022, we completed the acquisitions of Luxx Lighting, Inc. and True Liberty Bags in exchange for cash payments of $202.5, as well as the issuance of 0.1 million Common Shares, a non-cash investing and financing activity, with a fair value of $21.0 based on the share price at the time of payment. In addition, we received cash of $3.4 associated with currency forward contracts during the three months ended January 1, 2022.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5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Cash provided by financing activities totaled $406.2 for the three months ended December 31, 2022 as compared $782.6 for the three months ended January 1, 2022. During the three months ended December 31, 2022, we had net borrowings under our credit facilities of $443.0 and paid dividends of $36.6. During the three months ended January 1, 2022, we had net borrowings under our credit facilities of $948.3, paid dividends of $37.1 and repurchased Common Shares for $129.5.</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4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6, 2020, Scotts Miracle-Gro announced that its Board of Directors authorized the repurchase of up to $750.0 of Common Shares from April 30, 2020 through March 25, 2023. During the three months ended December 31, 2022 and January 1, 2022, Scotts Miracle-Gro repurchased 0.0 million and 0.8 million Common Shares under this share repurchase authorization for $0.0 and $125.0, respectively. For the three months ended December 31, 2022 and January 1, 2022, we also paid cash of $0.8 and $4.5, respectively, to tax authorities to satisfy statutory income tax withholding obligations related to share-based compensation, and these payments are classified as share repurchases in the Condensed Consolidated Statements of Cash Flows.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5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Our cash and cash equivalents were held in cash depository accounts with major financial institutions around the world or invested in high-quality, short-term liquid investments having original maturities of three months or less. The cash and cash equivalents balances of $25.6, $16.4 and $86.8 as of December 31, 2022, January 1, 2022 and September 30, 2022, respectively, included $11.6, $8.7 and $4.2, respectively, held by controlled foreign corporations. As of December 31, 2022, we maintain our assertion of indefinite reinvestment of the earnings of all material foreign subsidiaries.</w:t>
      </w:r>
    </w:p>
    <w:p>
      <w:pPr>
        <w:spacing w:after="0" w:line="200" w:lineRule="exact"/>
        <w:rPr>
          <w:sz w:val="20"/>
          <w:szCs w:val="20"/>
          <w:color w:val="auto"/>
        </w:rPr>
      </w:pPr>
    </w:p>
    <w:p>
      <w:pPr>
        <w:spacing w:after="0" w:line="295"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3" w:name="page34"/>
    <w:bookmarkEnd w:id="33"/>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 Agreements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Credit Facilities</w:t>
      </w:r>
    </w:p>
    <w:p>
      <w:pPr>
        <w:spacing w:after="0" w:line="158"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primary sources of liquidity are cash generated by operations and borrowings under our credit facilities, which are guaranteed by substantially all of Scotts Miracle-Gro’s domestic subsidiaries. On April 8, 2022, we entered into the Sixth A&amp;R Credit Agreement, providing the Company and certain of its subsidiaries with five-year senior secured loan facilities in the aggregate principal amount of $2,500.0, comprised of a revolving credit facility of $1,500.0 and a term loan in the original principal amount of $1,000.0. The Sixth A&amp;R Credit Agreement will terminate on April 8, 2027. The Sixth A&amp;R Credit Facilities are available for the issuance of letters of credit up to $100.0. The terms of the Sixth A&amp;R Credit Agreement include customary representations and warranties, affirmative and negative covenants, financial covenants, and events of default.</w:t>
      </w:r>
    </w:p>
    <w:p>
      <w:pPr>
        <w:spacing w:after="0" w:line="11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Under the terms of the Sixth A&amp;R Credit Agreement, loans bear interest, at our election, at a rate per annum equal to either (i) the Alternate Base Rate plus the Applicable Spread (each, as defined in the Sixth A&amp;R Credit Agreement) or (ii) the Adjusted Term SOFR Rate for the Interest Period in effect for such borrowing plus the Applicable Spread (all as defined in the Sixth A&amp;R Credit Agreement). Swingline Loans bear interest at the applicable Swingline Rate set forth in the Sixth A&amp;R Credit Agreement. Interest rates for other select non-U.S. dollar borrowings, including borrowings denominated in euro, Pounds Sterling and Canadian dollars, are based on separate interest rate indices, as set forth in the Sixth A&amp;R Credit Agreement. The Sixth A&amp;R Credit Agreement is secured by (i) a perfected first priority security interest in all of the accounts receivable, inventory and equipment of Scotts Miracle-Gro and certain of its domestic subsidiaries and (ii) the pledge of all of the capital stock of certain of Scotts Miracle-Gro’s domestic subsidiaries and a portion of the capital stock of certain of its foreign subsidiaries. The collateral does not include any of our intellectual property.</w:t>
      </w:r>
    </w:p>
    <w:p>
      <w:pPr>
        <w:spacing w:after="0" w:line="84"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On June 8, 2022, we entered into the Amendment to the Sixth A&amp;R Credit Agreement. The Amendment increases the maximum permitted leverage ratio for the quarterly leverage covenant during the Leverage Adjustment Period. The Amendment also increases the interest rate applicable to borrowings under the revolving credit facility by 35 bps and the term loan facility by 50 bps, and increases the annual facility fee rate on the revolving credit facility by 15 bps, in each case, when our quarterly-tested leverage ratio exceeds 4.75. Additionally, the Amendment limits our ability to declare or pay any discretionary dividends, distributions or other restricted payments during the Leverage Adjustment Period to only the payment of (i) regularly scheduled cash dividends to holders of our Common Shares in an aggregate amount not to exceed $225.0 per fiscal year and (ii) other dividends, distributions or other restricted payments in an aggregate amount not to exceed $25.0. The Amendment also requires pro forma compliance with certain leverage levels specified in the Amendment with respect to our ability to consummate certain acquisitions and incur debt.</w:t>
      </w:r>
    </w:p>
    <w:p>
      <w:pPr>
        <w:spacing w:after="0" w:line="1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At December 31, 2022, we had letters of credit outstanding in the aggregate principal amount of $5.0 and had $813.5 of borrowing availability under the Sixth A&amp;R Credit Agreement. The weighted average interest rates on average borrowings under the credit facilities were 6.6% and 1.8% for the three months ended December 31, 2022 and January 1, 2022, respectively.</w:t>
      </w:r>
    </w:p>
    <w:p>
      <w:pPr>
        <w:spacing w:after="0" w:line="116"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The Sixth A&amp;R Credit Agreement contains, among other obligations, an affirmative covenant regarding our leverage ratio determined as of the end of each of our fiscal quarters calculated as average total indebtedness, divided by our earnings before interest, taxes, depreciation and amortization, as adjusted pursuant to the terms of the Sixth A&amp;R Credit Agreement (“Adjusted EBITDA”). Pursuant to the Amendment, the maximum permitted leverage ratio is (i) 6.25 for the third quarter of fiscal 2022 through the first quarter of fiscal 2023, (ii) 6.50 for the second and third quarters of fiscal 2023, (iii) 6.25 for the fourth quarter of fiscal 2023 and the first quarter of fiscal 2024, (iv) 5.50 for the second quarter of fiscal 2024, and (v) 4.50 for the third quarter of fiscal 2024 and thereafter. Our leverage ratio was 5.90 at December 31, 2022. The Sixth A&amp;R Credit Agreement also contains an affirmative covenant regarding our interest coverage ratio determined as of the end of each of our fiscal quarters. The interest coverage ratio is calculated as Adjusted EBITDA divided by interest expense, as described in the Sixth A&amp;R Credit Agreement, and excludes costs related to refinancings. The minimum required interest coverage ratio is 3.00. Our interest coverage ratio was 4.36 for the twelve months ended December 31, 2022.</w:t>
      </w:r>
    </w:p>
    <w:p>
      <w:pPr>
        <w:spacing w:after="0" w:line="200" w:lineRule="exact"/>
        <w:rPr>
          <w:sz w:val="20"/>
          <w:szCs w:val="20"/>
          <w:color w:val="auto"/>
        </w:rPr>
      </w:pPr>
    </w:p>
    <w:p>
      <w:pPr>
        <w:spacing w:after="0" w:line="30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4" w:name="page35"/>
    <w:bookmarkEnd w:id="34"/>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445"/>
        <w:spacing w:after="0" w:line="271" w:lineRule="auto"/>
        <w:rPr>
          <w:sz w:val="20"/>
          <w:szCs w:val="20"/>
          <w:color w:val="auto"/>
        </w:rPr>
      </w:pPr>
      <w:r>
        <w:rPr>
          <w:rFonts w:ascii="Arial" w:cs="Arial" w:eastAsia="Arial" w:hAnsi="Arial"/>
          <w:sz w:val="17"/>
          <w:szCs w:val="17"/>
          <w:color w:val="auto"/>
        </w:rPr>
        <w:t>As of December 31, 2022, we were in compliance with all applicable covenants in the agreements governing our debt. Based on our projections of financial performance for the twelve-month period subsequent to the date of the filing of the financial statements on Form 10-Q, we expect to remain in compliance with the financial covenants under the Sixth A&amp;R Credit Agreement. However, our assessment of our ability to meet our future obligations is inherently subjective, judgment-based, and susceptible to change based on future events. A covenant violation may result in an event of default. Such a default would allow the lenders under the Sixth A&amp;R Credit Agreement to accelerate the maturity of the indebtedness thereunder and would also implicate cross-default provisions under the Senior Notes and cause the Senior Notes to become due and payable at that time. As of December 31, 2022, our indebtedness under the Sixth A&amp;R Credit Agreement and Senior Notes was $3,244.0. We do not have sufficient cash on hand or available liquidity that can be utilized to repay these outstanding amounts in the event of default.</w:t>
      </w:r>
    </w:p>
    <w:p>
      <w:pPr>
        <w:spacing w:after="0" w:line="7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As part of our contingency planning to address potential future circumstances that could result in noncompliance, we have contemplated alternative plans including additional restructuring activities to reduce operating expenses and certain cash management strategies that are within our control. Additionally, we have contemplated alternative plans that are subject to market conditions and not in our control, including, among others, discussions with our lenders to amend the terms of our financial covenant under the Sixth A&amp;R Credit Agreement and generating cash by completing other financing transactions, which may include issuing equity. There is no assurance that we will be successful in implementing these alternative plans.</w:t>
      </w:r>
    </w:p>
    <w:p>
      <w:pPr>
        <w:spacing w:after="0" w:line="9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Senior Notes</w:t>
      </w:r>
    </w:p>
    <w:p>
      <w:pPr>
        <w:spacing w:after="0" w:line="14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December 15, 2016, Scotts Miracle-Gro issued $250.0 aggregate principal amount of 5.250% Senior Notes due 2026. The 5.250% Senior Notes represent general unsecured senior obligations and rank equal in right of payment with our existing and future unsecured senior debt. The 5.250% Senior Notes have interest payment dates of June 15 and December 15 of each year.</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October 22, 2019, Scotts Miracle-Gro issued $450.0 aggregate principal amount of 4.500% Senior Notes due 2029. The 4.500% Senior Notes represent general unsecured senior obligations and rank equal in right of payment with our existing and future unsecured senior debt. The 4.500% Senior Notes have interest payment dates of April 15 and October 15 of each year.</w:t>
      </w:r>
    </w:p>
    <w:p>
      <w:pPr>
        <w:spacing w:after="0" w:line="11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March 17, 2021, Scotts Miracle-Gro issued $500.0 aggregate principal amount of 4.000% Senior Notes due 2031. The 4.000% Senior Notes represent general unsecured senior obligations and rank equal in right of payment with our existing and future unsecured senior debt. The 4.000% Senior Notes have interest payment dates of April 1 and October 1 of each year.</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August 13, 2021, Scotts Miracle-Gro issued $400.0 aggregate principal amount of 4.375% Senior Notes due 2032. The 4.375% Senior Notes represent general unsecured senior obligations and rank equal in right of payment with our existing and future unsecured senior debt. The 4.375% Senior Notes have interest payment dates of February 1 and August 1 of each year.</w:t>
      </w:r>
    </w:p>
    <w:p>
      <w:pPr>
        <w:spacing w:after="0" w:line="6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Substantially all of Scotts Miracle-Gro’s directly and indirectly owned domestic subsidiaries serve as guarantors of the 5.250% Senior Notes, the 4.500% Senior Notes, the 4.000% Senior Notes and the 4.375% Senior Notes.</w:t>
      </w:r>
    </w:p>
    <w:p>
      <w:pPr>
        <w:spacing w:after="0" w:line="10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Receivables Facility</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also maintain a Receivables Facility, under which we may sell a portfolio of available and eligible outstanding customer accounts receivable to the purchasers and simultaneously agree to repurchase the receivables on a weekly basis. The eligible accounts receivable consist of accounts receivable generated by sales to three specified customers. The eligible amount of customer accounts receivable which may be sold under the Receivables Facility is $400.0 and the commitment amount during the seasonal commitment period beginning on February 24, 2023 and ending on June 16, 2023 is $160.0. The Receivables Facility expires on August 18, 2023.</w:t>
      </w:r>
    </w:p>
    <w:p>
      <w:pPr>
        <w:spacing w:after="0" w:line="1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We account for the sale of receivables under the Receivables Facility as short-term debt and continue to carry the receivables on our Condensed Consolidated Balance Sheets, primarily as a result of our requirement to repurchase receivables sold. As of December 31, 2022 and January 1, 2022, there were $161.0 and $94.0, respectively, in borrowings on receivables pledged as collateral under the Receivables Facility, and the carrying value of the receivables pledged as collateral was $178.9 and $104.4, respectively.</w:t>
      </w:r>
    </w:p>
    <w:p>
      <w:pPr>
        <w:spacing w:after="0" w:line="200" w:lineRule="exact"/>
        <w:rPr>
          <w:sz w:val="20"/>
          <w:szCs w:val="20"/>
          <w:color w:val="auto"/>
        </w:rPr>
      </w:pPr>
    </w:p>
    <w:p>
      <w:pPr>
        <w:spacing w:after="0" w:line="32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5" w:name="page36"/>
    <w:bookmarkEnd w:id="35"/>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Interest Rate Swap Agreements</w:t>
      </w:r>
    </w:p>
    <w:p>
      <w:pPr>
        <w:spacing w:after="0" w:line="14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enter into interest rate swap agreements with major financial institutions that effectively convert a portion of our variable rate debt to a fixed rate. Interest payments made between the effective date and expiration date are hedged by the swap agreements. Swap agreements that were hedging interest payments as of December 31, 2022, January 1, 2022 and September 30, 2022 had a maximum total U.S. dollar equivalent notional amount of $800.0, $600.0 and $800.0, respectively. The notional amount, effective date, expiration date and rate of each of the swap agreements outstanding at December 31, 2022 are shown in the table below:</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jc w:val="right"/>
              <w:ind w:right="835"/>
              <w:spacing w:after="0"/>
              <w:rPr>
                <w:sz w:val="20"/>
                <w:szCs w:val="20"/>
                <w:color w:val="auto"/>
              </w:rPr>
            </w:pPr>
            <w:r>
              <w:rPr>
                <w:rFonts w:ascii="Arial" w:cs="Arial" w:eastAsia="Arial" w:hAnsi="Arial"/>
                <w:sz w:val="14"/>
                <w:szCs w:val="14"/>
                <w:b w:val="1"/>
                <w:bCs w:val="1"/>
                <w:color w:val="auto"/>
              </w:rPr>
              <w:t>Notional</w:t>
            </w:r>
          </w:p>
        </w:tc>
        <w:tc>
          <w:tcPr>
            <w:tcW w:w="360" w:type="dxa"/>
            <w:vAlign w:val="bottom"/>
          </w:tcPr>
          <w:p>
            <w:pPr>
              <w:spacing w:after="0"/>
              <w:rPr>
                <w:sz w:val="14"/>
                <w:szCs w:val="14"/>
                <w:color w:val="auto"/>
              </w:rPr>
            </w:pPr>
          </w:p>
        </w:tc>
        <w:tc>
          <w:tcPr>
            <w:tcW w:w="2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Effective</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Expiration</w:t>
            </w:r>
          </w:p>
        </w:tc>
        <w:tc>
          <w:tcPr>
            <w:tcW w:w="2840" w:type="dxa"/>
            <w:vAlign w:val="bottom"/>
          </w:tcPr>
          <w:p>
            <w:pPr>
              <w:jc w:val="right"/>
              <w:ind w:right="1175"/>
              <w:spacing w:after="0"/>
              <w:rPr>
                <w:sz w:val="20"/>
                <w:szCs w:val="20"/>
                <w:color w:val="auto"/>
              </w:rPr>
            </w:pPr>
            <w:r>
              <w:rPr>
                <w:rFonts w:ascii="Arial" w:cs="Arial" w:eastAsia="Arial" w:hAnsi="Arial"/>
                <w:sz w:val="14"/>
                <w:szCs w:val="14"/>
                <w:b w:val="1"/>
                <w:bCs w:val="1"/>
                <w:color w:val="auto"/>
              </w:rPr>
              <w:t>Fixed</w:t>
            </w:r>
          </w:p>
        </w:tc>
      </w:tr>
      <w:tr>
        <w:trPr>
          <w:trHeight w:val="192"/>
        </w:trPr>
        <w:tc>
          <w:tcPr>
            <w:tcW w:w="2380" w:type="dxa"/>
            <w:vAlign w:val="bottom"/>
          </w:tcPr>
          <w:p>
            <w:pPr>
              <w:jc w:val="right"/>
              <w:ind w:right="755"/>
              <w:spacing w:after="0"/>
              <w:rPr>
                <w:sz w:val="20"/>
                <w:szCs w:val="20"/>
                <w:color w:val="auto"/>
              </w:rPr>
            </w:pPr>
            <w:r>
              <w:rPr>
                <w:rFonts w:ascii="Arial" w:cs="Arial" w:eastAsia="Arial" w:hAnsi="Arial"/>
                <w:sz w:val="14"/>
                <w:szCs w:val="14"/>
                <w:b w:val="1"/>
                <w:bCs w:val="1"/>
                <w:color w:val="auto"/>
              </w:rPr>
              <w:t>Amount ($)</w:t>
            </w:r>
          </w:p>
        </w:tc>
        <w:tc>
          <w:tcPr>
            <w:tcW w:w="360" w:type="dxa"/>
            <w:vAlign w:val="bottom"/>
          </w:tcPr>
          <w:p>
            <w:pPr>
              <w:spacing w:after="0"/>
              <w:rPr>
                <w:sz w:val="16"/>
                <w:szCs w:val="16"/>
                <w:color w:val="auto"/>
              </w:rPr>
            </w:pPr>
          </w:p>
        </w:tc>
        <w:tc>
          <w:tcPr>
            <w:tcW w:w="28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Date (a)</w:t>
            </w:r>
          </w:p>
        </w:tc>
        <w:tc>
          <w:tcPr>
            <w:tcW w:w="2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Date</w:t>
            </w:r>
          </w:p>
        </w:tc>
        <w:tc>
          <w:tcPr>
            <w:tcW w:w="2840" w:type="dxa"/>
            <w:vAlign w:val="bottom"/>
          </w:tcPr>
          <w:p>
            <w:pPr>
              <w:jc w:val="right"/>
              <w:ind w:right="1195"/>
              <w:spacing w:after="0"/>
              <w:rPr>
                <w:sz w:val="20"/>
                <w:szCs w:val="20"/>
                <w:color w:val="auto"/>
              </w:rPr>
            </w:pPr>
            <w:r>
              <w:rPr>
                <w:rFonts w:ascii="Arial" w:cs="Arial" w:eastAsia="Arial" w:hAnsi="Arial"/>
                <w:sz w:val="14"/>
                <w:szCs w:val="14"/>
                <w:b w:val="1"/>
                <w:bCs w:val="1"/>
                <w:color w:val="auto"/>
              </w:rPr>
              <w:t>Rate</w:t>
            </w:r>
          </w:p>
        </w:tc>
      </w:tr>
      <w:tr>
        <w:trPr>
          <w:trHeight w:val="229"/>
        </w:trPr>
        <w:tc>
          <w:tcPr>
            <w:tcW w:w="2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12/21/2020</w:t>
            </w:r>
          </w:p>
        </w:tc>
        <w:tc>
          <w:tcPr>
            <w:tcW w:w="340" w:type="dxa"/>
            <w:vAlign w:val="bottom"/>
            <w:tcBorders>
              <w:top w:val="single" w:sz="8" w:color="CCEEFF"/>
            </w:tcBorders>
            <w:shd w:val="clear" w:color="auto" w:fill="CCEEFF"/>
          </w:tcPr>
          <w:p>
            <w:pPr>
              <w:spacing w:after="0"/>
              <w:rPr>
                <w:sz w:val="19"/>
                <w:szCs w:val="19"/>
                <w:color w:val="auto"/>
              </w:rPr>
            </w:pPr>
          </w:p>
        </w:tc>
        <w:tc>
          <w:tcPr>
            <w:tcW w:w="2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6/20/2023</w:t>
            </w:r>
          </w:p>
        </w:tc>
        <w:tc>
          <w:tcPr>
            <w:tcW w:w="360" w:type="dxa"/>
            <w:vAlign w:val="bottom"/>
            <w:tcBorders>
              <w:top w:val="single" w:sz="8" w:color="CCEEFF"/>
            </w:tcBorders>
            <w:shd w:val="clear" w:color="auto" w:fill="CCEEFF"/>
          </w:tcPr>
          <w:p>
            <w:pPr>
              <w:spacing w:after="0"/>
              <w:rPr>
                <w:sz w:val="19"/>
                <w:szCs w:val="19"/>
                <w:color w:val="auto"/>
              </w:rPr>
            </w:pPr>
          </w:p>
        </w:tc>
        <w:tc>
          <w:tcPr>
            <w:tcW w:w="2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2380" w:type="dxa"/>
            <w:vAlign w:val="bottom"/>
          </w:tcPr>
          <w:p>
            <w:pPr>
              <w:jc w:val="right"/>
              <w:spacing w:after="0"/>
              <w:rPr>
                <w:sz w:val="20"/>
                <w:szCs w:val="20"/>
                <w:color w:val="auto"/>
              </w:rPr>
            </w:pPr>
            <w:r>
              <w:rPr>
                <w:rFonts w:ascii="Arial" w:cs="Arial" w:eastAsia="Arial" w:hAnsi="Arial"/>
                <w:sz w:val="18"/>
                <w:szCs w:val="18"/>
                <w:color w:val="auto"/>
              </w:rPr>
              <w:t>300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1/7/2021</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1.34 %</w:t>
            </w:r>
          </w:p>
        </w:tc>
      </w:tr>
      <w:tr>
        <w:trPr>
          <w:trHeight w:val="229"/>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10/7/2021</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r>
      <w:tr>
        <w:trPr>
          <w:trHeight w:val="229"/>
        </w:trPr>
        <w:tc>
          <w:tcPr>
            <w:tcW w:w="2380" w:type="dxa"/>
            <w:vAlign w:val="bottom"/>
          </w:tcPr>
          <w:p>
            <w:pPr>
              <w:jc w:val="right"/>
              <w:spacing w:after="0"/>
              <w:rPr>
                <w:sz w:val="20"/>
                <w:szCs w:val="20"/>
                <w:color w:val="auto"/>
              </w:rPr>
            </w:pPr>
            <w:r>
              <w:rPr>
                <w:rFonts w:ascii="Arial" w:cs="Arial" w:eastAsia="Arial" w:hAnsi="Arial"/>
                <w:sz w:val="18"/>
                <w:szCs w:val="18"/>
                <w:color w:val="auto"/>
              </w:rPr>
              <w:t>200</w:t>
            </w:r>
          </w:p>
        </w:tc>
        <w:tc>
          <w:tcPr>
            <w:tcW w:w="360" w:type="dxa"/>
            <w:vAlign w:val="bottom"/>
          </w:tcPr>
          <w:p>
            <w:pPr>
              <w:ind w:left="20"/>
              <w:spacing w:after="0"/>
              <w:rPr>
                <w:sz w:val="20"/>
                <w:szCs w:val="20"/>
                <w:color w:val="auto"/>
              </w:rPr>
            </w:pPr>
            <w:r>
              <w:rPr>
                <w:rFonts w:ascii="Arial" w:cs="Arial" w:eastAsia="Arial" w:hAnsi="Arial"/>
                <w:sz w:val="13"/>
                <w:szCs w:val="13"/>
                <w:color w:val="auto"/>
              </w:rPr>
              <w:t>(b)</w:t>
            </w:r>
          </w:p>
        </w:tc>
        <w:tc>
          <w:tcPr>
            <w:tcW w:w="2500" w:type="dxa"/>
            <w:vAlign w:val="bottom"/>
          </w:tcPr>
          <w:p>
            <w:pPr>
              <w:jc w:val="right"/>
              <w:spacing w:after="0"/>
              <w:rPr>
                <w:sz w:val="20"/>
                <w:szCs w:val="20"/>
                <w:color w:val="auto"/>
              </w:rPr>
            </w:pPr>
            <w:r>
              <w:rPr>
                <w:rFonts w:ascii="Arial" w:cs="Arial" w:eastAsia="Arial" w:hAnsi="Arial"/>
                <w:sz w:val="18"/>
                <w:szCs w:val="18"/>
                <w:color w:val="auto"/>
              </w:rPr>
              <w:t>1/20/2022</w:t>
            </w:r>
          </w:p>
        </w:tc>
        <w:tc>
          <w:tcPr>
            <w:tcW w:w="340" w:type="dxa"/>
            <w:vAlign w:val="bottom"/>
          </w:tcPr>
          <w:p>
            <w:pPr>
              <w:spacing w:after="0"/>
              <w:rPr>
                <w:sz w:val="19"/>
                <w:szCs w:val="19"/>
                <w:color w:val="auto"/>
              </w:rPr>
            </w:pPr>
          </w:p>
        </w:tc>
        <w:tc>
          <w:tcPr>
            <w:tcW w:w="2460" w:type="dxa"/>
            <w:vAlign w:val="bottom"/>
          </w:tcPr>
          <w:p>
            <w:pPr>
              <w:jc w:val="right"/>
              <w:spacing w:after="0"/>
              <w:rPr>
                <w:sz w:val="20"/>
                <w:szCs w:val="20"/>
                <w:color w:val="auto"/>
              </w:rPr>
            </w:pPr>
            <w:r>
              <w:rPr>
                <w:rFonts w:ascii="Arial" w:cs="Arial" w:eastAsia="Arial" w:hAnsi="Arial"/>
                <w:sz w:val="18"/>
                <w:szCs w:val="18"/>
                <w:color w:val="auto"/>
              </w:rPr>
              <w:t>6/20/2024</w:t>
            </w:r>
          </w:p>
        </w:tc>
        <w:tc>
          <w:tcPr>
            <w:tcW w:w="360" w:type="dxa"/>
            <w:vAlign w:val="bottom"/>
          </w:tcPr>
          <w:p>
            <w:pPr>
              <w:spacing w:after="0"/>
              <w:rPr>
                <w:sz w:val="19"/>
                <w:szCs w:val="19"/>
                <w:color w:val="auto"/>
              </w:rPr>
            </w:pPr>
          </w:p>
        </w:tc>
        <w:tc>
          <w:tcPr>
            <w:tcW w:w="2840" w:type="dxa"/>
            <w:vAlign w:val="bottom"/>
          </w:tcPr>
          <w:p>
            <w:pPr>
              <w:jc w:val="right"/>
              <w:spacing w:after="0"/>
              <w:rPr>
                <w:sz w:val="20"/>
                <w:szCs w:val="20"/>
                <w:color w:val="auto"/>
              </w:rPr>
            </w:pPr>
            <w:r>
              <w:rPr>
                <w:rFonts w:ascii="Arial" w:cs="Arial" w:eastAsia="Arial" w:hAnsi="Arial"/>
                <w:sz w:val="18"/>
                <w:szCs w:val="18"/>
                <w:color w:val="auto"/>
              </w:rPr>
              <w:t>0.58 %</w:t>
            </w:r>
          </w:p>
        </w:tc>
      </w:tr>
      <w:tr>
        <w:trPr>
          <w:trHeight w:val="230"/>
        </w:trPr>
        <w:tc>
          <w:tcPr>
            <w:tcW w:w="2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EEFF"/>
          </w:tcPr>
          <w:p>
            <w:pPr>
              <w:spacing w:after="0"/>
              <w:rPr>
                <w:sz w:val="19"/>
                <w:szCs w:val="19"/>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6/7/2023</w:t>
            </w:r>
          </w:p>
        </w:tc>
        <w:tc>
          <w:tcPr>
            <w:tcW w:w="340" w:type="dxa"/>
            <w:vAlign w:val="bottom"/>
            <w:shd w:val="clear" w:color="auto" w:fill="CCEEFF"/>
          </w:tcPr>
          <w:p>
            <w:pPr>
              <w:spacing w:after="0"/>
              <w:rPr>
                <w:sz w:val="19"/>
                <w:szCs w:val="19"/>
                <w:color w:val="auto"/>
              </w:rPr>
            </w:pPr>
          </w:p>
        </w:tc>
        <w:tc>
          <w:tcPr>
            <w:tcW w:w="2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6/8/2026</w:t>
            </w:r>
          </w:p>
        </w:tc>
        <w:tc>
          <w:tcPr>
            <w:tcW w:w="360" w:type="dxa"/>
            <w:vAlign w:val="bottom"/>
            <w:shd w:val="clear" w:color="auto" w:fill="CCEEFF"/>
          </w:tcPr>
          <w:p>
            <w:pPr>
              <w:spacing w:after="0"/>
              <w:rPr>
                <w:sz w:val="19"/>
                <w:szCs w:val="19"/>
                <w:color w:val="auto"/>
              </w:rPr>
            </w:pPr>
          </w:p>
        </w:tc>
        <w:tc>
          <w:tcPr>
            <w:tcW w:w="2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0.85 %</w:t>
            </w:r>
          </w:p>
        </w:tc>
      </w:tr>
    </w:tbl>
    <w:p>
      <w:pPr>
        <w:spacing w:after="0" w:line="80"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effective date refers to the date on which interest payments are first hedged by the applicable swap agreement.</w:t>
      </w:r>
    </w:p>
    <w:p>
      <w:pPr>
        <w:spacing w:after="0" w:line="23" w:lineRule="exact"/>
        <w:rPr>
          <w:rFonts w:ascii="Arial" w:cs="Arial" w:eastAsia="Arial" w:hAnsi="Arial"/>
          <w:sz w:val="18"/>
          <w:szCs w:val="18"/>
          <w:color w:val="auto"/>
        </w:rPr>
      </w:pPr>
    </w:p>
    <w:p>
      <w:pPr>
        <w:ind w:left="640" w:hanging="632"/>
        <w:spacing w:after="0"/>
        <w:tabs>
          <w:tab w:leader="none" w:pos="6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Notional amount adjusts in accordance with a specified seasonal schedule. This represents the maximum notional amount at any point in time.</w:t>
      </w:r>
    </w:p>
    <w:p>
      <w:pPr>
        <w:spacing w:after="0" w:line="15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Availability and Use of Cash</w:t>
      </w:r>
    </w:p>
    <w:p>
      <w:pPr>
        <w:spacing w:after="0" w:line="158"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believe that our cash flows from operations and borrowings under our agreements described herein will be sufficient to meet debt service, capital expenditures and working capital needs for the foreseeable future. However, we cannot ensure that our business will generate sufficient cash flow from operations or that future borrowings will be available under our borrowing agreements in amounts sufficient to pay indebtedness or fund other liquidity needs. Actual results of operations will depend on numerous factors, many of which are beyond our control as further discussed in the 2022 Annual Report, under “ITEM 1A. RISK FACTORS — Risks Related to Our M&amp;A, Lending and Financing Activities — Our indebtedness could limit our flexibility and adversely affect our financial condition.”</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u w:val="single" w:color="auto"/>
          <w:color w:val="auto"/>
        </w:rPr>
        <w:t>Financial Disclosures About Guarantors and Issuers of Guaranteed Securities</w:t>
      </w:r>
    </w:p>
    <w:p>
      <w:pPr>
        <w:spacing w:after="0" w:line="14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5.250% Senior Notes, 4.500% Senior Notes, 4.000% Senior Notes and 4.375% Senior Notes (collectively, the “Senior Notes”) were issued by Scotts Miracle-Gro on December 15, 2016, October 22, 2019, March 17, 2021 and August 13, 2021, respectively. The Senior Notes are guaranteed by certain consolidated domestic subsidiaries of Scotts Miracle-Gro (collectively, the “Guarantors”) and, therefore, we report summarized financial information in accordance with SEC Regulation S-X, Rule 13-01, “Guarantors and Issuers of Guaranteed Securities Registered or Being Registered.”</w:t>
      </w:r>
    </w:p>
    <w:p>
      <w:pPr>
        <w:spacing w:after="0" w:line="90"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guarantees are “full and unconditional,” as those terms are used in Regulation S-X, Rule 3-10(b)(3), except that a Guarantor’s guarantee will be released in certain circumstances set forth in the indentures governing the Senior Notes, such as: (i) upon any sale or other disposition of all or substantially all of the assets of the Guarantor (including by way of merger or consolidation) to any person other than Scotts Miracle-Gro or any “restricted subsidiary” under the applicable indenture; (ii) if the Guarantor merges with and into Scotts Miracle-Gro, with Scotts Miracle-Gro surviving such merger; (iii) if the Guarantor is designated an “unrestricted subsidiary” in accordance with the applicable indenture or otherwise ceases to be a “restricted subsidiary” (including by way of liquidation or dissolution) in a transaction permitted by such indenture; (iv) upon legal or covenant defeasance; (v) at the election of Scotts Miracle-Gro following the Guarantor’s release as a guarantor under the Sixth A&amp;R Credit Agreement, except a release by or as a result of the repayment of the Sixth A&amp;R Credit Agreement; or (vi) if the Guarantor ceases to be a “restricted subsidiary” and the Guarantor is not otherwise required to provide a guarantee of the Senior Notes pursuant to the applicable indenture.</w:t>
      </w:r>
    </w:p>
    <w:p>
      <w:pPr>
        <w:spacing w:after="0" w:line="113"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foreign subsidiaries and certain of our domestic subsidiaries are not guarantors (collectively, the “Non-Guarantors”) of the Senior Notes. Payments on the Senior Notes are only required to be made by Scotts Miracle-Gro and the Guarantors. As a result, no payments are required to be made from the assets of the Non-Guarantors, unless those assets are transferred by dividend or otherwise to Scotts Miracle-Gro or a Guarantor. In the event of a bankruptcy, insolvency, liquidation or reorganization of any of the Non-Guarantors, holders of their indebtedness, including their trade creditors and other obligations, will be entitled to payment of their claims from the assets of the Non-Guarantors before any assets are made available for distribution to Scotts Miracle-Gro or the Guarantors. As a result, the Senior Notes are effectively subordinated to all the liabilities of the Non-Guarantors.</w:t>
      </w:r>
    </w:p>
    <w:p>
      <w:pPr>
        <w:spacing w:after="0" w:line="200" w:lineRule="exact"/>
        <w:rPr>
          <w:sz w:val="20"/>
          <w:szCs w:val="20"/>
          <w:color w:val="auto"/>
        </w:rPr>
      </w:pPr>
    </w:p>
    <w:p>
      <w:pPr>
        <w:spacing w:after="0" w:line="30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6" w:name="page37"/>
    <w:bookmarkEnd w:id="36"/>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guarantees may be subject to review under federal bankruptcy laws or relevant state fraudulent conveyance or fraudulent transfer laws. In certain circumstances, the court could void the guarantee, subordinate the amounts owing under the guarantee, or take other actions detrimental to the holders of the Senior Notes.</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a general matter, value is given for a transfer or an obligation if, in exchange for the transfer or obligation, property is transferred or a valid antecedent debt is satisfied. A court would likely find that a Guarantor did not receive reasonably equivalent value or fair consideration for its guarantee to the extent such Guarantor did not obtain a reasonably equivalent benefit from the issuance of the Senior Notes.</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measure of insolvency varies depending upon the law of the jurisdiction that is being applied. Regardless of the measure being applied, a court could determine that a Guarantor was insolvent on the date the guarantee was issued, so that payments to the holders of the Senior Notes would constitute a preference, fraudulent transfer or conveyances on other grounds. If a guarantee is voided as a fraudulent conveyance or is found to be unenforceable for any other reason, the holders of the Senior Notes will not have a claim against the Guarantor.</w:t>
      </w:r>
    </w:p>
    <w:p>
      <w:pPr>
        <w:spacing w:after="0" w:line="11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Each guarantee contains a provision intended to limit the Guarantor’s liability to the maximum amount that it could incur without causing the incurrence of obligations under its guarantee to be a fraudulent conveyance. However, there can be no assurance as to what standard a court will apply in making a determination of the maximum liability of each Guarantor. Moreover, this provision may not be effective to protect the guarantees from being voided under fraudulent conveyance laws. There is a possibility that the entire guarantee may be set aside, in which case the entire liability may be extinguished.</w:t>
      </w:r>
    </w:p>
    <w:p>
      <w:pPr>
        <w:spacing w:after="0" w:line="1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tables present summarized financial information on a combined basis for Scotts Miracle-Gro and the Guarantors. Transactions between Scotts Miracle-Gro and the Guarantors have been eliminated and the summarized financial information does not reflect investments of the Scotts Miracle-Gro and the Guarantors in the Non-Guarantor subsidiaries.</w:t>
      </w:r>
    </w:p>
    <w:tbl>
      <w:tblPr>
        <w:tblLayout w:type="fixed"/>
        <w:tblInd w:w="0" w:type="dxa"/>
        <w:tblCellMar>
          <w:top w:w="0" w:type="dxa"/>
          <w:left w:w="0" w:type="dxa"/>
          <w:bottom w:w="0" w:type="dxa"/>
          <w:right w:w="0" w:type="dxa"/>
        </w:tblCellMar>
      </w:tblPr>
      <w:tr>
        <w:trPr>
          <w:trHeight w:val="15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0" w:type="dxa"/>
            <w:vAlign w:val="bottom"/>
            <w:gridSpan w:val="2"/>
          </w:tcPr>
          <w:p>
            <w:pPr>
              <w:ind w:left="180"/>
              <w:spacing w:after="0" w:line="151"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3"/>
                <w:szCs w:val="13"/>
                <w:color w:val="auto"/>
              </w:rPr>
            </w:pPr>
          </w:p>
        </w:tc>
        <w:tc>
          <w:tcPr>
            <w:tcW w:w="1520" w:type="dxa"/>
            <w:vAlign w:val="bottom"/>
          </w:tcPr>
          <w:p>
            <w:pPr>
              <w:jc w:val="right"/>
              <w:ind w:right="376"/>
              <w:spacing w:after="0" w:line="151"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75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1,749.6</w:t>
            </w:r>
          </w:p>
        </w:tc>
      </w:tr>
      <w:tr>
        <w:trPr>
          <w:trHeight w:val="229"/>
        </w:trPr>
        <w:tc>
          <w:tcPr>
            <w:tcW w:w="754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Non-current assets </w:t>
            </w:r>
            <w:r>
              <w:rPr>
                <w:rFonts w:ascii="Arial" w:cs="Arial" w:eastAsia="Arial" w:hAnsi="Arial"/>
                <w:sz w:val="23"/>
                <w:szCs w:val="23"/>
                <w:color w:val="auto"/>
                <w:vertAlign w:val="superscript"/>
              </w:rPr>
              <w:t>(a)</w:t>
            </w:r>
          </w:p>
        </w:tc>
        <w:tc>
          <w:tcPr>
            <w:tcW w:w="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2,065.9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2,165.4</w:t>
            </w:r>
          </w:p>
        </w:tc>
      </w:tr>
      <w:tr>
        <w:trPr>
          <w:trHeight w:val="230"/>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851.4</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3,444.5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3,117.8</w:t>
            </w:r>
          </w:p>
        </w:tc>
      </w:tr>
    </w:tbl>
    <w:p>
      <w:pPr>
        <w:spacing w:after="0" w:line="79"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amounts due from Non-Guarantor subsidiaries of $34.0 and $46.7, respectively.</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6"/>
                <w:szCs w:val="16"/>
                <w:color w:val="auto"/>
              </w:rPr>
            </w:pPr>
          </w:p>
        </w:tc>
        <w:tc>
          <w:tcPr>
            <w:tcW w:w="152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Year Ended</w:t>
            </w:r>
          </w:p>
        </w:tc>
      </w:tr>
      <w:tr>
        <w:trPr>
          <w:trHeight w:val="25"/>
        </w:trPr>
        <w:tc>
          <w:tcPr>
            <w:tcW w:w="7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128"/>
        </w:trPr>
        <w:tc>
          <w:tcPr>
            <w:tcW w:w="754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620" w:type="dxa"/>
            <w:vAlign w:val="bottom"/>
            <w:tcBorders>
              <w:top w:val="single" w:sz="8" w:color="auto"/>
            </w:tcBorders>
          </w:tcPr>
          <w:p>
            <w:pPr>
              <w:jc w:val="center"/>
              <w:ind w:right="99"/>
              <w:spacing w:after="0" w:line="129" w:lineRule="exact"/>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20" w:type="dxa"/>
            <w:vAlign w:val="bottom"/>
            <w:tcBorders>
              <w:top w:val="single" w:sz="8" w:color="auto"/>
            </w:tcBorders>
          </w:tcPr>
          <w:p>
            <w:pPr>
              <w:jc w:val="center"/>
              <w:ind w:right="199"/>
              <w:spacing w:after="0" w:line="129" w:lineRule="exact"/>
              <w:rPr>
                <w:sz w:val="20"/>
                <w:szCs w:val="20"/>
                <w:color w:val="auto"/>
              </w:rPr>
            </w:pPr>
            <w:r>
              <w:rPr>
                <w:rFonts w:ascii="Arial" w:cs="Arial" w:eastAsia="Arial" w:hAnsi="Arial"/>
                <w:sz w:val="14"/>
                <w:szCs w:val="14"/>
                <w:b w:val="1"/>
                <w:bCs w:val="1"/>
                <w:color w:val="auto"/>
                <w:w w:val="91"/>
              </w:rPr>
              <w:t>September 30,</w:t>
            </w:r>
          </w:p>
        </w:tc>
      </w:tr>
      <w:tr>
        <w:trPr>
          <w:trHeight w:val="196"/>
        </w:trPr>
        <w:tc>
          <w:tcPr>
            <w:tcW w:w="75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2022</w:t>
            </w:r>
          </w:p>
        </w:tc>
      </w:tr>
      <w:tr>
        <w:trPr>
          <w:trHeight w:val="229"/>
        </w:trPr>
        <w:tc>
          <w:tcPr>
            <w:tcW w:w="7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3,559.0</w:t>
            </w:r>
          </w:p>
        </w:tc>
      </w:tr>
      <w:tr>
        <w:trPr>
          <w:trHeight w:val="230"/>
        </w:trPr>
        <w:tc>
          <w:tcPr>
            <w:tcW w:w="75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828.7</w:t>
            </w:r>
          </w:p>
        </w:tc>
      </w:tr>
      <w:tr>
        <w:trPr>
          <w:trHeight w:val="230"/>
        </w:trPr>
        <w:tc>
          <w:tcPr>
            <w:tcW w:w="75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Net loss </w:t>
            </w:r>
            <w:r>
              <w:rPr>
                <w:rFonts w:ascii="Arial" w:cs="Arial" w:eastAsia="Arial" w:hAnsi="Arial"/>
                <w:sz w:val="23"/>
                <w:szCs w:val="23"/>
                <w:color w:val="auto"/>
                <w:vertAlign w:val="superscript"/>
              </w:rPr>
              <w:t>(a)</w:t>
            </w:r>
          </w:p>
        </w:tc>
        <w:tc>
          <w:tcPr>
            <w:tcW w:w="1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r>
    </w:tbl>
    <w:p>
      <w:pPr>
        <w:spacing w:after="0" w:line="6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intercompany income (expense) from Non-Guarantor subsidiaries of $(15.0) and $14.1,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Judicial and Administrative Proceedings</w:t>
      </w:r>
    </w:p>
    <w:p>
      <w:pPr>
        <w:spacing w:after="0" w:line="158"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We are party to various pending judicial and administrative proceedings arising in the ordinary course of business, including, among others, proceedings based on accidents or product liability claims and alleged violations of environmental laws. We have reviewed these pending judicial and administrative proceedings, including the probable outcomes, reasonably anticipated costs and expenses, and the availability and limits of our insurance coverage, and have established what we believe to be appropriate accruals. We believe that our assessment of contingencies is reasonable and that the related accruals, in the aggregate, are adequate; however, there can be no assurance that future quarterly or annual operating results will not be materially affected by these proceedings, whether as a result of adverse outcomes or as a result of significant defense costs.</w:t>
      </w:r>
    </w:p>
    <w:p>
      <w:pPr>
        <w:spacing w:after="0" w:line="200" w:lineRule="exact"/>
        <w:rPr>
          <w:sz w:val="20"/>
          <w:szCs w:val="20"/>
          <w:color w:val="auto"/>
        </w:rPr>
      </w:pPr>
    </w:p>
    <w:p>
      <w:pPr>
        <w:spacing w:after="0" w:line="302"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7" w:name="page38"/>
    <w:bookmarkEnd w:id="37"/>
    <w:p>
      <w:pPr>
        <w:ind w:left="20"/>
        <w:spacing w:after="0"/>
        <w:tabs>
          <w:tab w:leader="none" w:pos="3860" w:val="left"/>
        </w:tabs>
        <w:rPr>
          <w:sz w:val="20"/>
          <w:szCs w:val="20"/>
          <w:color w:val="auto"/>
        </w:rPr>
      </w:pPr>
      <w:r>
        <w:rPr>
          <w:rFonts w:ascii="Arial" w:cs="Arial" w:eastAsia="Arial" w:hAnsi="Arial"/>
          <w:sz w:val="18"/>
          <w:szCs w:val="18"/>
          <w:color w:val="FFFFFF"/>
        </w:rPr>
        <w:t>Contents</w:t>
      </w:r>
      <w:r>
        <w:rPr>
          <w:sz w:val="20"/>
          <w:szCs w:val="20"/>
          <w:color w:val="auto"/>
        </w:rPr>
        <w:tab/>
      </w:r>
      <w:r>
        <w:rPr>
          <w:rFonts w:ascii="Arial" w:cs="Arial" w:eastAsia="Arial" w:hAnsi="Arial"/>
          <w:sz w:val="18"/>
          <w:szCs w:val="18"/>
          <w:b w:val="1"/>
          <w:bCs w:val="1"/>
          <w:color w:val="auto"/>
        </w:rPr>
        <w:t>THE SCOTTS MIRACLE-GRO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(Dollars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4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We are subject to local, state, federal and foreign environmental protection laws and regulations with respect to our business operations and believe we are operating in substantial compliance, or taking actions aimed at ensuring compliance, with such laws and regulations. We are involved in several legal actions with various governmental agencies related to environmental matters. While it is difficult to quantify the potential financial impact of actions involving these environmental matters, particularly remediation costs at waste disposal sites and future capital expenditures for environmental control equipment, in the opinion of management, the ultimate liability arising from such environmental matters, taking into account established accruals, is not expected to have a material effect on our financial condition, results of operations or cash flows. However, there can be no assurance that the resolution of these matters will not materially affect our future quarterly or annual results of operations, financial condition or cash flows. Additional information on environmental matters affecting us is provided in the 2022 Annual Report, under “ITEM 1. BUSINESS — Regulatory Considerations” and “ITEM 3. LEGAL PROCEEDINGS.”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6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The preparation of financial statements requires management to use judgment and make estimates that affect the reported amounts of assets, liabilities, revenues and expenses and related disclosures of contingent assets and liabilities. We evaluate our estimates on an ongoing basis. By their nature, these judgments are subject to uncertainty. We base our estimates on historical experience and on various other sources that we believe to be reasonable under the circumstances. Certain accounting policies are particularly significant, including those related to revenue recognition, income taxes and goodwill and intangible assets. Our critical accounting policies are reviewed periodically with the Audit Committee of the Board of Directors of Scotts Miracle-Gro. Our critical accounting policies and estimates have not changed materially from those disclosed in the 2022 Annual Report.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Market risks have not changed materially from those disclosed in the 2022 Annual Report.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Scotts Miracle-Gro Company (the “Registrant”) maintains “disclosure controls and procedures,” as such term is defined under Exchange Act Rule 13a-15(e), that are designed to ensure that information required to be disclosed in the Registrant’s Exchange Act reports is recorded, processed, summarized and reported within the time periods specified in the SEC’s rules and forms, and that such information is accumulated and communicated to the Registrant’s management, including its principal executive officer and its principal financial officer, as appropriate, to allow timely decisions regarding required disclosure. In designing and evaluating the disclosure controls and procedures, the Registrant’s management recognized that any controls and procedures, no matter how well designed and operated, can provide only reasonable assurance of achieving the desired control objectives, and in reaching a reasonable level of assurance, the Registrant’s management necessarily was required to apply its judgment in evaluating the cost-benefit relationship of possible controls and procedures.</w:t>
      </w:r>
    </w:p>
    <w:p>
      <w:pPr>
        <w:spacing w:after="0" w:line="124"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With the participation of the principal executive officer and principal financial officer of the Registrant, the Registrant’s management has evaluated the effectiveness of the Registrant’s disclosure controls and procedures (as defined in Rule 13a-15(e) under the Exchange Act, as amended (the “Exchange Act”)) as of the end of the fiscal quarter covered by this Quarterly Report on Form 10-Q. Based upon that evaluation, the Registrant’s principal executive officer and principal financial officer have concluded that the Registrant’s disclosure controls and procedures were effective as of December 31, 2022.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5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addition, there were no changes in the Registrant’s internal control over financial reporting (as defined in Rule 13a-15(f) under the Exchange Act) that occurred during the Registrant’s fiscal quarter ended December 31, 2022 that have materially affected, or are reasonably likely to materially affect,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2"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Reference is made to the legal proceedings that have been previously disclosed in Part I, Item 3 of the 2022 Annual Report. There have been no material developments to the pending legal proceedings set forth therein.</w:t>
      </w:r>
    </w:p>
    <w:p>
      <w:pPr>
        <w:spacing w:after="0" w:line="10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involved in other lawsuits and claims which arise in the normal course of our business including the initiation and defense of proceedings to protect intellectual property rights, advertising claims and employment disputes. In our opinion, these claims individually and in the aggregate are not expected to have a material adverse effect on our financial condition, results of operations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6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Company’s risk factors, as of December 31, 2022, have not materially changed from those described in Part I, Item 1A of the 2022 Annual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This Quarterly Report on Form 10-Q, including the exhibits hereto and the information incorporated by reference herein, contains “forward-looking statements” within the meaning of Section 27A of the Securities Act of 1933, as amended, and Section 21E of the Exchange Act, as amended, which are subject to risks and uncertainties. Information regarding activities, events and developments that we expect or anticipate will or may occur in the future, including, but not limited to, information relating to our future growth and profitability targets and strategies designed to increase total shareholder value, are forward-looking statements based on management’s estimates, assumptions and projections. Forward-looking statements also include, but are not limited to, statements regarding our future economic and financial condition and results of operations, the plans and objectives of management and our assumptions regarding our performance and such plans and objectives, as well as the amount and timing of repurchases of our Common Shares or other uses of cash flows. Forward-looking statements generally can be identified through the use of words such as “guidance,” “outlook,” “projected,” “believe,” “target,” “predict,” “estimate,” “forecast,” “strategy,” “may,” “goal,” “expect,” “anticipate,” “intend,” “plan,” “foresee,” “likely,” “will,” “should” and other similar words and variations.</w:t>
      </w:r>
    </w:p>
    <w:p>
      <w:pPr>
        <w:spacing w:after="0" w:line="118"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Forward-looking statements contained in this Quarterly Report on Form 10-Q are predictions only and actual results could differ materially from management’s expectations due to a variety of factors, including those described in “ITEM 1A. RISK FACTORS” in the 2022 Annual Report. All forward-looking statements attributable to us or persons working on our behalf are expressly qualified in their entirety by such risk factors.</w:t>
      </w:r>
    </w:p>
    <w:p>
      <w:pPr>
        <w:spacing w:after="0" w:line="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forward-looking statements that we make in this Quarterly Report on Form 10-Q are based on management’s current views and assumptions regarding future events and speak only as of their dates. We disclaim any obligation to update developments of these risk factors or to announce publicly any revisions to any of the forward-looking statements that we make, or to make corrections to reflect future events or developments, except as required by the federal securities laws.</w:t>
      </w:r>
    </w:p>
    <w:p>
      <w:pPr>
        <w:spacing w:after="0" w:line="200" w:lineRule="exact"/>
        <w:rPr>
          <w:sz w:val="20"/>
          <w:szCs w:val="20"/>
          <w:color w:val="auto"/>
        </w:rPr>
      </w:pPr>
    </w:p>
    <w:p>
      <w:pPr>
        <w:spacing w:after="0" w:line="32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48"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payment of future dividends, if any, on the Common Shares will be determined by the Board of Directors in light of conditions then existing, including the Company’s earnings, financial condition and capital requirements, restrictions in financing agreements, business conditions and other factors. On June 8, 2022, the Company entered into the Amendment to the Sixth A&amp;R Credit Agreement, which limits the Company’s ability to declare or pay any discretionary dividends, distributions or other restricted payments during the Leverage Adjustment Period to only the payment of (i) regularly scheduled cash dividends to holders of its Common Shares in an aggregate amount not to exceed $225.0 million per fiscal year and (ii) other dividends, distributions or other restricted payments in an aggregate amount not to exceed $25.0 million. The Amendment also requires pro forma compliance with certain leverage levels specified in the Amendment with respect to the Company’s ability to consummate certain acquisitions and incur debt.</w:t>
      </w:r>
    </w:p>
    <w:p>
      <w:pPr>
        <w:spacing w:after="0" w:line="9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December 14, 2022, Scotts Miracle-Gro issued 388,878 Common Shares to a vendor who is an accredited investor as consideration for advertising services. The issuance of the Common Shares was exempt from the registration requirements of the Securities Act of 1933, as amended (the “Securities Act”), pursuant to Section 4(a)(2) of the Securities Act. Scotts Miracle-Gro issued the Common Shares in a privately negotiated transaction, and such shares were acquired for the recipients’ accounts for investment purposes. A legend was placed on Common Shares referencing the restricted nature of the Common Shares.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purchases of Common Shares made by or on behalf of Scotts Miracle-Gro or any “affiliated purchaser” (as defined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Rule 10b-18(a)(3) under the Exchange Act, as amended) of Scotts Miracle-Gro for each of the three fiscal months in the quarter ended December 31, 2022:</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Period</w:t>
      </w:r>
    </w:p>
    <w:p>
      <w:pPr>
        <w:spacing w:after="0" w:line="54" w:lineRule="exact"/>
        <w:rPr>
          <w:sz w:val="20"/>
          <w:szCs w:val="20"/>
          <w:color w:val="auto"/>
        </w:rPr>
      </w:pPr>
    </w:p>
    <w:p>
      <w:pPr>
        <w:ind w:left="20" w:right="160"/>
        <w:spacing w:after="0" w:line="297" w:lineRule="auto"/>
        <w:rPr>
          <w:sz w:val="20"/>
          <w:szCs w:val="20"/>
          <w:color w:val="auto"/>
        </w:rPr>
      </w:pPr>
      <w:r>
        <w:rPr>
          <w:rFonts w:ascii="Arial" w:cs="Arial" w:eastAsia="Arial" w:hAnsi="Arial"/>
          <w:sz w:val="16"/>
          <w:szCs w:val="16"/>
          <w:color w:val="auto"/>
        </w:rPr>
        <w:t>October 1, 2022 through October 29, 2022 October 30, 2022 through November 26, 2022 November 27, 2022 through December 31, 2022 Total</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center"/>
              <w:ind w:left="168"/>
              <w:spacing w:after="0"/>
              <w:rPr>
                <w:sz w:val="20"/>
                <w:szCs w:val="20"/>
                <w:color w:val="auto"/>
              </w:rPr>
            </w:pPr>
            <w:r>
              <w:rPr>
                <w:rFonts w:ascii="Arial" w:cs="Arial" w:eastAsia="Arial" w:hAnsi="Arial"/>
                <w:sz w:val="14"/>
                <w:szCs w:val="14"/>
                <w:b w:val="1"/>
                <w:bCs w:val="1"/>
                <w:color w:val="auto"/>
                <w:w w:val="94"/>
              </w:rPr>
              <w:t>Total Number of</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vMerge w:val="restart"/>
          </w:tcPr>
          <w:p>
            <w:pPr>
              <w:jc w:val="center"/>
              <w:ind w:right="85"/>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1500" w:type="dxa"/>
            <w:vAlign w:val="bottom"/>
          </w:tcPr>
          <w:p>
            <w:pPr>
              <w:jc w:val="center"/>
              <w:ind w:left="168"/>
              <w:spacing w:after="0" w:line="145" w:lineRule="exact"/>
              <w:rPr>
                <w:sz w:val="20"/>
                <w:szCs w:val="20"/>
                <w:color w:val="auto"/>
              </w:rPr>
            </w:pPr>
            <w:r>
              <w:rPr>
                <w:rFonts w:ascii="Arial" w:cs="Arial" w:eastAsia="Arial" w:hAnsi="Arial"/>
                <w:sz w:val="14"/>
                <w:szCs w:val="14"/>
                <w:b w:val="1"/>
                <w:bCs w:val="1"/>
                <w:color w:val="auto"/>
                <w:w w:val="90"/>
              </w:rPr>
              <w:t>Purchased as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5" w:lineRule="exact"/>
              <w:rPr>
                <w:sz w:val="20"/>
                <w:szCs w:val="20"/>
                <w:color w:val="auto"/>
              </w:rPr>
            </w:pPr>
            <w:r>
              <w:rPr>
                <w:rFonts w:ascii="Arial" w:cs="Arial" w:eastAsia="Arial" w:hAnsi="Arial"/>
                <w:sz w:val="14"/>
                <w:szCs w:val="14"/>
                <w:b w:val="1"/>
                <w:bCs w:val="1"/>
                <w:color w:val="auto"/>
                <w:w w:val="94"/>
              </w:rPr>
              <w:t>Value of Common Shares</w:t>
            </w:r>
          </w:p>
        </w:tc>
        <w:tc>
          <w:tcPr>
            <w:tcW w:w="0" w:type="dxa"/>
            <w:vAlign w:val="bottom"/>
          </w:tcPr>
          <w:p>
            <w:pPr>
              <w:spacing w:after="0"/>
              <w:rPr>
                <w:sz w:val="1"/>
                <w:szCs w:val="1"/>
                <w:color w:val="auto"/>
              </w:rPr>
            </w:pPr>
          </w:p>
        </w:tc>
      </w:tr>
      <w:tr>
        <w:trPr>
          <w:trHeight w:val="148"/>
        </w:trPr>
        <w:tc>
          <w:tcPr>
            <w:tcW w:w="15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85"/>
              <w:spacing w:after="0" w:line="149" w:lineRule="exact"/>
              <w:rPr>
                <w:sz w:val="20"/>
                <w:szCs w:val="20"/>
                <w:color w:val="auto"/>
              </w:rPr>
            </w:pPr>
            <w:r>
              <w:rPr>
                <w:rFonts w:ascii="Arial" w:cs="Arial" w:eastAsia="Arial" w:hAnsi="Arial"/>
                <w:sz w:val="14"/>
                <w:szCs w:val="14"/>
                <w:b w:val="1"/>
                <w:bCs w:val="1"/>
                <w:color w:val="auto"/>
                <w:w w:val="97"/>
              </w:rPr>
              <w:t>That May Yet be</w:t>
            </w:r>
          </w:p>
        </w:tc>
        <w:tc>
          <w:tcPr>
            <w:tcW w:w="0" w:type="dxa"/>
            <w:vAlign w:val="bottom"/>
          </w:tcPr>
          <w:p>
            <w:pPr>
              <w:spacing w:after="0"/>
              <w:rPr>
                <w:sz w:val="1"/>
                <w:szCs w:val="1"/>
                <w:color w:val="auto"/>
              </w:rPr>
            </w:pPr>
          </w:p>
        </w:tc>
      </w:tr>
      <w:tr>
        <w:trPr>
          <w:trHeight w:val="139"/>
        </w:trPr>
        <w:tc>
          <w:tcPr>
            <w:tcW w:w="15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89"/>
              </w:rPr>
              <w:t>Common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4"/>
              </w:rPr>
              <w:t>Paid per</w:t>
            </w:r>
          </w:p>
        </w:tc>
        <w:tc>
          <w:tcPr>
            <w:tcW w:w="1500" w:type="dxa"/>
            <w:vAlign w:val="bottom"/>
          </w:tcPr>
          <w:p>
            <w:pPr>
              <w:jc w:val="center"/>
              <w:ind w:left="168"/>
              <w:spacing w:after="0" w:line="139" w:lineRule="exact"/>
              <w:rPr>
                <w:sz w:val="20"/>
                <w:szCs w:val="20"/>
                <w:color w:val="auto"/>
              </w:rPr>
            </w:pPr>
            <w:r>
              <w:rPr>
                <w:rFonts w:ascii="Arial" w:cs="Arial" w:eastAsia="Arial" w:hAnsi="Arial"/>
                <w:sz w:val="14"/>
                <w:szCs w:val="14"/>
                <w:b w:val="1"/>
                <w:bCs w:val="1"/>
                <w:color w:val="auto"/>
                <w:w w:val="92"/>
              </w:rPr>
              <w:t>Announced Plans or</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jc w:val="center"/>
              <w:ind w:right="65"/>
              <w:spacing w:after="0" w:line="13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92"/>
        </w:trPr>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 (1)</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b w:val="1"/>
                <w:bCs w:val="1"/>
                <w:color w:val="auto"/>
                <w:w w:val="93"/>
              </w:rPr>
              <w:t>Common Share (2)</w:t>
            </w:r>
          </w:p>
        </w:tc>
        <w:tc>
          <w:tcPr>
            <w:tcW w:w="100" w:type="dxa"/>
            <w:vAlign w:val="bottom"/>
          </w:tcPr>
          <w:p>
            <w:pPr>
              <w:spacing w:after="0"/>
              <w:rPr>
                <w:sz w:val="16"/>
                <w:szCs w:val="16"/>
                <w:color w:val="auto"/>
              </w:rPr>
            </w:pPr>
          </w:p>
        </w:tc>
        <w:tc>
          <w:tcPr>
            <w:tcW w:w="1500" w:type="dxa"/>
            <w:vAlign w:val="bottom"/>
            <w:tcBorders>
              <w:bottom w:val="single" w:sz="8" w:color="auto"/>
            </w:tcBorders>
          </w:tcPr>
          <w:p>
            <w:pPr>
              <w:jc w:val="center"/>
              <w:ind w:left="168"/>
              <w:spacing w:after="0"/>
              <w:rPr>
                <w:sz w:val="20"/>
                <w:szCs w:val="20"/>
                <w:color w:val="auto"/>
              </w:rPr>
            </w:pPr>
            <w:r>
              <w:rPr>
                <w:rFonts w:ascii="Arial" w:cs="Arial" w:eastAsia="Arial" w:hAnsi="Arial"/>
                <w:sz w:val="14"/>
                <w:szCs w:val="14"/>
                <w:b w:val="1"/>
                <w:bCs w:val="1"/>
                <w:color w:val="auto"/>
                <w:w w:val="94"/>
              </w:rPr>
              <w:t>Programs (3)</w:t>
            </w: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85"/>
              <w:spacing w:after="0"/>
              <w:rPr>
                <w:sz w:val="20"/>
                <w:szCs w:val="20"/>
                <w:color w:val="auto"/>
              </w:rPr>
            </w:pPr>
            <w:r>
              <w:rPr>
                <w:rFonts w:ascii="Arial" w:cs="Arial" w:eastAsia="Arial" w:hAnsi="Arial"/>
                <w:sz w:val="14"/>
                <w:szCs w:val="14"/>
                <w:b w:val="1"/>
                <w:bCs w:val="1"/>
                <w:color w:val="auto"/>
                <w:w w:val="93"/>
              </w:rPr>
              <w:t>Plans or Programs (3)</w:t>
            </w:r>
          </w:p>
        </w:tc>
        <w:tc>
          <w:tcPr>
            <w:tcW w:w="0" w:type="dxa"/>
            <w:vAlign w:val="bottom"/>
          </w:tcPr>
          <w:p>
            <w:pPr>
              <w:spacing w:after="0"/>
              <w:rPr>
                <w:sz w:val="1"/>
                <w:szCs w:val="1"/>
                <w:color w:val="auto"/>
              </w:rPr>
            </w:pPr>
          </w:p>
        </w:tc>
      </w:tr>
      <w:tr>
        <w:trPr>
          <w:trHeight w:val="210"/>
        </w:trPr>
        <w:tc>
          <w:tcPr>
            <w:tcW w:w="1520" w:type="dxa"/>
            <w:vAlign w:val="bottom"/>
          </w:tcPr>
          <w:p>
            <w:pPr>
              <w:jc w:val="right"/>
              <w:spacing w:after="0"/>
              <w:rPr>
                <w:sz w:val="20"/>
                <w:szCs w:val="20"/>
                <w:color w:val="auto"/>
              </w:rPr>
            </w:pPr>
            <w:r>
              <w:rPr>
                <w:rFonts w:ascii="Arial" w:cs="Arial" w:eastAsia="Arial" w:hAnsi="Arial"/>
                <w:sz w:val="16"/>
                <w:szCs w:val="16"/>
                <w:color w:val="auto"/>
              </w:rPr>
              <w:t>2,166</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47.75</w:t>
            </w:r>
          </w:p>
        </w:tc>
        <w:tc>
          <w:tcPr>
            <w:tcW w:w="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461,912,353</w:t>
            </w:r>
          </w:p>
        </w:tc>
        <w:tc>
          <w:tcPr>
            <w:tcW w:w="0" w:type="dxa"/>
            <w:vAlign w:val="bottom"/>
          </w:tcPr>
          <w:p>
            <w:pPr>
              <w:spacing w:after="0"/>
              <w:rPr>
                <w:sz w:val="1"/>
                <w:szCs w:val="1"/>
                <w:color w:val="auto"/>
              </w:rPr>
            </w:pPr>
          </w:p>
        </w:tc>
      </w:tr>
      <w:tr>
        <w:trPr>
          <w:trHeight w:val="216"/>
        </w:trPr>
        <w:tc>
          <w:tcPr>
            <w:tcW w:w="152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461,912,353</w:t>
            </w:r>
          </w:p>
        </w:tc>
        <w:tc>
          <w:tcPr>
            <w:tcW w:w="0" w:type="dxa"/>
            <w:vAlign w:val="bottom"/>
          </w:tcPr>
          <w:p>
            <w:pPr>
              <w:spacing w:after="0"/>
              <w:rPr>
                <w:sz w:val="1"/>
                <w:szCs w:val="1"/>
                <w:color w:val="auto"/>
              </w:rPr>
            </w:pPr>
          </w:p>
        </w:tc>
      </w:tr>
      <w:tr>
        <w:trPr>
          <w:trHeight w:val="219"/>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52.53</w:t>
            </w:r>
          </w:p>
        </w:tc>
        <w:tc>
          <w:tcPr>
            <w:tcW w:w="10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461,912,353</w:t>
            </w:r>
          </w:p>
        </w:tc>
        <w:tc>
          <w:tcPr>
            <w:tcW w:w="0" w:type="dxa"/>
            <w:vAlign w:val="bottom"/>
          </w:tcPr>
          <w:p>
            <w:pPr>
              <w:spacing w:after="0"/>
              <w:rPr>
                <w:sz w:val="1"/>
                <w:szCs w:val="1"/>
                <w:color w:val="auto"/>
              </w:rPr>
            </w:pPr>
          </w:p>
        </w:tc>
      </w:tr>
      <w:tr>
        <w:trPr>
          <w:trHeight w:val="21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4,988</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50.45</w:t>
            </w:r>
          </w:p>
        </w:tc>
        <w:tc>
          <w:tcPr>
            <w:tcW w:w="100" w:type="dxa"/>
            <w:vAlign w:val="bottom"/>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-2572385</wp:posOffset>
            </wp:positionH>
            <wp:positionV relativeFrom="paragraph">
              <wp:posOffset>-599440</wp:posOffset>
            </wp:positionV>
            <wp:extent cx="713232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-2572385</wp:posOffset>
            </wp:positionH>
            <wp:positionV relativeFrom="paragraph">
              <wp:posOffset>-316230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7180"/>
          </w:cols>
          <w:pgMar w:left="320" w:top="125" w:right="339" w:bottom="1440" w:gutter="0" w:footer="0" w:header="0"/>
          <w:type w:val="continuous"/>
        </w:sectPr>
      </w:pPr>
    </w:p>
    <w:p>
      <w:pPr>
        <w:spacing w:after="0" w:line="123" w:lineRule="exact"/>
        <w:rPr>
          <w:sz w:val="20"/>
          <w:szCs w:val="20"/>
          <w:color w:val="auto"/>
        </w:rPr>
      </w:pPr>
    </w:p>
    <w:p>
      <w:pPr>
        <w:jc w:val="both"/>
        <w:ind w:left="660" w:hanging="328"/>
        <w:spacing w:after="0" w:line="263" w:lineRule="auto"/>
        <w:tabs>
          <w:tab w:leader="none" w:pos="654"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of the Common Shares purchased during the first quarter of fiscal 2023 were purchased in open market transactions. The total number of Common Shares purchased during the quarter includes 4,988 Common Shares purchased by the trustee of the rabbi trust established by the Company as permitted pursuant to the terms of The Scotts Company LLC Executive Retirement Plan.</w:t>
      </w:r>
    </w:p>
    <w:p>
      <w:pPr>
        <w:spacing w:after="0" w:line="210" w:lineRule="exact"/>
        <w:rPr>
          <w:rFonts w:ascii="Arial" w:cs="Arial" w:eastAsia="Arial" w:hAnsi="Arial"/>
          <w:sz w:val="18"/>
          <w:szCs w:val="18"/>
          <w:color w:val="auto"/>
        </w:rPr>
      </w:pPr>
    </w:p>
    <w:p>
      <w:pPr>
        <w:ind w:left="640" w:hanging="308"/>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price paid per Common Share is calculated on a settlement basis and includes commissions.</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14"/>
        </w:numPr>
        <w:rPr>
          <w:rFonts w:ascii="Arial" w:cs="Arial" w:eastAsia="Arial" w:hAnsi="Arial"/>
          <w:sz w:val="18"/>
          <w:szCs w:val="18"/>
          <w:color w:val="333333"/>
        </w:rPr>
      </w:pPr>
      <w:r>
        <w:rPr>
          <w:rFonts w:ascii="Arial" w:cs="Arial" w:eastAsia="Arial" w:hAnsi="Arial"/>
          <w:sz w:val="18"/>
          <w:szCs w:val="18"/>
          <w:color w:val="auto"/>
        </w:rPr>
        <w:t>On February 6, 2020, the Company announced a new repurchase program allowing for repurchases of up to $750.0 million of Common Shares from April 30, 2020 through March 25, 2023.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Index to Exhibits at page 41 for a list of the exhibits included herewith.</w:t>
      </w:r>
    </w:p>
    <w:p>
      <w:pPr>
        <w:spacing w:after="0" w:line="200" w:lineRule="exact"/>
        <w:rPr>
          <w:sz w:val="20"/>
          <w:szCs w:val="20"/>
          <w:color w:val="auto"/>
        </w:rPr>
      </w:pPr>
    </w:p>
    <w:p>
      <w:pPr>
        <w:spacing w:after="0" w:line="36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color w:val="FFFFFF"/>
        </w:rPr>
        <w:t>Contents</w:t>
      </w:r>
    </w:p>
    <w:p>
      <w:pPr>
        <w:spacing w:after="0" w:line="27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THE SCOTTS MIRACLE-GRO COMPANY</w:t>
      </w:r>
    </w:p>
    <w:p>
      <w:pPr>
        <w:spacing w:after="0" w:line="23"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QUARTERLY REPORT ON FORM 10-Q</w:t>
      </w:r>
    </w:p>
    <w:p>
      <w:pPr>
        <w:spacing w:after="0" w:line="9" w:lineRule="exact"/>
        <w:rPr>
          <w:sz w:val="20"/>
          <w:szCs w:val="20"/>
          <w:color w:val="auto"/>
        </w:rPr>
      </w:pPr>
    </w:p>
    <w:p>
      <w:pPr>
        <w:jc w:val="center"/>
        <w:ind w:left="1140"/>
        <w:spacing w:after="0"/>
        <w:rPr>
          <w:sz w:val="20"/>
          <w:szCs w:val="20"/>
          <w:color w:val="auto"/>
        </w:rPr>
      </w:pPr>
      <w:r>
        <w:rPr>
          <w:rFonts w:ascii="Arial" w:cs="Arial" w:eastAsia="Arial" w:hAnsi="Arial"/>
          <w:sz w:val="18"/>
          <w:szCs w:val="18"/>
          <w:color w:val="auto"/>
        </w:rPr>
        <w:t>FOR THE QUARTERLY PERIOD ENDED DECEMBER 31, 2022</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80" w:type="dxa"/>
            <w:vAlign w:val="bottom"/>
            <w:gridSpan w:val="4"/>
          </w:tcPr>
          <w:p>
            <w:pPr>
              <w:ind w:left="3560"/>
              <w:spacing w:after="0"/>
              <w:rPr>
                <w:sz w:val="20"/>
                <w:szCs w:val="20"/>
                <w:color w:val="auto"/>
              </w:rPr>
            </w:pPr>
            <w:r>
              <w:rPr>
                <w:rFonts w:ascii="Arial" w:cs="Arial" w:eastAsia="Arial" w:hAnsi="Arial"/>
                <w:sz w:val="18"/>
                <w:szCs w:val="18"/>
                <w:color w:val="auto"/>
              </w:rPr>
              <w:t>INDEX TO EXHIBITS</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180" w:type="dxa"/>
            <w:vAlign w:val="bottom"/>
            <w:gridSpan w:val="2"/>
            <w:vMerge w:val="restart"/>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2"/>
                <w:szCs w:val="22"/>
                <w:color w:val="auto"/>
              </w:rPr>
            </w:pPr>
          </w:p>
        </w:tc>
        <w:tc>
          <w:tcPr>
            <w:tcW w:w="44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0" w:type="dxa"/>
            <w:vAlign w:val="bottom"/>
            <w:tcBorders>
              <w:bottom w:val="single" w:sz="8" w:color="auto"/>
            </w:tcBorders>
            <w:gridSpan w:val="5"/>
          </w:tcPr>
          <w:p>
            <w:pPr>
              <w:ind w:left="440"/>
              <w:spacing w:after="0"/>
              <w:rPr>
                <w:sz w:val="20"/>
                <w:szCs w:val="20"/>
                <w:color w:val="auto"/>
              </w:rPr>
            </w:pPr>
            <w:r>
              <w:rPr>
                <w:rFonts w:ascii="Arial" w:cs="Arial" w:eastAsia="Arial" w:hAnsi="Arial"/>
                <w:sz w:val="18"/>
                <w:szCs w:val="18"/>
                <w:color w:val="auto"/>
              </w:rPr>
              <w:t>Incorporated by Reference</w:t>
            </w:r>
          </w:p>
        </w:tc>
        <w:tc>
          <w:tcPr>
            <w:tcW w:w="0" w:type="dxa"/>
            <w:vAlign w:val="bottom"/>
          </w:tcPr>
          <w:p>
            <w:pPr>
              <w:spacing w:after="0"/>
              <w:rPr>
                <w:sz w:val="1"/>
                <w:szCs w:val="1"/>
                <w:color w:val="auto"/>
              </w:rPr>
            </w:pPr>
          </w:p>
        </w:tc>
      </w:tr>
      <w:tr>
        <w:trPr>
          <w:trHeight w:val="155"/>
        </w:trPr>
        <w:tc>
          <w:tcPr>
            <w:tcW w:w="11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180" w:type="dxa"/>
            <w:vAlign w:val="bottom"/>
            <w:gridSpan w:val="2"/>
          </w:tcPr>
          <w:p>
            <w:pPr>
              <w:ind w:left="2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1"/>
                <w:szCs w:val="21"/>
                <w:color w:val="auto"/>
              </w:rPr>
            </w:pPr>
          </w:p>
        </w:tc>
        <w:tc>
          <w:tcPr>
            <w:tcW w:w="6080" w:type="dxa"/>
            <w:vAlign w:val="bottom"/>
            <w:gridSpan w:val="4"/>
          </w:tcPr>
          <w:p>
            <w:pPr>
              <w:ind w:left="2560"/>
              <w:spacing w:after="0"/>
              <w:rPr>
                <w:sz w:val="20"/>
                <w:szCs w:val="20"/>
                <w:color w:val="auto"/>
              </w:rPr>
            </w:pPr>
            <w:r>
              <w:rPr>
                <w:rFonts w:ascii="Arial" w:cs="Arial" w:eastAsia="Arial" w:hAnsi="Arial"/>
                <w:sz w:val="18"/>
                <w:szCs w:val="18"/>
                <w:color w:val="auto"/>
              </w:rPr>
              <w:t>Description</w:t>
            </w:r>
          </w:p>
        </w:tc>
        <w:tc>
          <w:tcPr>
            <w:tcW w:w="8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Form</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Exhibit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Filing Date</w:t>
            </w:r>
          </w:p>
        </w:tc>
        <w:tc>
          <w:tcPr>
            <w:tcW w:w="0" w:type="dxa"/>
            <w:vAlign w:val="bottom"/>
          </w:tcPr>
          <w:p>
            <w:pPr>
              <w:spacing w:after="0"/>
              <w:rPr>
                <w:sz w:val="1"/>
                <w:szCs w:val="1"/>
                <w:color w:val="auto"/>
              </w:rPr>
            </w:pPr>
          </w:p>
        </w:tc>
      </w:tr>
      <w:tr>
        <w:trPr>
          <w:trHeight w:val="183"/>
        </w:trPr>
        <w:tc>
          <w:tcPr>
            <w:tcW w:w="1060" w:type="dxa"/>
            <w:vAlign w:val="bottom"/>
            <w:tcBorders>
              <w:top w:val="single" w:sz="8" w:color="auto"/>
            </w:tcBorders>
          </w:tcPr>
          <w:p>
            <w:pPr>
              <w:ind w:left="2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960" w:type="dxa"/>
            <w:vAlign w:val="bottom"/>
            <w:tcBorders>
              <w:top w:val="single" w:sz="8" w:color="auto"/>
            </w:tcBorders>
            <w:gridSpan w:val="3"/>
          </w:tcPr>
          <w:p>
            <w:pPr>
              <w:spacing w:after="0" w:line="182" w:lineRule="exact"/>
              <w:rPr>
                <w:rFonts w:ascii="Arial" w:cs="Arial" w:eastAsia="Arial" w:hAnsi="Arial"/>
                <w:sz w:val="18"/>
                <w:szCs w:val="18"/>
                <w:color w:val="0000FF"/>
                <w:w w:val="91"/>
              </w:rPr>
            </w:pPr>
            <w:hyperlink r:id="rId57">
              <w:r>
                <w:rPr>
                  <w:rFonts w:ascii="Arial" w:cs="Arial" w:eastAsia="Arial" w:hAnsi="Arial"/>
                  <w:sz w:val="18"/>
                  <w:szCs w:val="18"/>
                  <w:color w:val="0000FF"/>
                  <w:w w:val="91"/>
                </w:rPr>
                <w:t>Separation Agreement and Release of All Claims, effective as of October 4, 2022,</w:t>
              </w:r>
            </w:hyperlink>
          </w:p>
        </w:tc>
        <w:tc>
          <w:tcPr>
            <w:tcW w:w="120" w:type="dxa"/>
            <w:vAlign w:val="bottom"/>
          </w:tcPr>
          <w:p>
            <w:pPr>
              <w:spacing w:after="0"/>
              <w:rPr>
                <w:sz w:val="15"/>
                <w:szCs w:val="15"/>
                <w:color w:val="auto"/>
              </w:rPr>
            </w:pPr>
          </w:p>
        </w:tc>
        <w:tc>
          <w:tcPr>
            <w:tcW w:w="7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8"/>
                <w:szCs w:val="18"/>
                <w:color w:val="auto"/>
                <w:w w:val="90"/>
              </w:rPr>
              <w:t>October 4,</w:t>
            </w: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2"/>
          </w:tcPr>
          <w:p>
            <w:pPr>
              <w:spacing w:after="0" w:line="156" w:lineRule="exact"/>
              <w:rPr>
                <w:rFonts w:ascii="Arial" w:cs="Arial" w:eastAsia="Arial" w:hAnsi="Arial"/>
                <w:sz w:val="18"/>
                <w:szCs w:val="18"/>
                <w:color w:val="0000FF"/>
              </w:rPr>
            </w:pPr>
            <w:hyperlink r:id="rId57">
              <w:r>
                <w:rPr>
                  <w:rFonts w:ascii="Arial" w:cs="Arial" w:eastAsia="Arial" w:hAnsi="Arial"/>
                  <w:sz w:val="18"/>
                  <w:szCs w:val="18"/>
                  <w:color w:val="0000FF"/>
                </w:rPr>
                <w:t>by and between The Scotts Company LLC and Cory J. Miller</w:t>
              </w:r>
            </w:hyperlink>
          </w:p>
        </w:tc>
        <w:tc>
          <w:tcPr>
            <w:tcW w:w="180" w:type="dxa"/>
            <w:vAlign w:val="bottom"/>
            <w:gridSpan w:val="2"/>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Arial" w:cs="Arial" w:eastAsia="Arial" w:hAnsi="Arial"/>
                <w:sz w:val="18"/>
                <w:szCs w:val="18"/>
                <w:color w:val="auto"/>
                <w:w w:val="89"/>
              </w:rPr>
              <w:t>2022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1220" w:hanging="1181"/>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Subsidiaries of The Scotts Miracle-Gro Company</w:t>
      </w:r>
    </w:p>
    <w:p>
      <w:pPr>
        <w:spacing w:after="0" w:line="23" w:lineRule="exact"/>
        <w:rPr>
          <w:rFonts w:ascii="Arial" w:cs="Arial" w:eastAsia="Arial" w:hAnsi="Arial"/>
          <w:sz w:val="18"/>
          <w:szCs w:val="18"/>
          <w:color w:val="auto"/>
        </w:rPr>
      </w:pPr>
    </w:p>
    <w:p>
      <w:pPr>
        <w:ind w:left="1220" w:hanging="1181"/>
        <w:spacing w:after="0"/>
        <w:tabs>
          <w:tab w:leader="none" w:pos="122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Guarantor Subsidiaries</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80" w:type="dxa"/>
            <w:vAlign w:val="bottom"/>
          </w:tcPr>
          <w:p>
            <w:pPr>
              <w:jc w:val="right"/>
              <w:ind w:right="770"/>
              <w:spacing w:after="0"/>
              <w:rPr>
                <w:sz w:val="20"/>
                <w:szCs w:val="20"/>
                <w:color w:val="auto"/>
              </w:rPr>
            </w:pPr>
            <w:r>
              <w:rPr>
                <w:rFonts w:ascii="Arial" w:cs="Arial" w:eastAsia="Arial" w:hAnsi="Arial"/>
                <w:sz w:val="18"/>
                <w:szCs w:val="18"/>
                <w:color w:val="auto"/>
                <w:w w:val="85"/>
              </w:rPr>
              <w:t>31.1</w:t>
            </w:r>
          </w:p>
        </w:tc>
        <w:tc>
          <w:tcPr>
            <w:tcW w:w="18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Rule 13a-14(a)/15d-14(a)</w:t>
            </w:r>
          </w:p>
        </w:tc>
        <w:tc>
          <w:tcPr>
            <w:tcW w:w="314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w w:val="93"/>
              </w:rPr>
              <w:t>Certifications (Principal Executive Officer)</w:t>
            </w:r>
          </w:p>
        </w:tc>
      </w:tr>
      <w:tr>
        <w:trPr>
          <w:trHeight w:val="209"/>
        </w:trPr>
        <w:tc>
          <w:tcPr>
            <w:tcW w:w="1180" w:type="dxa"/>
            <w:vAlign w:val="bottom"/>
          </w:tcPr>
          <w:p>
            <w:pPr>
              <w:jc w:val="right"/>
              <w:ind w:right="770"/>
              <w:spacing w:after="0"/>
              <w:rPr>
                <w:sz w:val="20"/>
                <w:szCs w:val="20"/>
                <w:color w:val="auto"/>
              </w:rPr>
            </w:pPr>
            <w:r>
              <w:rPr>
                <w:rFonts w:ascii="Arial" w:cs="Arial" w:eastAsia="Arial" w:hAnsi="Arial"/>
                <w:sz w:val="18"/>
                <w:szCs w:val="18"/>
                <w:color w:val="auto"/>
                <w:w w:val="85"/>
              </w:rPr>
              <w:t>31.2</w:t>
            </w:r>
          </w:p>
        </w:tc>
        <w:tc>
          <w:tcPr>
            <w:tcW w:w="18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Rule 13a-14(a)/15d-14(a)</w:t>
            </w:r>
          </w:p>
        </w:tc>
        <w:tc>
          <w:tcPr>
            <w:tcW w:w="3100" w:type="dxa"/>
            <w:vAlign w:val="bottom"/>
            <w:tcBorders>
              <w:bottom w:val="single" w:sz="8" w:color="0000FF"/>
            </w:tcBorders>
          </w:tcPr>
          <w:p>
            <w:pPr>
              <w:ind w:left="20"/>
              <w:spacing w:after="0"/>
              <w:rPr>
                <w:sz w:val="20"/>
                <w:szCs w:val="20"/>
                <w:color w:val="auto"/>
              </w:rPr>
            </w:pPr>
            <w:r>
              <w:rPr>
                <w:rFonts w:ascii="Arial" w:cs="Arial" w:eastAsia="Arial" w:hAnsi="Arial"/>
                <w:sz w:val="18"/>
                <w:szCs w:val="18"/>
                <w:color w:val="0000FF"/>
                <w:w w:val="94"/>
              </w:rPr>
              <w:t>Certifications (Principal Financial Officer)</w:t>
            </w:r>
          </w:p>
        </w:tc>
        <w:tc>
          <w:tcPr>
            <w:tcW w:w="40" w:type="dxa"/>
            <w:vAlign w:val="bottom"/>
          </w:tcPr>
          <w:p>
            <w:pPr>
              <w:spacing w:after="0"/>
              <w:rPr>
                <w:sz w:val="18"/>
                <w:szCs w:val="18"/>
                <w:color w:val="auto"/>
              </w:rPr>
            </w:pPr>
          </w:p>
        </w:tc>
      </w:tr>
    </w:tbl>
    <w:p>
      <w:pPr>
        <w:spacing w:after="0" w:line="26" w:lineRule="exact"/>
        <w:rPr>
          <w:sz w:val="20"/>
          <w:szCs w:val="20"/>
          <w:color w:val="auto"/>
        </w:rPr>
      </w:pPr>
    </w:p>
    <w:p>
      <w:pPr>
        <w:ind w:left="1220" w:right="3120" w:hanging="1181"/>
        <w:spacing w:after="0" w:line="235"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0000FF"/>
        </w:rPr>
        <w:t>Section 1350 Certifications (Principal Executive Officer and Principal Financial Officer)</w:t>
      </w:r>
    </w:p>
    <w:p>
      <w:pPr>
        <w:spacing w:after="0" w:line="13"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3940" w:type="dxa"/>
            <w:vAlign w:val="bottom"/>
          </w:tcPr>
          <w:p>
            <w:pPr>
              <w:ind w:left="260"/>
              <w:spacing w:after="0"/>
              <w:rPr>
                <w:sz w:val="20"/>
                <w:szCs w:val="20"/>
                <w:color w:val="auto"/>
              </w:rPr>
            </w:pPr>
            <w:r>
              <w:rPr>
                <w:rFonts w:ascii="Arial" w:cs="Arial" w:eastAsia="Arial" w:hAnsi="Arial"/>
                <w:sz w:val="18"/>
                <w:szCs w:val="18"/>
                <w:color w:val="auto"/>
              </w:rPr>
              <w:t>XBRL Taxonomy Extension Schema</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3940" w:type="dxa"/>
            <w:vAlign w:val="bottom"/>
          </w:tcPr>
          <w:p>
            <w:pPr>
              <w:ind w:left="260"/>
              <w:spacing w:after="0"/>
              <w:rPr>
                <w:sz w:val="20"/>
                <w:szCs w:val="20"/>
                <w:color w:val="auto"/>
              </w:rPr>
            </w:pPr>
            <w:r>
              <w:rPr>
                <w:rFonts w:ascii="Arial" w:cs="Arial" w:eastAsia="Arial" w:hAnsi="Arial"/>
                <w:sz w:val="18"/>
                <w:szCs w:val="18"/>
                <w:color w:val="auto"/>
                <w:w w:val="93"/>
              </w:rPr>
              <w:t>XBRL Taxonomy Extension Calculation Linkbase</w:t>
            </w: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3940" w:type="dxa"/>
            <w:vAlign w:val="bottom"/>
          </w:tcPr>
          <w:p>
            <w:pPr>
              <w:ind w:left="26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29"/>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3940" w:type="dxa"/>
            <w:vAlign w:val="bottom"/>
          </w:tcPr>
          <w:p>
            <w:pPr>
              <w:ind w:left="260"/>
              <w:spacing w:after="0"/>
              <w:rPr>
                <w:sz w:val="20"/>
                <w:szCs w:val="20"/>
                <w:color w:val="auto"/>
              </w:rPr>
            </w:pPr>
            <w:r>
              <w:rPr>
                <w:rFonts w:ascii="Arial" w:cs="Arial" w:eastAsia="Arial" w:hAnsi="Arial"/>
                <w:sz w:val="18"/>
                <w:szCs w:val="18"/>
                <w:color w:val="auto"/>
              </w:rPr>
              <w:t>XBRL Taxonomy Extension Label Linkbase</w:t>
            </w: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3940" w:type="dxa"/>
            <w:vAlign w:val="bottom"/>
          </w:tcPr>
          <w:p>
            <w:pPr>
              <w:ind w:left="260"/>
              <w:spacing w:after="0"/>
              <w:rPr>
                <w:sz w:val="20"/>
                <w:szCs w:val="20"/>
                <w:color w:val="auto"/>
              </w:rPr>
            </w:pPr>
            <w:r>
              <w:rPr>
                <w:rFonts w:ascii="Arial" w:cs="Arial" w:eastAsia="Arial" w:hAnsi="Arial"/>
                <w:sz w:val="18"/>
                <w:szCs w:val="18"/>
                <w:color w:val="auto"/>
                <w:w w:val="90"/>
              </w:rPr>
              <w:t>XBRL Taxonomy Extension Presentation Linkbase</w:t>
            </w:r>
          </w:p>
        </w:tc>
      </w:tr>
    </w:tbl>
    <w:p>
      <w:pPr>
        <w:ind w:left="1220" w:right="3300" w:hanging="1181"/>
        <w:spacing w:after="0" w:line="234"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Filed</w:t>
      </w:r>
    </w:p>
    <w:p>
      <w:pPr>
        <w:jc w:val="center"/>
        <w:spacing w:after="0"/>
        <w:rPr>
          <w:sz w:val="20"/>
          <w:szCs w:val="20"/>
          <w:color w:val="auto"/>
        </w:rPr>
      </w:pPr>
      <w:r>
        <w:rPr>
          <w:rFonts w:ascii="Arial" w:cs="Arial" w:eastAsia="Arial" w:hAnsi="Arial"/>
          <w:sz w:val="17"/>
          <w:szCs w:val="17"/>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20320</wp:posOffset>
            </wp:positionV>
            <wp:extent cx="6432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100" w:space="280"/>
            <w:col w:w="680"/>
          </w:cols>
          <w:pgMar w:left="320" w:top="125" w:right="51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FFFFFF"/>
        </w:rPr>
        <w:t>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4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THE SCOTTS MIRACLE-GRO COMPANY</w:t>
            </w:r>
          </w:p>
        </w:tc>
      </w:tr>
      <w:tr>
        <w:trPr>
          <w:trHeight w:val="500"/>
        </w:trPr>
        <w:tc>
          <w:tcPr>
            <w:tcW w:w="5720" w:type="dxa"/>
            <w:vAlign w:val="bottom"/>
          </w:tcPr>
          <w:p>
            <w:pPr>
              <w:spacing w:after="0"/>
              <w:rPr>
                <w:sz w:val="20"/>
                <w:szCs w:val="20"/>
                <w:color w:val="auto"/>
              </w:rPr>
            </w:pPr>
            <w:r>
              <w:rPr>
                <w:rFonts w:ascii="Arial" w:cs="Arial" w:eastAsia="Arial" w:hAnsi="Arial"/>
                <w:sz w:val="18"/>
                <w:szCs w:val="18"/>
                <w:color w:val="auto"/>
              </w:rPr>
              <w:t>Date: February 8, 2023</w:t>
            </w:r>
          </w:p>
        </w:tc>
        <w:tc>
          <w:tcPr>
            <w:tcW w:w="5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MATTHEW E. GARTH</w:t>
            </w:r>
          </w:p>
        </w:tc>
      </w:tr>
      <w:tr>
        <w:trPr>
          <w:trHeight w:val="222"/>
        </w:trPr>
        <w:tc>
          <w:tcPr>
            <w:tcW w:w="57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Printed Name: Matthew E. Garth</w:t>
            </w:r>
          </w:p>
        </w:tc>
      </w:tr>
      <w:tr>
        <w:trPr>
          <w:trHeight w:val="230"/>
        </w:trPr>
        <w:tc>
          <w:tcPr>
            <w:tcW w:w="57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Title: 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21</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DIRECT AND INDIRECT SUBSIDIARIES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SCOTTS MIRACLE-GRO COMPANY</w:t>
      </w:r>
    </w:p>
    <w:p>
      <w:pPr>
        <w:spacing w:after="0" w:line="2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Directly owned subsidiaries, as of December 31, 2022, are located at the left margin, each subsidiary tier thereunder is indented. Subsidiaries are listed under the names of their respective parent entities. Unless otherwise noted, the subsidiaries are wholly-owned.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JURISDICTION OF</w:t>
            </w:r>
          </w:p>
        </w:tc>
      </w:tr>
      <w:tr>
        <w:trPr>
          <w:trHeight w:val="234"/>
        </w:trPr>
        <w:tc>
          <w:tcPr>
            <w:tcW w:w="87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w:t>
            </w:r>
          </w:p>
        </w:tc>
        <w:tc>
          <w:tcPr>
            <w:tcW w:w="2500" w:type="dxa"/>
            <w:vAlign w:val="bottom"/>
          </w:tcPr>
          <w:p>
            <w:pPr>
              <w:ind w:left="20"/>
              <w:spacing w:after="0"/>
              <w:rPr>
                <w:sz w:val="20"/>
                <w:szCs w:val="20"/>
                <w:color w:val="auto"/>
              </w:rPr>
            </w:pPr>
            <w:r>
              <w:rPr>
                <w:rFonts w:ascii="Arial" w:cs="Arial" w:eastAsia="Arial" w:hAnsi="Arial"/>
                <w:sz w:val="18"/>
                <w:szCs w:val="18"/>
                <w:b w:val="1"/>
                <w:bCs w:val="1"/>
                <w:color w:val="auto"/>
              </w:rPr>
              <w:t>FORMATION</w:t>
            </w:r>
          </w:p>
        </w:tc>
      </w:tr>
      <w:tr>
        <w:trPr>
          <w:trHeight w:val="27"/>
        </w:trPr>
        <w:tc>
          <w:tcPr>
            <w:tcW w:w="822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r>
      <w:tr>
        <w:trPr>
          <w:trHeight w:val="237"/>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Swiss Farms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Temecula Operations,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Global Services,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1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Bonnie Plants, LLC</w:t>
            </w:r>
            <w:r>
              <w:rPr>
                <w:rFonts w:ascii="Arial" w:cs="Arial" w:eastAsia="Arial" w:hAnsi="Arial"/>
                <w:sz w:val="23"/>
                <w:szCs w:val="23"/>
                <w:color w:val="auto"/>
                <w:vertAlign w:val="superscript"/>
              </w:rPr>
              <w:t>1</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Lawn Products, Inc.</w:t>
            </w:r>
          </w:p>
        </w:tc>
        <w:tc>
          <w:tcPr>
            <w:tcW w:w="250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04"/>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5"/>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Tecnología &amp; Servicios S de R.L.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304"/>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Scotts Servicios, S.A. de C.V.2</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75"/>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Miracle-Gro Tecnología &amp; Servicios S de R.L. de C.V.</w:t>
            </w:r>
            <w:r>
              <w:rPr>
                <w:rFonts w:ascii="Arial" w:cs="Arial" w:eastAsia="Arial" w:hAnsi="Arial"/>
                <w:sz w:val="23"/>
                <w:szCs w:val="23"/>
                <w:color w:val="auto"/>
                <w:vertAlign w:val="superscript"/>
              </w:rPr>
              <w:t>2</w:t>
            </w:r>
          </w:p>
        </w:tc>
        <w:tc>
          <w:tcPr>
            <w:tcW w:w="250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872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250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AeroGrow International,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Hyponex Corporation</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Rod McLellan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The Hawthorne Gardening Company</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Hydroponics LLC</w:t>
            </w:r>
          </w:p>
        </w:tc>
        <w:tc>
          <w:tcPr>
            <w:tcW w:w="250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8720" w:type="dxa"/>
            <w:vAlign w:val="bottom"/>
            <w:gridSpan w:val="2"/>
          </w:tcPr>
          <w:p>
            <w:pPr>
              <w:ind w:left="300"/>
              <w:spacing w:after="0"/>
              <w:rPr>
                <w:sz w:val="20"/>
                <w:szCs w:val="20"/>
                <w:color w:val="auto"/>
              </w:rPr>
            </w:pPr>
            <w:r>
              <w:rPr>
                <w:rFonts w:ascii="Arial" w:cs="Arial" w:eastAsia="Arial" w:hAnsi="Arial"/>
                <w:sz w:val="18"/>
                <w:szCs w:val="18"/>
                <w:color w:val="auto"/>
              </w:rPr>
              <w:t>Hawthorne Gardening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440"/>
              <w:spacing w:after="0"/>
              <w:rPr>
                <w:sz w:val="20"/>
                <w:szCs w:val="20"/>
                <w:color w:val="auto"/>
              </w:rPr>
            </w:pPr>
            <w:r>
              <w:rPr>
                <w:rFonts w:ascii="Arial" w:cs="Arial" w:eastAsia="Arial" w:hAnsi="Arial"/>
                <w:sz w:val="18"/>
                <w:szCs w:val="18"/>
                <w:color w:val="auto"/>
              </w:rPr>
              <w:t>Gavita International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560"/>
              <w:spacing w:after="0"/>
              <w:rPr>
                <w:sz w:val="20"/>
                <w:szCs w:val="20"/>
                <w:color w:val="auto"/>
              </w:rPr>
            </w:pPr>
            <w:r>
              <w:rPr>
                <w:rFonts w:ascii="Arial" w:cs="Arial" w:eastAsia="Arial" w:hAnsi="Arial"/>
                <w:sz w:val="18"/>
                <w:szCs w:val="18"/>
                <w:color w:val="auto"/>
              </w:rPr>
              <w:t>Hawthorne Lighting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Agrolux Nederland B.V.</w:t>
            </w:r>
          </w:p>
        </w:tc>
        <w:tc>
          <w:tcPr>
            <w:tcW w:w="250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70"/>
        </w:trPr>
        <w:tc>
          <w:tcPr>
            <w:tcW w:w="8720" w:type="dxa"/>
            <w:vAlign w:val="bottom"/>
            <w:gridSpan w:val="2"/>
          </w:tcPr>
          <w:p>
            <w:pPr>
              <w:ind w:left="700"/>
              <w:spacing w:after="0"/>
              <w:rPr>
                <w:sz w:val="20"/>
                <w:szCs w:val="20"/>
                <w:color w:val="auto"/>
              </w:rPr>
            </w:pPr>
            <w:r>
              <w:rPr>
                <w:rFonts w:ascii="Arial" w:cs="Arial" w:eastAsia="Arial" w:hAnsi="Arial"/>
                <w:sz w:val="18"/>
                <w:szCs w:val="18"/>
                <w:color w:val="auto"/>
              </w:rPr>
              <w:t>Hawthorne Canada Limited</w:t>
            </w:r>
          </w:p>
        </w:tc>
        <w:tc>
          <w:tcPr>
            <w:tcW w:w="25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70"/>
        </w:trPr>
        <w:tc>
          <w:tcPr>
            <w:tcW w:w="8720" w:type="dxa"/>
            <w:vAlign w:val="bottom"/>
            <w:gridSpan w:val="2"/>
          </w:tcPr>
          <w:p>
            <w:pPr>
              <w:ind w:left="160"/>
              <w:spacing w:after="0"/>
              <w:rPr>
                <w:sz w:val="20"/>
                <w:szCs w:val="20"/>
                <w:color w:val="auto"/>
              </w:rPr>
            </w:pPr>
            <w:r>
              <w:rPr>
                <w:rFonts w:ascii="Arial" w:cs="Arial" w:eastAsia="Arial" w:hAnsi="Arial"/>
                <w:sz w:val="18"/>
                <w:szCs w:val="18"/>
                <w:color w:val="auto"/>
              </w:rPr>
              <w:t>HGCI, Inc.</w:t>
            </w:r>
          </w:p>
        </w:tc>
        <w:tc>
          <w:tcPr>
            <w:tcW w:w="2500" w:type="dxa"/>
            <w:vAlign w:val="bottom"/>
          </w:tcPr>
          <w:p>
            <w:pPr>
              <w:ind w:left="20"/>
              <w:spacing w:after="0"/>
              <w:rPr>
                <w:sz w:val="20"/>
                <w:szCs w:val="20"/>
                <w:color w:val="auto"/>
              </w:rPr>
            </w:pPr>
            <w:r>
              <w:rPr>
                <w:rFonts w:ascii="Arial" w:cs="Arial" w:eastAsia="Arial" w:hAnsi="Arial"/>
                <w:sz w:val="18"/>
                <w:szCs w:val="18"/>
                <w:color w:val="auto"/>
              </w:rPr>
              <w:t>Nevada</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________________________</w:t>
      </w:r>
    </w:p>
    <w:p>
      <w:pPr>
        <w:ind w:left="120" w:hanging="94"/>
        <w:spacing w:after="0" w:line="232" w:lineRule="auto"/>
        <w:tabs>
          <w:tab w:leader="none" w:pos="1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Scotts Live Goods Holdings, Inc.’s ownership is 50.0%.</w:t>
      </w:r>
    </w:p>
    <w:p>
      <w:pPr>
        <w:ind w:left="120" w:hanging="94"/>
        <w:spacing w:after="0" w:line="205" w:lineRule="auto"/>
        <w:tabs>
          <w:tab w:leader="none" w:pos="1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Scotts Professional Products Co. owns 50% and Scotts Products Co. owns 50.0%.</w:t>
      </w:r>
    </w:p>
    <w:p>
      <w:pPr>
        <w:sectPr>
          <w:pgSz w:w="11900" w:h="16838" w:orient="portrait"/>
          <w:cols w:equalWidth="0" w:num="1">
            <w:col w:w="11240"/>
          </w:cols>
          <w:pgMar w:left="320" w:top="364" w:right="33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244"/>
        </w:trPr>
        <w:tc>
          <w:tcPr>
            <w:tcW w:w="5740" w:type="dxa"/>
            <w:vAlign w:val="bottom"/>
          </w:tcPr>
          <w:p>
            <w:pPr>
              <w:spacing w:after="0"/>
              <w:rPr>
                <w:sz w:val="20"/>
                <w:szCs w:val="20"/>
                <w:color w:val="auto"/>
              </w:rPr>
            </w:pPr>
            <w:r>
              <w:rPr>
                <w:rFonts w:ascii="Arial" w:cs="Arial" w:eastAsia="Arial" w:hAnsi="Arial"/>
                <w:sz w:val="18"/>
                <w:szCs w:val="18"/>
                <w:color w:val="auto"/>
              </w:rPr>
              <w:t>SMGM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ind w:left="140"/>
              <w:spacing w:after="0"/>
              <w:rPr>
                <w:sz w:val="20"/>
                <w:szCs w:val="20"/>
                <w:color w:val="auto"/>
              </w:rPr>
            </w:pPr>
            <w:r>
              <w:rPr>
                <w:rFonts w:ascii="Arial" w:cs="Arial" w:eastAsia="Arial" w:hAnsi="Arial"/>
                <w:sz w:val="18"/>
                <w:szCs w:val="18"/>
                <w:color w:val="auto"/>
              </w:rPr>
              <w:t>Scotts-Sierra Investments LLC</w:t>
            </w:r>
          </w:p>
        </w:tc>
        <w:tc>
          <w:tcPr>
            <w:tcW w:w="4200" w:type="dxa"/>
            <w:vAlign w:val="bottom"/>
          </w:tcPr>
          <w:p>
            <w:pPr>
              <w:ind w:left="2980"/>
              <w:spacing w:after="0"/>
              <w:rPr>
                <w:sz w:val="20"/>
                <w:szCs w:val="20"/>
                <w:color w:val="auto"/>
              </w:rPr>
            </w:pPr>
            <w:r>
              <w:rPr>
                <w:rFonts w:ascii="Arial" w:cs="Arial" w:eastAsia="Arial" w:hAnsi="Arial"/>
                <w:sz w:val="18"/>
                <w:szCs w:val="18"/>
                <w:color w:val="auto"/>
              </w:rPr>
              <w:t>Delaware</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Sierra (China) Co.,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China</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Scotts Canada Ltd.</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304"/>
        </w:trPr>
        <w:tc>
          <w:tcPr>
            <w:tcW w:w="5740" w:type="dxa"/>
            <w:vAlign w:val="bottom"/>
          </w:tcPr>
          <w:p>
            <w:pPr>
              <w:ind w:left="400"/>
              <w:spacing w:after="0"/>
              <w:rPr>
                <w:sz w:val="20"/>
                <w:szCs w:val="20"/>
                <w:color w:val="auto"/>
              </w:rPr>
            </w:pPr>
            <w:r>
              <w:rPr>
                <w:rFonts w:ascii="Arial" w:cs="Arial" w:eastAsia="Arial" w:hAnsi="Arial"/>
                <w:sz w:val="18"/>
                <w:szCs w:val="18"/>
                <w:color w:val="auto"/>
              </w:rPr>
              <w:t>Laketon Peat Moss Inc.</w:t>
            </w:r>
            <w:r>
              <w:rPr>
                <w:rFonts w:ascii="Arial" w:cs="Arial" w:eastAsia="Arial" w:hAnsi="Arial"/>
                <w:sz w:val="23"/>
                <w:szCs w:val="23"/>
                <w:color w:val="auto"/>
                <w:vertAlign w:val="superscript"/>
              </w:rPr>
              <w:t>3</w:t>
            </w:r>
          </w:p>
        </w:tc>
        <w:tc>
          <w:tcPr>
            <w:tcW w:w="4200" w:type="dxa"/>
            <w:vAlign w:val="bottom"/>
          </w:tcPr>
          <w:p>
            <w:pPr>
              <w:ind w:left="2980"/>
              <w:spacing w:after="0"/>
              <w:rPr>
                <w:sz w:val="20"/>
                <w:szCs w:val="20"/>
                <w:color w:val="auto"/>
              </w:rPr>
            </w:pPr>
            <w:r>
              <w:rPr>
                <w:rFonts w:ascii="Arial" w:cs="Arial" w:eastAsia="Arial" w:hAnsi="Arial"/>
                <w:sz w:val="18"/>
                <w:szCs w:val="18"/>
                <w:color w:val="auto"/>
              </w:rPr>
              <w:t>Canada</w:t>
            </w:r>
          </w:p>
        </w:tc>
      </w:tr>
      <w:tr>
        <w:trPr>
          <w:trHeight w:val="275"/>
        </w:trPr>
        <w:tc>
          <w:tcPr>
            <w:tcW w:w="5740" w:type="dxa"/>
            <w:vAlign w:val="bottom"/>
          </w:tcPr>
          <w:p>
            <w:pPr>
              <w:ind w:left="260"/>
              <w:spacing w:after="0"/>
              <w:rPr>
                <w:sz w:val="20"/>
                <w:szCs w:val="20"/>
                <w:color w:val="auto"/>
              </w:rPr>
            </w:pPr>
            <w:r>
              <w:rPr>
                <w:rFonts w:ascii="Arial" w:cs="Arial" w:eastAsia="Arial" w:hAnsi="Arial"/>
                <w:sz w:val="18"/>
                <w:szCs w:val="18"/>
                <w:color w:val="auto"/>
              </w:rPr>
              <w:t>Scotts de Mexico SA de CV</w:t>
            </w:r>
            <w:r>
              <w:rPr>
                <w:rFonts w:ascii="Arial" w:cs="Arial" w:eastAsia="Arial" w:hAnsi="Arial"/>
                <w:sz w:val="23"/>
                <w:szCs w:val="23"/>
                <w:color w:val="auto"/>
                <w:vertAlign w:val="superscript"/>
              </w:rPr>
              <w:t>4</w:t>
            </w:r>
          </w:p>
        </w:tc>
        <w:tc>
          <w:tcPr>
            <w:tcW w:w="4200" w:type="dxa"/>
            <w:vAlign w:val="bottom"/>
          </w:tcPr>
          <w:p>
            <w:pPr>
              <w:ind w:left="2980"/>
              <w:spacing w:after="0"/>
              <w:rPr>
                <w:sz w:val="20"/>
                <w:szCs w:val="20"/>
                <w:color w:val="auto"/>
              </w:rPr>
            </w:pPr>
            <w:r>
              <w:rPr>
                <w:rFonts w:ascii="Arial" w:cs="Arial" w:eastAsia="Arial" w:hAnsi="Arial"/>
                <w:sz w:val="18"/>
                <w:szCs w:val="18"/>
                <w:color w:val="auto"/>
              </w:rPr>
              <w:t>Mexico</w:t>
            </w: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SMG Germany GmbH</w:t>
            </w:r>
          </w:p>
        </w:tc>
        <w:tc>
          <w:tcPr>
            <w:tcW w:w="4200" w:type="dxa"/>
            <w:vAlign w:val="bottom"/>
          </w:tcPr>
          <w:p>
            <w:pPr>
              <w:ind w:left="2980"/>
              <w:spacing w:after="0"/>
              <w:rPr>
                <w:sz w:val="20"/>
                <w:szCs w:val="20"/>
                <w:color w:val="auto"/>
              </w:rPr>
            </w:pPr>
            <w:r>
              <w:rPr>
                <w:rFonts w:ascii="Arial" w:cs="Arial" w:eastAsia="Arial" w:hAnsi="Arial"/>
                <w:sz w:val="18"/>
                <w:szCs w:val="18"/>
                <w:color w:val="auto"/>
              </w:rPr>
              <w:t>Germany</w:t>
            </w:r>
          </w:p>
        </w:tc>
      </w:tr>
      <w:tr>
        <w:trPr>
          <w:trHeight w:val="270"/>
        </w:trPr>
        <w:tc>
          <w:tcPr>
            <w:tcW w:w="5740" w:type="dxa"/>
            <w:vAlign w:val="bottom"/>
          </w:tcPr>
          <w:p>
            <w:pPr>
              <w:ind w:left="260"/>
              <w:spacing w:after="0"/>
              <w:rPr>
                <w:sz w:val="20"/>
                <w:szCs w:val="20"/>
                <w:color w:val="auto"/>
              </w:rPr>
            </w:pPr>
            <w:r>
              <w:rPr>
                <w:rFonts w:ascii="Arial" w:cs="Arial" w:eastAsia="Arial" w:hAnsi="Arial"/>
                <w:sz w:val="18"/>
                <w:szCs w:val="18"/>
                <w:color w:val="auto"/>
              </w:rPr>
              <w:t>SMG Gardening (UK) Limited</w:t>
            </w:r>
          </w:p>
        </w:tc>
        <w:tc>
          <w:tcPr>
            <w:tcW w:w="4200" w:type="dxa"/>
            <w:vAlign w:val="bottom"/>
          </w:tcPr>
          <w:p>
            <w:pPr>
              <w:ind w:left="2980"/>
              <w:spacing w:after="0"/>
              <w:rPr>
                <w:sz w:val="20"/>
                <w:szCs w:val="20"/>
                <w:color w:val="auto"/>
              </w:rPr>
            </w:pPr>
            <w:r>
              <w:rPr>
                <w:rFonts w:ascii="Arial" w:cs="Arial" w:eastAsia="Arial" w:hAnsi="Arial"/>
                <w:sz w:val="18"/>
                <w:szCs w:val="18"/>
                <w:color w:val="auto"/>
                <w:w w:val="93"/>
              </w:rPr>
              <w:t>United Kingdom</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Hawthorne Collective, Inc.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270"/>
        </w:trPr>
        <w:tc>
          <w:tcPr>
            <w:tcW w:w="5740" w:type="dxa"/>
            <w:vAlign w:val="bottom"/>
          </w:tcPr>
          <w:p>
            <w:pPr>
              <w:spacing w:after="0"/>
              <w:rPr>
                <w:sz w:val="20"/>
                <w:szCs w:val="20"/>
                <w:color w:val="auto"/>
              </w:rPr>
            </w:pPr>
            <w:r>
              <w:rPr>
                <w:rFonts w:ascii="Arial" w:cs="Arial" w:eastAsia="Arial" w:hAnsi="Arial"/>
                <w:sz w:val="18"/>
                <w:szCs w:val="18"/>
                <w:color w:val="auto"/>
              </w:rPr>
              <w:t>The Scotts Company LLC</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r>
        <w:trPr>
          <w:trHeight w:val="339"/>
        </w:trPr>
        <w:tc>
          <w:tcPr>
            <w:tcW w:w="5740" w:type="dxa"/>
            <w:vAlign w:val="bottom"/>
          </w:tcPr>
          <w:p>
            <w:pPr>
              <w:ind w:left="140"/>
              <w:spacing w:after="0"/>
              <w:rPr>
                <w:sz w:val="20"/>
                <w:szCs w:val="20"/>
                <w:color w:val="auto"/>
              </w:rPr>
            </w:pPr>
            <w:r>
              <w:rPr>
                <w:rFonts w:ascii="Arial" w:cs="Arial" w:eastAsia="Arial" w:hAnsi="Arial"/>
                <w:sz w:val="18"/>
                <w:szCs w:val="18"/>
                <w:color w:val="auto"/>
              </w:rPr>
              <w:t>The Scotts Miracle-Gro Foundation</w:t>
            </w:r>
            <w:r>
              <w:rPr>
                <w:rFonts w:ascii="Arial" w:cs="Arial" w:eastAsia="Arial" w:hAnsi="Arial"/>
                <w:sz w:val="23"/>
                <w:szCs w:val="23"/>
                <w:color w:val="auto"/>
                <w:vertAlign w:val="superscript"/>
              </w:rPr>
              <w:t>5</w:t>
            </w:r>
          </w:p>
        </w:tc>
        <w:tc>
          <w:tcPr>
            <w:tcW w:w="4200" w:type="dxa"/>
            <w:vAlign w:val="bottom"/>
          </w:tcPr>
          <w:p>
            <w:pPr>
              <w:ind w:left="2980"/>
              <w:spacing w:after="0"/>
              <w:rPr>
                <w:sz w:val="20"/>
                <w:szCs w:val="20"/>
                <w:color w:val="auto"/>
              </w:rPr>
            </w:pPr>
            <w:r>
              <w:rPr>
                <w:rFonts w:ascii="Arial" w:cs="Arial" w:eastAsia="Arial" w:hAnsi="Arial"/>
                <w:sz w:val="18"/>
                <w:szCs w:val="18"/>
                <w:color w:val="auto"/>
              </w:rPr>
              <w:t>Ohio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w:t>
      </w:r>
    </w:p>
    <w:p>
      <w:pPr>
        <w:ind w:left="100" w:hanging="94"/>
        <w:spacing w:after="0" w:line="232" w:lineRule="auto"/>
        <w:tabs>
          <w:tab w:leader="none" w:pos="100" w:val="left"/>
        </w:tabs>
        <w:numPr>
          <w:ilvl w:val="0"/>
          <w:numId w:val="20"/>
        </w:numPr>
        <w:rPr>
          <w:rFonts w:ascii="Arial" w:cs="Arial" w:eastAsia="Arial" w:hAnsi="Arial"/>
          <w:sz w:val="23"/>
          <w:szCs w:val="23"/>
          <w:color w:val="auto"/>
          <w:vertAlign w:val="superscript"/>
        </w:rPr>
      </w:pPr>
      <w:r>
        <w:rPr>
          <w:rFonts w:ascii="Arial" w:cs="Arial" w:eastAsia="Arial" w:hAnsi="Arial"/>
          <w:sz w:val="18"/>
          <w:szCs w:val="18"/>
          <w:color w:val="auto"/>
        </w:rPr>
        <w:t>Scotts Canada Ltd.'s ownership is 50.0%.</w:t>
      </w:r>
    </w:p>
    <w:p>
      <w:pPr>
        <w:ind w:left="100" w:hanging="94"/>
        <w:spacing w:after="0" w:line="205" w:lineRule="auto"/>
        <w:tabs>
          <w:tab w:leader="none" w:pos="100" w:val="left"/>
        </w:tabs>
        <w:numPr>
          <w:ilvl w:val="0"/>
          <w:numId w:val="21"/>
        </w:numPr>
        <w:rPr>
          <w:rFonts w:ascii="Arial" w:cs="Arial" w:eastAsia="Arial" w:hAnsi="Arial"/>
          <w:sz w:val="23"/>
          <w:szCs w:val="23"/>
          <w:color w:val="auto"/>
          <w:vertAlign w:val="superscript"/>
        </w:rPr>
      </w:pPr>
      <w:r>
        <w:rPr>
          <w:rFonts w:ascii="Arial" w:cs="Arial" w:eastAsia="Arial" w:hAnsi="Arial"/>
          <w:sz w:val="18"/>
          <w:szCs w:val="18"/>
          <w:color w:val="auto"/>
        </w:rPr>
        <w:t>The Scotts Company LLC owns 0.5% and Scotts-Sierra Investments LLC owns the remaining 99.5%.</w:t>
      </w:r>
    </w:p>
    <w:p>
      <w:pPr>
        <w:spacing w:after="0" w:line="2"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5</w:t>
      </w:r>
      <w:r>
        <w:rPr>
          <w:rFonts w:ascii="Arial" w:cs="Arial" w:eastAsia="Arial" w:hAnsi="Arial"/>
          <w:sz w:val="18"/>
          <w:szCs w:val="18"/>
          <w:color w:val="auto"/>
        </w:rPr>
        <w:t xml:space="preserve"> The Scotts Miracle-Gro Foundation is a 501(c)(3) corporation.</w:t>
      </w:r>
    </w:p>
    <w:p>
      <w:pPr>
        <w:sectPr>
          <w:pgSz w:w="11900" w:h="16838" w:orient="portrait"/>
          <w:cols w:equalWidth="0" w:num="1">
            <w:col w:w="10119"/>
          </w:cols>
          <w:pgMar w:left="340" w:top="935"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22</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333333"/>
        </w:rPr>
        <w:t>LIST OF GUARANTOR SUBSIDIARIES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333333"/>
        </w:rPr>
        <w:t>The following subsidiaries of The Scotts Miracle-Gro Company (the "Company") were, as of December 31, 2022, guarantors of the Company's 5.250%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333333"/>
        </w:rPr>
        <w:t>Senior Notes due 2026, 4.500% Senior Notes due 2029, 4.000% Senior Notes due 2031 and 4.375% Senior Notes due 2032: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 OF GUARANTOR SUBSIDIARY</w:t>
            </w:r>
          </w:p>
        </w:tc>
        <w:tc>
          <w:tcPr>
            <w:tcW w:w="4060" w:type="dxa"/>
            <w:vAlign w:val="bottom"/>
          </w:tcPr>
          <w:p>
            <w:pPr>
              <w:ind w:left="20"/>
              <w:spacing w:after="0"/>
              <w:rPr>
                <w:sz w:val="20"/>
                <w:szCs w:val="20"/>
                <w:color w:val="auto"/>
              </w:rPr>
            </w:pPr>
            <w:r>
              <w:rPr>
                <w:rFonts w:ascii="Arial" w:cs="Arial" w:eastAsia="Arial" w:hAnsi="Arial"/>
                <w:sz w:val="18"/>
                <w:szCs w:val="18"/>
                <w:b w:val="1"/>
                <w:bCs w:val="1"/>
                <w:color w:val="auto"/>
              </w:rPr>
              <w:t>JURISDICTION OF FORMATION</w:t>
            </w:r>
          </w:p>
        </w:tc>
      </w:tr>
      <w:tr>
        <w:trPr>
          <w:trHeight w:val="27"/>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r>
      <w:tr>
        <w:trPr>
          <w:trHeight w:val="237"/>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1868 Ventures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AeroGrow International,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GenSource,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Hawthorne Hydroponics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HGCI, Inc.</w:t>
            </w:r>
          </w:p>
        </w:tc>
        <w:tc>
          <w:tcPr>
            <w:tcW w:w="4060" w:type="dxa"/>
            <w:vAlign w:val="bottom"/>
          </w:tcPr>
          <w:p>
            <w:pPr>
              <w:ind w:left="20"/>
              <w:spacing w:after="0"/>
              <w:rPr>
                <w:sz w:val="20"/>
                <w:szCs w:val="20"/>
                <w:color w:val="auto"/>
              </w:rPr>
            </w:pPr>
            <w:r>
              <w:rPr>
                <w:rFonts w:ascii="Arial" w:cs="Arial" w:eastAsia="Arial" w:hAnsi="Arial"/>
                <w:sz w:val="18"/>
                <w:szCs w:val="18"/>
                <w:color w:val="auto"/>
              </w:rPr>
              <w:t>Nevada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Hyponex Corporation</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Miracle-Gro Lawn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OMS Investments,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Rod McLellan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California</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Sanford Scientific, Inc.</w:t>
            </w:r>
          </w:p>
        </w:tc>
        <w:tc>
          <w:tcPr>
            <w:tcW w:w="4060" w:type="dxa"/>
            <w:vAlign w:val="bottom"/>
          </w:tcPr>
          <w:p>
            <w:pPr>
              <w:ind w:left="20"/>
              <w:spacing w:after="0"/>
              <w:rPr>
                <w:sz w:val="20"/>
                <w:szCs w:val="20"/>
                <w:color w:val="auto"/>
              </w:rPr>
            </w:pPr>
            <w:r>
              <w:rPr>
                <w:rFonts w:ascii="Arial" w:cs="Arial" w:eastAsia="Arial" w:hAnsi="Arial"/>
                <w:sz w:val="18"/>
                <w:szCs w:val="18"/>
                <w:color w:val="auto"/>
              </w:rPr>
              <w:t>New York</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Live Goods Holdings,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Manufacturing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Professional Products Co.</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Scotts-Sierra Investments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Scotts Temecula Operations, LLC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 Growing Media,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SMGM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Swiss Farms Products, Inc.</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Collective, Inc.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Hawthorne Gardening Company</w:t>
            </w:r>
          </w:p>
        </w:tc>
        <w:tc>
          <w:tcPr>
            <w:tcW w:w="406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The Scotts Company LLC</w:t>
            </w:r>
          </w:p>
        </w:tc>
        <w:tc>
          <w:tcPr>
            <w:tcW w:w="4060" w:type="dxa"/>
            <w:vAlign w:val="bottom"/>
          </w:tcPr>
          <w:p>
            <w:pPr>
              <w:ind w:left="20"/>
              <w:spacing w:after="0"/>
              <w:rPr>
                <w:sz w:val="20"/>
                <w:szCs w:val="20"/>
                <w:color w:val="auto"/>
              </w:rPr>
            </w:pPr>
            <w:r>
              <w:rPr>
                <w:rFonts w:ascii="Arial" w:cs="Arial" w:eastAsia="Arial" w:hAnsi="Arial"/>
                <w:sz w:val="18"/>
                <w:szCs w:val="18"/>
                <w:color w:val="auto"/>
              </w:rPr>
              <w:t>Ohio</w:t>
            </w:r>
          </w:p>
        </w:tc>
      </w:tr>
    </w:tbl>
    <w:p>
      <w:pPr>
        <w:sectPr>
          <w:pgSz w:w="11900" w:h="16838" w:orient="portrait"/>
          <w:cols w:equalWidth="0" w:num="1">
            <w:col w:w="11240"/>
          </w:cols>
          <w:pgMar w:left="320" w:top="141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James Hagedorn, certify that:</w:t>
      </w:r>
    </w:p>
    <w:p>
      <w:pPr>
        <w:spacing w:after="0" w:line="17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31, 2022;</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1160" w:type="dxa"/>
        <w:tblCellMar>
          <w:top w:w="0" w:type="dxa"/>
          <w:left w:w="0" w:type="dxa"/>
          <w:bottom w:w="0" w:type="dxa"/>
          <w:right w:w="0" w:type="dxa"/>
        </w:tblCellMar>
      </w:tblP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Date: February 8, 2023</w:t>
            </w:r>
          </w:p>
        </w:tc>
        <w:tc>
          <w:tcPr>
            <w:tcW w:w="5620" w:type="dxa"/>
            <w:vAlign w:val="bottom"/>
            <w:gridSpan w:val="2"/>
          </w:tcPr>
          <w:p>
            <w:pPr>
              <w:ind w:left="1560"/>
              <w:spacing w:after="0"/>
              <w:rPr>
                <w:sz w:val="20"/>
                <w:szCs w:val="20"/>
                <w:color w:val="auto"/>
              </w:rPr>
            </w:pPr>
            <w:r>
              <w:rPr>
                <w:rFonts w:ascii="Arial" w:cs="Arial" w:eastAsia="Arial" w:hAnsi="Arial"/>
                <w:sz w:val="18"/>
                <w:szCs w:val="18"/>
                <w:color w:val="auto"/>
              </w:rPr>
              <w:t>By:    /s/ JAMES HAGEDORN</w:t>
            </w:r>
          </w:p>
        </w:tc>
      </w:tr>
      <w:tr>
        <w:trPr>
          <w:trHeight w:val="222"/>
        </w:trPr>
        <w:tc>
          <w:tcPr>
            <w:tcW w:w="32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66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Printed Name: James Hagedorn</w:t>
            </w:r>
          </w:p>
        </w:tc>
      </w:tr>
      <w:tr>
        <w:trPr>
          <w:trHeight w:val="176"/>
        </w:trPr>
        <w:tc>
          <w:tcPr>
            <w:tcW w:w="3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3660" w:type="dxa"/>
            <w:vAlign w:val="bottom"/>
          </w:tcPr>
          <w:p>
            <w:pPr>
              <w:ind w:left="160"/>
              <w:spacing w:after="0" w:line="176" w:lineRule="exact"/>
              <w:rPr>
                <w:sz w:val="20"/>
                <w:szCs w:val="20"/>
                <w:color w:val="auto"/>
              </w:rPr>
            </w:pPr>
            <w:r>
              <w:rPr>
                <w:rFonts w:ascii="Arial" w:cs="Arial" w:eastAsia="Arial" w:hAnsi="Arial"/>
                <w:sz w:val="18"/>
                <w:szCs w:val="18"/>
                <w:color w:val="auto"/>
                <w:w w:val="95"/>
              </w:rPr>
              <w:t>Title: Chief Executive Officer and Chairman of</w:t>
            </w:r>
          </w:p>
        </w:tc>
      </w:tr>
      <w:tr>
        <w:trPr>
          <w:trHeight w:val="230"/>
        </w:trPr>
        <w:tc>
          <w:tcPr>
            <w:tcW w:w="32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660" w:type="dxa"/>
            <w:vAlign w:val="bottom"/>
          </w:tcPr>
          <w:p>
            <w:pPr>
              <w:ind w:left="160"/>
              <w:spacing w:after="0"/>
              <w:rPr>
                <w:sz w:val="20"/>
                <w:szCs w:val="20"/>
                <w:color w:val="auto"/>
              </w:rPr>
            </w:pPr>
            <w:r>
              <w:rPr>
                <w:rFonts w:ascii="Arial" w:cs="Arial" w:eastAsia="Arial" w:hAnsi="Arial"/>
                <w:sz w:val="18"/>
                <w:szCs w:val="18"/>
                <w:color w:val="auto"/>
              </w:rPr>
              <w:t>the Board</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 Matthew E. Garth, certify that:</w:t>
      </w:r>
    </w:p>
    <w:p>
      <w:pPr>
        <w:spacing w:after="0" w:line="170"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Scotts Miracle-Gro Company for the fiscal quarter ended December 31, 2022;</w:t>
      </w:r>
    </w:p>
    <w:p>
      <w:pPr>
        <w:spacing w:after="0" w:line="263"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1140" w:right="80" w:hanging="484"/>
        <w:spacing w:after="0" w:line="263" w:lineRule="auto"/>
        <w:tabs>
          <w:tab w:leader="none" w:pos="1137"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1140" w:right="200" w:hanging="484"/>
        <w:spacing w:after="0" w:line="263" w:lineRule="auto"/>
        <w:tabs>
          <w:tab w:leader="none" w:pos="11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140" w:right="380" w:hanging="484"/>
        <w:spacing w:after="0" w:line="342"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1140" w:right="80" w:hanging="484"/>
        <w:spacing w:after="0" w:line="263" w:lineRule="auto"/>
        <w:tabs>
          <w:tab w:leader="none" w:pos="11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660" w:right="20" w:hanging="328"/>
        <w:spacing w:after="0" w:line="308" w:lineRule="auto"/>
        <w:tabs>
          <w:tab w:leader="none" w:pos="648"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140" w:right="620" w:hanging="484"/>
        <w:spacing w:after="0" w:line="342" w:lineRule="auto"/>
        <w:tabs>
          <w:tab w:leader="none" w:pos="1137"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140" w:right="320" w:hanging="484"/>
        <w:spacing w:after="0" w:line="273" w:lineRule="auto"/>
        <w:tabs>
          <w:tab w:leader="none" w:pos="113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Date: February 8, 2023</w:t>
            </w:r>
          </w:p>
        </w:tc>
        <w:tc>
          <w:tcPr>
            <w:tcW w:w="2060" w:type="dxa"/>
            <w:vAlign w:val="bottom"/>
          </w:tcPr>
          <w:p>
            <w:pPr>
              <w:ind w:left="1660"/>
              <w:spacing w:after="0"/>
              <w:rPr>
                <w:sz w:val="20"/>
                <w:szCs w:val="20"/>
                <w:color w:val="auto"/>
              </w:rPr>
            </w:pPr>
            <w:r>
              <w:rPr>
                <w:rFonts w:ascii="Arial" w:cs="Arial" w:eastAsia="Arial" w:hAnsi="Arial"/>
                <w:sz w:val="18"/>
                <w:szCs w:val="18"/>
                <w:color w:val="auto"/>
              </w:rPr>
              <w:t>By:</w:t>
            </w:r>
          </w:p>
        </w:tc>
        <w:tc>
          <w:tcPr>
            <w:tcW w:w="516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 MATTHEW E. GARTH</w:t>
            </w:r>
          </w:p>
        </w:tc>
      </w:tr>
      <w:tr>
        <w:trPr>
          <w:trHeight w:val="222"/>
        </w:trPr>
        <w:tc>
          <w:tcPr>
            <w:tcW w:w="33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Printed Name: Matthew E. Garth</w:t>
            </w:r>
          </w:p>
        </w:tc>
      </w:tr>
      <w:tr>
        <w:trPr>
          <w:trHeight w:val="230"/>
        </w:trPr>
        <w:tc>
          <w:tcPr>
            <w:tcW w:w="33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160" w:type="dxa"/>
            <w:vAlign w:val="bottom"/>
          </w:tcPr>
          <w:p>
            <w:pPr>
              <w:ind w:left="240"/>
              <w:spacing w:after="0"/>
              <w:rPr>
                <w:sz w:val="20"/>
                <w:szCs w:val="20"/>
                <w:color w:val="auto"/>
              </w:rPr>
            </w:pPr>
            <w:r>
              <w:rPr>
                <w:rFonts w:ascii="Arial" w:cs="Arial" w:eastAsia="Arial" w:hAnsi="Arial"/>
                <w:sz w:val="18"/>
                <w:szCs w:val="18"/>
                <w:color w:val="auto"/>
              </w:rPr>
              <w:t>Title: Executive Vice President and Chief Financial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25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on Form 10-Q of The Scotts Miracle-Gro Company (the “Company”) for the fiscal quarter ended December 31, 2022 as filed with the Securities and Exchange Commission on the date hereof (the “Report”), the undersigned James Hagedorn, Chief Executive Officer and Chairman of the Board of the Company, and Matthew E. Garth, Executive Vice President and Chief Financial Officer of the Company, certify, pursuant to Section 1350 of Chapter 63 of Title 18 of the United States Code, as adopted pursuant to Section 906 of the Sarbanes-Oxley Act of 2002, that, to the best of their knowledge:</w:t>
      </w:r>
    </w:p>
    <w:p>
      <w:pPr>
        <w:spacing w:after="0" w:line="14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660" w:right="280" w:hanging="652"/>
        <w:spacing w:after="0" w:line="277" w:lineRule="auto"/>
        <w:tabs>
          <w:tab w:leader="none" w:pos="3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and results of operations of the Company and its subsidiaries.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/s/ JAMES HAGEDORN</w:t>
            </w:r>
          </w:p>
        </w:tc>
        <w:tc>
          <w:tcPr>
            <w:tcW w:w="5120" w:type="dxa"/>
            <w:vAlign w:val="bottom"/>
          </w:tcPr>
          <w:p>
            <w:pPr>
              <w:ind w:left="360"/>
              <w:spacing w:after="0"/>
              <w:rPr>
                <w:sz w:val="20"/>
                <w:szCs w:val="20"/>
                <w:color w:val="auto"/>
              </w:rPr>
            </w:pPr>
            <w:r>
              <w:rPr>
                <w:rFonts w:ascii="Arial" w:cs="Arial" w:eastAsia="Arial" w:hAnsi="Arial"/>
                <w:sz w:val="18"/>
                <w:szCs w:val="18"/>
                <w:color w:val="auto"/>
              </w:rPr>
              <w:t>/s/ MATTHEW E. GARTH</w:t>
            </w:r>
          </w:p>
        </w:tc>
      </w:tr>
      <w:tr>
        <w:trPr>
          <w:trHeight w:val="222"/>
        </w:trPr>
        <w:tc>
          <w:tcPr>
            <w:tcW w:w="510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Printed Name: James Hagedorn</w:t>
            </w:r>
          </w:p>
        </w:tc>
        <w:tc>
          <w:tcPr>
            <w:tcW w:w="340" w:type="dxa"/>
            <w:vAlign w:val="bottom"/>
          </w:tcPr>
          <w:p>
            <w:pPr>
              <w:spacing w:after="0"/>
              <w:rPr>
                <w:sz w:val="19"/>
                <w:szCs w:val="19"/>
                <w:color w:val="auto"/>
              </w:rPr>
            </w:pPr>
          </w:p>
        </w:tc>
        <w:tc>
          <w:tcPr>
            <w:tcW w:w="51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Printed Name: Matthew E. Garth</w:t>
            </w:r>
          </w:p>
        </w:tc>
      </w:tr>
      <w:tr>
        <w:trPr>
          <w:trHeight w:val="230"/>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Title: Chief Executive Officer and Chairman of the Board</w:t>
            </w:r>
          </w:p>
        </w:tc>
        <w:tc>
          <w:tcPr>
            <w:tcW w:w="5120" w:type="dxa"/>
            <w:vAlign w:val="bottom"/>
          </w:tcPr>
          <w:p>
            <w:pPr>
              <w:ind w:left="360"/>
              <w:spacing w:after="0"/>
              <w:rPr>
                <w:sz w:val="20"/>
                <w:szCs w:val="20"/>
                <w:color w:val="auto"/>
              </w:rPr>
            </w:pPr>
            <w:r>
              <w:rPr>
                <w:rFonts w:ascii="Arial" w:cs="Arial" w:eastAsia="Arial" w:hAnsi="Arial"/>
                <w:sz w:val="18"/>
                <w:szCs w:val="18"/>
                <w:color w:val="auto"/>
              </w:rPr>
              <w:t>Title: Executive Vice President and Chief Financial Officer</w:t>
            </w:r>
          </w:p>
        </w:tc>
      </w:tr>
      <w:tr>
        <w:trPr>
          <w:trHeight w:val="432"/>
        </w:trPr>
        <w:tc>
          <w:tcPr>
            <w:tcW w:w="5440" w:type="dxa"/>
            <w:vAlign w:val="bottom"/>
            <w:gridSpan w:val="2"/>
          </w:tcPr>
          <w:p>
            <w:pPr>
              <w:ind w:left="340"/>
              <w:spacing w:after="0"/>
              <w:rPr>
                <w:sz w:val="20"/>
                <w:szCs w:val="20"/>
                <w:color w:val="auto"/>
              </w:rPr>
            </w:pPr>
            <w:r>
              <w:rPr>
                <w:rFonts w:ascii="Arial" w:cs="Arial" w:eastAsia="Arial" w:hAnsi="Arial"/>
                <w:sz w:val="18"/>
                <w:szCs w:val="18"/>
                <w:color w:val="auto"/>
              </w:rPr>
              <w:t>February 8, 2023</w:t>
            </w:r>
          </w:p>
        </w:tc>
        <w:tc>
          <w:tcPr>
            <w:tcW w:w="5120" w:type="dxa"/>
            <w:vAlign w:val="bottom"/>
          </w:tcPr>
          <w:p>
            <w:pPr>
              <w:ind w:left="360"/>
              <w:spacing w:after="0"/>
              <w:rPr>
                <w:sz w:val="20"/>
                <w:szCs w:val="20"/>
                <w:color w:val="auto"/>
              </w:rPr>
            </w:pPr>
            <w:r>
              <w:rPr>
                <w:rFonts w:ascii="Arial" w:cs="Arial" w:eastAsia="Arial" w:hAnsi="Arial"/>
                <w:sz w:val="18"/>
                <w:szCs w:val="18"/>
                <w:color w:val="auto"/>
              </w:rPr>
              <w:t>February 8, 2023</w:t>
            </w:r>
          </w:p>
        </w:tc>
      </w:tr>
    </w:tbl>
    <w:p>
      <w:pPr>
        <w:spacing w:after="0" w:line="296" w:lineRule="exact"/>
        <w:rPr>
          <w:sz w:val="20"/>
          <w:szCs w:val="20"/>
          <w:color w:val="auto"/>
        </w:rPr>
      </w:pPr>
    </w:p>
    <w:p>
      <w:pPr>
        <w:ind w:left="680" w:right="40" w:hanging="654"/>
        <w:spacing w:after="0" w:line="273" w:lineRule="auto"/>
        <w:tabs>
          <w:tab w:leader="none" w:pos="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THESE CERTIFICATIONS ARE BEING FURNISHED AS REQUIRED BY RULE 13a-14(b) UNDER THE SECURITIES EXCHANGE ACT OF 1934 (THE “EXCHANGE ACT”) AND SECTION 1350 OF CHAPTER 63 OF TITLE 18 OF THE UNITED STATES CODE, AND SHALL NOT BE DEEMED “FILED” FOR PURPOSES OF SECTION 18 OF THE EXCHANGE ACT OR OTHERWISE SUBJECT TO THE LIABILITY OF THAT SECTION. THESE CERTIFICATIONS SHALL NOT BE DEEMED TO BE INCORPORATED BY REFERENCE INTO ANY FILING UNDER THE SECURITIES ACT OF 1933 OR THE EXCHANGE ACT, EXCEPT TO THE EXTENT THAT THE COMPANY SPECIFICALLY INCORPORATES THESE CERTIFICATIONS BY REFERENCE.</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lowerRoman"/>
      <w:start w:val="2"/>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decimal"/>
      <w:start w:val="21"/>
    </w:lvl>
  </w:abstractNum>
  <w:abstractNum w:abstractNumId="15">
    <w:nsid w:val="436C6125"/>
    <w:multiLevelType w:val="hybridMultilevel"/>
    <w:lvl w:ilvl="0">
      <w:lvlJc w:val="left"/>
      <w:lvlText w:val="%1"/>
      <w:numFmt w:val="decimal"/>
      <w:start w:val="32"/>
    </w:lvl>
  </w:abstractNum>
  <w:abstractNum w:abstractNumId="16">
    <w:nsid w:val="628C895D"/>
    <w:multiLevelType w:val="hybridMultilevel"/>
    <w:lvl w:ilvl="0">
      <w:lvlJc w:val="left"/>
      <w:lvlText w:val="%1"/>
      <w:numFmt w:val="decimal"/>
      <w:start w:val="104"/>
    </w:lvl>
  </w:abstractNum>
  <w:abstractNum w:abstractNumId="17">
    <w:nsid w:val="333AB105"/>
    <w:multiLevelType w:val="hybridMultilevel"/>
    <w:lvl w:ilvl="0">
      <w:lvlJc w:val="left"/>
      <w:lvlText w:val="1"/>
      <w:numFmt w:val="bullet"/>
      <w:start w:val="1"/>
    </w:lvl>
  </w:abstractNum>
  <w:abstractNum w:abstractNumId="18">
    <w:nsid w:val="721DA317"/>
    <w:multiLevelType w:val="hybridMultilevel"/>
    <w:lvl w:ilvl="0">
      <w:lvlJc w:val="left"/>
      <w:lvlText w:val="2"/>
      <w:numFmt w:val="bullet"/>
      <w:start w:val="1"/>
    </w:lvl>
  </w:abstractNum>
  <w:abstractNum w:abstractNumId="19">
    <w:nsid w:val="2443A858"/>
    <w:multiLevelType w:val="hybridMultilevel"/>
    <w:lvl w:ilvl="0">
      <w:lvlJc w:val="left"/>
      <w:lvlText w:val="3"/>
      <w:numFmt w:val="bullet"/>
      <w:start w:val="1"/>
    </w:lvl>
  </w:abstractNum>
  <w:abstractNum w:abstractNumId="20">
    <w:nsid w:val="2D1D5AE9"/>
    <w:multiLevelType w:val="hybridMultilevel"/>
    <w:lvl w:ilvl="0">
      <w:lvlJc w:val="left"/>
      <w:lvlText w:val="4"/>
      <w:numFmt w:val="bullet"/>
      <w:start w:val="1"/>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57" Type="http://schemas.openxmlformats.org/officeDocument/2006/relationships/hyperlink" Target="http://www.sec.gov/Archives/edgar/data/825542/000144398422000302/exhibit101-smg2022x10x048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2023-02-08T15:19:27Z</dcterms:created>
  <dcterms:modified xsi:type="dcterms:W3CDTF">2023-02-08T15:19:27Z</dcterms:modified>
</cp:coreProperties>
</file>