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ind w:left="4280" w:right="3560" w:hanging="3778"/>
        <w:spacing w:after="0" w:line="259" w:lineRule="auto"/>
        <w:rPr>
          <w:sz w:val="20"/>
          <w:szCs w:val="20"/>
          <w:color w:val="auto"/>
        </w:rPr>
      </w:pPr>
      <w:r>
        <w:rPr>
          <w:rFonts w:ascii="Courier New" w:cs="Courier New" w:eastAsia="Courier New" w:hAnsi="Courier New"/>
          <w:sz w:val="16"/>
          <w:szCs w:val="16"/>
          <w:color w:val="auto"/>
        </w:rPr>
        <w:t>As filed with the Securities and Exchange Commission on April 28, 2000 Registration No. 333-________________</w:t>
      </w:r>
    </w:p>
    <w:p>
      <w:pPr>
        <w:spacing w:after="0" w:line="183"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UNITED STATES</w:t>
      </w:r>
    </w:p>
    <w:p>
      <w:pPr>
        <w:jc w:val="center"/>
        <w:ind w:right="3560"/>
        <w:spacing w:after="0" w:line="238" w:lineRule="auto"/>
        <w:rPr>
          <w:sz w:val="20"/>
          <w:szCs w:val="20"/>
          <w:color w:val="auto"/>
        </w:rPr>
      </w:pPr>
      <w:r>
        <w:rPr>
          <w:rFonts w:ascii="Courier New" w:cs="Courier New" w:eastAsia="Courier New" w:hAnsi="Courier New"/>
          <w:sz w:val="17"/>
          <w:szCs w:val="17"/>
          <w:color w:val="auto"/>
        </w:rPr>
        <w:t>SECURITIES AND EXCHANGE COMMISSION</w:t>
      </w:r>
    </w:p>
    <w:p>
      <w:pPr>
        <w:jc w:val="center"/>
        <w:ind w:right="3560"/>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FORM S-8</w:t>
      </w:r>
    </w:p>
    <w:p>
      <w:pPr>
        <w:spacing w:after="0" w:line="190"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REGISTRATION STATEMENT UNDER THE SECURITIES ACT OF 1933</w:t>
      </w:r>
    </w:p>
    <w:p>
      <w:pPr>
        <w:spacing w:after="0" w:line="19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THE SCOTTS COMPANY</w:t>
      </w:r>
    </w:p>
    <w:p>
      <w:pPr>
        <w:ind w:left="600"/>
        <w:spacing w:after="0" w:line="238" w:lineRule="auto"/>
        <w:rPr>
          <w:sz w:val="20"/>
          <w:szCs w:val="20"/>
          <w:color w:val="auto"/>
        </w:rPr>
      </w:pPr>
      <w:r>
        <w:rPr>
          <w:rFonts w:ascii="Courier New" w:cs="Courier New" w:eastAsia="Courier New" w:hAnsi="Courier New"/>
          <w:sz w:val="17"/>
          <w:szCs w:val="17"/>
          <w:color w:val="auto"/>
        </w:rPr>
        <w:t>--------------------------------------------------------------------</w:t>
      </w:r>
    </w:p>
    <w:p>
      <w:pPr>
        <w:ind w:left="13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237" w:right="139" w:bottom="927" w:gutter="0" w:footer="0" w:header="0"/>
        </w:sectPr>
      </w:pPr>
    </w:p>
    <w:p>
      <w:pPr>
        <w:spacing w:after="0" w:line="190"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ind w:left="100"/>
        <w:spacing w:after="0" w:line="238" w:lineRule="auto"/>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780"/>
        <w:spacing w:after="0"/>
        <w:rPr>
          <w:sz w:val="20"/>
          <w:szCs w:val="20"/>
          <w:color w:val="auto"/>
        </w:rPr>
      </w:pPr>
      <w:r>
        <w:rPr>
          <w:rFonts w:ascii="Courier New" w:cs="Courier New" w:eastAsia="Courier New" w:hAnsi="Courier New"/>
          <w:sz w:val="17"/>
          <w:szCs w:val="17"/>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(I.R.S. Employer</w:t>
      </w:r>
    </w:p>
    <w:p>
      <w:pPr>
        <w:ind w:left="400"/>
        <w:spacing w:after="0" w:line="238" w:lineRule="auto"/>
        <w:rPr>
          <w:sz w:val="20"/>
          <w:szCs w:val="20"/>
          <w:color w:val="auto"/>
        </w:rPr>
      </w:pPr>
      <w:r>
        <w:rPr>
          <w:rFonts w:ascii="Courier New" w:cs="Courier New" w:eastAsia="Courier New" w:hAnsi="Courier New"/>
          <w:sz w:val="17"/>
          <w:szCs w:val="17"/>
          <w:color w:val="auto"/>
        </w:rPr>
        <w:t>Identification No.)</w:t>
      </w:r>
    </w:p>
    <w:p>
      <w:pPr>
        <w:spacing w:after="0" w:line="190" w:lineRule="exact"/>
        <w:rPr>
          <w:sz w:val="24"/>
          <w:szCs w:val="24"/>
          <w:color w:val="auto"/>
        </w:rPr>
      </w:pPr>
    </w:p>
    <w:p>
      <w:pPr>
        <w:sectPr>
          <w:pgSz w:w="11900" w:h="16838" w:orient="portrait"/>
          <w:cols w:equalWidth="0" w:num="2">
            <w:col w:w="4360" w:space="720"/>
            <w:col w:w="6440"/>
          </w:cols>
          <w:pgMar w:left="240" w:top="237" w:right="139" w:bottom="927" w:gutter="0" w:footer="0" w:header="0"/>
          <w:type w:val="continuous"/>
        </w:sectPr>
      </w:pPr>
    </w:p>
    <w:p>
      <w:pPr>
        <w:spacing w:after="0"/>
        <w:tabs>
          <w:tab w:leader="none" w:pos="6040" w:val="left"/>
        </w:tabs>
        <w:rPr>
          <w:sz w:val="20"/>
          <w:szCs w:val="20"/>
          <w:color w:val="auto"/>
        </w:rPr>
      </w:pPr>
      <w:r>
        <w:rPr>
          <w:rFonts w:ascii="Courier New" w:cs="Courier New" w:eastAsia="Courier New" w:hAnsi="Courier New"/>
          <w:sz w:val="17"/>
          <w:szCs w:val="17"/>
          <w:color w:val="auto"/>
        </w:rPr>
        <w:t>41 South High Street, Suite 3500, Columbus, Ohio</w:t>
      </w:r>
      <w:r>
        <w:rPr>
          <w:sz w:val="20"/>
          <w:szCs w:val="20"/>
          <w:color w:val="auto"/>
        </w:rPr>
        <w:tab/>
      </w:r>
      <w:r>
        <w:rPr>
          <w:rFonts w:ascii="Courier New" w:cs="Courier New" w:eastAsia="Courier New" w:hAnsi="Courier New"/>
          <w:sz w:val="16"/>
          <w:szCs w:val="16"/>
          <w:color w:val="auto"/>
        </w:rPr>
        <w:t>43215</w:t>
      </w:r>
    </w:p>
    <w:p>
      <w:pPr>
        <w:sectPr>
          <w:pgSz w:w="11900" w:h="16838" w:orient="portrait"/>
          <w:cols w:equalWidth="0" w:num="1">
            <w:col w:w="11520"/>
          </w:cols>
          <w:pgMar w:left="240" w:top="237" w:right="139" w:bottom="927"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tabs>
          <w:tab w:leader="none" w:pos="584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The Scotts Company</w:t>
      </w:r>
    </w:p>
    <w:p>
      <w:pPr>
        <w:ind w:left="2580"/>
        <w:spacing w:after="0" w:line="238" w:lineRule="auto"/>
        <w:rPr>
          <w:sz w:val="20"/>
          <w:szCs w:val="20"/>
          <w:color w:val="auto"/>
        </w:rPr>
      </w:pPr>
      <w:r>
        <w:rPr>
          <w:rFonts w:ascii="Courier New" w:cs="Courier New" w:eastAsia="Courier New" w:hAnsi="Courier New"/>
          <w:sz w:val="17"/>
          <w:szCs w:val="17"/>
          <w:color w:val="auto"/>
        </w:rPr>
        <w:t>Union Retirement Savings Plan</w:t>
      </w:r>
    </w:p>
    <w:p>
      <w:pPr>
        <w:ind w:left="2380"/>
        <w:spacing w:after="0" w:line="238" w:lineRule="auto"/>
        <w:rPr>
          <w:sz w:val="20"/>
          <w:szCs w:val="20"/>
          <w:color w:val="auto"/>
        </w:rPr>
      </w:pPr>
      <w:r>
        <w:rPr>
          <w:rFonts w:ascii="Courier New" w:cs="Courier New" w:eastAsia="Courier New" w:hAnsi="Courier New"/>
          <w:sz w:val="17"/>
          <w:szCs w:val="17"/>
          <w:color w:val="auto"/>
        </w:rPr>
        <w:t>---------------------------------</w:t>
      </w:r>
    </w:p>
    <w:p>
      <w:pPr>
        <w:ind w:left="2780"/>
        <w:spacing w:after="0"/>
        <w:rPr>
          <w:sz w:val="20"/>
          <w:szCs w:val="20"/>
          <w:color w:val="auto"/>
        </w:rPr>
      </w:pPr>
      <w:r>
        <w:rPr>
          <w:rFonts w:ascii="Courier New" w:cs="Courier New" w:eastAsia="Courier New" w:hAnsi="Courier New"/>
          <w:sz w:val="17"/>
          <w:szCs w:val="17"/>
          <w:color w:val="auto"/>
        </w:rPr>
        <w:t>(Full title of the plan)</w:t>
      </w:r>
    </w:p>
    <w:p>
      <w:pPr>
        <w:sectPr>
          <w:pgSz w:w="11900" w:h="16838" w:orient="portrait"/>
          <w:cols w:equalWidth="0" w:num="1">
            <w:col w:w="11520"/>
          </w:cols>
          <w:pgMar w:left="240" w:top="237" w:right="139" w:bottom="927"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 Robert Lucas, Esq.</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Scotts Company</w:t>
      </w:r>
    </w:p>
    <w:p>
      <w:pPr>
        <w:spacing w:after="0" w:line="238" w:lineRule="auto"/>
        <w:rPr>
          <w:sz w:val="20"/>
          <w:szCs w:val="20"/>
          <w:color w:val="auto"/>
        </w:rPr>
      </w:pPr>
      <w:r>
        <w:rPr>
          <w:rFonts w:ascii="Courier New" w:cs="Courier New" w:eastAsia="Courier New" w:hAnsi="Courier New"/>
          <w:sz w:val="17"/>
          <w:szCs w:val="17"/>
          <w:color w:val="auto"/>
        </w:rPr>
        <w:t>41 South High Street</w:t>
      </w:r>
    </w:p>
    <w:p>
      <w:pPr>
        <w:spacing w:after="0" w:line="238" w:lineRule="auto"/>
        <w:rPr>
          <w:sz w:val="20"/>
          <w:szCs w:val="20"/>
          <w:color w:val="auto"/>
        </w:rPr>
      </w:pPr>
      <w:r>
        <w:rPr>
          <w:rFonts w:ascii="Courier New" w:cs="Courier New" w:eastAsia="Courier New" w:hAnsi="Courier New"/>
          <w:sz w:val="17"/>
          <w:szCs w:val="17"/>
          <w:color w:val="auto"/>
        </w:rPr>
        <w:t>Suite 3500</w:t>
      </w:r>
    </w:p>
    <w:p>
      <w:pPr>
        <w:spacing w:after="0"/>
        <w:tabs>
          <w:tab w:leader="none" w:pos="1580" w:val="left"/>
        </w:tabs>
        <w:rPr>
          <w:sz w:val="20"/>
          <w:szCs w:val="20"/>
          <w:color w:val="auto"/>
        </w:rPr>
      </w:pPr>
      <w:r>
        <w:rPr>
          <w:rFonts w:ascii="Courier New" w:cs="Courier New" w:eastAsia="Courier New" w:hAnsi="Courier New"/>
          <w:sz w:val="17"/>
          <w:szCs w:val="17"/>
          <w:color w:val="auto"/>
        </w:rPr>
        <w:t>Columbus, Ohio</w:t>
      </w:r>
      <w:r>
        <w:rPr>
          <w:sz w:val="20"/>
          <w:szCs w:val="20"/>
          <w:color w:val="auto"/>
        </w:rPr>
        <w:tab/>
      </w:r>
      <w:r>
        <w:rPr>
          <w:rFonts w:ascii="Courier New" w:cs="Courier New" w:eastAsia="Courier New" w:hAnsi="Courier New"/>
          <w:sz w:val="16"/>
          <w:szCs w:val="16"/>
          <w:color w:val="auto"/>
        </w:rPr>
        <w:t>43215</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7"/>
          <w:szCs w:val="17"/>
          <w:color w:val="auto"/>
        </w:rPr>
        <w:t>Copy to:</w:t>
      </w:r>
    </w:p>
    <w:p>
      <w:pPr>
        <w:spacing w:after="0" w:line="238" w:lineRule="auto"/>
        <w:rPr>
          <w:sz w:val="20"/>
          <w:szCs w:val="20"/>
          <w:color w:val="auto"/>
        </w:rPr>
      </w:pPr>
      <w:r>
        <w:rPr>
          <w:rFonts w:ascii="Courier New" w:cs="Courier New" w:eastAsia="Courier New" w:hAnsi="Courier New"/>
          <w:sz w:val="17"/>
          <w:szCs w:val="17"/>
          <w:color w:val="auto"/>
        </w:rPr>
        <w:t>Elizabeth Turrell Farrar,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Vorys, Sater, Seymour and Pease LLP</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52 East Gay Street</w:t>
      </w:r>
    </w:p>
    <w:p>
      <w:pPr>
        <w:spacing w:after="0" w:line="238" w:lineRule="auto"/>
        <w:rPr>
          <w:sz w:val="20"/>
          <w:szCs w:val="20"/>
          <w:color w:val="auto"/>
        </w:rPr>
      </w:pPr>
      <w:r>
        <w:rPr>
          <w:rFonts w:ascii="Courier New" w:cs="Courier New" w:eastAsia="Courier New" w:hAnsi="Courier New"/>
          <w:sz w:val="17"/>
          <w:szCs w:val="17"/>
          <w:color w:val="auto"/>
        </w:rPr>
        <w:t>P.O. Box 1008</w:t>
      </w:r>
    </w:p>
    <w:p>
      <w:pPr>
        <w:spacing w:after="0"/>
        <w:tabs>
          <w:tab w:leader="none" w:pos="1560" w:val="left"/>
        </w:tabs>
        <w:rPr>
          <w:sz w:val="20"/>
          <w:szCs w:val="20"/>
          <w:color w:val="auto"/>
        </w:rPr>
      </w:pPr>
      <w:r>
        <w:rPr>
          <w:rFonts w:ascii="Courier New" w:cs="Courier New" w:eastAsia="Courier New" w:hAnsi="Courier New"/>
          <w:sz w:val="17"/>
          <w:szCs w:val="17"/>
          <w:color w:val="auto"/>
        </w:rPr>
        <w:t>Columbus, Ohio</w:t>
      </w:r>
      <w:r>
        <w:rPr>
          <w:sz w:val="20"/>
          <w:szCs w:val="20"/>
          <w:color w:val="auto"/>
        </w:rPr>
        <w:tab/>
      </w:r>
      <w:r>
        <w:rPr>
          <w:rFonts w:ascii="Courier New" w:cs="Courier New" w:eastAsia="Courier New" w:hAnsi="Courier New"/>
          <w:sz w:val="16"/>
          <w:szCs w:val="16"/>
          <w:color w:val="auto"/>
        </w:rPr>
        <w:t>43216-1008</w:t>
      </w:r>
    </w:p>
    <w:p>
      <w:pPr>
        <w:spacing w:after="0" w:line="2" w:lineRule="exact"/>
        <w:rPr>
          <w:sz w:val="24"/>
          <w:szCs w:val="24"/>
          <w:color w:val="auto"/>
        </w:rPr>
      </w:pPr>
    </w:p>
    <w:p>
      <w:pPr>
        <w:sectPr>
          <w:pgSz w:w="11900" w:h="16838" w:orient="portrait"/>
          <w:cols w:equalWidth="0" w:num="2">
            <w:col w:w="3760" w:space="720"/>
            <w:col w:w="7040"/>
          </w:cols>
          <w:pgMar w:left="240" w:top="237" w:right="139" w:bottom="927" w:gutter="0" w:footer="0" w:header="0"/>
          <w:type w:val="continuous"/>
        </w:sectPr>
      </w:pPr>
    </w:p>
    <w:p>
      <w:pPr>
        <w:ind w:left="200" w:hanging="198"/>
        <w:spacing w:after="0" w:line="237"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address of agent for service)</w:t>
      </w:r>
    </w:p>
    <w:p>
      <w:pPr>
        <w:spacing w:after="0" w:line="190" w:lineRule="exact"/>
        <w:rPr>
          <w:rFonts w:ascii="Courier New" w:cs="Courier New" w:eastAsia="Courier New" w:hAnsi="Courier New"/>
          <w:sz w:val="17"/>
          <w:szCs w:val="17"/>
          <w:color w:val="auto"/>
        </w:rPr>
      </w:pPr>
    </w:p>
    <w:p>
      <w:pPr>
        <w:ind w:left="3880" w:hanging="596"/>
        <w:spacing w:after="0"/>
        <w:tabs>
          <w:tab w:leader="none" w:pos="38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719-5500</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(Telephone number, including area code, of agent for service)</w:t>
      </w:r>
    </w:p>
    <w:p>
      <w:pPr>
        <w:spacing w:after="0" w:line="388" w:lineRule="exact"/>
        <w:rPr>
          <w:sz w:val="24"/>
          <w:szCs w:val="24"/>
          <w:color w:val="auto"/>
        </w:rPr>
      </w:pPr>
    </w:p>
    <w:p>
      <w:pPr>
        <w:jc w:val="center"/>
        <w:ind w:right="180"/>
        <w:spacing w:after="0" w:line="253" w:lineRule="auto"/>
        <w:rPr>
          <w:sz w:val="20"/>
          <w:szCs w:val="20"/>
          <w:color w:val="auto"/>
        </w:rPr>
      </w:pPr>
      <w:r>
        <w:rPr>
          <w:rFonts w:ascii="Courier New" w:cs="Courier New" w:eastAsia="Courier New" w:hAnsi="Courier New"/>
          <w:sz w:val="16"/>
          <w:szCs w:val="16"/>
          <w:color w:val="auto"/>
        </w:rPr>
        <w:t>================================================================================================================== CALCULATION OF REGISTRATION FEE</w:t>
      </w: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540" w:type="dxa"/>
            <w:vAlign w:val="bottom"/>
          </w:tcPr>
          <w:p>
            <w:pPr>
              <w:ind w:left="900"/>
              <w:spacing w:after="0"/>
              <w:rPr>
                <w:sz w:val="20"/>
                <w:szCs w:val="20"/>
                <w:color w:val="auto"/>
              </w:rPr>
            </w:pPr>
            <w:r>
              <w:rPr>
                <w:rFonts w:ascii="Courier New" w:cs="Courier New" w:eastAsia="Courier New" w:hAnsi="Courier New"/>
                <w:sz w:val="17"/>
                <w:szCs w:val="17"/>
                <w:color w:val="auto"/>
              </w:rPr>
              <w:t>Proposed</w:t>
            </w:r>
          </w:p>
        </w:tc>
        <w:tc>
          <w:tcPr>
            <w:tcW w:w="2140" w:type="dxa"/>
            <w:vAlign w:val="bottom"/>
          </w:tcPr>
          <w:p>
            <w:pPr>
              <w:ind w:left="640"/>
              <w:spacing w:after="0"/>
              <w:rPr>
                <w:sz w:val="20"/>
                <w:szCs w:val="20"/>
                <w:color w:val="auto"/>
              </w:rPr>
            </w:pPr>
            <w:r>
              <w:rPr>
                <w:rFonts w:ascii="Courier New" w:cs="Courier New" w:eastAsia="Courier New" w:hAnsi="Courier New"/>
                <w:sz w:val="17"/>
                <w:szCs w:val="17"/>
                <w:color w:val="auto"/>
              </w:rPr>
              <w:t>Proposed</w:t>
            </w:r>
          </w:p>
        </w:tc>
        <w:tc>
          <w:tcPr>
            <w:tcW w:w="1780" w:type="dxa"/>
            <w:vAlign w:val="bottom"/>
          </w:tcPr>
          <w:p>
            <w:pPr>
              <w:spacing w:after="0"/>
              <w:rPr>
                <w:sz w:val="16"/>
                <w:szCs w:val="16"/>
                <w:color w:val="auto"/>
              </w:rPr>
            </w:pPr>
          </w:p>
        </w:tc>
      </w:tr>
      <w:tr>
        <w:trPr>
          <w:trHeight w:val="191"/>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rPr>
              <w:t>Title of</w:t>
            </w:r>
          </w:p>
        </w:tc>
        <w:tc>
          <w:tcPr>
            <w:tcW w:w="2440" w:type="dxa"/>
            <w:vAlign w:val="bottom"/>
          </w:tcPr>
          <w:p>
            <w:pPr>
              <w:spacing w:after="0"/>
              <w:rPr>
                <w:sz w:val="16"/>
                <w:szCs w:val="16"/>
                <w:color w:val="auto"/>
              </w:rPr>
            </w:pPr>
          </w:p>
        </w:tc>
        <w:tc>
          <w:tcPr>
            <w:tcW w:w="25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maximum</w:t>
            </w:r>
          </w:p>
        </w:tc>
        <w:tc>
          <w:tcPr>
            <w:tcW w:w="214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maximum</w:t>
            </w:r>
          </w:p>
        </w:tc>
        <w:tc>
          <w:tcPr>
            <w:tcW w:w="1780" w:type="dxa"/>
            <w:vAlign w:val="bottom"/>
          </w:tcPr>
          <w:p>
            <w:pPr>
              <w:spacing w:after="0"/>
              <w:rPr>
                <w:sz w:val="16"/>
                <w:szCs w:val="16"/>
                <w:color w:val="auto"/>
              </w:rPr>
            </w:pPr>
          </w:p>
        </w:tc>
      </w:tr>
      <w:tr>
        <w:trPr>
          <w:trHeight w:val="191"/>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24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Amount</w:t>
            </w:r>
          </w:p>
        </w:tc>
        <w:tc>
          <w:tcPr>
            <w:tcW w:w="25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offering</w:t>
            </w:r>
          </w:p>
        </w:tc>
        <w:tc>
          <w:tcPr>
            <w:tcW w:w="21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aggregate</w:t>
            </w:r>
          </w:p>
        </w:tc>
        <w:tc>
          <w:tcPr>
            <w:tcW w:w="1780" w:type="dxa"/>
            <w:vAlign w:val="bottom"/>
          </w:tcPr>
          <w:p>
            <w:pPr>
              <w:jc w:val="center"/>
              <w:ind w:left="597"/>
              <w:spacing w:after="0" w:line="191" w:lineRule="exact"/>
              <w:rPr>
                <w:sz w:val="20"/>
                <w:szCs w:val="20"/>
                <w:color w:val="auto"/>
              </w:rPr>
            </w:pPr>
            <w:r>
              <w:rPr>
                <w:rFonts w:ascii="Courier New" w:cs="Courier New" w:eastAsia="Courier New" w:hAnsi="Courier New"/>
                <w:sz w:val="17"/>
                <w:szCs w:val="17"/>
                <w:color w:val="auto"/>
                <w:w w:val="97"/>
              </w:rPr>
              <w:t>Amount of</w:t>
            </w:r>
          </w:p>
        </w:tc>
      </w:tr>
      <w:tr>
        <w:trPr>
          <w:trHeight w:val="191"/>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rPr>
              <w:t>to be</w:t>
            </w:r>
          </w:p>
        </w:tc>
        <w:tc>
          <w:tcPr>
            <w:tcW w:w="24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to be</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price</w:t>
            </w:r>
          </w:p>
        </w:tc>
        <w:tc>
          <w:tcPr>
            <w:tcW w:w="21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offering</w:t>
            </w:r>
          </w:p>
        </w:tc>
        <w:tc>
          <w:tcPr>
            <w:tcW w:w="178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w w:val="96"/>
              </w:rPr>
              <w:t>registration</w:t>
            </w:r>
          </w:p>
        </w:tc>
      </w:tr>
      <w:tr>
        <w:trPr>
          <w:trHeight w:val="191"/>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rPr>
              <w:t>registered (1)</w:t>
            </w:r>
          </w:p>
        </w:tc>
        <w:tc>
          <w:tcPr>
            <w:tcW w:w="2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registered</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per share (1)</w:t>
            </w:r>
          </w:p>
        </w:tc>
        <w:tc>
          <w:tcPr>
            <w:tcW w:w="21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price (1)</w:t>
            </w:r>
          </w:p>
        </w:tc>
        <w:tc>
          <w:tcPr>
            <w:tcW w:w="1780" w:type="dxa"/>
            <w:vAlign w:val="bottom"/>
          </w:tcPr>
          <w:p>
            <w:pPr>
              <w:jc w:val="center"/>
              <w:ind w:left="597"/>
              <w:spacing w:after="0" w:line="191" w:lineRule="exact"/>
              <w:rPr>
                <w:sz w:val="20"/>
                <w:szCs w:val="20"/>
                <w:color w:val="auto"/>
              </w:rPr>
            </w:pPr>
            <w:r>
              <w:rPr>
                <w:rFonts w:ascii="Courier New" w:cs="Courier New" w:eastAsia="Courier New" w:hAnsi="Courier New"/>
                <w:sz w:val="17"/>
                <w:szCs w:val="17"/>
                <w:color w:val="auto"/>
                <w:w w:val="97"/>
              </w:rPr>
              <w:t>fee</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Common Shares, without</w:t>
            </w:r>
          </w:p>
        </w:tc>
        <w:tc>
          <w:tcPr>
            <w:tcW w:w="1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1"/>
        </w:trPr>
        <w:tc>
          <w:tcPr>
            <w:tcW w:w="27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par value</w:t>
            </w:r>
          </w:p>
        </w:tc>
        <w:tc>
          <w:tcPr>
            <w:tcW w:w="19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5,000</w:t>
            </w:r>
          </w:p>
        </w:tc>
        <w:tc>
          <w:tcPr>
            <w:tcW w:w="23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$35.84</w:t>
            </w:r>
          </w:p>
        </w:tc>
        <w:tc>
          <w:tcPr>
            <w:tcW w:w="242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$179,200</w:t>
            </w:r>
          </w:p>
        </w:tc>
        <w:tc>
          <w:tcPr>
            <w:tcW w:w="20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$47.31</w:t>
            </w:r>
          </w:p>
        </w:tc>
      </w:tr>
      <w:tr>
        <w:trPr>
          <w:trHeight w:val="383"/>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center"/>
              <w:spacing w:after="0"/>
              <w:rPr>
                <w:sz w:val="20"/>
                <w:szCs w:val="20"/>
                <w:color w:val="auto"/>
              </w:rPr>
            </w:pPr>
            <w:r>
              <w:rPr>
                <w:rFonts w:ascii="Courier New" w:cs="Courier New" w:eastAsia="Courier New" w:hAnsi="Courier New"/>
                <w:sz w:val="17"/>
                <w:szCs w:val="17"/>
                <w:color w:val="auto"/>
                <w:w w:val="97"/>
              </w:rPr>
              <w:t>------------------------------------------------------------------------------------------------------------------</w:t>
            </w:r>
          </w:p>
        </w:tc>
      </w:tr>
    </w:tbl>
    <w:p>
      <w:pPr>
        <w:spacing w:after="0" w:line="388" w:lineRule="exact"/>
        <w:rPr>
          <w:sz w:val="24"/>
          <w:szCs w:val="24"/>
          <w:color w:val="auto"/>
        </w:rPr>
      </w:pPr>
    </w:p>
    <w:p>
      <w:pPr>
        <w:ind w:left="900" w:right="3660" w:hanging="898"/>
        <w:spacing w:after="0" w:line="236"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pursuant to Rule 416(c) under the Securities Act of 1933, this registration statement also covers an indeterminate amount of interests to be offered or sold pursuant to the employee benefit plan described herein.</w:t>
      </w:r>
    </w:p>
    <w:p>
      <w:pPr>
        <w:spacing w:after="0" w:line="198" w:lineRule="exact"/>
        <w:rPr>
          <w:rFonts w:ascii="Courier New" w:cs="Courier New" w:eastAsia="Courier New" w:hAnsi="Courier New"/>
          <w:sz w:val="17"/>
          <w:szCs w:val="17"/>
          <w:color w:val="auto"/>
        </w:rPr>
      </w:pPr>
    </w:p>
    <w:p>
      <w:pPr>
        <w:ind w:left="900" w:right="3560" w:hanging="898"/>
        <w:spacing w:after="0" w:line="237"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aggregate offering price and the registration fee pursuant to Rules 457(c) and 457(h) promulgated under the Securities Act of 1933, as amended, and computed on the basis of $35.84 per share, which is the average of the high and low sales prices of the Common Shares as reported on the New York Stock Exchange on April 24, 2000.</w:t>
      </w:r>
    </w:p>
    <w:p>
      <w:pPr>
        <w:sectPr>
          <w:pgSz w:w="11900" w:h="16838" w:orient="portrait"/>
          <w:cols w:equalWidth="0" w:num="1">
            <w:col w:w="11520"/>
          </w:cols>
          <w:pgMar w:left="240" w:top="237" w:right="139" w:bottom="927"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jc w:val="center"/>
        <w:ind w:right="2159"/>
        <w:spacing w:after="0" w:line="238" w:lineRule="auto"/>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38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3459" w:firstLine="1790"/>
        <w:spacing w:after="0" w:line="235" w:lineRule="auto"/>
        <w:rPr>
          <w:sz w:val="20"/>
          <w:szCs w:val="20"/>
          <w:color w:val="auto"/>
        </w:rPr>
      </w:pPr>
      <w:r>
        <w:rPr>
          <w:rFonts w:ascii="Courier New" w:cs="Courier New" w:eastAsia="Courier New" w:hAnsi="Courier New"/>
          <w:sz w:val="17"/>
          <w:szCs w:val="17"/>
          <w:color w:val="auto"/>
        </w:rPr>
        <w:t>The following documents are incorporated into this registration statement by reference:</w:t>
      </w:r>
    </w:p>
    <w:p>
      <w:pPr>
        <w:spacing w:after="0" w:line="197" w:lineRule="exact"/>
        <w:rPr>
          <w:sz w:val="20"/>
          <w:szCs w:val="20"/>
          <w:color w:val="auto"/>
        </w:rPr>
      </w:pPr>
    </w:p>
    <w:p>
      <w:pPr>
        <w:ind w:left="2680" w:right="2559" w:hanging="888"/>
        <w:spacing w:after="0" w:line="259" w:lineRule="auto"/>
        <w:tabs>
          <w:tab w:leader="none" w:pos="2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Report on Form 10-K for the fiscal year ended September 30, 1999 of The Scotts Company.</w:t>
      </w:r>
    </w:p>
    <w:p>
      <w:pPr>
        <w:spacing w:after="0" w:line="182" w:lineRule="exact"/>
        <w:rPr>
          <w:rFonts w:ascii="Courier New" w:cs="Courier New" w:eastAsia="Courier New" w:hAnsi="Courier New"/>
          <w:sz w:val="16"/>
          <w:szCs w:val="16"/>
          <w:color w:val="auto"/>
        </w:rPr>
      </w:pPr>
    </w:p>
    <w:p>
      <w:pPr>
        <w:ind w:left="2680" w:right="2759" w:hanging="888"/>
        <w:spacing w:after="0" w:line="235" w:lineRule="auto"/>
        <w:tabs>
          <w:tab w:leader="none" w:pos="26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Report on Form 8-K, dated October 4, 1999, of The Scotts Company.</w:t>
      </w:r>
    </w:p>
    <w:p>
      <w:pPr>
        <w:spacing w:after="0" w:line="196" w:lineRule="exact"/>
        <w:rPr>
          <w:rFonts w:ascii="Courier New" w:cs="Courier New" w:eastAsia="Courier New" w:hAnsi="Courier New"/>
          <w:sz w:val="17"/>
          <w:szCs w:val="17"/>
          <w:color w:val="auto"/>
        </w:rPr>
      </w:pPr>
    </w:p>
    <w:p>
      <w:pPr>
        <w:ind w:left="2680" w:right="2359" w:hanging="888"/>
        <w:spacing w:after="0" w:line="259" w:lineRule="auto"/>
        <w:tabs>
          <w:tab w:leader="none" w:pos="2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Quarterly Report on Form 10-Q for the fiscal quarter ended January 1, 2000 of The Scotts Company.</w:t>
      </w:r>
    </w:p>
    <w:p>
      <w:pPr>
        <w:spacing w:after="0" w:line="182" w:lineRule="exact"/>
        <w:rPr>
          <w:rFonts w:ascii="Courier New" w:cs="Courier New" w:eastAsia="Courier New" w:hAnsi="Courier New"/>
          <w:sz w:val="16"/>
          <w:szCs w:val="16"/>
          <w:color w:val="auto"/>
        </w:rPr>
      </w:pPr>
    </w:p>
    <w:p>
      <w:pPr>
        <w:ind w:left="2680" w:right="2259" w:hanging="888"/>
        <w:spacing w:after="0" w:line="237" w:lineRule="auto"/>
        <w:tabs>
          <w:tab w:leader="none" w:pos="26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common shares of The Scotts Company contained in Scotts' Registration Statement on Form 8-A (File No. 1-11593) filed on December 21, 1995, which incorporates by reference the description of the common shares contained in Scotts' Proxy Statement/Prospectus dated March 15, 1995, contained in Scotts' Registration Statement on Form S-4 (Registration No. 33-57575).</w:t>
      </w:r>
    </w:p>
    <w:p>
      <w:pPr>
        <w:spacing w:after="0" w:line="199" w:lineRule="exact"/>
        <w:rPr>
          <w:rFonts w:ascii="Courier New" w:cs="Courier New" w:eastAsia="Courier New" w:hAnsi="Courier New"/>
          <w:sz w:val="17"/>
          <w:szCs w:val="17"/>
          <w:color w:val="auto"/>
        </w:rPr>
      </w:pPr>
    </w:p>
    <w:p>
      <w:pPr>
        <w:ind w:left="2680" w:right="2259" w:hanging="888"/>
        <w:spacing w:after="0" w:line="253" w:lineRule="auto"/>
        <w:tabs>
          <w:tab w:leader="none" w:pos="2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definitive proxy statement or information statement filed by The Scotts Company pursuant to Section 14 of the Securities Exchange Act of 1934 and all other documents that may be filed by Scotts or The Scotts Company Union Retirement Savings Plan pursuant to Sections 13, 14 or 15(d) of the Exchange Act subsequent to the date of this registration statement and prior to the filing of a post-effective amendment which indicates that all securities offered have been sold or which deregisters all securities then remaining unsold, in each case from the date of filing. However, no report of the Compensation and Organization Committee of the Board of Directors of Scotts on executive compensation and no performance graph included in any filed proxy statement or information statement will be deemed incorporated by reference.</w:t>
      </w:r>
    </w:p>
    <w:p>
      <w:pPr>
        <w:spacing w:after="0" w:line="18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200" w:hanging="198"/>
        <w:spacing w:after="0" w:line="238" w:lineRule="auto"/>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200" w:hanging="198"/>
        <w:spacing w:after="0" w:line="238" w:lineRule="auto"/>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359" w:firstLine="1790"/>
        <w:spacing w:after="0" w:line="259" w:lineRule="auto"/>
        <w:rPr>
          <w:sz w:val="20"/>
          <w:szCs w:val="20"/>
          <w:color w:val="auto"/>
        </w:rPr>
      </w:pPr>
      <w:r>
        <w:rPr>
          <w:rFonts w:ascii="Courier New" w:cs="Courier New" w:eastAsia="Courier New" w:hAnsi="Courier New"/>
          <w:sz w:val="16"/>
          <w:szCs w:val="16"/>
          <w:color w:val="auto"/>
        </w:rPr>
        <w:t>Article FIVE of the Regulations of The Scotts Company governs the indemnification of officers and directors of Scotts. Article FIVE provides:</w:t>
      </w:r>
    </w:p>
    <w:p>
      <w:pPr>
        <w:spacing w:after="0" w:line="183" w:lineRule="exact"/>
        <w:rPr>
          <w:sz w:val="20"/>
          <w:szCs w:val="20"/>
          <w:color w:val="auto"/>
        </w:rPr>
      </w:pPr>
    </w:p>
    <w:p>
      <w:pPr>
        <w:ind w:left="900" w:right="2259" w:firstLine="895"/>
        <w:spacing w:after="0" w:line="253"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96" w:lineRule="exact"/>
        <w:rPr>
          <w:sz w:val="20"/>
          <w:szCs w:val="20"/>
          <w:color w:val="auto"/>
        </w:rPr>
      </w:pPr>
    </w:p>
    <w:p>
      <w:pPr>
        <w:ind w:left="900" w:right="3059" w:firstLine="895"/>
        <w:spacing w:after="0" w:line="236" w:lineRule="auto"/>
        <w:rPr>
          <w:sz w:val="20"/>
          <w:szCs w:val="20"/>
          <w:color w:val="auto"/>
        </w:rPr>
      </w:pPr>
      <w:r>
        <w:rPr>
          <w:rFonts w:ascii="Courier New" w:cs="Courier New" w:eastAsia="Courier New" w:hAnsi="Courier New"/>
          <w:sz w:val="17"/>
          <w:szCs w:val="17"/>
          <w:color w:val="auto"/>
        </w:rPr>
        <w:t>Section 5.02. Court-Approved Indemnification. Anything contained in the Regulations or elsewhere to the contrary notwithstanding:</w:t>
      </w:r>
    </w:p>
    <w:p>
      <w:pPr>
        <w:spacing w:after="0" w:line="197" w:lineRule="exact"/>
        <w:rPr>
          <w:sz w:val="20"/>
          <w:szCs w:val="20"/>
          <w:color w:val="auto"/>
        </w:rPr>
      </w:pPr>
    </w:p>
    <w:p>
      <w:pPr>
        <w:ind w:left="900" w:right="2359" w:firstLine="892"/>
        <w:spacing w:after="0" w:line="253" w:lineRule="auto"/>
        <w:tabs>
          <w:tab w:leader="none" w:pos="219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600" w:right="2259"/>
        <w:spacing w:after="0" w:line="236" w:lineRule="auto"/>
        <w:rPr>
          <w:sz w:val="20"/>
          <w:szCs w:val="20"/>
          <w:color w:val="auto"/>
        </w:rPr>
      </w:pPr>
      <w:r>
        <w:rPr>
          <w:rFonts w:ascii="Courier New" w:cs="Courier New" w:eastAsia="Courier New" w:hAnsi="Courier New"/>
          <w:sz w:val="17"/>
          <w:szCs w:val="17"/>
          <w:color w:val="auto"/>
        </w:rPr>
        <w:t>despite such adjudication of liability, and in view of all the circumstances of the case, he is fairly and reasonably entitled to such indemnity as such Court of Common Pleas or such other court shall deem proper; and</w:t>
      </w:r>
    </w:p>
    <w:p>
      <w:pPr>
        <w:spacing w:after="0" w:line="199" w:lineRule="exact"/>
        <w:rPr>
          <w:sz w:val="20"/>
          <w:szCs w:val="20"/>
          <w:color w:val="auto"/>
        </w:rPr>
      </w:pPr>
    </w:p>
    <w:p>
      <w:pPr>
        <w:ind w:left="600" w:right="2959" w:firstLine="892"/>
        <w:spacing w:after="0" w:line="236" w:lineRule="auto"/>
        <w:tabs>
          <w:tab w:leader="none" w:pos="189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shall promptly make any such unpaid indemnification as is determined by a court to be proper as contemplated by this Section 5.02.</w:t>
      </w:r>
    </w:p>
    <w:p>
      <w:pPr>
        <w:spacing w:after="0" w:line="197" w:lineRule="exact"/>
        <w:rPr>
          <w:sz w:val="20"/>
          <w:szCs w:val="20"/>
          <w:color w:val="auto"/>
        </w:rPr>
      </w:pPr>
    </w:p>
    <w:p>
      <w:pPr>
        <w:ind w:left="600" w:right="2259" w:firstLine="895"/>
        <w:spacing w:after="0" w:line="254"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186" w:lineRule="exact"/>
        <w:rPr>
          <w:sz w:val="20"/>
          <w:szCs w:val="20"/>
          <w:color w:val="auto"/>
        </w:rPr>
      </w:pPr>
    </w:p>
    <w:p>
      <w:pPr>
        <w:ind w:left="600" w:right="2259" w:firstLine="895"/>
        <w:spacing w:after="0" w:line="253"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w:t>
      </w: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919"/>
          </w:cols>
          <w:pgMar w:left="540" w:top="30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left="600" w:right="2359"/>
        <w:spacing w:after="0" w:line="237" w:lineRule="auto"/>
        <w:rPr>
          <w:sz w:val="20"/>
          <w:szCs w:val="20"/>
          <w:color w:val="auto"/>
        </w:rPr>
      </w:pPr>
      <w:r>
        <w:rPr>
          <w:rFonts w:ascii="Courier New" w:cs="Courier New" w:eastAsia="Courier New" w:hAnsi="Courier New"/>
          <w:sz w:val="17"/>
          <w:szCs w:val="17"/>
          <w:color w:val="auto"/>
        </w:rPr>
        <w:t>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97" w:lineRule="exact"/>
        <w:rPr>
          <w:sz w:val="20"/>
          <w:szCs w:val="20"/>
          <w:color w:val="auto"/>
        </w:rPr>
      </w:pPr>
    </w:p>
    <w:p>
      <w:pPr>
        <w:ind w:left="600" w:right="2259" w:firstLine="895"/>
        <w:spacing w:after="0" w:line="237" w:lineRule="auto"/>
        <w:rPr>
          <w:sz w:val="20"/>
          <w:szCs w:val="20"/>
          <w:color w:val="auto"/>
        </w:rPr>
      </w:pPr>
      <w:r>
        <w:rPr>
          <w:rFonts w:ascii="Courier New" w:cs="Courier New" w:eastAsia="Courier New" w:hAnsi="Courier New"/>
          <w:sz w:val="17"/>
          <w:szCs w:val="17"/>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203" w:lineRule="exact"/>
        <w:rPr>
          <w:sz w:val="20"/>
          <w:szCs w:val="20"/>
          <w:color w:val="auto"/>
        </w:rPr>
      </w:pPr>
    </w:p>
    <w:p>
      <w:pPr>
        <w:ind w:left="600" w:right="2959" w:firstLine="892"/>
        <w:spacing w:after="0" w:line="236" w:lineRule="auto"/>
        <w:tabs>
          <w:tab w:leader="none" w:pos="189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it shall ultimately be determined as provided in Section 5.04 that he is not entitled to be indemnified by the corporation as provided under Section 5.01; or</w:t>
      </w:r>
    </w:p>
    <w:p>
      <w:pPr>
        <w:spacing w:after="0" w:line="196" w:lineRule="exact"/>
        <w:rPr>
          <w:rFonts w:ascii="Courier New" w:cs="Courier New" w:eastAsia="Courier New" w:hAnsi="Courier New"/>
          <w:sz w:val="17"/>
          <w:szCs w:val="17"/>
          <w:color w:val="auto"/>
        </w:rPr>
      </w:pPr>
    </w:p>
    <w:p>
      <w:pPr>
        <w:ind w:left="600" w:right="2359" w:firstLine="892"/>
        <w:spacing w:after="0" w:line="253" w:lineRule="auto"/>
        <w:tabs>
          <w:tab w:leader="none" w:pos="189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93" w:lineRule="exact"/>
        <w:rPr>
          <w:sz w:val="20"/>
          <w:szCs w:val="20"/>
          <w:color w:val="auto"/>
        </w:rPr>
      </w:pPr>
    </w:p>
    <w:p>
      <w:pPr>
        <w:ind w:left="600" w:right="2259" w:firstLine="895"/>
        <w:spacing w:after="0" w:line="237" w:lineRule="auto"/>
        <w:rPr>
          <w:sz w:val="20"/>
          <w:szCs w:val="20"/>
          <w:color w:val="auto"/>
        </w:rPr>
      </w:pPr>
      <w:r>
        <w:rPr>
          <w:rFonts w:ascii="Courier New" w:cs="Courier New" w:eastAsia="Courier New" w:hAnsi="Courier New"/>
          <w:sz w:val="17"/>
          <w:szCs w:val="17"/>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202" w:lineRule="exact"/>
        <w:rPr>
          <w:sz w:val="20"/>
          <w:szCs w:val="20"/>
          <w:color w:val="auto"/>
        </w:rPr>
      </w:pPr>
    </w:p>
    <w:p>
      <w:pPr>
        <w:ind w:left="600" w:right="2359" w:firstLine="895"/>
        <w:spacing w:after="0" w:line="237" w:lineRule="auto"/>
        <w:rPr>
          <w:sz w:val="20"/>
          <w:szCs w:val="20"/>
          <w:color w:val="auto"/>
        </w:rPr>
      </w:pPr>
      <w:r>
        <w:rPr>
          <w:rFonts w:ascii="Courier New" w:cs="Courier New" w:eastAsia="Courier New" w:hAnsi="Courier New"/>
          <w:sz w:val="17"/>
          <w:szCs w:val="17"/>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w:t>
      </w:r>
    </w:p>
    <w:p>
      <w:pPr>
        <w:spacing w:after="0" w:line="196"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919"/>
          </w:cols>
          <w:pgMar w:left="540" w:top="301"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Section 5.08. Certain Definitions. For purposes of this</w:t>
      </w:r>
    </w:p>
    <w:p>
      <w:pPr>
        <w:ind w:left="900"/>
        <w:spacing w:after="0" w:line="238" w:lineRule="auto"/>
        <w:rPr>
          <w:sz w:val="20"/>
          <w:szCs w:val="20"/>
          <w:color w:val="auto"/>
        </w:rPr>
      </w:pPr>
      <w:r>
        <w:rPr>
          <w:rFonts w:ascii="Courier New" w:cs="Courier New" w:eastAsia="Courier New" w:hAnsi="Courier New"/>
          <w:sz w:val="17"/>
          <w:szCs w:val="17"/>
          <w:color w:val="auto"/>
        </w:rPr>
        <w:t>Article FIVE, and as examples and not by way of limitation:</w:t>
      </w:r>
    </w:p>
    <w:p>
      <w:pPr>
        <w:spacing w:after="0" w:line="197" w:lineRule="exact"/>
        <w:rPr>
          <w:sz w:val="20"/>
          <w:szCs w:val="20"/>
          <w:color w:val="auto"/>
        </w:rPr>
      </w:pPr>
    </w:p>
    <w:p>
      <w:pPr>
        <w:ind w:left="900" w:right="2259" w:firstLine="892"/>
        <w:spacing w:after="0" w:line="253" w:lineRule="auto"/>
        <w:tabs>
          <w:tab w:leader="none" w:pos="21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93" w:lineRule="exact"/>
        <w:rPr>
          <w:rFonts w:ascii="Courier New" w:cs="Courier New" w:eastAsia="Courier New" w:hAnsi="Courier New"/>
          <w:sz w:val="16"/>
          <w:szCs w:val="16"/>
          <w:color w:val="auto"/>
        </w:rPr>
      </w:pPr>
    </w:p>
    <w:p>
      <w:pPr>
        <w:ind w:left="900" w:right="2259" w:firstLine="892"/>
        <w:spacing w:after="0" w:line="237" w:lineRule="auto"/>
        <w:tabs>
          <w:tab w:leader="none" w:pos="219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5" w:lineRule="exact"/>
        <w:rPr>
          <w:sz w:val="20"/>
          <w:szCs w:val="20"/>
          <w:color w:val="auto"/>
        </w:rPr>
      </w:pPr>
    </w:p>
    <w:p>
      <w:pPr>
        <w:ind w:left="900" w:right="2259" w:firstLine="895"/>
        <w:spacing w:after="0" w:line="237" w:lineRule="auto"/>
        <w:rPr>
          <w:sz w:val="20"/>
          <w:szCs w:val="20"/>
          <w:color w:val="auto"/>
        </w:rPr>
      </w:pPr>
      <w:r>
        <w:rPr>
          <w:rFonts w:ascii="Courier New" w:cs="Courier New" w:eastAsia="Courier New" w:hAnsi="Courier New"/>
          <w:sz w:val="17"/>
          <w:szCs w:val="17"/>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200" w:lineRule="exact"/>
        <w:rPr>
          <w:sz w:val="20"/>
          <w:szCs w:val="20"/>
          <w:color w:val="auto"/>
        </w:rPr>
      </w:pPr>
    </w:p>
    <w:p>
      <w:pPr>
        <w:ind w:right="2859" w:firstLine="1790"/>
        <w:spacing w:after="0" w:line="259" w:lineRule="auto"/>
        <w:rPr>
          <w:sz w:val="20"/>
          <w:szCs w:val="20"/>
          <w:color w:val="auto"/>
        </w:rPr>
      </w:pPr>
      <w:r>
        <w:rPr>
          <w:rFonts w:ascii="Courier New" w:cs="Courier New" w:eastAsia="Courier New" w:hAnsi="Courier New"/>
          <w:sz w:val="16"/>
          <w:szCs w:val="16"/>
          <w:color w:val="auto"/>
        </w:rPr>
        <w:t>Division (E) of Section 1701.13 of the Ohio Revised Code addresses indemnification by an Ohio corporation and provides as follows:</w:t>
      </w:r>
    </w:p>
    <w:p>
      <w:pPr>
        <w:spacing w:after="0" w:line="183" w:lineRule="exact"/>
        <w:rPr>
          <w:sz w:val="20"/>
          <w:szCs w:val="20"/>
          <w:color w:val="auto"/>
        </w:rPr>
      </w:pPr>
    </w:p>
    <w:p>
      <w:pPr>
        <w:ind w:left="900" w:right="2459" w:firstLine="895"/>
        <w:spacing w:after="0" w:line="237" w:lineRule="auto"/>
        <w:rPr>
          <w:sz w:val="20"/>
          <w:szCs w:val="20"/>
          <w:color w:val="auto"/>
        </w:rPr>
      </w:pPr>
      <w:r>
        <w:rPr>
          <w:rFonts w:ascii="Courier New" w:cs="Courier New" w:eastAsia="Courier New" w:hAnsi="Courier New"/>
          <w:sz w:val="17"/>
          <w:szCs w:val="17"/>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left="600" w:right="2259"/>
        <w:spacing w:after="0" w:line="253" w:lineRule="auto"/>
        <w:rPr>
          <w:sz w:val="20"/>
          <w:szCs w:val="20"/>
          <w:color w:val="auto"/>
        </w:rPr>
      </w:pPr>
      <w:r>
        <w:rPr>
          <w:rFonts w:ascii="Courier New" w:cs="Courier New" w:eastAsia="Courier New" w:hAnsi="Courier New"/>
          <w:sz w:val="16"/>
          <w:szCs w:val="16"/>
          <w:color w:val="auto"/>
        </w:rPr>
        <w:t>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95" w:lineRule="exact"/>
        <w:rPr>
          <w:sz w:val="20"/>
          <w:szCs w:val="20"/>
          <w:color w:val="auto"/>
        </w:rPr>
      </w:pPr>
    </w:p>
    <w:p>
      <w:pPr>
        <w:ind w:left="600" w:right="2259" w:firstLine="892"/>
        <w:spacing w:after="0" w:line="253" w:lineRule="auto"/>
        <w:tabs>
          <w:tab w:leader="none" w:pos="189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94" w:lineRule="exact"/>
        <w:rPr>
          <w:sz w:val="20"/>
          <w:szCs w:val="20"/>
          <w:color w:val="auto"/>
        </w:rPr>
      </w:pPr>
    </w:p>
    <w:p>
      <w:pPr>
        <w:ind w:left="600" w:right="2259" w:firstLine="892"/>
        <w:spacing w:after="0" w:line="254" w:lineRule="auto"/>
        <w:tabs>
          <w:tab w:leader="none" w:pos="189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6" w:lineRule="exact"/>
        <w:rPr>
          <w:rFonts w:ascii="Courier New" w:cs="Courier New" w:eastAsia="Courier New" w:hAnsi="Courier New"/>
          <w:sz w:val="16"/>
          <w:szCs w:val="16"/>
          <w:color w:val="auto"/>
        </w:rPr>
      </w:pPr>
    </w:p>
    <w:p>
      <w:pPr>
        <w:ind w:left="600" w:right="2359" w:firstLine="892"/>
        <w:spacing w:after="0" w:line="259" w:lineRule="auto"/>
        <w:tabs>
          <w:tab w:leader="none" w:pos="189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or suit in which the only liability asserted against a director is pursuant to section 1701.95 of the Revised Code.</w:t>
      </w:r>
    </w:p>
    <w:p>
      <w:pPr>
        <w:spacing w:after="0" w:line="183" w:lineRule="exact"/>
        <w:rPr>
          <w:sz w:val="20"/>
          <w:szCs w:val="20"/>
          <w:color w:val="auto"/>
        </w:rPr>
      </w:pPr>
    </w:p>
    <w:p>
      <w:pPr>
        <w:ind w:left="600" w:right="2259" w:firstLine="892"/>
        <w:spacing w:after="0" w:line="236" w:lineRule="auto"/>
        <w:tabs>
          <w:tab w:leader="none" w:pos="1893"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trustee, officer, employee, member, manager, or agent has been successful on the merits or otherwise in defense of any action, suit, or proceeding referred to in division (E)(1) or (2) of this section, or in</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919"/>
          </w:cols>
          <w:pgMar w:left="540" w:top="30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left="600" w:right="2259"/>
        <w:spacing w:after="0" w:line="256" w:lineRule="auto"/>
        <w:rPr>
          <w:sz w:val="20"/>
          <w:szCs w:val="20"/>
          <w:color w:val="auto"/>
        </w:rPr>
      </w:pPr>
      <w:r>
        <w:rPr>
          <w:rFonts w:ascii="Courier New" w:cs="Courier New" w:eastAsia="Courier New" w:hAnsi="Courier New"/>
          <w:sz w:val="16"/>
          <w:szCs w:val="16"/>
          <w:color w:val="auto"/>
        </w:rPr>
        <w:t>defense of any claim, issue, or matter therein, he shall be indemnified against expenses, including attorney's fees, actually and reasonably incurred by him in connection with the action, suit, or proceeding.</w:t>
      </w:r>
    </w:p>
    <w:p>
      <w:pPr>
        <w:spacing w:after="0" w:line="185" w:lineRule="exact"/>
        <w:rPr>
          <w:sz w:val="20"/>
          <w:szCs w:val="20"/>
          <w:color w:val="auto"/>
        </w:rPr>
      </w:pPr>
    </w:p>
    <w:p>
      <w:pPr>
        <w:ind w:left="600" w:right="2259" w:firstLine="892"/>
        <w:spacing w:after="0" w:line="237" w:lineRule="auto"/>
        <w:tabs>
          <w:tab w:leader="none" w:pos="189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99" w:lineRule="exact"/>
        <w:rPr>
          <w:sz w:val="20"/>
          <w:szCs w:val="20"/>
          <w:color w:val="auto"/>
        </w:rPr>
      </w:pPr>
    </w:p>
    <w:p>
      <w:pPr>
        <w:ind w:left="600" w:right="2259" w:firstLine="892"/>
        <w:spacing w:after="0" w:line="236" w:lineRule="auto"/>
        <w:tabs>
          <w:tab w:leader="none" w:pos="189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98" w:lineRule="exact"/>
        <w:rPr>
          <w:rFonts w:ascii="Courier New" w:cs="Courier New" w:eastAsia="Courier New" w:hAnsi="Courier New"/>
          <w:sz w:val="17"/>
          <w:szCs w:val="17"/>
          <w:color w:val="auto"/>
        </w:rPr>
      </w:pPr>
    </w:p>
    <w:p>
      <w:pPr>
        <w:ind w:left="600" w:right="2259" w:firstLine="892"/>
        <w:spacing w:after="0" w:line="237" w:lineRule="auto"/>
        <w:tabs>
          <w:tab w:leader="none" w:pos="189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92" w:lineRule="exact"/>
        <w:rPr>
          <w:rFonts w:ascii="Courier New" w:cs="Courier New" w:eastAsia="Courier New" w:hAnsi="Courier New"/>
          <w:sz w:val="17"/>
          <w:szCs w:val="17"/>
          <w:color w:val="auto"/>
        </w:rPr>
      </w:pPr>
    </w:p>
    <w:p>
      <w:pPr>
        <w:ind w:left="1880" w:hanging="388"/>
        <w:spacing w:after="0"/>
        <w:tabs>
          <w:tab w:leader="none" w:pos="188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shareholders;</w:t>
      </w:r>
    </w:p>
    <w:p>
      <w:pPr>
        <w:spacing w:after="0" w:line="196" w:lineRule="exact"/>
        <w:rPr>
          <w:rFonts w:ascii="Courier New" w:cs="Courier New" w:eastAsia="Courier New" w:hAnsi="Courier New"/>
          <w:sz w:val="17"/>
          <w:szCs w:val="17"/>
          <w:color w:val="auto"/>
        </w:rPr>
      </w:pPr>
    </w:p>
    <w:p>
      <w:pPr>
        <w:ind w:left="600" w:right="2559" w:firstLine="892"/>
        <w:spacing w:after="0" w:line="236" w:lineRule="auto"/>
        <w:tabs>
          <w:tab w:leader="none" w:pos="189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court of common pleas or the court in which the action, suit, or proceeding referred to in division (E)(1) or (2) of this section was brought.</w:t>
      </w:r>
    </w:p>
    <w:p>
      <w:pPr>
        <w:spacing w:after="0" w:line="197" w:lineRule="exact"/>
        <w:rPr>
          <w:sz w:val="20"/>
          <w:szCs w:val="20"/>
          <w:color w:val="auto"/>
        </w:rPr>
      </w:pPr>
    </w:p>
    <w:p>
      <w:pPr>
        <w:ind w:left="600" w:right="2259" w:firstLine="895"/>
        <w:spacing w:after="0" w:line="254" w:lineRule="auto"/>
        <w:rPr>
          <w:sz w:val="20"/>
          <w:szCs w:val="20"/>
          <w:color w:val="auto"/>
        </w:rPr>
      </w:pPr>
      <w:r>
        <w:rPr>
          <w:rFonts w:ascii="Courier New" w:cs="Courier New" w:eastAsia="Courier New" w:hAnsi="Courier New"/>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87" w:lineRule="exact"/>
        <w:rPr>
          <w:sz w:val="20"/>
          <w:szCs w:val="20"/>
          <w:color w:val="auto"/>
        </w:rPr>
      </w:pPr>
    </w:p>
    <w:p>
      <w:pPr>
        <w:ind w:left="600" w:right="2259" w:firstLine="895"/>
        <w:spacing w:after="0" w:line="253" w:lineRule="auto"/>
        <w:rPr>
          <w:sz w:val="20"/>
          <w:szCs w:val="20"/>
          <w:color w:val="auto"/>
        </w:rPr>
      </w:pPr>
      <w:r>
        <w:rPr>
          <w:rFonts w:ascii="Courier New" w:cs="Courier New" w:eastAsia="Courier New" w:hAnsi="Courier New"/>
          <w:sz w:val="16"/>
          <w:szCs w:val="16"/>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8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919"/>
          </w:cols>
          <w:pgMar w:left="540" w:top="30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ind w:left="600" w:right="2359" w:firstLine="892"/>
        <w:spacing w:after="0" w:line="237" w:lineRule="auto"/>
        <w:tabs>
          <w:tab w:leader="none" w:pos="189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96" w:lineRule="exact"/>
        <w:rPr>
          <w:rFonts w:ascii="Courier New" w:cs="Courier New" w:eastAsia="Courier New" w:hAnsi="Courier New"/>
          <w:sz w:val="17"/>
          <w:szCs w:val="17"/>
          <w:color w:val="auto"/>
        </w:rPr>
      </w:pPr>
    </w:p>
    <w:p>
      <w:pPr>
        <w:ind w:left="600" w:right="2359" w:firstLine="892"/>
        <w:spacing w:after="0" w:line="235" w:lineRule="auto"/>
        <w:tabs>
          <w:tab w:leader="none" w:pos="199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Reasonably cooperate with the corporation concerning the action, suit, or proceeding.</w:t>
      </w:r>
    </w:p>
    <w:p>
      <w:pPr>
        <w:spacing w:after="0" w:line="197" w:lineRule="exact"/>
        <w:rPr>
          <w:sz w:val="20"/>
          <w:szCs w:val="20"/>
          <w:color w:val="auto"/>
        </w:rPr>
      </w:pPr>
    </w:p>
    <w:p>
      <w:pPr>
        <w:ind w:left="600" w:right="2359" w:firstLine="892"/>
        <w:spacing w:after="0" w:line="237" w:lineRule="auto"/>
        <w:tabs>
          <w:tab w:leader="none" w:pos="189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202" w:lineRule="exact"/>
        <w:rPr>
          <w:sz w:val="20"/>
          <w:szCs w:val="20"/>
          <w:color w:val="auto"/>
        </w:rPr>
      </w:pPr>
    </w:p>
    <w:p>
      <w:pPr>
        <w:ind w:left="600" w:right="2359" w:firstLine="892"/>
        <w:spacing w:after="0" w:line="237" w:lineRule="auto"/>
        <w:tabs>
          <w:tab w:leader="none" w:pos="189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202" w:lineRule="exact"/>
        <w:rPr>
          <w:rFonts w:ascii="Courier New" w:cs="Courier New" w:eastAsia="Courier New" w:hAnsi="Courier New"/>
          <w:sz w:val="17"/>
          <w:szCs w:val="17"/>
          <w:color w:val="auto"/>
        </w:rPr>
      </w:pPr>
    </w:p>
    <w:p>
      <w:pPr>
        <w:ind w:left="600" w:right="2259" w:firstLine="892"/>
        <w:spacing w:after="0" w:line="237" w:lineRule="auto"/>
        <w:tabs>
          <w:tab w:leader="none" w:pos="189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206" w:lineRule="exact"/>
        <w:rPr>
          <w:rFonts w:ascii="Courier New" w:cs="Courier New" w:eastAsia="Courier New" w:hAnsi="Courier New"/>
          <w:sz w:val="17"/>
          <w:szCs w:val="17"/>
          <w:color w:val="auto"/>
        </w:rPr>
      </w:pPr>
    </w:p>
    <w:p>
      <w:pPr>
        <w:ind w:left="600" w:right="2359" w:firstLine="892"/>
        <w:spacing w:after="0" w:line="253" w:lineRule="auto"/>
        <w:tabs>
          <w:tab w:leader="none" w:pos="189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ind w:left="600" w:right="23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 and (7) of this section. Divisions (E)(1) and (2) of this section do not create any obligation to repay or return payments made by the corporation pursuant to division (E)(5), (6), or (7).</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919"/>
          </w:cols>
          <w:pgMar w:left="540" w:top="301"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ind w:left="900" w:right="2259" w:firstLine="892"/>
        <w:spacing w:after="0" w:line="237" w:lineRule="auto"/>
        <w:tabs>
          <w:tab w:leader="none" w:pos="219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204" w:lineRule="exact"/>
        <w:rPr>
          <w:sz w:val="20"/>
          <w:szCs w:val="20"/>
          <w:color w:val="auto"/>
        </w:rPr>
      </w:pPr>
    </w:p>
    <w:p>
      <w:pPr>
        <w:jc w:val="both"/>
        <w:ind w:right="2559" w:firstLine="1790"/>
        <w:spacing w:after="0" w:line="236" w:lineRule="auto"/>
        <w:rPr>
          <w:sz w:val="20"/>
          <w:szCs w:val="20"/>
          <w:color w:val="auto"/>
        </w:rPr>
      </w:pPr>
      <w:r>
        <w:rPr>
          <w:rFonts w:ascii="Courier New" w:cs="Courier New" w:eastAsia="Courier New" w:hAnsi="Courier New"/>
          <w:sz w:val="17"/>
          <w:szCs w:val="17"/>
          <w:color w:val="auto"/>
        </w:rPr>
        <w:t>The Scotts Company has purchased insurance coverage under a policy which insures directors and officers against certain liabilities which might be incurred by them in such capacity.</w:t>
      </w:r>
    </w:p>
    <w:p>
      <w:pPr>
        <w:spacing w:after="0" w:line="197" w:lineRule="exact"/>
        <w:rPr>
          <w:sz w:val="20"/>
          <w:szCs w:val="20"/>
          <w:color w:val="auto"/>
        </w:rPr>
      </w:pPr>
    </w:p>
    <w:p>
      <w:pPr>
        <w:ind w:right="2559" w:firstLine="1790"/>
        <w:spacing w:after="0" w:line="236" w:lineRule="auto"/>
        <w:rPr>
          <w:sz w:val="20"/>
          <w:szCs w:val="20"/>
          <w:color w:val="auto"/>
        </w:rPr>
      </w:pPr>
      <w:r>
        <w:rPr>
          <w:rFonts w:ascii="Courier New" w:cs="Courier New" w:eastAsia="Courier New" w:hAnsi="Courier New"/>
          <w:sz w:val="17"/>
          <w:szCs w:val="17"/>
          <w:color w:val="auto"/>
        </w:rPr>
        <w:t>Section 10.5 of The Scotts Company Union Retirement Savings Plan governs indemnification of specified persons in connection with the operation of the Plan and provides as follows:</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10.5. Indemnification.</w:t>
      </w:r>
    </w:p>
    <w:p>
      <w:pPr>
        <w:spacing w:after="0" w:line="196" w:lineRule="exact"/>
        <w:rPr>
          <w:sz w:val="20"/>
          <w:szCs w:val="20"/>
          <w:color w:val="auto"/>
        </w:rPr>
      </w:pPr>
    </w:p>
    <w:p>
      <w:pPr>
        <w:ind w:left="2680" w:right="2259" w:firstLine="895"/>
        <w:spacing w:after="0" w:line="253" w:lineRule="auto"/>
        <w:rPr>
          <w:sz w:val="20"/>
          <w:szCs w:val="20"/>
          <w:color w:val="auto"/>
        </w:rPr>
      </w:pPr>
      <w:r>
        <w:rPr>
          <w:rFonts w:ascii="Courier New" w:cs="Courier New" w:eastAsia="Courier New" w:hAnsi="Courier New"/>
          <w:sz w:val="16"/>
          <w:szCs w:val="16"/>
          <w:color w:val="auto"/>
        </w:rPr>
        <w:t>Each member of the Administrative Committee and Employees carrrying out the duties of the Administrative Committee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bylaws of the Company. Service on the Administrative Committee shall be deemed in partial fulfillment of the person's function as an Employee, officer, and/or director of the Employer, if the person serves in such capacity as well.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200" w:hanging="198"/>
        <w:spacing w:after="0" w:line="238"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The following exhibits are filed as part of this registration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w:t>
      </w:r>
    </w:p>
    <w:p>
      <w:pPr>
        <w:spacing w:after="0" w:line="190"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1640" w:type="dxa"/>
            <w:vAlign w:val="bottom"/>
          </w:tcPr>
          <w:p>
            <w:pPr>
              <w:jc w:val="right"/>
              <w:ind w:right="477"/>
              <w:spacing w:after="0"/>
              <w:rPr>
                <w:sz w:val="20"/>
                <w:szCs w:val="20"/>
                <w:color w:val="auto"/>
              </w:rPr>
            </w:pPr>
            <w:r>
              <w:rPr>
                <w:rFonts w:ascii="Courier New" w:cs="Courier New" w:eastAsia="Courier New" w:hAnsi="Courier New"/>
                <w:sz w:val="17"/>
                <w:szCs w:val="17"/>
                <w:color w:val="auto"/>
                <w:w w:val="94"/>
              </w:rPr>
              <w:t>Exhibit No.</w:t>
            </w:r>
          </w:p>
        </w:tc>
        <w:tc>
          <w:tcPr>
            <w:tcW w:w="4220" w:type="dxa"/>
            <w:vAlign w:val="bottom"/>
          </w:tcPr>
          <w:p>
            <w:pPr>
              <w:ind w:left="1740"/>
              <w:spacing w:after="0"/>
              <w:rPr>
                <w:sz w:val="20"/>
                <w:szCs w:val="20"/>
                <w:color w:val="auto"/>
              </w:rPr>
            </w:pPr>
            <w:r>
              <w:rPr>
                <w:rFonts w:ascii="Courier New" w:cs="Courier New" w:eastAsia="Courier New" w:hAnsi="Courier New"/>
                <w:sz w:val="17"/>
                <w:szCs w:val="17"/>
                <w:color w:val="auto"/>
              </w:rPr>
              <w:t>Description</w:t>
            </w:r>
          </w:p>
        </w:tc>
      </w:tr>
      <w:tr>
        <w:trPr>
          <w:trHeight w:val="191"/>
        </w:trPr>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w w:val="94"/>
              </w:rPr>
              <w:t>-----------</w:t>
            </w:r>
          </w:p>
        </w:tc>
        <w:tc>
          <w:tcPr>
            <w:tcW w:w="4220" w:type="dxa"/>
            <w:vAlign w:val="bottom"/>
          </w:tcPr>
          <w:p>
            <w:pPr>
              <w:ind w:left="17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640" w:type="dxa"/>
            <w:vAlign w:val="bottom"/>
          </w:tcPr>
          <w:p>
            <w:pPr>
              <w:jc w:val="right"/>
              <w:ind w:right="977"/>
              <w:spacing w:after="0" w:line="191" w:lineRule="exact"/>
              <w:rPr>
                <w:sz w:val="20"/>
                <w:szCs w:val="20"/>
                <w:color w:val="auto"/>
              </w:rPr>
            </w:pPr>
            <w:r>
              <w:rPr>
                <w:rFonts w:ascii="Courier New" w:cs="Courier New" w:eastAsia="Courier New" w:hAnsi="Courier New"/>
                <w:sz w:val="17"/>
                <w:szCs w:val="17"/>
                <w:color w:val="auto"/>
              </w:rPr>
              <w:t>23</w:t>
            </w:r>
          </w:p>
        </w:tc>
        <w:tc>
          <w:tcPr>
            <w:tcW w:w="422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w w:val="96"/>
              </w:rPr>
              <w:t>Consent of PricewaterhouseCoopers LLP</w:t>
            </w:r>
          </w:p>
        </w:tc>
      </w:tr>
      <w:tr>
        <w:trPr>
          <w:trHeight w:val="191"/>
        </w:trPr>
        <w:tc>
          <w:tcPr>
            <w:tcW w:w="1640" w:type="dxa"/>
            <w:vAlign w:val="bottom"/>
          </w:tcPr>
          <w:p>
            <w:pPr>
              <w:jc w:val="right"/>
              <w:ind w:right="977"/>
              <w:spacing w:after="0" w:line="191" w:lineRule="exact"/>
              <w:rPr>
                <w:sz w:val="20"/>
                <w:szCs w:val="20"/>
                <w:color w:val="auto"/>
              </w:rPr>
            </w:pPr>
            <w:r>
              <w:rPr>
                <w:rFonts w:ascii="Courier New" w:cs="Courier New" w:eastAsia="Courier New" w:hAnsi="Courier New"/>
                <w:sz w:val="17"/>
                <w:szCs w:val="17"/>
                <w:color w:val="auto"/>
              </w:rPr>
              <w:t>24</w:t>
            </w:r>
          </w:p>
        </w:tc>
        <w:tc>
          <w:tcPr>
            <w:tcW w:w="422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Powers of Attorney</w:t>
            </w:r>
          </w:p>
        </w:tc>
      </w:tr>
    </w:tbl>
    <w:p>
      <w:pPr>
        <w:spacing w:after="0" w:line="388" w:lineRule="exact"/>
        <w:rPr>
          <w:sz w:val="20"/>
          <w:szCs w:val="20"/>
          <w:color w:val="auto"/>
        </w:rPr>
      </w:pPr>
    </w:p>
    <w:p>
      <w:pPr>
        <w:ind w:right="2359" w:firstLine="1790"/>
        <w:spacing w:after="0" w:line="236" w:lineRule="auto"/>
        <w:rPr>
          <w:sz w:val="20"/>
          <w:szCs w:val="20"/>
          <w:color w:val="auto"/>
        </w:rPr>
      </w:pPr>
      <w:r>
        <w:rPr>
          <w:rFonts w:ascii="Courier New" w:cs="Courier New" w:eastAsia="Courier New" w:hAnsi="Courier New"/>
          <w:sz w:val="17"/>
          <w:szCs w:val="17"/>
          <w:color w:val="auto"/>
        </w:rPr>
        <w:t>The Scotts Company undertakes to submit The Scotts Company Union Retirement Savings Plan, or cause the Plan to be submitted, to the Internal Revenue Service in a timely manner and to make all changes required by the IRS in order to qualify the Plan.</w:t>
      </w:r>
    </w:p>
    <w:p>
      <w:pPr>
        <w:spacing w:after="0" w:line="19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900" w:hanging="898"/>
        <w:spacing w:after="0"/>
        <w:tabs>
          <w:tab w:leader="none" w:pos="9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6" w:lineRule="exact"/>
        <w:rPr>
          <w:rFonts w:ascii="Courier New" w:cs="Courier New" w:eastAsia="Courier New" w:hAnsi="Courier New"/>
          <w:sz w:val="17"/>
          <w:szCs w:val="17"/>
          <w:color w:val="auto"/>
        </w:rPr>
      </w:pPr>
    </w:p>
    <w:p>
      <w:pPr>
        <w:ind w:left="1800" w:right="2559" w:hanging="903"/>
        <w:spacing w:after="0" w:line="236" w:lineRule="auto"/>
        <w:tabs>
          <w:tab w:leader="none" w:pos="180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6" w:lineRule="exact"/>
        <w:rPr>
          <w:rFonts w:ascii="Courier New" w:cs="Courier New" w:eastAsia="Courier New" w:hAnsi="Courier New"/>
          <w:sz w:val="17"/>
          <w:szCs w:val="17"/>
          <w:color w:val="auto"/>
        </w:rPr>
      </w:pPr>
    </w:p>
    <w:p>
      <w:pPr>
        <w:ind w:left="2680" w:right="3059" w:hanging="888"/>
        <w:spacing w:after="0" w:line="259" w:lineRule="auto"/>
        <w:tabs>
          <w:tab w:leader="none" w:pos="268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2" w:lineRule="exact"/>
        <w:rPr>
          <w:rFonts w:ascii="Courier New" w:cs="Courier New" w:eastAsia="Courier New" w:hAnsi="Courier New"/>
          <w:sz w:val="16"/>
          <w:szCs w:val="16"/>
          <w:color w:val="auto"/>
        </w:rPr>
      </w:pPr>
    </w:p>
    <w:p>
      <w:pPr>
        <w:ind w:left="2680" w:right="2359" w:hanging="888"/>
        <w:spacing w:after="0" w:line="237" w:lineRule="auto"/>
        <w:tabs>
          <w:tab w:leader="none" w:pos="2680" w:val="left"/>
        </w:tabs>
        <w:numPr>
          <w:ilvl w:val="2"/>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98" w:lineRule="exact"/>
        <w:rPr>
          <w:rFonts w:ascii="Courier New" w:cs="Courier New" w:eastAsia="Courier New" w:hAnsi="Courier New"/>
          <w:sz w:val="17"/>
          <w:szCs w:val="17"/>
          <w:color w:val="auto"/>
        </w:rPr>
      </w:pPr>
    </w:p>
    <w:p>
      <w:pPr>
        <w:ind w:left="2680" w:right="2359" w:hanging="888"/>
        <w:spacing w:after="0" w:line="255" w:lineRule="auto"/>
        <w:tabs>
          <w:tab w:leader="none" w:pos="268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800" w:right="2259"/>
        <w:spacing w:after="0" w:line="237" w:lineRule="auto"/>
        <w:rPr>
          <w:sz w:val="20"/>
          <w:szCs w:val="20"/>
          <w:color w:val="auto"/>
        </w:rPr>
      </w:pPr>
      <w:r>
        <w:rPr>
          <w:rFonts w:ascii="Courier New" w:cs="Courier New" w:eastAsia="Courier New" w:hAnsi="Courier New"/>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1" w:right="1440" w:bottom="1440" w:gutter="0" w:footer="0" w:header="0"/>
        </w:sectPr>
      </w:pPr>
    </w:p>
    <w:bookmarkStart w:id="11" w:name="page12"/>
    <w:bookmarkEnd w:id="11"/>
    <w:p>
      <w:pPr>
        <w:ind w:left="298"/>
        <w:spacing w:after="0"/>
        <w:rPr>
          <w:sz w:val="20"/>
          <w:szCs w:val="20"/>
          <w:color w:val="auto"/>
        </w:rPr>
      </w:pPr>
      <w:r>
        <w:rPr>
          <w:rFonts w:ascii="Courier New" w:cs="Courier New" w:eastAsia="Courier New" w:hAnsi="Courier New"/>
          <w:sz w:val="17"/>
          <w:szCs w:val="17"/>
          <w:color w:val="auto"/>
        </w:rPr>
        <w:t>12</w:t>
      </w:r>
    </w:p>
    <w:p>
      <w:pPr>
        <w:spacing w:after="0" w:line="5" w:lineRule="exact"/>
        <w:rPr>
          <w:sz w:val="20"/>
          <w:szCs w:val="20"/>
          <w:color w:val="auto"/>
        </w:rPr>
      </w:pPr>
    </w:p>
    <w:p>
      <w:pPr>
        <w:ind w:left="1798" w:right="2259" w:hanging="903"/>
        <w:spacing w:after="0" w:line="237" w:lineRule="auto"/>
        <w:tabs>
          <w:tab w:leader="none" w:pos="1798"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Courier New" w:cs="Courier New" w:eastAsia="Courier New" w:hAnsi="Courier New"/>
          <w:sz w:val="17"/>
          <w:szCs w:val="17"/>
          <w:color w:val="auto"/>
        </w:rPr>
      </w:pPr>
    </w:p>
    <w:p>
      <w:pPr>
        <w:ind w:left="1798" w:right="2859" w:hanging="903"/>
        <w:spacing w:after="0" w:line="236" w:lineRule="auto"/>
        <w:tabs>
          <w:tab w:leader="none" w:pos="1798"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8" w:lineRule="exact"/>
        <w:rPr>
          <w:rFonts w:ascii="Courier New" w:cs="Courier New" w:eastAsia="Courier New" w:hAnsi="Courier New"/>
          <w:sz w:val="17"/>
          <w:szCs w:val="17"/>
          <w:color w:val="auto"/>
        </w:rPr>
      </w:pPr>
    </w:p>
    <w:p>
      <w:pPr>
        <w:ind w:left="898" w:right="2259" w:hanging="898"/>
        <w:spacing w:after="0" w:line="253" w:lineRule="auto"/>
        <w:tabs>
          <w:tab w:leader="none" w:pos="8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each filing of the annual report of The Scotts Company Union Retirement Savings Plan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3" w:lineRule="exact"/>
        <w:rPr>
          <w:rFonts w:ascii="Courier New" w:cs="Courier New" w:eastAsia="Courier New" w:hAnsi="Courier New"/>
          <w:sz w:val="16"/>
          <w:szCs w:val="16"/>
          <w:color w:val="auto"/>
        </w:rPr>
      </w:pPr>
    </w:p>
    <w:p>
      <w:pPr>
        <w:ind w:left="898" w:right="2259" w:hanging="898"/>
        <w:spacing w:after="0" w:line="253" w:lineRule="auto"/>
        <w:tabs>
          <w:tab w:leader="none" w:pos="8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8"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7"/>
          </w:cols>
          <w:pgMar w:left="242" w:top="301"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ind w:left="3480"/>
        <w:spacing w:after="0" w:line="238" w:lineRule="auto"/>
        <w:rPr>
          <w:sz w:val="20"/>
          <w:szCs w:val="20"/>
          <w:color w:val="auto"/>
        </w:rPr>
      </w:pPr>
      <w:r>
        <w:rPr>
          <w:rFonts w:ascii="Courier New" w:cs="Courier New" w:eastAsia="Courier New" w:hAnsi="Courier New"/>
          <w:sz w:val="17"/>
          <w:szCs w:val="17"/>
          <w:color w:val="auto"/>
        </w:rPr>
        <w:t>SIGNATURES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Columbus, State of Ohio, on the 28th day of April, 2000.</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THE SCOTTS COMPANY</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By: /s/ Charles M. Berger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Charles M. Berger, Chairman of the Board</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and Chief Executive Officer</w:t>
      </w:r>
    </w:p>
    <w:p>
      <w:pPr>
        <w:spacing w:after="0" w:line="196" w:lineRule="exact"/>
        <w:rPr>
          <w:sz w:val="20"/>
          <w:szCs w:val="20"/>
          <w:color w:val="auto"/>
        </w:rPr>
      </w:pPr>
    </w:p>
    <w:p>
      <w:pPr>
        <w:ind w:right="2959" w:firstLine="895"/>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indicated on April 28, 2000.</w:t>
      </w:r>
    </w:p>
    <w:p>
      <w:pPr>
        <w:sectPr>
          <w:pgSz w:w="11900" w:h="16838" w:orient="portrait"/>
          <w:cols w:equalWidth="0" w:num="1">
            <w:col w:w="10219"/>
          </w:cols>
          <w:pgMar w:left="240" w:top="301" w:right="1440" w:bottom="1440" w:gutter="0" w:footer="0" w:header="0"/>
        </w:sect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Charles M. Berger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M. Berger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Chief Executive Officer</w:t>
      </w:r>
    </w:p>
    <w:p>
      <w:pPr>
        <w:spacing w:after="0" w:line="396"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P. Flannery*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0"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ind w:left="200" w:hanging="198"/>
        <w:spacing w:after="0"/>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Joseph P. Flannery</w:t>
      </w:r>
    </w:p>
    <w:p>
      <w:pPr>
        <w:sectPr>
          <w:pgSz w:w="11900" w:h="16838" w:orient="portrait"/>
          <w:cols w:equalWidth="0" w:num="1">
            <w:col w:w="10219"/>
          </w:cols>
          <w:pgMar w:left="240" w:top="301" w:right="1440"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Horace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Horace Hagedorn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Chairman/Director</w:t>
      </w:r>
    </w:p>
    <w:p>
      <w:pPr>
        <w:spacing w:after="0" w:line="587"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Hagedorn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President/Chief Operating Officer/</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Director</w:t>
      </w:r>
    </w:p>
    <w:p>
      <w:pPr>
        <w:spacing w:after="0" w:line="391"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Albert E. Harris*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Albert E. Harris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87"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Kenlon*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Kenlon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87"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Karen G. Mills*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Karen G. Mills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87"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Patrick J. Norton*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Patrick J. Norton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Interim Chief Financial Officer/</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Director</w:t>
      </w:r>
    </w:p>
    <w:p>
      <w:pPr>
        <w:spacing w:after="0" w:line="387"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1"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238" w:lineRule="auto"/>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60" w:space="720"/>
            <w:col w:w="5739"/>
          </w:cols>
          <w:pgMar w:left="240" w:top="301" w:right="1440" w:bottom="144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M. Sullivan*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0"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ind w:left="200" w:hanging="198"/>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John M. Sullivan</w:t>
      </w:r>
    </w:p>
    <w:p>
      <w:pPr>
        <w:sectPr>
          <w:pgSz w:w="11900" w:h="16838" w:orient="portrait"/>
          <w:cols w:equalWidth="0" w:num="1">
            <w:col w:w="10219"/>
          </w:cols>
          <w:pgMar w:left="240" w:top="301" w:right="1440"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 Jack Van Fossen*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 Jack Van Fossen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87"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Walker*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Walker, Ph.D.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*By: /s/ G. Robert Lucas</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G. Robert Lucas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Counsel/Corporate Secretary,</w:t>
      </w:r>
    </w:p>
    <w:p>
      <w:pPr>
        <w:spacing w:after="0" w:line="238" w:lineRule="auto"/>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spacing w:after="0" w:line="188"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The Plan. Pursuant to the requirements of the Securities Act of 1933, the trustees (or other persons who administer the employee benefit plan) have duly caused this registration statement to be signed on its behalf by the undersigned, thereunto duly authorized, in the City of Columbus, State of Ohio, on April 28, 2000.</w:t>
      </w:r>
    </w:p>
    <w:p>
      <w:pPr>
        <w:spacing w:after="0" w:line="381"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THE SCOTTS COMPANY</w:t>
      </w:r>
    </w:p>
    <w:p>
      <w:pPr>
        <w:ind w:left="4080"/>
        <w:spacing w:after="0" w:line="238" w:lineRule="auto"/>
        <w:rPr>
          <w:sz w:val="20"/>
          <w:szCs w:val="20"/>
          <w:color w:val="auto"/>
        </w:rPr>
      </w:pPr>
      <w:r>
        <w:rPr>
          <w:rFonts w:ascii="Courier New" w:cs="Courier New" w:eastAsia="Courier New" w:hAnsi="Courier New"/>
          <w:sz w:val="17"/>
          <w:szCs w:val="17"/>
          <w:color w:val="auto"/>
        </w:rPr>
        <w:t>UNION RETIREMENT SAVINGS PLAN</w:t>
      </w:r>
    </w:p>
    <w:p>
      <w:pPr>
        <w:spacing w:after="0" w:line="190" w:lineRule="exact"/>
        <w:rPr>
          <w:sz w:val="20"/>
          <w:szCs w:val="20"/>
          <w:color w:val="auto"/>
        </w:rPr>
      </w:pPr>
    </w:p>
    <w:p>
      <w:pPr>
        <w:jc w:val="center"/>
        <w:ind w:right="-120"/>
        <w:spacing w:after="0"/>
        <w:tabs>
          <w:tab w:leader="none" w:pos="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Hadia Lefavre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080"/>
        <w:spacing w:after="0"/>
        <w:tabs>
          <w:tab w:leader="none" w:pos="5560" w:val="left"/>
        </w:tabs>
        <w:rPr>
          <w:sz w:val="20"/>
          <w:szCs w:val="20"/>
          <w:color w:val="auto"/>
        </w:rPr>
      </w:pPr>
      <w:r>
        <w:rPr>
          <w:rFonts w:ascii="Courier New" w:cs="Courier New" w:eastAsia="Courier New" w:hAnsi="Courier New"/>
          <w:sz w:val="17"/>
          <w:szCs w:val="17"/>
          <w:color w:val="auto"/>
        </w:rPr>
        <w:t>Printed Name:</w:t>
      </w:r>
      <w:r>
        <w:rPr>
          <w:sz w:val="20"/>
          <w:szCs w:val="20"/>
          <w:color w:val="auto"/>
        </w:rPr>
        <w:tab/>
      </w:r>
      <w:r>
        <w:rPr>
          <w:rFonts w:ascii="Courier New" w:cs="Courier New" w:eastAsia="Courier New" w:hAnsi="Courier New"/>
          <w:sz w:val="16"/>
          <w:szCs w:val="16"/>
          <w:color w:val="auto"/>
        </w:rPr>
        <w:t>Hadia Lefavre</w:t>
      </w:r>
    </w:p>
    <w:p>
      <w:pPr>
        <w:spacing w:after="0" w:line="5"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080"/>
        <w:spacing w:after="0"/>
        <w:tabs>
          <w:tab w:leader="none" w:pos="486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Senior Vice President, Human</w:t>
      </w:r>
    </w:p>
    <w:p>
      <w:pPr>
        <w:ind w:left="5080"/>
        <w:spacing w:after="0" w:line="238" w:lineRule="auto"/>
        <w:rPr>
          <w:sz w:val="20"/>
          <w:szCs w:val="20"/>
          <w:color w:val="auto"/>
        </w:rPr>
      </w:pPr>
      <w:r>
        <w:rPr>
          <w:rFonts w:ascii="Courier New" w:cs="Courier New" w:eastAsia="Courier New" w:hAnsi="Courier New"/>
          <w:sz w:val="17"/>
          <w:szCs w:val="17"/>
          <w:color w:val="auto"/>
        </w:rPr>
        <w:t>Resources</w:t>
      </w:r>
    </w:p>
    <w:p>
      <w:pPr>
        <w:spacing w:after="0" w:line="5"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1"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ind w:left="3180"/>
        <w:spacing w:after="0" w:line="238" w:lineRule="auto"/>
        <w:rPr>
          <w:sz w:val="20"/>
          <w:szCs w:val="20"/>
          <w:color w:val="auto"/>
        </w:rPr>
      </w:pPr>
      <w:r>
        <w:rPr>
          <w:rFonts w:ascii="Courier New" w:cs="Courier New" w:eastAsia="Courier New" w:hAnsi="Courier New"/>
          <w:sz w:val="17"/>
          <w:szCs w:val="17"/>
          <w:color w:val="auto"/>
        </w:rPr>
        <w:t>INDEX TO EXHIBITS</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4780" w:type="dxa"/>
            <w:vAlign w:val="bottom"/>
          </w:tcPr>
          <w:p>
            <w:pPr>
              <w:ind w:left="1740"/>
              <w:spacing w:after="0"/>
              <w:rPr>
                <w:sz w:val="20"/>
                <w:szCs w:val="20"/>
                <w:color w:val="auto"/>
              </w:rPr>
            </w:pPr>
            <w:r>
              <w:rPr>
                <w:rFonts w:ascii="Courier New" w:cs="Courier New" w:eastAsia="Courier New" w:hAnsi="Courier New"/>
                <w:sz w:val="17"/>
                <w:szCs w:val="17"/>
                <w:color w:val="auto"/>
              </w:rPr>
              <w:t>Description</w:t>
            </w:r>
          </w:p>
        </w:tc>
        <w:tc>
          <w:tcPr>
            <w:tcW w:w="15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Page No.</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4780" w:type="dxa"/>
            <w:vAlign w:val="bottom"/>
          </w:tcPr>
          <w:p>
            <w:pPr>
              <w:jc w:val="right"/>
              <w:ind w:right="16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8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23</w:t>
            </w:r>
          </w:p>
        </w:tc>
        <w:tc>
          <w:tcPr>
            <w:tcW w:w="4780" w:type="dxa"/>
            <w:vAlign w:val="bottom"/>
          </w:tcPr>
          <w:p>
            <w:pPr>
              <w:ind w:left="540"/>
              <w:spacing w:after="0"/>
              <w:rPr>
                <w:sz w:val="20"/>
                <w:szCs w:val="20"/>
                <w:color w:val="auto"/>
              </w:rPr>
            </w:pPr>
            <w:r>
              <w:rPr>
                <w:rFonts w:ascii="Courier New" w:cs="Courier New" w:eastAsia="Courier New" w:hAnsi="Courier New"/>
                <w:sz w:val="17"/>
                <w:szCs w:val="17"/>
                <w:color w:val="auto"/>
              </w:rPr>
              <w:t>Consent of PricewaterhouseCoopers LLP</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jc w:val="right"/>
              <w:ind w:right="1157"/>
              <w:spacing w:after="0" w:line="191" w:lineRule="exact"/>
              <w:rPr>
                <w:sz w:val="20"/>
                <w:szCs w:val="20"/>
                <w:color w:val="auto"/>
              </w:rPr>
            </w:pPr>
            <w:r>
              <w:rPr>
                <w:rFonts w:ascii="Courier New" w:cs="Courier New" w:eastAsia="Courier New" w:hAnsi="Courier New"/>
                <w:sz w:val="17"/>
                <w:szCs w:val="17"/>
                <w:color w:val="auto"/>
              </w:rPr>
              <w:t>24</w:t>
            </w:r>
          </w:p>
        </w:tc>
        <w:tc>
          <w:tcPr>
            <w:tcW w:w="47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Powers of Attorney</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ind w:left="200" w:hanging="198"/>
        <w:spacing w:after="0"/>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1"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23</w:t>
      </w:r>
    </w:p>
    <w:p>
      <w:pPr>
        <w:spacing w:after="0" w:line="381"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388"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We hereby consent to the incorporation by reference in this Registration Statement on Form S-8 of our report dated October 21, 1999 relating to the financial statements and financial statement schedules of The Scotts Company, which appears in The Scotts Company's Annual Report on Form 10-K for the year ended September 30, 1999.</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25, 2000</w:t>
      </w:r>
    </w:p>
    <w:p>
      <w:pPr>
        <w:sectPr>
          <w:pgSz w:w="11900" w:h="16838" w:orient="portrait"/>
          <w:cols w:equalWidth="0" w:num="1">
            <w:col w:w="10219"/>
          </w:cols>
          <w:pgMar w:left="240" w:top="13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1</w:t>
      </w:r>
    </w:p>
    <w:p>
      <w:pPr>
        <w:ind w:left="3180"/>
        <w:spacing w:after="0" w:line="238" w:lineRule="auto"/>
        <w:rPr>
          <w:sz w:val="20"/>
          <w:szCs w:val="20"/>
          <w:color w:val="auto"/>
        </w:rPr>
      </w:pPr>
      <w:r>
        <w:rPr>
          <w:rFonts w:ascii="Courier New" w:cs="Courier New" w:eastAsia="Courier New" w:hAnsi="Courier New"/>
          <w:sz w:val="17"/>
          <w:szCs w:val="17"/>
          <w:color w:val="auto"/>
        </w:rPr>
        <w:t>EXHIBIT 24</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2"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7"/>
          <w:szCs w:val="17"/>
          <w:color w:val="auto"/>
        </w:rPr>
        <w:t>POWERS OF ATTORNEY</w:t>
      </w:r>
    </w:p>
    <w:p>
      <w:pPr>
        <w:sectPr>
          <w:pgSz w:w="11900" w:h="16838" w:orient="portrait"/>
          <w:cols w:equalWidth="0" w:num="1">
            <w:col w:w="9919"/>
          </w:cols>
          <w:pgMar w:left="540" w:top="135"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2</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Charles M. Berger</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Charles M. Berger</w:t>
      </w:r>
    </w:p>
    <w:p>
      <w:pPr>
        <w:sectPr>
          <w:pgSz w:w="11900" w:h="16838" w:orient="portrait"/>
          <w:cols w:equalWidth="0" w:num="1">
            <w:col w:w="10219"/>
          </w:cols>
          <w:pgMar w:left="240" w:top="301"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3</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Joseph P. Flannery</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Joseph P. Flannery</w:t>
      </w:r>
    </w:p>
    <w:p>
      <w:pPr>
        <w:sectPr>
          <w:pgSz w:w="11900" w:h="16838" w:orient="portrait"/>
          <w:cols w:equalWidth="0" w:num="1">
            <w:col w:w="10219"/>
          </w:cols>
          <w:pgMar w:left="240" w:top="301"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4</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Horace Hagedorn</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Horace Hagedorn</w:t>
      </w:r>
    </w:p>
    <w:p>
      <w:pPr>
        <w:sectPr>
          <w:pgSz w:w="11900" w:h="16838" w:orient="portrait"/>
          <w:cols w:equalWidth="0" w:num="1">
            <w:col w:w="10219"/>
          </w:cols>
          <w:pgMar w:left="240" w:top="301"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5</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James Hagedorn</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James Hagedorn</w:t>
      </w:r>
    </w:p>
    <w:p>
      <w:pPr>
        <w:sectPr>
          <w:pgSz w:w="11900" w:h="16838" w:orient="portrait"/>
          <w:cols w:equalWidth="0" w:num="1">
            <w:col w:w="10219"/>
          </w:cols>
          <w:pgMar w:left="240" w:top="301"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6</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7th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Albert E. Harris</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Albert E. Harris</w:t>
      </w:r>
    </w:p>
    <w:p>
      <w:pPr>
        <w:sectPr>
          <w:pgSz w:w="11900" w:h="16838" w:orient="portrait"/>
          <w:cols w:equalWidth="0" w:num="1">
            <w:col w:w="10219"/>
          </w:cols>
          <w:pgMar w:left="240" w:top="301"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7</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John Kenlon</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John Kenlon</w:t>
      </w:r>
    </w:p>
    <w:p>
      <w:pPr>
        <w:sectPr>
          <w:pgSz w:w="11900" w:h="16838" w:orient="portrait"/>
          <w:cols w:equalWidth="0" w:num="1">
            <w:col w:w="10219"/>
          </w:cols>
          <w:pgMar w:left="240" w:top="301"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8</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53"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and G. ROBERT LUCAS,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95"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her hand this 14 day of Feb.,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Karen G. Mills</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Karen G. Mills</w:t>
      </w:r>
    </w:p>
    <w:p>
      <w:pPr>
        <w:sectPr>
          <w:pgSz w:w="11900" w:h="16838" w:orient="portrait"/>
          <w:cols w:equalWidth="0" w:num="1">
            <w:col w:w="10219"/>
          </w:cols>
          <w:pgMar w:left="240" w:top="301"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9</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Patrick J. Norton</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Patrick J. Norton</w:t>
      </w:r>
    </w:p>
    <w:p>
      <w:pPr>
        <w:sectPr>
          <w:pgSz w:w="11900" w:h="16838" w:orient="portrait"/>
          <w:cols w:equalWidth="0" w:num="1">
            <w:col w:w="10219"/>
          </w:cols>
          <w:pgMar w:left="240" w:top="301"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10</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53"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5"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14th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John M. Sullivan</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John M. Sullivan</w:t>
      </w:r>
    </w:p>
    <w:p>
      <w:pPr>
        <w:sectPr>
          <w:pgSz w:w="11900" w:h="16838" w:orient="portrait"/>
          <w:cols w:equalWidth="0" w:num="1">
            <w:col w:w="10219"/>
          </w:cols>
          <w:pgMar w:left="240" w:top="301"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11</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L. Jack Van Fossen</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L. Jack Van Fossen</w:t>
      </w:r>
    </w:p>
    <w:p>
      <w:pPr>
        <w:sectPr>
          <w:pgSz w:w="11900" w:h="16838" w:orient="portrait"/>
          <w:cols w:equalWidth="0" w:num="1">
            <w:col w:w="10219"/>
          </w:cols>
          <w:pgMar w:left="240" w:top="301"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12</w:t>
      </w:r>
    </w:p>
    <w:p>
      <w:pPr>
        <w:ind w:left="3180"/>
        <w:spacing w:after="0" w:line="238" w:lineRule="auto"/>
        <w:rPr>
          <w:sz w:val="20"/>
          <w:szCs w:val="20"/>
          <w:color w:val="auto"/>
        </w:rPr>
      </w:pPr>
      <w:r>
        <w:rPr>
          <w:rFonts w:ascii="Courier New" w:cs="Courier New" w:eastAsia="Courier New" w:hAnsi="Courier New"/>
          <w:sz w:val="17"/>
          <w:szCs w:val="17"/>
          <w:color w:val="auto"/>
        </w:rPr>
        <w:t>POWER OF ATTORNEY</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1392"/>
        <w:spacing w:after="0" w:line="238" w:lineRule="auto"/>
        <w:rPr>
          <w:sz w:val="20"/>
          <w:szCs w:val="20"/>
          <w:color w:val="auto"/>
        </w:rPr>
      </w:pPr>
      <w:r>
        <w:rPr>
          <w:rFonts w:ascii="Courier New" w:cs="Courier New" w:eastAsia="Courier New" w:hAnsi="Courier New"/>
          <w:sz w:val="17"/>
          <w:szCs w:val="17"/>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UNION RETIREMENT SAVINGS PLAN, hereby constitutes and appoints CHARLES M. BERGER, DAVID D. HARRISON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97" w:lineRule="exact"/>
        <w:rPr>
          <w:sz w:val="20"/>
          <w:szCs w:val="20"/>
          <w:color w:val="auto"/>
        </w:rPr>
      </w:pPr>
    </w:p>
    <w:p>
      <w:pPr>
        <w:ind w:right="2259" w:firstLine="1392"/>
        <w:spacing w:after="0" w:line="235" w:lineRule="auto"/>
        <w:rPr>
          <w:sz w:val="20"/>
          <w:szCs w:val="20"/>
          <w:color w:val="auto"/>
        </w:rPr>
      </w:pPr>
      <w:r>
        <w:rPr>
          <w:rFonts w:ascii="Courier New" w:cs="Courier New" w:eastAsia="Courier New" w:hAnsi="Courier New"/>
          <w:sz w:val="17"/>
          <w:szCs w:val="17"/>
          <w:color w:val="auto"/>
        </w:rPr>
        <w:t>IN WITNESS WHEREOF, the undersigned has hereunto set his hand this 10th day of February, 2000.</w:t>
      </w:r>
    </w:p>
    <w:p>
      <w:pPr>
        <w:spacing w:after="0" w:line="381"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/s/ John Walker</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7"/>
          <w:szCs w:val="17"/>
          <w:color w:val="auto"/>
        </w:rPr>
        <w:t>John Walker, Ph.D.</w:t>
      </w:r>
    </w:p>
    <w:sectPr>
      <w:pgSz w:w="11900" w:h="16838" w:orient="portrait"/>
      <w:cols w:equalWidth="0" w:num="1">
        <w:col w:w="10219"/>
      </w:cols>
      <w:pgMar w:left="24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decimal"/>
      <w:start w:val="61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upperLetter"/>
      <w:start w:val="1"/>
    </w:lvl>
  </w:abstractNum>
  <w:abstractNum w:abstractNumId="6">
    <w:nsid w:val="6B68079A"/>
    <w:multiLevelType w:val="hybridMultilevel"/>
    <w:lvl w:ilvl="0">
      <w:lvlJc w:val="left"/>
      <w:lvlText w:val="(%1)"/>
      <w:numFmt w:val="upperLetter"/>
      <w:start w:val="2"/>
    </w:lvl>
  </w:abstractNum>
  <w:abstractNum w:abstractNumId="7">
    <w:nsid w:val="4E6AFB66"/>
    <w:multiLevelType w:val="hybridMultilevel"/>
    <w:lvl w:ilvl="0">
      <w:lvlJc w:val="left"/>
      <w:lvlText w:val="(%1)"/>
      <w:numFmt w:val="upperLetter"/>
      <w:start w:val="1"/>
    </w:lvl>
  </w:abstractNum>
  <w:abstractNum w:abstractNumId="8">
    <w:nsid w:val="25E45D32"/>
    <w:multiLevelType w:val="hybridMultilevel"/>
    <w:lvl w:ilvl="0">
      <w:lvlJc w:val="left"/>
      <w:lvlText w:val="(%1)"/>
      <w:numFmt w:val="upperLetter"/>
      <w:start w:val="1"/>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1)"/>
      <w:numFmt w:val="decimal"/>
      <w:start w:val="4"/>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decimal"/>
      <w:start w:val="6"/>
    </w:lvl>
  </w:abstractNum>
  <w:abstractNum w:abstractNumId="17">
    <w:nsid w:val="333AB105"/>
    <w:multiLevelType w:val="hybridMultilevel"/>
    <w:lvl w:ilvl="0">
      <w:lvlJc w:val="left"/>
      <w:lvlText w:val="(%1)"/>
      <w:numFmt w:val="decimal"/>
      <w:start w:val="9"/>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20">
    <w:nsid w:val="2D1D5AE9"/>
    <w:multiLevelType w:val="hybridMultilevel"/>
    <w:lvl w:ilvl="0">
      <w:lvlJc w:val="left"/>
      <w:lvlText w:val="%1"/>
      <w:numFmt w:val="upperLetter"/>
      <w:start w:val="1"/>
    </w:lvl>
    <w:lvl w:ilvl="1">
      <w:lvlJc w:val="left"/>
      <w:lvlText w:val="(%2)"/>
      <w:numFmt w:val="decimal"/>
      <w:start w:val="2"/>
    </w:lvl>
  </w:abstractNum>
  <w:abstractNum w:abstractNumId="21">
    <w:nsid w:val="6763845E"/>
    <w:multiLevelType w:val="hybridMultilevel"/>
    <w:lvl w:ilvl="0">
      <w:lvlJc w:val="left"/>
      <w:lvlText w:val="%1."/>
      <w:numFmt w:val="upperLetter"/>
      <w:start w:val="2"/>
    </w:lvl>
    <w:lvl w:ilvl="1">
      <w:lvlJc w:val="left"/>
      <w:lvlText w:val="%2"/>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2019-12-20T06:17:06Z</dcterms:created>
  <dcterms:modified xsi:type="dcterms:W3CDTF">2019-12-20T06:17:06Z</dcterms:modified>
</cp:coreProperties>
</file>