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114935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00" w:lineRule="exact"/>
        <w:rPr>
          <w:sz w:val="24"/>
          <w:szCs w:val="24"/>
          <w:color w:val="auto"/>
        </w:rPr>
      </w:pPr>
    </w:p>
    <w:p>
      <w:pPr>
        <w:spacing w:after="0" w:line="2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19"/>
        <w:spacing w:after="0"/>
        <w:tabs>
          <w:tab w:leader="none" w:pos="260" w:val="left"/>
          <w:tab w:leader="none" w:pos="200" w:val="left"/>
        </w:tabs>
        <w:rPr>
          <w:sz w:val="20"/>
          <w:szCs w:val="20"/>
          <w:color w:val="auto"/>
        </w:rPr>
      </w:pPr>
      <w:r>
        <w:rPr>
          <w:rFonts w:ascii="Times New Roman" w:cs="Times New Roman" w:eastAsia="Times New Roman" w:hAnsi="Times New Roman"/>
          <w:sz w:val="22"/>
          <w:szCs w:val="22"/>
          <w:b w:val="1"/>
          <w:bCs w:val="1"/>
          <w:color w:val="auto"/>
        </w:rPr>
        <w:t>(Amendment No.</w:t>
        <w:tab/>
        <w:t>1</w:t>
      </w:r>
      <w:r>
        <w:rPr>
          <w:sz w:val="20"/>
          <w:szCs w:val="20"/>
          <w:color w:val="auto"/>
        </w:rPr>
        <w:tab/>
      </w:r>
      <w:r>
        <w:rPr>
          <w:rFonts w:ascii="Times New Roman" w:cs="Times New Roman" w:eastAsia="Times New Roman" w:hAnsi="Times New Roman"/>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3862705</wp:posOffset>
            </wp:positionH>
            <wp:positionV relativeFrom="paragraph">
              <wp:posOffset>-12065</wp:posOffset>
            </wp:positionV>
            <wp:extent cx="3429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color w:val="auto"/>
        </w:rPr>
        <w:t>SCOTTS MIRACLE-GRO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494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8890"/>
                    </a:xfrm>
                    <a:prstGeom prst="rect">
                      <a:avLst/>
                    </a:prstGeom>
                    <a:noFill/>
                  </pic:spPr>
                </pic:pic>
              </a:graphicData>
            </a:graphic>
          </wp:anchor>
        </w:drawing>
      </w:r>
    </w:p>
    <w:p>
      <w:pPr>
        <w:spacing w:after="0" w:line="2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(Name of Issuer)</w:t>
      </w: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8255"/>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810186106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25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494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8890"/>
                    </a:xfrm>
                    <a:prstGeom prst="rect">
                      <a:avLst/>
                    </a:prstGeom>
                    <a:noFill/>
                  </pic:spPr>
                </pic:pic>
              </a:graphicData>
            </a:graphic>
          </wp:anchor>
        </w:drawing>
      </w:r>
    </w:p>
    <w:p>
      <w:pPr>
        <w:spacing w:after="0" w:line="182"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52"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color w:val="auto"/>
        </w:rPr>
        <w:t>x Rule 13d-1(b)</w:t>
      </w:r>
    </w:p>
    <w:p>
      <w:pPr>
        <w:spacing w:after="0" w:line="252" w:lineRule="exact"/>
        <w:rPr>
          <w:sz w:val="24"/>
          <w:szCs w:val="24"/>
          <w:color w:val="auto"/>
        </w:rPr>
      </w:pPr>
    </w:p>
    <w:p>
      <w:pPr>
        <w:jc w:val="both"/>
        <w:ind w:left="480" w:right="9720"/>
        <w:spacing w:after="0" w:line="532" w:lineRule="auto"/>
        <w:rPr>
          <w:sz w:val="24"/>
          <w:szCs w:val="24"/>
          <w:color w:val="auto"/>
        </w:rPr>
      </w:pPr>
      <w:r>
        <w:rPr>
          <w:rFonts w:ascii="Times New Roman" w:cs="Times New Roman" w:eastAsia="Times New Roman" w:hAnsi="Times New Roman"/>
          <w:sz w:val="18"/>
          <w:szCs w:val="18"/>
          <w:color w:val="auto"/>
        </w:rPr>
        <w:t>Rule 13d-1(c) Rule 13d-1(d)</w:t>
      </w:r>
    </w:p>
    <w:p>
      <w:pPr>
        <w:spacing w:after="0" w:line="282" w:lineRule="auto"/>
        <w:rPr>
          <w:sz w:val="24"/>
          <w:szCs w:val="24"/>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9"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43" w:right="359" w:bottom="1440" w:gutter="0" w:footer="0" w:header="0"/>
        </w:sectPr>
      </w:pPr>
    </w:p>
    <w:bookmarkStart w:id="1" w:name="page2"/>
    <w:bookmarkEnd w:id="1"/>
    <w:p>
      <w:pPr>
        <w:spacing w:after="0" w:line="282" w:lineRule="auto"/>
        <w:rPr>
          <w:sz w:val="20"/>
          <w:szCs w:val="20"/>
          <w:color w:val="auto"/>
        </w:rPr>
      </w:pPr>
      <w:r>
        <w:rPr>
          <w:rFonts w:ascii="Times New Roman" w:cs="Times New Roman" w:eastAsia="Times New Roman" w:hAnsi="Times New Roman"/>
          <w:sz w:val="18"/>
          <w:szCs w:val="18"/>
          <w:color w:val="auto"/>
        </w:rPr>
        <w:t>CUSIP No.</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810186106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-189865</wp:posOffset>
            </wp:positionV>
            <wp:extent cx="7132320" cy="66630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6663055"/>
                    </a:xfrm>
                    <a:prstGeom prst="rect">
                      <a:avLst/>
                    </a:prstGeom>
                    <a:noFill/>
                  </pic:spPr>
                </pic:pic>
              </a:graphicData>
            </a:graphic>
          </wp:anchor>
        </w:drawing>
      </w:r>
    </w:p>
    <w:p>
      <w:pPr>
        <w:spacing w:after="0" w:line="371" w:lineRule="exact"/>
        <w:rPr>
          <w:sz w:val="20"/>
          <w:szCs w:val="20"/>
          <w:color w:val="auto"/>
        </w:rPr>
      </w:pPr>
    </w:p>
    <w:p>
      <w:pPr>
        <w:sectPr>
          <w:pgSz w:w="11900" w:h="16838" w:orient="portrait"/>
          <w:cols w:equalWidth="0" w:num="2">
            <w:col w:w="520" w:space="440"/>
            <w:col w:w="10280"/>
          </w:cols>
          <w:pgMar w:left="320" w:top="513" w:right="339" w:bottom="1440" w:gutter="0" w:footer="0" w:header="0"/>
        </w:sectPr>
      </w:pPr>
    </w:p>
    <w:p>
      <w:pPr>
        <w:spacing w:after="0" w:line="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7" w:lineRule="exact"/>
        <w:rPr>
          <w:sz w:val="20"/>
          <w:szCs w:val="20"/>
          <w:color w:val="auto"/>
        </w:rPr>
      </w:pPr>
    </w:p>
    <w:p>
      <w:pPr>
        <w:ind w:left="760" w:right="4900" w:hanging="529"/>
        <w:spacing w:after="0" w:line="180" w:lineRule="auto"/>
        <w:tabs>
          <w:tab w:leader="none" w:pos="760" w:val="left"/>
        </w:tabs>
        <w:numPr>
          <w:ilvl w:val="0"/>
          <w:numId w:val="2"/>
        </w:numPr>
        <w:rPr>
          <w:rFonts w:ascii="Times New Roman" w:cs="Times New Roman" w:eastAsia="Times New Roman" w:hAnsi="Times New Roman"/>
          <w:sz w:val="46"/>
          <w:szCs w:val="46"/>
          <w:b w:val="1"/>
          <w:bCs w:val="1"/>
          <w:color w:val="auto"/>
          <w:vertAlign w:val="subscript"/>
        </w:rPr>
      </w:pPr>
      <w:r>
        <w:rPr>
          <w:rFonts w:ascii="Times New Roman" w:cs="Times New Roman" w:eastAsia="Times New Roman" w:hAnsi="Times New Roman"/>
          <w:sz w:val="16"/>
          <w:szCs w:val="16"/>
          <w:color w:val="auto"/>
        </w:rPr>
        <w:t>I.R.S. IDENTIFICATION NOS. OF ABOVE PERSONS (ENTITIES ONLY) KAYNE ANDERSON RUDNICK INVESTMENT MANAGEMENT LLC 95-4575414</w:t>
      </w:r>
    </w:p>
    <w:p>
      <w:pPr>
        <w:spacing w:after="0" w:line="64" w:lineRule="exact"/>
        <w:rPr>
          <w:rFonts w:ascii="Times New Roman" w:cs="Times New Roman" w:eastAsia="Times New Roman" w:hAnsi="Times New Roman"/>
          <w:sz w:val="46"/>
          <w:szCs w:val="46"/>
          <w:b w:val="1"/>
          <w:bCs w:val="1"/>
          <w:color w:val="auto"/>
          <w:vertAlign w:val="subscript"/>
        </w:rPr>
      </w:pPr>
    </w:p>
    <w:p>
      <w:pPr>
        <w:ind w:left="760"/>
        <w:spacing w:after="0"/>
        <w:rPr>
          <w:rFonts w:ascii="Times New Roman" w:cs="Times New Roman" w:eastAsia="Times New Roman" w:hAnsi="Times New Roman"/>
          <w:sz w:val="46"/>
          <w:szCs w:val="46"/>
          <w:b w:val="1"/>
          <w:bCs w:val="1"/>
          <w:color w:val="auto"/>
          <w:vertAlign w:val="subscript"/>
        </w:rPr>
      </w:pPr>
      <w:r>
        <w:rPr>
          <w:rFonts w:ascii="Times New Roman" w:cs="Times New Roman" w:eastAsia="Times New Roman" w:hAnsi="Times New Roman"/>
          <w:sz w:val="18"/>
          <w:szCs w:val="18"/>
          <w:color w:val="auto"/>
        </w:rPr>
        <w:t>CHECK THE APPROPRIATE BOX IF A MEMBER OF A GROUP (SEE INSTRUCTIONS)</w:t>
      </w:r>
    </w:p>
    <w:p>
      <w:pPr>
        <w:spacing w:after="0" w:line="252" w:lineRule="exact"/>
        <w:rPr>
          <w:sz w:val="20"/>
          <w:szCs w:val="20"/>
          <w:color w:val="auto"/>
        </w:rPr>
      </w:pPr>
    </w:p>
    <w:p>
      <w:pPr>
        <w:spacing w:after="0"/>
        <w:tabs>
          <w:tab w:leader="none" w:pos="0" w:val="left"/>
        </w:tabs>
        <w:numPr>
          <w:ilvl w:val="0"/>
          <w:numId w:val="3"/>
        </w:numPr>
        <w:rPr>
          <w:rFonts w:ascii="Times New Roman" w:cs="Times New Roman" w:eastAsia="Times New Roman" w:hAnsi="Times New Roman"/>
          <w:sz w:val="18"/>
          <w:szCs w:val="18"/>
          <w:color w:val="auto"/>
        </w:rPr>
      </w:pPr>
    </w:p>
    <w:p>
      <w:pPr>
        <w:spacing w:after="0" w:line="27" w:lineRule="exact"/>
        <w:rPr>
          <w:rFonts w:ascii="Times New Roman" w:cs="Times New Roman" w:eastAsia="Times New Roman" w:hAnsi="Times New Roman"/>
          <w:sz w:val="18"/>
          <w:szCs w:val="18"/>
          <w:color w:val="auto"/>
        </w:rPr>
      </w:pPr>
    </w:p>
    <w:p>
      <w:pPr>
        <w:ind w:left="240"/>
        <w:spacing w:after="0" w:line="1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30"/>
          <w:szCs w:val="30"/>
          <w:b w:val="1"/>
          <w:bCs w:val="1"/>
          <w:color w:val="auto"/>
        </w:rPr>
        <w:t xml:space="preserve">2  </w:t>
      </w:r>
      <w:r>
        <w:rPr>
          <w:rFonts w:ascii="Times New Roman" w:cs="Times New Roman" w:eastAsia="Times New Roman" w:hAnsi="Times New Roman"/>
          <w:sz w:val="16"/>
          <w:szCs w:val="16"/>
          <w:color w:val="auto"/>
        </w:rPr>
        <w:t>(b)</w:t>
      </w:r>
    </w:p>
    <w:p>
      <w:pPr>
        <w:spacing w:after="0" w:line="46"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32"/>
          <w:szCs w:val="32"/>
          <w:b w:val="1"/>
          <w:bCs w:val="1"/>
          <w:color w:val="auto"/>
        </w:rPr>
        <w:t>3</w:t>
      </w:r>
    </w:p>
    <w:p>
      <w:pPr>
        <w:spacing w:after="0" w:line="1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145" w:lineRule="exact"/>
        <w:rPr>
          <w:sz w:val="20"/>
          <w:szCs w:val="20"/>
          <w:color w:val="auto"/>
        </w:rPr>
      </w:pPr>
    </w:p>
    <w:p>
      <w:pPr>
        <w:ind w:left="760" w:hanging="529"/>
        <w:spacing w:after="0"/>
        <w:tabs>
          <w:tab w:leader="none" w:pos="760" w:val="left"/>
        </w:tabs>
        <w:numPr>
          <w:ilvl w:val="0"/>
          <w:numId w:val="4"/>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A California Limited Liability Company</w:t>
      </w:r>
    </w:p>
    <w:p>
      <w:pPr>
        <w:spacing w:after="0" w:line="62" w:lineRule="exact"/>
        <w:rPr>
          <w:rFonts w:ascii="Times New Roman" w:cs="Times New Roman" w:eastAsia="Times New Roman" w:hAnsi="Times New Roman"/>
          <w:sz w:val="32"/>
          <w:szCs w:val="32"/>
          <w:b w:val="1"/>
          <w:bCs w:val="1"/>
          <w:color w:val="auto"/>
        </w:rPr>
      </w:pPr>
    </w:p>
    <w:p>
      <w:pPr>
        <w:ind w:left="2000"/>
        <w:spacing w:after="0"/>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SOLE VOTING POWER</w:t>
      </w:r>
    </w:p>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425"/>
        </w:trPr>
        <w:tc>
          <w:tcPr>
            <w:tcW w:w="132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32"/>
                <w:szCs w:val="32"/>
                <w:b w:val="1"/>
                <w:bCs w:val="1"/>
                <w:color w:val="auto"/>
              </w:rPr>
              <w:t>5</w:t>
            </w:r>
          </w:p>
        </w:tc>
        <w:tc>
          <w:tcPr>
            <w:tcW w:w="93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3,035,551</w:t>
            </w:r>
          </w:p>
        </w:tc>
        <w:tc>
          <w:tcPr>
            <w:tcW w:w="0" w:type="dxa"/>
            <w:vAlign w:val="bottom"/>
          </w:tcPr>
          <w:p>
            <w:pPr>
              <w:spacing w:after="0"/>
              <w:rPr>
                <w:sz w:val="1"/>
                <w:szCs w:val="1"/>
                <w:color w:val="auto"/>
              </w:rPr>
            </w:pPr>
          </w:p>
        </w:tc>
      </w:tr>
      <w:tr>
        <w:trPr>
          <w:trHeight w:val="263"/>
        </w:trPr>
        <w:tc>
          <w:tcPr>
            <w:tcW w:w="1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499"/>
        </w:trPr>
        <w:tc>
          <w:tcPr>
            <w:tcW w:w="132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32"/>
                <w:szCs w:val="32"/>
                <w:b w:val="1"/>
                <w:bCs w:val="1"/>
                <w:color w:val="auto"/>
              </w:rPr>
              <w:t>6</w:t>
            </w:r>
          </w:p>
        </w:tc>
        <w:tc>
          <w:tcPr>
            <w:tcW w:w="93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671,453</w:t>
            </w:r>
          </w:p>
        </w:tc>
        <w:tc>
          <w:tcPr>
            <w:tcW w:w="0" w:type="dxa"/>
            <w:vAlign w:val="bottom"/>
          </w:tcPr>
          <w:p>
            <w:pPr>
              <w:spacing w:after="0"/>
              <w:rPr>
                <w:sz w:val="1"/>
                <w:szCs w:val="1"/>
                <w:color w:val="auto"/>
              </w:rPr>
            </w:pPr>
          </w:p>
        </w:tc>
      </w:tr>
      <w:tr>
        <w:trPr>
          <w:trHeight w:val="218"/>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520" w:type="dxa"/>
            <w:vAlign w:val="bottom"/>
          </w:tcPr>
          <w:p>
            <w:pPr>
              <w:spacing w:after="0"/>
              <w:rPr>
                <w:sz w:val="18"/>
                <w:szCs w:val="18"/>
                <w:color w:val="auto"/>
              </w:rPr>
            </w:pPr>
          </w:p>
        </w:tc>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32"/>
                <w:szCs w:val="32"/>
                <w:b w:val="1"/>
                <w:bCs w:val="1"/>
                <w:color w:val="auto"/>
              </w:rPr>
              <w:t>7</w:t>
            </w: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20" w:type="dxa"/>
            <w:vAlign w:val="bottom"/>
            <w:vMerge w:val="continue"/>
          </w:tcPr>
          <w:p>
            <w:pPr>
              <w:spacing w:after="0"/>
              <w:rPr>
                <w:sz w:val="22"/>
                <w:szCs w:val="22"/>
                <w:color w:val="auto"/>
              </w:rPr>
            </w:pPr>
          </w:p>
        </w:tc>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3,035,551</w:t>
            </w:r>
          </w:p>
        </w:tc>
        <w:tc>
          <w:tcPr>
            <w:tcW w:w="0" w:type="dxa"/>
            <w:vAlign w:val="bottom"/>
          </w:tcPr>
          <w:p>
            <w:pPr>
              <w:spacing w:after="0"/>
              <w:rPr>
                <w:sz w:val="1"/>
                <w:szCs w:val="1"/>
                <w:color w:val="auto"/>
              </w:rPr>
            </w:pPr>
          </w:p>
        </w:tc>
      </w:tr>
      <w:tr>
        <w:trPr>
          <w:trHeight w:val="67"/>
        </w:trPr>
        <w:tc>
          <w:tcPr>
            <w:tcW w:w="1320" w:type="dxa"/>
            <w:vAlign w:val="bottom"/>
            <w:vMerge w:val="restart"/>
          </w:tcPr>
          <w:p>
            <w:pPr>
              <w:jc w:val="center"/>
              <w:spacing w:after="0" w:line="170" w:lineRule="exact"/>
              <w:rPr>
                <w:sz w:val="20"/>
                <w:szCs w:val="20"/>
                <w:color w:val="auto"/>
              </w:rPr>
            </w:pPr>
            <w:r>
              <w:rPr>
                <w:rFonts w:ascii="Times New Roman" w:cs="Times New Roman" w:eastAsia="Times New Roman" w:hAnsi="Times New Roman"/>
                <w:sz w:val="18"/>
                <w:szCs w:val="18"/>
                <w:color w:val="auto"/>
                <w:w w:val="99"/>
              </w:rPr>
              <w:t>OWNED BY</w:t>
            </w:r>
          </w:p>
        </w:tc>
        <w:tc>
          <w:tcPr>
            <w:tcW w:w="520" w:type="dxa"/>
            <w:vAlign w:val="bottom"/>
            <w:tcBorders>
              <w:bottom w:val="single" w:sz="8" w:color="auto"/>
            </w:tcBorders>
          </w:tcPr>
          <w:p>
            <w:pPr>
              <w:spacing w:after="0"/>
              <w:rPr>
                <w:sz w:val="5"/>
                <w:szCs w:val="5"/>
                <w:color w:val="auto"/>
              </w:rPr>
            </w:pPr>
          </w:p>
        </w:tc>
        <w:tc>
          <w:tcPr>
            <w:tcW w:w="93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3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93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520" w:type="dxa"/>
            <w:vAlign w:val="bottom"/>
          </w:tcPr>
          <w:p>
            <w:pPr>
              <w:spacing w:after="0"/>
              <w:rPr>
                <w:sz w:val="18"/>
                <w:szCs w:val="18"/>
                <w:color w:val="auto"/>
              </w:rPr>
            </w:pPr>
          </w:p>
        </w:tc>
        <w:tc>
          <w:tcPr>
            <w:tcW w:w="9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32"/>
                <w:szCs w:val="32"/>
                <w:b w:val="1"/>
                <w:bCs w:val="1"/>
                <w:color w:val="auto"/>
              </w:rPr>
              <w:t>8</w:t>
            </w: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 WITH:</w:t>
            </w:r>
          </w:p>
        </w:tc>
        <w:tc>
          <w:tcPr>
            <w:tcW w:w="520" w:type="dxa"/>
            <w:vAlign w:val="bottom"/>
            <w:vMerge w:val="continue"/>
          </w:tcPr>
          <w:p>
            <w:pPr>
              <w:spacing w:after="0"/>
              <w:rPr>
                <w:sz w:val="21"/>
                <w:szCs w:val="21"/>
                <w:color w:val="auto"/>
              </w:rPr>
            </w:pPr>
          </w:p>
        </w:tc>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671,453</w:t>
            </w: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145" w:lineRule="exact"/>
        <w:rPr>
          <w:sz w:val="20"/>
          <w:szCs w:val="20"/>
          <w:color w:val="auto"/>
        </w:rPr>
      </w:pPr>
    </w:p>
    <w:p>
      <w:pPr>
        <w:ind w:left="760" w:hanging="529"/>
        <w:spacing w:after="0"/>
        <w:tabs>
          <w:tab w:leader="none" w:pos="760" w:val="left"/>
        </w:tabs>
        <w:numPr>
          <w:ilvl w:val="0"/>
          <w:numId w:val="5"/>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3,707,004</w:t>
      </w:r>
    </w:p>
    <w:p>
      <w:pPr>
        <w:spacing w:after="0" w:line="62" w:lineRule="exact"/>
        <w:rPr>
          <w:rFonts w:ascii="Times New Roman" w:cs="Times New Roman" w:eastAsia="Times New Roman" w:hAnsi="Times New Roman"/>
          <w:sz w:val="32"/>
          <w:szCs w:val="32"/>
          <w:b w:val="1"/>
          <w:bCs w:val="1"/>
          <w:color w:val="auto"/>
        </w:rPr>
      </w:pPr>
    </w:p>
    <w:p>
      <w:pPr>
        <w:ind w:left="760"/>
        <w:spacing w:after="0"/>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10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32"/>
          <w:szCs w:val="32"/>
          <w:b w:val="1"/>
          <w:bCs w:val="1"/>
          <w:color w:val="auto"/>
        </w:rPr>
        <w:t>10</w:t>
      </w:r>
    </w:p>
    <w:p>
      <w:pPr>
        <w:spacing w:after="0" w:line="1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102" w:lineRule="exact"/>
        <w:rPr>
          <w:sz w:val="20"/>
          <w:szCs w:val="20"/>
          <w:color w:val="auto"/>
        </w:rPr>
      </w:pPr>
    </w:p>
    <w:p>
      <w:pPr>
        <w:ind w:left="16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11</w:t>
      </w:r>
      <w:r>
        <w:rPr>
          <w:sz w:val="20"/>
          <w:szCs w:val="20"/>
          <w:color w:val="auto"/>
        </w:rPr>
        <w:tab/>
      </w:r>
      <w:r>
        <w:rPr>
          <w:rFonts w:ascii="Times New Roman" w:cs="Times New Roman" w:eastAsia="Times New Roman" w:hAnsi="Times New Roman"/>
          <w:sz w:val="17"/>
          <w:szCs w:val="17"/>
          <w:color w:val="auto"/>
        </w:rPr>
        <w:t>6.66%</w:t>
      </w:r>
    </w:p>
    <w:p>
      <w:pPr>
        <w:spacing w:after="0" w:line="1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TYPE OF REPORTING PERSON (SEE INSTRUCTIONS)</w:t>
      </w:r>
    </w:p>
    <w:p>
      <w:pPr>
        <w:spacing w:after="0" w:line="102" w:lineRule="exact"/>
        <w:rPr>
          <w:sz w:val="20"/>
          <w:szCs w:val="20"/>
          <w:color w:val="auto"/>
        </w:rPr>
      </w:pPr>
    </w:p>
    <w:p>
      <w:pPr>
        <w:ind w:left="14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12</w:t>
      </w:r>
      <w:r>
        <w:rPr>
          <w:sz w:val="20"/>
          <w:szCs w:val="20"/>
          <w:color w:val="auto"/>
        </w:rPr>
        <w:tab/>
      </w:r>
      <w:r>
        <w:rPr>
          <w:rFonts w:ascii="Times New Roman" w:cs="Times New Roman" w:eastAsia="Times New Roman" w:hAnsi="Times New Roman"/>
          <w:sz w:val="17"/>
          <w:szCs w:val="17"/>
          <w:color w:val="auto"/>
        </w:rPr>
        <w:t>IA</w:t>
      </w:r>
    </w:p>
    <w:p>
      <w:pPr>
        <w:spacing w:after="0" w:line="200" w:lineRule="exact"/>
        <w:rPr>
          <w:sz w:val="20"/>
          <w:szCs w:val="20"/>
          <w:color w:val="auto"/>
        </w:rPr>
      </w:pPr>
    </w:p>
    <w:p>
      <w:pPr>
        <w:spacing w:after="0" w:line="2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591820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56"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SCOTTS MIRACLE-GRO COMPANY</w:t>
      </w:r>
    </w:p>
    <w:p>
      <w:pPr>
        <w:spacing w:after="0" w:line="233" w:lineRule="exact"/>
        <w:rPr>
          <w:rFonts w:ascii="Times New Roman" w:cs="Times New Roman" w:eastAsia="Times New Roman" w:hAnsi="Times New Roman"/>
          <w:sz w:val="18"/>
          <w:szCs w:val="18"/>
          <w:color w:val="auto"/>
        </w:rPr>
      </w:pPr>
    </w:p>
    <w:p>
      <w:pPr>
        <w:ind w:left="1300" w:right="6520" w:hanging="644"/>
        <w:spacing w:after="0" w:line="266"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 14111 SCOTTSLAWN ROAD MARYSVILLE, OH 43041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56"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KAYNE ANDERSON RUDNICK INVESTMENT MANAGEMENT LLC</w:t>
      </w:r>
    </w:p>
    <w:p>
      <w:pPr>
        <w:spacing w:after="0" w:line="233" w:lineRule="exact"/>
        <w:rPr>
          <w:rFonts w:ascii="Times New Roman" w:cs="Times New Roman" w:eastAsia="Times New Roman" w:hAnsi="Times New Roman"/>
          <w:sz w:val="18"/>
          <w:szCs w:val="18"/>
          <w:color w:val="auto"/>
        </w:rPr>
      </w:pPr>
    </w:p>
    <w:p>
      <w:pPr>
        <w:ind w:left="1300" w:right="5500" w:hanging="644"/>
        <w:spacing w:after="0" w:line="312" w:lineRule="auto"/>
        <w:tabs>
          <w:tab w:leader="none" w:pos="13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Address of Principal Business Office or, if none, Residence 1800 Avenue of the Stars, 2nd Floor, Los Angeles, CA 90067</w:t>
      </w:r>
    </w:p>
    <w:p>
      <w:pPr>
        <w:spacing w:after="0" w:line="166" w:lineRule="exact"/>
        <w:rPr>
          <w:rFonts w:ascii="Times New Roman" w:cs="Times New Roman" w:eastAsia="Times New Roman" w:hAnsi="Times New Roman"/>
          <w:sz w:val="17"/>
          <w:szCs w:val="17"/>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California Limited Liability Company</w:t>
      </w:r>
    </w:p>
    <w:p>
      <w:pPr>
        <w:spacing w:after="0" w:line="233" w:lineRule="exact"/>
        <w:rPr>
          <w:rFonts w:ascii="Times New Roman" w:cs="Times New Roman" w:eastAsia="Times New Roman" w:hAnsi="Times New Roman"/>
          <w:sz w:val="18"/>
          <w:szCs w:val="18"/>
          <w:color w:val="auto"/>
        </w:rPr>
      </w:pPr>
    </w:p>
    <w:p>
      <w:pPr>
        <w:ind w:left="1300" w:right="8020" w:hanging="644"/>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 Common Stock</w:t>
      </w:r>
    </w:p>
    <w:p>
      <w:pPr>
        <w:spacing w:after="0" w:line="188" w:lineRule="exact"/>
        <w:rPr>
          <w:rFonts w:ascii="Times New Roman" w:cs="Times New Roman" w:eastAsia="Times New Roman" w:hAnsi="Times New Roman"/>
          <w:sz w:val="18"/>
          <w:szCs w:val="18"/>
          <w:color w:val="auto"/>
        </w:rPr>
      </w:pPr>
    </w:p>
    <w:p>
      <w:pPr>
        <w:ind w:left="1300" w:right="8800" w:hanging="644"/>
        <w:spacing w:after="0" w:line="312" w:lineRule="auto"/>
        <w:tabs>
          <w:tab w:leader="none" w:pos="13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CUSIP Number 810186106</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620" w:type="dxa"/>
            <w:vAlign w:val="bottom"/>
          </w:tcPr>
          <w:p>
            <w:pPr>
              <w:spacing w:after="0"/>
              <w:rPr>
                <w:sz w:val="20"/>
                <w:szCs w:val="20"/>
                <w:color w:val="auto"/>
              </w:rPr>
            </w:pPr>
          </w:p>
        </w:tc>
        <w:tc>
          <w:tcPr>
            <w:tcW w:w="7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Broker or dealer registered under section 15 of the Act (15 U.S.C. 78o).</w:t>
            </w:r>
          </w:p>
        </w:tc>
      </w:tr>
      <w:tr>
        <w:trPr>
          <w:trHeight w:val="459"/>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620" w:type="dxa"/>
            <w:vAlign w:val="bottom"/>
          </w:tcPr>
          <w:p>
            <w:pPr>
              <w:spacing w:after="0"/>
              <w:rPr>
                <w:sz w:val="24"/>
                <w:szCs w:val="24"/>
                <w:color w:val="auto"/>
              </w:rPr>
            </w:pPr>
          </w:p>
        </w:tc>
        <w:tc>
          <w:tcPr>
            <w:tcW w:w="7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Bank as defined in section 3(a)(6) of the Act (15 U.S.C. 78c).</w:t>
            </w:r>
          </w:p>
        </w:tc>
      </w:tr>
      <w:tr>
        <w:trPr>
          <w:trHeight w:val="459"/>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620" w:type="dxa"/>
            <w:vAlign w:val="bottom"/>
          </w:tcPr>
          <w:p>
            <w:pPr>
              <w:spacing w:after="0"/>
              <w:rPr>
                <w:sz w:val="24"/>
                <w:szCs w:val="24"/>
                <w:color w:val="auto"/>
              </w:rPr>
            </w:pPr>
          </w:p>
        </w:tc>
        <w:tc>
          <w:tcPr>
            <w:tcW w:w="7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Insurance company as defined in section 3(a)(19) of the Act (15 U.S.C. 78c).</w:t>
            </w:r>
          </w:p>
        </w:tc>
      </w:tr>
      <w:tr>
        <w:trPr>
          <w:trHeight w:val="459"/>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620" w:type="dxa"/>
            <w:vAlign w:val="bottom"/>
          </w:tcPr>
          <w:p>
            <w:pPr>
              <w:spacing w:after="0"/>
              <w:rPr>
                <w:sz w:val="24"/>
                <w:szCs w:val="24"/>
                <w:color w:val="auto"/>
              </w:rPr>
            </w:pPr>
          </w:p>
        </w:tc>
        <w:tc>
          <w:tcPr>
            <w:tcW w:w="794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Investment company registered under section 8 of the Investment Company Act of 1940 (15 U.S.C 80a-8).</w:t>
            </w:r>
          </w:p>
        </w:tc>
      </w:tr>
    </w:tbl>
    <w:p>
      <w:pPr>
        <w:spacing w:after="0" w:line="225"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r>
        <w:rPr>
          <w:rFonts w:ascii="Times New Roman" w:cs="Times New Roman" w:eastAsia="Times New Roman" w:hAnsi="Times New Roman"/>
          <w:sz w:val="17"/>
          <w:szCs w:val="17"/>
          <w:color w:val="auto"/>
        </w:rPr>
        <w:t>An investment adviser in accordance with §240.13d-1(b)(1)(ii)(E);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w:t>
            </w:r>
          </w:p>
        </w:tc>
        <w:tc>
          <w:tcPr>
            <w:tcW w:w="620" w:type="dxa"/>
            <w:vAlign w:val="bottom"/>
          </w:tcPr>
          <w:p>
            <w:pPr>
              <w:spacing w:after="0"/>
              <w:rPr>
                <w:sz w:val="20"/>
                <w:szCs w:val="20"/>
                <w:color w:val="auto"/>
              </w:rPr>
            </w:pPr>
          </w:p>
        </w:tc>
        <w:tc>
          <w:tcPr>
            <w:tcW w:w="9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 employee benefit plan or endowment fund in accordance with §240.13d-1(b)(1)(ii)(F);</w:t>
            </w:r>
          </w:p>
        </w:tc>
      </w:tr>
      <w:tr>
        <w:trPr>
          <w:trHeight w:val="459"/>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(g)</w:t>
            </w:r>
          </w:p>
        </w:tc>
        <w:tc>
          <w:tcPr>
            <w:tcW w:w="620" w:type="dxa"/>
            <w:vAlign w:val="bottom"/>
          </w:tcPr>
          <w:p>
            <w:pPr>
              <w:spacing w:after="0"/>
              <w:rPr>
                <w:sz w:val="24"/>
                <w:szCs w:val="24"/>
                <w:color w:val="auto"/>
              </w:rPr>
            </w:pPr>
          </w:p>
        </w:tc>
        <w:tc>
          <w:tcPr>
            <w:tcW w:w="9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 parent holding company or control person in accordance with § 240.13d-1(b)(1)(ii)(G);</w:t>
            </w:r>
          </w:p>
        </w:tc>
      </w:tr>
      <w:tr>
        <w:trPr>
          <w:trHeight w:val="459"/>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(h)</w:t>
            </w:r>
          </w:p>
        </w:tc>
        <w:tc>
          <w:tcPr>
            <w:tcW w:w="620" w:type="dxa"/>
            <w:vAlign w:val="bottom"/>
          </w:tcPr>
          <w:p>
            <w:pPr>
              <w:spacing w:after="0"/>
              <w:rPr>
                <w:sz w:val="24"/>
                <w:szCs w:val="24"/>
                <w:color w:val="auto"/>
              </w:rPr>
            </w:pPr>
          </w:p>
        </w:tc>
        <w:tc>
          <w:tcPr>
            <w:tcW w:w="9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 savings associations as defined in Section 3(b) of the Federal Deposit Insurance Act (12 U.S.C. 1813);</w:t>
            </w:r>
          </w:p>
        </w:tc>
      </w:tr>
      <w:tr>
        <w:trPr>
          <w:trHeight w:val="441"/>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w:t>
            </w:r>
          </w:p>
        </w:tc>
        <w:tc>
          <w:tcPr>
            <w:tcW w:w="620" w:type="dxa"/>
            <w:vAlign w:val="bottom"/>
          </w:tcPr>
          <w:p>
            <w:pPr>
              <w:spacing w:after="0"/>
              <w:rPr>
                <w:sz w:val="24"/>
                <w:szCs w:val="24"/>
                <w:color w:val="auto"/>
              </w:rPr>
            </w:pPr>
          </w:p>
        </w:tc>
        <w:tc>
          <w:tcPr>
            <w:tcW w:w="9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 church plan that is excluded from the definition of an investment company under section 3(c)(14) of the Investment Company</w:t>
            </w:r>
          </w:p>
        </w:tc>
      </w:tr>
      <w:tr>
        <w:trPr>
          <w:trHeight w:val="234"/>
        </w:trPr>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Act of 1940 (15 U.S.C. 80a-3);</w:t>
            </w:r>
          </w:p>
        </w:tc>
      </w:tr>
      <w:tr>
        <w:trPr>
          <w:trHeight w:val="459"/>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(j)</w:t>
            </w:r>
          </w:p>
        </w:tc>
        <w:tc>
          <w:tcPr>
            <w:tcW w:w="620" w:type="dxa"/>
            <w:vAlign w:val="bottom"/>
          </w:tcPr>
          <w:p>
            <w:pPr>
              <w:spacing w:after="0"/>
              <w:rPr>
                <w:sz w:val="24"/>
                <w:szCs w:val="24"/>
                <w:color w:val="auto"/>
              </w:rPr>
            </w:pPr>
          </w:p>
        </w:tc>
        <w:tc>
          <w:tcPr>
            <w:tcW w:w="9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 non-U.S. institution in accordance with § 240.13d-1(b)(1)(ii)(J).</w:t>
            </w:r>
          </w:p>
        </w:tc>
      </w:tr>
      <w:tr>
        <w:trPr>
          <w:trHeight w:val="441"/>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(k)</w:t>
            </w:r>
          </w:p>
        </w:tc>
        <w:tc>
          <w:tcPr>
            <w:tcW w:w="620" w:type="dxa"/>
            <w:vAlign w:val="bottom"/>
          </w:tcPr>
          <w:p>
            <w:pPr>
              <w:spacing w:after="0"/>
              <w:rPr>
                <w:sz w:val="24"/>
                <w:szCs w:val="24"/>
                <w:color w:val="auto"/>
              </w:rPr>
            </w:pPr>
          </w:p>
        </w:tc>
        <w:tc>
          <w:tcPr>
            <w:tcW w:w="9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 group, in accordance with § 240.13d-1(b)(1)(ii)(K). If filing as a non-U.S. institution in accordance with § 240.13d-1(b)(1)(ii)</w:t>
            </w:r>
          </w:p>
        </w:tc>
      </w:tr>
      <w:tr>
        <w:trPr>
          <w:trHeight w:val="234"/>
        </w:trPr>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 please specify the type of institution:</w:t>
            </w:r>
          </w:p>
        </w:tc>
      </w:tr>
      <w:tr>
        <w:trPr>
          <w:trHeight w:val="898"/>
        </w:trPr>
        <w:tc>
          <w:tcPr>
            <w:tcW w:w="10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3,707,004</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6.66%</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3,035,551</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671,453</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3,035,551</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671,453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509" w:right="539" w:bottom="1440" w:gutter="0" w:footer="0" w:header="0"/>
        </w:sectPr>
      </w:pPr>
    </w:p>
    <w:bookmarkStart w:id="4" w:name="page5"/>
    <w:bookmarkEnd w:id="4"/>
    <w:p>
      <w:pPr>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Item</w:t>
        <w:tab/>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207" w:lineRule="exact"/>
        <w:rPr>
          <w:sz w:val="20"/>
          <w:szCs w:val="20"/>
          <w:color w:val="auto"/>
        </w:rPr>
      </w:pPr>
    </w:p>
    <w:p>
      <w:pPr>
        <w:ind w:left="60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0" w:lineRule="exact"/>
        <w:rPr>
          <w:sz w:val="20"/>
          <w:szCs w:val="20"/>
          <w:color w:val="auto"/>
        </w:rPr>
      </w:pPr>
    </w:p>
    <w:p>
      <w:pPr>
        <w:spacing w:after="0" w:line="2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Kayne Anderson Rudnick Investment Management</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LLC</w:t>
      </w:r>
    </w:p>
    <w:p>
      <w:pPr>
        <w:sectPr>
          <w:pgSz w:w="11900" w:h="16838" w:orient="portrait"/>
          <w:cols w:equalWidth="0" w:num="1">
            <w:col w:w="11180"/>
          </w:cols>
          <w:pgMar w:left="320" w:top="752" w:right="39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10, 2021</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Michael Shoemaker</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Michael Shoemaker</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Chief Compliance Officer</w:t>
      </w:r>
    </w:p>
    <w:p>
      <w:pPr>
        <w:spacing w:after="0" w:line="200" w:lineRule="exact"/>
        <w:rPr>
          <w:sz w:val="20"/>
          <w:szCs w:val="20"/>
          <w:color w:val="auto"/>
        </w:rPr>
      </w:pPr>
    </w:p>
    <w:p>
      <w:pPr>
        <w:sectPr>
          <w:pgSz w:w="11900" w:h="16838" w:orient="portrait"/>
          <w:cols w:equalWidth="0" w:num="2">
            <w:col w:w="4920" w:space="720"/>
            <w:col w:w="5540"/>
          </w:cols>
          <w:pgMar w:left="320" w:top="752" w:right="399" w:bottom="1440" w:gutter="0" w:footer="0" w:header="0"/>
          <w:type w:val="continuous"/>
        </w:sect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Footnotes: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sectPr>
      <w:pgSz w:w="11900" w:h="16838" w:orient="portrait"/>
      <w:cols w:equalWidth="0" w:num="1">
        <w:col w:w="11180"/>
      </w:cols>
      <w:pgMar w:left="320" w:top="752"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 "/>
      <w:numFmt w:val="bullet"/>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4"/>
      <w:numFmt w:val="bullet"/>
      <w:start w:val="1"/>
    </w:lvl>
  </w:abstractNum>
  <w:abstractNum w:abstractNumId="4">
    <w:nsid w:val="41B71EFB"/>
    <w:multiLevelType w:val="hybridMultilevel"/>
    <w:lvl w:ilvl="0">
      <w:lvlJc w:val="left"/>
      <w:lvlText w:val="9"/>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5"/>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2021-02-11T05:44:31Z</dcterms:created>
  <dcterms:modified xsi:type="dcterms:W3CDTF">2021-02-11T05:44:31Z</dcterms:modified>
</cp:coreProperties>
</file>