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73"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SCHEDULE 14A</w:t>
      </w:r>
    </w:p>
    <w:p>
      <w:pPr>
        <w:ind w:left="2900"/>
        <w:spacing w:after="0" w:line="237" w:lineRule="auto"/>
        <w:rPr>
          <w:sz w:val="20"/>
          <w:szCs w:val="20"/>
          <w:color w:val="auto"/>
        </w:rPr>
      </w:pPr>
      <w:r>
        <w:rPr>
          <w:rFonts w:ascii="Courier New" w:cs="Courier New" w:eastAsia="Courier New" w:hAnsi="Courier New"/>
          <w:sz w:val="15"/>
          <w:szCs w:val="15"/>
          <w:color w:val="auto"/>
        </w:rPr>
        <w:t>(RULE 14A-101)</w:t>
      </w:r>
    </w:p>
    <w:p>
      <w:pPr>
        <w:ind w:left="1760"/>
        <w:spacing w:after="0" w:line="238" w:lineRule="auto"/>
        <w:rPr>
          <w:sz w:val="20"/>
          <w:szCs w:val="20"/>
          <w:color w:val="auto"/>
        </w:rPr>
      </w:pPr>
      <w:r>
        <w:rPr>
          <w:rFonts w:ascii="Courier New" w:cs="Courier New" w:eastAsia="Courier New" w:hAnsi="Courier New"/>
          <w:sz w:val="15"/>
          <w:szCs w:val="15"/>
          <w:color w:val="auto"/>
        </w:rPr>
        <w:t>INFORMATION REQUIRED IN PROXY STATEMENT</w:t>
      </w:r>
    </w:p>
    <w:p>
      <w:pPr>
        <w:ind w:left="2460"/>
        <w:spacing w:after="0" w:line="237" w:lineRule="auto"/>
        <w:rPr>
          <w:sz w:val="20"/>
          <w:szCs w:val="20"/>
          <w:color w:val="auto"/>
        </w:rPr>
      </w:pPr>
      <w:r>
        <w:rPr>
          <w:rFonts w:ascii="Courier New" w:cs="Courier New" w:eastAsia="Courier New" w:hAnsi="Courier New"/>
          <w:sz w:val="15"/>
          <w:szCs w:val="15"/>
          <w:color w:val="auto"/>
        </w:rPr>
        <w:t>SCHEDULE 14A INFORMATION</w:t>
      </w:r>
    </w:p>
    <w:p>
      <w:pPr>
        <w:ind w:left="880"/>
        <w:spacing w:after="0" w:line="238" w:lineRule="auto"/>
        <w:rPr>
          <w:sz w:val="20"/>
          <w:szCs w:val="20"/>
          <w:color w:val="auto"/>
        </w:rPr>
      </w:pPr>
      <w:r>
        <w:rPr>
          <w:rFonts w:ascii="Courier New" w:cs="Courier New" w:eastAsia="Courier New" w:hAnsi="Courier New"/>
          <w:sz w:val="15"/>
          <w:szCs w:val="15"/>
          <w:color w:val="auto"/>
        </w:rPr>
        <w:t>PROXY STATEMENT PURSUANT TO SECTION 14(a) OF THE SECURITIES</w:t>
      </w:r>
    </w:p>
    <w:p>
      <w:pPr>
        <w:ind w:left="2640"/>
        <w:spacing w:after="0" w:line="237" w:lineRule="auto"/>
        <w:rPr>
          <w:sz w:val="20"/>
          <w:szCs w:val="20"/>
          <w:color w:val="auto"/>
        </w:rPr>
      </w:pPr>
      <w:r>
        <w:rPr>
          <w:rFonts w:ascii="Courier New" w:cs="Courier New" w:eastAsia="Courier New" w:hAnsi="Courier New"/>
          <w:sz w:val="15"/>
          <w:szCs w:val="15"/>
          <w:color w:val="auto"/>
        </w:rPr>
        <w:t>EXCHANGE ACT OF 1934</w:t>
      </w:r>
    </w:p>
    <w:p>
      <w:pPr>
        <w:ind w:left="2540"/>
        <w:spacing w:after="0"/>
        <w:tabs>
          <w:tab w:leader="none" w:pos="4280" w:val="left"/>
        </w:tabs>
        <w:rPr>
          <w:sz w:val="20"/>
          <w:szCs w:val="20"/>
          <w:color w:val="auto"/>
        </w:rPr>
      </w:pPr>
      <w:r>
        <w:rPr>
          <w:rFonts w:ascii="Courier New" w:cs="Courier New" w:eastAsia="Courier New" w:hAnsi="Courier New"/>
          <w:sz w:val="15"/>
          <w:szCs w:val="15"/>
          <w:color w:val="auto"/>
        </w:rPr>
        <w:t>(AMENDMENT NO.</w:t>
      </w:r>
      <w:r>
        <w:rPr>
          <w:sz w:val="20"/>
          <w:szCs w:val="20"/>
          <w:color w:val="auto"/>
        </w:rPr>
        <w:tab/>
      </w:r>
      <w:r>
        <w:rPr>
          <w:rFonts w:ascii="Courier New" w:cs="Courier New" w:eastAsia="Courier New" w:hAnsi="Courier New"/>
          <w:sz w:val="12"/>
          <w:szCs w:val="12"/>
          <w:color w:val="auto"/>
        </w:rPr>
        <w:t>)</w:t>
      </w:r>
    </w:p>
    <w:p>
      <w:pPr>
        <w:spacing w:after="0" w:line="167" w:lineRule="exact"/>
        <w:rPr>
          <w:sz w:val="24"/>
          <w:szCs w:val="24"/>
          <w:color w:val="auto"/>
        </w:rPr>
      </w:pPr>
    </w:p>
    <w:p>
      <w:pPr>
        <w:spacing w:after="0"/>
        <w:tabs>
          <w:tab w:leader="none" w:pos="2180" w:val="left"/>
        </w:tabs>
        <w:rPr>
          <w:sz w:val="20"/>
          <w:szCs w:val="20"/>
          <w:color w:val="auto"/>
        </w:rPr>
      </w:pPr>
      <w:r>
        <w:rPr>
          <w:rFonts w:ascii="Courier New" w:cs="Courier New" w:eastAsia="Courier New" w:hAnsi="Courier New"/>
          <w:sz w:val="15"/>
          <w:szCs w:val="15"/>
          <w:color w:val="auto"/>
        </w:rPr>
        <w:t>Filed by the Registrant</w:t>
      </w:r>
      <w:r>
        <w:rPr>
          <w:sz w:val="20"/>
          <w:szCs w:val="20"/>
          <w:color w:val="auto"/>
        </w:rPr>
        <w:tab/>
      </w:r>
      <w:r>
        <w:rPr>
          <w:rFonts w:ascii="Courier New" w:cs="Courier New" w:eastAsia="Courier New" w:hAnsi="Courier New"/>
          <w:sz w:val="14"/>
          <w:szCs w:val="14"/>
          <w:color w:val="auto"/>
        </w:rPr>
        <w:t>[X]</w:t>
      </w:r>
    </w:p>
    <w:p>
      <w:pPr>
        <w:spacing w:after="0" w:line="166" w:lineRule="exact"/>
        <w:rPr>
          <w:sz w:val="24"/>
          <w:szCs w:val="24"/>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Filed by a Party other than the Registrant</w:t>
      </w:r>
      <w:r>
        <w:rPr>
          <w:sz w:val="20"/>
          <w:szCs w:val="20"/>
          <w:color w:val="auto"/>
        </w:rPr>
        <w:tab/>
      </w:r>
      <w:r>
        <w:rPr>
          <w:rFonts w:ascii="Courier New" w:cs="Courier New" w:eastAsia="Courier New" w:hAnsi="Courier New"/>
          <w:sz w:val="14"/>
          <w:szCs w:val="14"/>
          <w:color w:val="auto"/>
        </w:rPr>
        <w:t>[ ]</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ectPr>
          <w:pgSz w:w="11900" w:h="16838" w:orient="portrait"/>
          <w:cols w:equalWidth="0" w:num="1">
            <w:col w:w="10239"/>
          </w:cols>
          <w:pgMar w:left="220" w:top="225" w:right="1440" w:bottom="1440" w:gutter="0" w:footer="0" w:header="0"/>
        </w:sectPr>
      </w:pPr>
    </w:p>
    <w:p>
      <w:pPr>
        <w:spacing w:after="0" w:line="200" w:lineRule="exact"/>
        <w:rPr>
          <w:sz w:val="24"/>
          <w:szCs w:val="24"/>
          <w:color w:val="auto"/>
        </w:rPr>
      </w:pPr>
    </w:p>
    <w:p>
      <w:pPr>
        <w:spacing w:after="0" w:line="309"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right="2279"/>
        <w:spacing w:after="0" w:line="254" w:lineRule="auto"/>
        <w:rPr>
          <w:sz w:val="20"/>
          <w:szCs w:val="20"/>
          <w:color w:val="auto"/>
        </w:rPr>
      </w:pPr>
      <w:r>
        <w:rPr>
          <w:rFonts w:ascii="Courier New" w:cs="Courier New" w:eastAsia="Courier New" w:hAnsi="Courier New"/>
          <w:sz w:val="14"/>
          <w:szCs w:val="14"/>
          <w:color w:val="auto"/>
        </w:rPr>
        <w:t>[ ] CONFIDENTIAL, FOR USE OF THE COMMISSION ONLY (AS PERMITTED BY RULE 14a-6(e)(2))</w:t>
      </w:r>
    </w:p>
    <w:p>
      <w:pPr>
        <w:spacing w:after="0" w:line="1" w:lineRule="exact"/>
        <w:rPr>
          <w:sz w:val="24"/>
          <w:szCs w:val="24"/>
          <w:color w:val="auto"/>
        </w:rPr>
      </w:pPr>
    </w:p>
    <w:p>
      <w:pPr>
        <w:sectPr>
          <w:pgSz w:w="11900" w:h="16838" w:orient="portrait"/>
          <w:cols w:equalWidth="0" w:num="2">
            <w:col w:w="3400" w:space="720"/>
            <w:col w:w="6119"/>
          </w:cols>
          <w:pgMar w:left="220" w:top="225" w:right="1440" w:bottom="1440" w:gutter="0" w:footer="0" w:header="0"/>
          <w:type w:val="continuous"/>
        </w:sect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Proxy Statement</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Rule 14a-12.</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(NAME OF REGISTRANT AS SPECIFIED IN ITS CHARTER)</w:t>
      </w:r>
    </w:p>
    <w:p>
      <w:pPr>
        <w:sectPr>
          <w:pgSz w:w="11900" w:h="16838" w:orient="portrait"/>
          <w:cols w:equalWidth="0" w:num="1">
            <w:col w:w="10239"/>
          </w:cols>
          <w:pgMar w:left="220" w:top="225" w:right="1440" w:bottom="1440" w:gutter="0" w:footer="0" w:header="0"/>
          <w:type w:val="continuous"/>
        </w:sectPr>
      </w:pPr>
    </w:p>
    <w:p>
      <w:pPr>
        <w:spacing w:after="0" w:line="171"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ind w:left="440" w:hanging="430"/>
        <w:spacing w:after="0" w:line="237"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ind w:left="180" w:hanging="170"/>
        <w:spacing w:after="0" w:line="238"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73"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 .......</w:t>
      </w:r>
    </w:p>
    <w:p>
      <w:pPr>
        <w:spacing w:after="0" w:line="177"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 ..........</w:t>
      </w:r>
    </w:p>
    <w:p>
      <w:pPr>
        <w:spacing w:after="0" w:line="177" w:lineRule="exact"/>
        <w:rPr>
          <w:rFonts w:ascii="Courier New" w:cs="Courier New" w:eastAsia="Courier New" w:hAnsi="Courier New"/>
          <w:sz w:val="14"/>
          <w:szCs w:val="14"/>
          <w:color w:val="auto"/>
        </w:rPr>
      </w:pPr>
    </w:p>
    <w:p>
      <w:pPr>
        <w:ind w:left="800" w:right="3239" w:hanging="353"/>
        <w:spacing w:after="0" w:line="258" w:lineRule="auto"/>
        <w:tabs>
          <w:tab w:leader="none" w:pos="8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 ............</w:t>
      </w:r>
    </w:p>
    <w:p>
      <w:pPr>
        <w:spacing w:after="0" w:line="16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 ......................</w:t>
      </w:r>
    </w:p>
    <w:p>
      <w:pPr>
        <w:spacing w:after="0" w:line="177"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 .......................................................</w:t>
      </w:r>
    </w:p>
    <w:p>
      <w:pPr>
        <w:spacing w:after="0" w:line="171"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73" w:lineRule="exact"/>
        <w:rPr>
          <w:sz w:val="24"/>
          <w:szCs w:val="24"/>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9" w:lineRule="exact"/>
        <w:rPr>
          <w:rFonts w:ascii="Courier New" w:cs="Courier New" w:eastAsia="Courier New" w:hAnsi="Courier New"/>
          <w:sz w:val="14"/>
          <w:szCs w:val="14"/>
          <w:color w:val="auto"/>
        </w:rPr>
      </w:pPr>
    </w:p>
    <w:p>
      <w:pPr>
        <w:ind w:left="440"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73"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 ...............................................</w:t>
      </w:r>
    </w:p>
    <w:p>
      <w:pPr>
        <w:spacing w:after="0" w:line="177"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 .........................</w:t>
      </w:r>
    </w:p>
    <w:p>
      <w:pPr>
        <w:spacing w:after="0" w:line="177"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 .........................................................</w:t>
      </w:r>
    </w:p>
    <w:p>
      <w:pPr>
        <w:spacing w:after="0" w:line="177"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 ...........................................................</w:t>
      </w:r>
    </w:p>
    <w:p>
      <w:pPr>
        <w:spacing w:after="0" w:line="178" w:lineRule="exact"/>
        <w:rPr>
          <w:sz w:val="24"/>
          <w:szCs w:val="2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LOGO]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237" w:lineRule="auto"/>
        <w:rPr>
          <w:sz w:val="20"/>
          <w:szCs w:val="20"/>
          <w:color w:val="auto"/>
        </w:rPr>
      </w:pPr>
      <w:r>
        <w:rPr>
          <w:rFonts w:ascii="Courier New" w:cs="Courier New" w:eastAsia="Courier New" w:hAnsi="Courier New"/>
          <w:sz w:val="15"/>
          <w:szCs w:val="15"/>
          <w:color w:val="auto"/>
        </w:rPr>
        <w:t>PROXY STATEMENT FOR 2001 ANNUAL MEETING</w:t>
      </w:r>
    </w:p>
    <w:p>
      <w:pPr>
        <w:spacing w:after="0" w:line="173"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SCOTTS COMPANY LOGO]</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41 SOUTH HIGH STREET</w:t>
      </w:r>
    </w:p>
    <w:p>
      <w:pPr>
        <w:jc w:val="center"/>
        <w:ind w:right="3239"/>
        <w:spacing w:after="0" w:line="238" w:lineRule="auto"/>
        <w:rPr>
          <w:sz w:val="20"/>
          <w:szCs w:val="20"/>
          <w:color w:val="auto"/>
        </w:rPr>
      </w:pPr>
      <w:r>
        <w:rPr>
          <w:rFonts w:ascii="Courier New" w:cs="Courier New" w:eastAsia="Courier New" w:hAnsi="Courier New"/>
          <w:sz w:val="15"/>
          <w:szCs w:val="15"/>
          <w:color w:val="auto"/>
        </w:rPr>
        <w:t>SUITE 3500</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COLUMBUS, OHIO 43215</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December 15,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Fellow Shareholders: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Annual Meeting of Shareholders of The Scotts Company will be held at 10:00 a.m., local time, on Thursday, January 18, 2001, at The Westin Great Southern Hotel, 310 South High Street, Columbus, Ohio. The enclosed Notice of Annual Meeting of Shareholders and Proxy Statement contain detailed information about the business to be transacted at the Annual Meeting.</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Board of Directors has nominated four directors, each for a term to expire at the 2004 Annual Meeting. The Board of Directors recommends that you vote FOR each of the nominees.</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 addition to the election of directors, you are being asked to consider and vote upon the following four proposals:</w:t>
      </w:r>
    </w:p>
    <w:p>
      <w:pPr>
        <w:spacing w:after="0" w:line="173" w:lineRule="exact"/>
        <w:rPr>
          <w:sz w:val="20"/>
          <w:szCs w:val="20"/>
          <w:color w:val="auto"/>
        </w:rPr>
      </w:pPr>
    </w:p>
    <w:p>
      <w:pPr>
        <w:ind w:left="880" w:right="3319" w:hanging="171"/>
        <w:spacing w:after="0" w:line="258" w:lineRule="auto"/>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an amendment to our Amended Articles of Incorporation to return the Class A Convertible Preferred Stock to the status of authorized but unissued, "blank check" preferred shares;</w:t>
      </w:r>
    </w:p>
    <w:p>
      <w:pPr>
        <w:spacing w:after="0" w:line="161" w:lineRule="exact"/>
        <w:rPr>
          <w:rFonts w:ascii="Courier New" w:cs="Courier New" w:eastAsia="Courier New" w:hAnsi="Courier New"/>
          <w:sz w:val="14"/>
          <w:szCs w:val="14"/>
          <w:color w:val="auto"/>
        </w:rPr>
      </w:pPr>
    </w:p>
    <w:p>
      <w:pPr>
        <w:ind w:left="880" w:right="3399" w:hanging="171"/>
        <w:spacing w:after="0" w:line="256" w:lineRule="auto"/>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amendments to our Code of Regulations to: (i) permit appointment of shareholder proxies in any manner permitted by Ohio law; (ii) permit shareholders to receive notice of shareholder meetings in any manner permitted by Ohio law; and (iii) allow our shareholder meetings to be held in any manner permitted by Ohio law;</w:t>
      </w:r>
    </w:p>
    <w:p>
      <w:pPr>
        <w:spacing w:after="0" w:line="163" w:lineRule="exact"/>
        <w:rPr>
          <w:rFonts w:ascii="Courier New" w:cs="Courier New" w:eastAsia="Courier New" w:hAnsi="Courier New"/>
          <w:sz w:val="14"/>
          <w:szCs w:val="14"/>
          <w:color w:val="auto"/>
        </w:rPr>
      </w:pPr>
    </w:p>
    <w:p>
      <w:pPr>
        <w:ind w:left="880" w:right="3679" w:hanging="171"/>
        <w:spacing w:after="0" w:line="23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further amendment to our Code of Regulations to clarify and separate the roles of our officers; and</w:t>
      </w:r>
    </w:p>
    <w:p>
      <w:pPr>
        <w:spacing w:after="0" w:line="173" w:lineRule="exact"/>
        <w:rPr>
          <w:rFonts w:ascii="Courier New" w:cs="Courier New" w:eastAsia="Courier New" w:hAnsi="Courier New"/>
          <w:sz w:val="15"/>
          <w:szCs w:val="15"/>
          <w:color w:val="auto"/>
        </w:rPr>
      </w:pPr>
    </w:p>
    <w:p>
      <w:pPr>
        <w:ind w:left="880" w:right="3679" w:hanging="171"/>
        <w:spacing w:after="0" w:line="23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further amendment to our Code of Regulations to provide for Board committees of one or more directors.</w:t>
      </w:r>
    </w:p>
    <w:p>
      <w:pPr>
        <w:spacing w:after="0" w:line="173"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The Board of Directors recommends that you vote FOR each of these proposals.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behalf of the Board of Directors and management, I cordially invite you to attend the Annual Meeting. Whether or not you plan to attend the Annual Meeting, please record your vote on the enclosed proxy card and return it promptly in the enclosed postage-paid envelope, or alternatively, vote your proxy electronically via the Internet or telephonically in accordance with the instructions on your proxy card.</w:t>
      </w:r>
    </w:p>
    <w:p>
      <w:pPr>
        <w:spacing w:after="0" w:line="1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Charles M. Berger</w:t>
      </w:r>
    </w:p>
    <w:p>
      <w:pPr>
        <w:ind w:left="3680"/>
        <w:spacing w:after="0" w:line="237" w:lineRule="auto"/>
        <w:rPr>
          <w:sz w:val="20"/>
          <w:szCs w:val="20"/>
          <w:color w:val="auto"/>
        </w:rPr>
      </w:pPr>
      <w:r>
        <w:rPr>
          <w:rFonts w:ascii="Courier New" w:cs="Courier New" w:eastAsia="Courier New" w:hAnsi="Courier New"/>
          <w:sz w:val="15"/>
          <w:szCs w:val="15"/>
          <w:color w:val="auto"/>
        </w:rPr>
        <w:t>CHARLES M. BERGER</w:t>
      </w:r>
    </w:p>
    <w:p>
      <w:pPr>
        <w:ind w:left="3680"/>
        <w:spacing w:after="0" w:line="238" w:lineRule="auto"/>
        <w:rPr>
          <w:sz w:val="20"/>
          <w:szCs w:val="20"/>
          <w:color w:val="auto"/>
        </w:rPr>
      </w:pPr>
      <w:r>
        <w:rPr>
          <w:rFonts w:ascii="Courier New" w:cs="Courier New" w:eastAsia="Courier New" w:hAnsi="Courier New"/>
          <w:sz w:val="15"/>
          <w:szCs w:val="15"/>
          <w:color w:val="auto"/>
        </w:rPr>
        <w:t>Chairman and Chief Executive Officer</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SCOTTS COMPANY LOGO]</w:t>
      </w:r>
    </w:p>
    <w:p>
      <w:pPr>
        <w:ind w:left="2720"/>
        <w:spacing w:after="0" w:line="237" w:lineRule="auto"/>
        <w:rPr>
          <w:sz w:val="20"/>
          <w:szCs w:val="20"/>
          <w:color w:val="auto"/>
        </w:rPr>
      </w:pPr>
      <w:r>
        <w:rPr>
          <w:rFonts w:ascii="Courier New" w:cs="Courier New" w:eastAsia="Courier New" w:hAnsi="Courier New"/>
          <w:sz w:val="15"/>
          <w:szCs w:val="15"/>
          <w:color w:val="auto"/>
        </w:rPr>
        <w:t>THE SCOTTS COMPANY</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NOTICE OF ANNUAL MEETING OF SHAREHOLDERS</w:t>
      </w:r>
    </w:p>
    <w:p>
      <w:pPr>
        <w:ind w:left="1840"/>
        <w:spacing w:after="0" w:line="237" w:lineRule="auto"/>
        <w:rPr>
          <w:sz w:val="20"/>
          <w:szCs w:val="20"/>
          <w:color w:val="auto"/>
        </w:rPr>
      </w:pPr>
      <w:r>
        <w:rPr>
          <w:rFonts w:ascii="Courier New" w:cs="Courier New" w:eastAsia="Courier New" w:hAnsi="Courier New"/>
          <w:sz w:val="15"/>
          <w:szCs w:val="15"/>
          <w:color w:val="auto"/>
        </w:rPr>
        <w:t>TO BE HELD THURSDAY, JANUARY 18, 2001</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NOTICE IS HEREBY GIVEN that the Annual Meeting of Shareholders of The Scotts Company will be held at The Westin Great Southern Hotel, 310 South High Street, Columbus, Ohio, on Thursday, January 18, 2001, at 10:00 a.m., local time, for the following purposes:</w:t>
      </w:r>
    </w:p>
    <w:p>
      <w:pPr>
        <w:spacing w:after="0" w:line="175" w:lineRule="exact"/>
        <w:rPr>
          <w:sz w:val="20"/>
          <w:szCs w:val="20"/>
          <w:color w:val="auto"/>
        </w:rPr>
      </w:pPr>
    </w:p>
    <w:p>
      <w:pPr>
        <w:ind w:left="980" w:right="3319" w:hanging="271"/>
        <w:spacing w:after="0" w:line="234" w:lineRule="auto"/>
        <w:tabs>
          <w:tab w:leader="none" w:pos="9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four directors, each for a term of three years to expire at the 2004 Annual Meeting;</w:t>
      </w:r>
    </w:p>
    <w:p>
      <w:pPr>
        <w:spacing w:after="0" w:line="173" w:lineRule="exact"/>
        <w:rPr>
          <w:rFonts w:ascii="Courier New" w:cs="Courier New" w:eastAsia="Courier New" w:hAnsi="Courier New"/>
          <w:sz w:val="15"/>
          <w:szCs w:val="15"/>
          <w:color w:val="auto"/>
        </w:rPr>
      </w:pPr>
    </w:p>
    <w:p>
      <w:pPr>
        <w:ind w:left="980" w:right="3399" w:hanging="271"/>
        <w:spacing w:after="0" w:line="235" w:lineRule="auto"/>
        <w:tabs>
          <w:tab w:leader="none" w:pos="9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adopt an amendment to our Amended Articles of Incorporation to return the Class A Convertible Preferred Stock to the status of authorized but unissued, "blank check" preferred shares;</w:t>
      </w:r>
    </w:p>
    <w:p>
      <w:pPr>
        <w:spacing w:after="0" w:line="175" w:lineRule="exact"/>
        <w:rPr>
          <w:rFonts w:ascii="Courier New" w:cs="Courier New" w:eastAsia="Courier New" w:hAnsi="Courier New"/>
          <w:sz w:val="15"/>
          <w:szCs w:val="15"/>
          <w:color w:val="auto"/>
        </w:rPr>
      </w:pPr>
    </w:p>
    <w:p>
      <w:pPr>
        <w:ind w:left="980" w:right="3239" w:hanging="271"/>
        <w:spacing w:after="0" w:line="236" w:lineRule="auto"/>
        <w:tabs>
          <w:tab w:leader="none" w:pos="9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adopt amendments to our Code of Regulations to: (i) permit appointment of shareholder proxies in any manner permitted by Ohio law; (ii) permit shareholders to receive notice of shareholder meetings in any manner permitted by Ohio law; and (iii) allow our shareholder meetings to be held in any manner permitted by Ohio law;</w:t>
      </w:r>
    </w:p>
    <w:p>
      <w:pPr>
        <w:spacing w:after="0" w:line="174" w:lineRule="exact"/>
        <w:rPr>
          <w:rFonts w:ascii="Courier New" w:cs="Courier New" w:eastAsia="Courier New" w:hAnsi="Courier New"/>
          <w:sz w:val="15"/>
          <w:szCs w:val="15"/>
          <w:color w:val="auto"/>
        </w:rPr>
      </w:pPr>
    </w:p>
    <w:p>
      <w:pPr>
        <w:ind w:left="980" w:right="3399" w:hanging="271"/>
        <w:spacing w:after="0" w:line="235" w:lineRule="auto"/>
        <w:tabs>
          <w:tab w:leader="none" w:pos="9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adopt a further amendment to our Code of Regulations to clarify and separate the roles of our officers;</w:t>
      </w:r>
    </w:p>
    <w:p>
      <w:pPr>
        <w:spacing w:after="0" w:line="173" w:lineRule="exact"/>
        <w:rPr>
          <w:rFonts w:ascii="Courier New" w:cs="Courier New" w:eastAsia="Courier New" w:hAnsi="Courier New"/>
          <w:sz w:val="15"/>
          <w:szCs w:val="15"/>
          <w:color w:val="auto"/>
        </w:rPr>
      </w:pPr>
    </w:p>
    <w:p>
      <w:pPr>
        <w:ind w:left="980" w:right="3399" w:hanging="271"/>
        <w:spacing w:after="0" w:line="235" w:lineRule="auto"/>
        <w:tabs>
          <w:tab w:leader="none" w:pos="9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adopt a further amendment to our Code of Regulations to provide for Board committees of one or more directors; and</w:t>
      </w:r>
    </w:p>
    <w:p>
      <w:pPr>
        <w:spacing w:after="0" w:line="173" w:lineRule="exact"/>
        <w:rPr>
          <w:rFonts w:ascii="Courier New" w:cs="Courier New" w:eastAsia="Courier New" w:hAnsi="Courier New"/>
          <w:sz w:val="15"/>
          <w:szCs w:val="15"/>
          <w:color w:val="auto"/>
        </w:rPr>
      </w:pPr>
    </w:p>
    <w:p>
      <w:pPr>
        <w:ind w:left="980" w:right="3759" w:hanging="271"/>
        <w:spacing w:after="0" w:line="234" w:lineRule="auto"/>
        <w:tabs>
          <w:tab w:leader="none" w:pos="9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or any adjournment.</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 close of business on November 27, 2000, has been fixed by the Board of Directors of the Company as the record date for determining the shareholders entitled to receive notice of, and to vote at, the Annual Meeting.</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You are cordially invited to attend the Annual Meeting. Whether or not you plan to attend the Annual Meeting, you may ensure your representation by completing, signing, dating and promptly returning the enclosed proxy card. A return envelope, which requires no postage if mailed in the United States, has been provided for your use. Alternatively, you may vote your proxy electronically via the Internet or telephonically by following the specific instructions on your proxy card. If you attend the Annual Meeting and inform the Secretary of the Company in writing that you wish to vote your common shares in person, your proxy will not be used.</w:t>
      </w: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G. Robert Lucas</w:t>
      </w:r>
    </w:p>
    <w:p>
      <w:pPr>
        <w:ind w:left="3680"/>
        <w:spacing w:after="0" w:line="237" w:lineRule="auto"/>
        <w:rPr>
          <w:sz w:val="20"/>
          <w:szCs w:val="20"/>
          <w:color w:val="auto"/>
        </w:rPr>
      </w:pPr>
      <w:r>
        <w:rPr>
          <w:rFonts w:ascii="Courier New" w:cs="Courier New" w:eastAsia="Courier New" w:hAnsi="Courier New"/>
          <w:sz w:val="15"/>
          <w:szCs w:val="15"/>
          <w:color w:val="auto"/>
        </w:rPr>
        <w:t>G. ROBERT LUCAS</w:t>
      </w:r>
    </w:p>
    <w:p>
      <w:pPr>
        <w:ind w:left="3680"/>
        <w:spacing w:after="0" w:line="238" w:lineRule="auto"/>
        <w:rPr>
          <w:sz w:val="20"/>
          <w:szCs w:val="20"/>
          <w:color w:val="auto"/>
        </w:rPr>
      </w:pPr>
      <w:r>
        <w:rPr>
          <w:rFonts w:ascii="Courier New" w:cs="Courier New" w:eastAsia="Courier New" w:hAnsi="Courier New"/>
          <w:sz w:val="15"/>
          <w:szCs w:val="15"/>
          <w:color w:val="auto"/>
        </w:rPr>
        <w:t>Executive Vice President, General</w:t>
      </w:r>
    </w:p>
    <w:p>
      <w:pPr>
        <w:ind w:left="3680"/>
        <w:spacing w:after="0" w:line="237" w:lineRule="auto"/>
        <w:rPr>
          <w:sz w:val="20"/>
          <w:szCs w:val="20"/>
          <w:color w:val="auto"/>
        </w:rPr>
      </w:pPr>
      <w:r>
        <w:rPr>
          <w:rFonts w:ascii="Courier New" w:cs="Courier New" w:eastAsia="Courier New" w:hAnsi="Courier New"/>
          <w:sz w:val="15"/>
          <w:szCs w:val="15"/>
          <w:color w:val="auto"/>
        </w:rPr>
        <w:t>Counsel and</w:t>
      </w:r>
    </w:p>
    <w:p>
      <w:pPr>
        <w:ind w:left="3680"/>
        <w:spacing w:after="0" w:line="238" w:lineRule="auto"/>
        <w:rPr>
          <w:sz w:val="20"/>
          <w:szCs w:val="20"/>
          <w:color w:val="auto"/>
        </w:rPr>
      </w:pPr>
      <w:r>
        <w:rPr>
          <w:rFonts w:ascii="Courier New" w:cs="Courier New" w:eastAsia="Courier New" w:hAnsi="Courier New"/>
          <w:sz w:val="15"/>
          <w:szCs w:val="15"/>
          <w:color w:val="auto"/>
        </w:rPr>
        <w:t>Corporate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 South High Street</w:t>
      </w:r>
    </w:p>
    <w:p>
      <w:pPr>
        <w:spacing w:after="0" w:line="237" w:lineRule="auto"/>
        <w:rPr>
          <w:sz w:val="20"/>
          <w:szCs w:val="20"/>
          <w:color w:val="auto"/>
        </w:rPr>
      </w:pPr>
      <w:r>
        <w:rPr>
          <w:rFonts w:ascii="Courier New" w:cs="Courier New" w:eastAsia="Courier New" w:hAnsi="Courier New"/>
          <w:sz w:val="15"/>
          <w:szCs w:val="15"/>
          <w:color w:val="auto"/>
        </w:rPr>
        <w:t>Suite 3500</w:t>
      </w:r>
    </w:p>
    <w:p>
      <w:pPr>
        <w:spacing w:after="0" w:line="238" w:lineRule="auto"/>
        <w:rPr>
          <w:sz w:val="20"/>
          <w:szCs w:val="20"/>
          <w:color w:val="auto"/>
        </w:rPr>
      </w:pPr>
      <w:r>
        <w:rPr>
          <w:rFonts w:ascii="Courier New" w:cs="Courier New" w:eastAsia="Courier New" w:hAnsi="Courier New"/>
          <w:sz w:val="15"/>
          <w:szCs w:val="15"/>
          <w:color w:val="auto"/>
        </w:rPr>
        <w:t>Columbus, Ohio 43215</w:t>
      </w:r>
    </w:p>
    <w:p>
      <w:pPr>
        <w:spacing w:after="0" w:line="237" w:lineRule="auto"/>
        <w:rPr>
          <w:sz w:val="20"/>
          <w:szCs w:val="20"/>
          <w:color w:val="auto"/>
        </w:rPr>
      </w:pPr>
      <w:r>
        <w:rPr>
          <w:rFonts w:ascii="Courier New" w:cs="Courier New" w:eastAsia="Courier New" w:hAnsi="Courier New"/>
          <w:sz w:val="15"/>
          <w:szCs w:val="15"/>
          <w:color w:val="auto"/>
        </w:rPr>
        <w:t>December 15, 2000</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SCOTTS COMPANY LOGO]</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41 SOUTH HIGH STREET</w:t>
      </w:r>
    </w:p>
    <w:p>
      <w:pPr>
        <w:jc w:val="center"/>
        <w:ind w:right="3239"/>
        <w:spacing w:after="0" w:line="238" w:lineRule="auto"/>
        <w:rPr>
          <w:sz w:val="20"/>
          <w:szCs w:val="20"/>
          <w:color w:val="auto"/>
        </w:rPr>
      </w:pPr>
      <w:r>
        <w:rPr>
          <w:rFonts w:ascii="Courier New" w:cs="Courier New" w:eastAsia="Courier New" w:hAnsi="Courier New"/>
          <w:sz w:val="15"/>
          <w:szCs w:val="15"/>
          <w:color w:val="auto"/>
        </w:rPr>
        <w:t>SUITE 3500</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COLUMBUS, OHIO 43215</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PROXY STATEMENT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ANNUAL MEETING OF SHAREHOLDERS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THURSDAY, JANUARY 18, 2001</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This Proxy Statement is furnished in connection with the solicitation on behalf of the Board of Directors of The Scotts Company of proxies for use at the Annual Meeting of Shareholders to be held at The Westin Great Southern Hotel, 310 South High Street, Columbus, Ohio, on Thursday, January 18, 2001, at 10:00 a.m., local time, and any adjournment, for the purposes set forth in the accompanying Notice of Annual Meeting of Shareholders. This Proxy Statement and the accompanying proxy were first sent or given to shareholders on or about December 15, 2000. Only holders of record of the Company's common shares on November 27, 2000 (the "Record Date") will be entitled to vote at the Annual</w:t>
      </w:r>
    </w:p>
    <w:p>
      <w:pPr>
        <w:spacing w:after="0" w:line="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Meeting. As of the Record Date, there were common shares outstanding. Each common share entitles the holder thereof to one vote. There is no cumulative voting. A quorum for the Annual Meeting is a majority of the voting shares outstanding. There are no voting securities of the Company outstanding other than the common shares.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Common shares represented by signed proxies that are returned to the Company will be counted toward the quorum in all matters even though they are marked as "Abstain," "Against" or "Withhold Authority" on one or more or all matters or they are not marked at all. Broker/dealers who hold their customers' common shares in street name may, under the applicable rules of the exchange and other self-regulatory organizations of which the broker/dealers are members, sign and submit proxies for such street name common shares and may vote such common shares on "routine" matters, which, under such rules, typically include the election of directors, but broker/dealers may not vote such common shares on other matters, which typically include the adoption of an amendment to the articles of incorporation or the code of regulations, without specific instructions from the customer who owns such common shares. Proxies signed and submitted by broker/dealers which have not been voted on certain matters as described in the previous sentence are referred to as "broker non-votes."</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If the accompanying proxy card is properly signed and returned to the Company prior to the Annual Meeting and not revoked, it will be voted in accordance with the instructions contained therein. If no instructions are given, the persons designated as proxies in the accompanying proxy card will vote FOR the election as directors of those persons nominated by the Board and FOR the approval of the following four proposals:</w:t>
      </w:r>
    </w:p>
    <w:p>
      <w:pPr>
        <w:spacing w:after="0" w:line="175" w:lineRule="exact"/>
        <w:rPr>
          <w:sz w:val="20"/>
          <w:szCs w:val="20"/>
          <w:color w:val="auto"/>
        </w:rPr>
      </w:pPr>
    </w:p>
    <w:p>
      <w:pPr>
        <w:ind w:left="880" w:right="3319" w:hanging="171"/>
        <w:spacing w:after="0" w:line="258" w:lineRule="auto"/>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an amendment to our Amended Articles of Incorporation to return the Class A Convertible Preferred Stock to the status of authorized but unissued, "blank check" preferred shares;</w:t>
      </w:r>
    </w:p>
    <w:p>
      <w:pPr>
        <w:spacing w:after="0" w:line="161" w:lineRule="exact"/>
        <w:rPr>
          <w:rFonts w:ascii="Courier New" w:cs="Courier New" w:eastAsia="Courier New" w:hAnsi="Courier New"/>
          <w:sz w:val="14"/>
          <w:szCs w:val="14"/>
          <w:color w:val="auto"/>
        </w:rPr>
      </w:pPr>
    </w:p>
    <w:p>
      <w:pPr>
        <w:ind w:left="880" w:right="3399" w:hanging="171"/>
        <w:spacing w:after="0" w:line="256" w:lineRule="auto"/>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amendments to our Code of Regulations to: (i) permit appointment of shareholder proxies in any manner permitted by Ohio law; (ii) permit shareholders to receive notice of shareholder meetings in any manner permitted by Ohio law; and (iii) allow our shareholder meetings to be held in any manner permitted by Ohio law;</w:t>
      </w:r>
    </w:p>
    <w:p>
      <w:pPr>
        <w:spacing w:after="0" w:line="163" w:lineRule="exact"/>
        <w:rPr>
          <w:rFonts w:ascii="Courier New" w:cs="Courier New" w:eastAsia="Courier New" w:hAnsi="Courier New"/>
          <w:sz w:val="14"/>
          <w:szCs w:val="14"/>
          <w:color w:val="auto"/>
        </w:rPr>
      </w:pPr>
    </w:p>
    <w:p>
      <w:pPr>
        <w:ind w:left="880" w:right="3679" w:hanging="171"/>
        <w:spacing w:after="0" w:line="234"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further amendment to our Code of Regulations to clarify and separate the roles of our officers; and</w:t>
      </w:r>
    </w:p>
    <w:p>
      <w:pPr>
        <w:spacing w:after="0" w:line="173" w:lineRule="exact"/>
        <w:rPr>
          <w:rFonts w:ascii="Courier New" w:cs="Courier New" w:eastAsia="Courier New" w:hAnsi="Courier New"/>
          <w:sz w:val="15"/>
          <w:szCs w:val="15"/>
          <w:color w:val="auto"/>
        </w:rPr>
      </w:pPr>
    </w:p>
    <w:p>
      <w:pPr>
        <w:ind w:left="880" w:right="3679" w:hanging="171"/>
        <w:spacing w:after="0" w:line="234"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further amendment to our Code of Regulations to provide for Board committees of one or more directors.</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proxy card for use at the Annual Meeting is enclosed. Alternatively, shareholders holding common shares registered directly with the Company's transfer agent, National City Bank, may vote electronically via the Internet or telephonically by following the instructions on their proxy card. Similarly, shareholders holding common shares in "street name" with a broker or bank may also be eligible to vote electronically via the Internet or telephonically. Such shareholders should review their proxy materials and/or contact their broker or bank regarding the availability of electronic and/or telephonic voting. The deadline for voting electronically via the Internet or telephonically is 11:59 p.m., local time in Columbus, Ohio, on January 17, 2001.</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is not currently aware of any matters other than those referred to herein which will come before the Annual Meeting. If any other matter should be properly presented at the Annual Meeting for action, the persons named in the accompanying proxy will vote and act according to their best judgments in light of the conditions then prevailing.</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You may revoke your proxy at any time before it is actually voted at the Annual Meeting by delivering written notice of revocation to the Secretary of the Company at the address on the cover page of this Proxy Statement or by sending in a later-dated proxy card or casting a new vote via the Internet or telephonically. If you attend the Annual Meeting and want to vote in person, you can request that your previously submitted proxy not be used. Attendance at the Annual Meeting will not, in itself, constitute revocation of your proxy.</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expense of preparing, printing and mailing proxy materials to the Company's shareholders will be borne by the Company. In addition, proxies may be solicited personally or by telephone, mail or facsimile. Officers or employees of the Company may assist with personal or telephone solicitation and will receive no additional compensation therefor. The Company will also reimburse brokerage houses and other nominees for their reasonable expenses in forwarding proxy materials to beneficial owners of the common shares.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 shareholder is a participant in The Scotts Company Retirement Savings Plan (the "RSP") and common share units have been allocated to such person's account in the RSP, the shareholder is entitled to instruct the trustee as to how to vote the common shares represented by those units. These shareholders may receive their proxy cards separately. If no instructions are given by a participant to the trustee of the RSP, the trustee will not vote those common shares.</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BENEFICIAL OWNERSHIP OF SECURITIES OF THE COMPANY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furnishes certain information as of September 30 [to be updated as of November 1], 2000 (except as otherwise noted), as to the common shares beneficially owned by each of the directors of the Company, by each of the individuals named in the Summary Compensation Table and by all directors and executive officers of the Company as a group, and, to the Company's knowledge, by the only persons beneficially owning more than 5% of the outstanding common shares.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AMOUNT AND NATURE OF BENEFICIAL OWNERSHIP(1)</w:t>
            </w:r>
          </w:p>
        </w:tc>
        <w:tc>
          <w:tcPr>
            <w:tcW w:w="9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714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COMMON SHARES WHICH</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CAN BE ACQUIRED</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UPON EXERCISE OF</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OPTIONS OR WARRANTS</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5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COMMON SHARES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COMMON SHARE</w:t>
            </w:r>
          </w:p>
        </w:tc>
        <w:tc>
          <w:tcPr>
            <w:tcW w:w="19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EXERCISABLE</w:t>
            </w:r>
          </w:p>
        </w:tc>
        <w:tc>
          <w:tcPr>
            <w:tcW w:w="2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PERCENT OF</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BENEFICIAL OWNER</w:t>
            </w:r>
          </w:p>
        </w:tc>
        <w:tc>
          <w:tcPr>
            <w:tcW w:w="15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PRESENTLY HELD</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EQUIVALENTS(2)</w:t>
            </w:r>
          </w:p>
        </w:tc>
        <w:tc>
          <w:tcPr>
            <w:tcW w:w="1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WITHIN 60 DAYS</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CLASS(3)</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Charles M. Berger(4).....</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20,634(5)</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22,195</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550,000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592,829</w:t>
            </w:r>
          </w:p>
        </w:tc>
        <w:tc>
          <w:tcPr>
            <w:tcW w:w="9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2.00%</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Arnold W. Donald.........</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P. Flannery.......</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40,500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42,500</w:t>
            </w: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Hagedorn(4)........</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10,087,079(7)</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1,159</w:t>
            </w:r>
          </w:p>
        </w:tc>
        <w:tc>
          <w:tcPr>
            <w:tcW w:w="1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3,195,000(8)</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13,283,238</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42.51%</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Albert E. Harris.........</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2,000(9)</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715</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18,000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20,715</w:t>
            </w: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Kenlon..............</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181,623(10)</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183,142(11)</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364,765</w:t>
            </w:r>
          </w:p>
        </w:tc>
        <w:tc>
          <w:tcPr>
            <w:tcW w:w="9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1.29%</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Katherine Hagedorn</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Littlefield............</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10,044,631(12)</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3,000,000(13)</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13,044,631</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42.01%</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G. Robert Lucas(4).......</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3,043(14)</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273</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70,000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73,316</w:t>
            </w: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Karen G. Mills...........</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5,000</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33,000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38,000</w:t>
            </w: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Jean H. Mordo(4).........</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40,000</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185,000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225,000</w:t>
            </w: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Patrick J. Norton........</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5,100(15)</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36,000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41,100</w:t>
            </w: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L. Rogula(4).......</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2,089</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60,000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62,089</w:t>
            </w: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M. Sullivan.........</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1,500</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35,000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36,500</w:t>
            </w: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 Jack Van Fossen.......</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1,200</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715</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36,500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38,415</w:t>
            </w: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Walker, Ph.D........</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1,100</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12,500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13,600</w:t>
            </w: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officers as a</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group (29 persons).......</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10,304,997(16)</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25,135</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4,836,257</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15,166,389</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46.04%</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Hagedorn Partnership,</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L.P......................</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10,044,631(17)</w:t>
            </w:r>
          </w:p>
        </w:tc>
        <w:tc>
          <w:tcPr>
            <w:tcW w:w="1480" w:type="dxa"/>
            <w:vAlign w:val="bottom"/>
          </w:tcPr>
          <w:p>
            <w:pPr>
              <w:spacing w:after="0"/>
              <w:rPr>
                <w:sz w:val="14"/>
                <w:szCs w:val="14"/>
                <w:color w:val="auto"/>
              </w:rPr>
            </w:pP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3,000,000(17)</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13,044,631</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42.01%</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800 Port Washington Blvd.</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Port Washington, NY 11050</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Perry Corp...............</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1,813,432(18)</w:t>
            </w:r>
          </w:p>
        </w:tc>
        <w:tc>
          <w:tcPr>
            <w:tcW w:w="1480" w:type="dxa"/>
            <w:vAlign w:val="bottom"/>
          </w:tcPr>
          <w:p>
            <w:pPr>
              <w:spacing w:after="0"/>
              <w:rPr>
                <w:sz w:val="14"/>
                <w:szCs w:val="14"/>
                <w:color w:val="auto"/>
              </w:rPr>
            </w:pP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1,813,432(18)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C. Perry 599</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Lexington Avenue New</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York, NY 10022</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2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73" w:lineRule="exact"/>
        <w:rPr>
          <w:sz w:val="20"/>
          <w:szCs w:val="20"/>
          <w:color w:val="auto"/>
        </w:rPr>
      </w:pPr>
    </w:p>
    <w:p>
      <w:pPr>
        <w:ind w:left="440" w:right="3839" w:hanging="349"/>
        <w:spacing w:after="0" w:line="261" w:lineRule="auto"/>
        <w:rPr>
          <w:sz w:val="20"/>
          <w:szCs w:val="20"/>
          <w:color w:val="auto"/>
        </w:rPr>
      </w:pPr>
      <w:r>
        <w:rPr>
          <w:rFonts w:ascii="Courier New" w:cs="Courier New" w:eastAsia="Courier New" w:hAnsi="Courier New"/>
          <w:sz w:val="14"/>
          <w:szCs w:val="14"/>
          <w:color w:val="auto"/>
        </w:rPr>
        <w:t>(1) Unless otherwise indicated, the beneficial owner has sole voting and dispositive power as to all common shares reflected in the table.</w:t>
      </w:r>
    </w:p>
    <w:p>
      <w:pPr>
        <w:spacing w:after="0" w:line="160" w:lineRule="exact"/>
        <w:rPr>
          <w:sz w:val="20"/>
          <w:szCs w:val="20"/>
          <w:color w:val="auto"/>
        </w:rPr>
      </w:pPr>
    </w:p>
    <w:p>
      <w:pPr>
        <w:ind w:left="440" w:right="3239" w:hanging="349"/>
        <w:spacing w:after="0" w:line="236" w:lineRule="auto"/>
        <w:rPr>
          <w:sz w:val="20"/>
          <w:szCs w:val="20"/>
          <w:color w:val="auto"/>
        </w:rPr>
      </w:pPr>
      <w:r>
        <w:rPr>
          <w:rFonts w:ascii="Courier New" w:cs="Courier New" w:eastAsia="Courier New" w:hAnsi="Courier New"/>
          <w:sz w:val="15"/>
          <w:szCs w:val="15"/>
          <w:color w:val="auto"/>
        </w:rPr>
        <w:t>(2) Includes common shares attributable to the named executive officer's account relating to common share units under The Scotts Company Executive Retirement Plan (the "Executive Retirement Plan"), and to the named director's account holding common share units received in lieu of a director's annual retainer under the Company's 1996 Stock Option Plan, although under the terms of those plans, the named individual has no voting or dispositive power with respect to the portion of his account attributed to common shares of the Company. For this reason, the common share units are not included in the computation of the "Percent of Class" figures in the table.</w:t>
      </w:r>
    </w:p>
    <w:p>
      <w:pPr>
        <w:spacing w:after="0" w:line="179" w:lineRule="exact"/>
        <w:rPr>
          <w:sz w:val="20"/>
          <w:szCs w:val="20"/>
          <w:color w:val="auto"/>
        </w:rPr>
      </w:pPr>
    </w:p>
    <w:p>
      <w:pPr>
        <w:ind w:left="440" w:right="3239" w:hanging="349"/>
        <w:spacing w:after="0" w:line="236" w:lineRule="auto"/>
        <w:rPr>
          <w:sz w:val="20"/>
          <w:szCs w:val="20"/>
          <w:color w:val="auto"/>
        </w:rPr>
      </w:pPr>
      <w:r>
        <w:rPr>
          <w:rFonts w:ascii="Courier New" w:cs="Courier New" w:eastAsia="Courier New" w:hAnsi="Courier New"/>
          <w:sz w:val="15"/>
          <w:szCs w:val="15"/>
          <w:color w:val="auto"/>
        </w:rPr>
        <w:t>(3) The percent of class is based upon the sum of (i) 28,049,151 common shares outstanding on November 1, 2000, and (ii) the number of common shares as to which the named person has the right to acquire beneficial ownership upon the exercise of options or warrants exercisable within 60 days after September 30, 2000.</w:t>
      </w: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7" w:name="page8"/>
    <w:bookmarkEnd w:id="7"/>
    <w:p>
      <w:pPr>
        <w:ind w:left="27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left="430" w:hanging="343"/>
        <w:spacing w:after="0"/>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named in the Summary Compensation Table.</w:t>
      </w:r>
    </w:p>
    <w:p>
      <w:pPr>
        <w:spacing w:after="0" w:line="172" w:lineRule="exact"/>
        <w:rPr>
          <w:rFonts w:ascii="Courier New" w:cs="Courier New" w:eastAsia="Courier New" w:hAnsi="Courier New"/>
          <w:sz w:val="15"/>
          <w:szCs w:val="15"/>
          <w:color w:val="auto"/>
        </w:rPr>
      </w:pPr>
    </w:p>
    <w:p>
      <w:pPr>
        <w:ind w:left="430" w:right="3579" w:hanging="343"/>
        <w:spacing w:after="0" w:line="234"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2,434 common share units allocated to Mr. Berger's account and held by the trustee under the RSP.</w:t>
      </w:r>
    </w:p>
    <w:p>
      <w:pPr>
        <w:spacing w:after="0" w:line="173" w:lineRule="exact"/>
        <w:rPr>
          <w:rFonts w:ascii="Courier New" w:cs="Courier New" w:eastAsia="Courier New" w:hAnsi="Courier New"/>
          <w:sz w:val="15"/>
          <w:szCs w:val="15"/>
          <w:color w:val="auto"/>
        </w:rPr>
      </w:pPr>
    </w:p>
    <w:p>
      <w:pPr>
        <w:ind w:left="430" w:right="3499" w:hanging="343"/>
        <w:spacing w:after="0" w:line="234"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ownership of less than 1% of the outstanding common shares of the Company.</w:t>
      </w:r>
    </w:p>
    <w:p>
      <w:pPr>
        <w:spacing w:after="0" w:line="173" w:lineRule="exact"/>
        <w:rPr>
          <w:rFonts w:ascii="Courier New" w:cs="Courier New" w:eastAsia="Courier New" w:hAnsi="Courier New"/>
          <w:sz w:val="15"/>
          <w:szCs w:val="15"/>
          <w:color w:val="auto"/>
        </w:rPr>
      </w:pPr>
    </w:p>
    <w:p>
      <w:pPr>
        <w:ind w:left="430" w:right="3239" w:hanging="343"/>
        <w:spacing w:after="0" w:line="236"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Hagedorn is a general partner of Hagedorn Partnership, L.P., a Delaware limited partnership (the "Hagedorn Partnership"), and has shared voting and dispositive power with respect to the common shares held by the Hagedorn Partnership. See note (17) below. He holds 33,700 common shares directly and 8,748 common share units are allocated to his account and held by the trustee under the RSP.</w:t>
      </w:r>
    </w:p>
    <w:p>
      <w:pPr>
        <w:spacing w:after="0" w:line="174" w:lineRule="exact"/>
        <w:rPr>
          <w:rFonts w:ascii="Courier New" w:cs="Courier New" w:eastAsia="Courier New" w:hAnsi="Courier New"/>
          <w:sz w:val="15"/>
          <w:szCs w:val="15"/>
          <w:color w:val="auto"/>
        </w:rPr>
      </w:pPr>
    </w:p>
    <w:p>
      <w:pPr>
        <w:ind w:left="430" w:right="3239" w:hanging="343"/>
        <w:spacing w:after="0" w:line="235"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Hagedorn holds currently exercisable options to purchase 195,000 common shares. As a general partner of the Hagedorn Partnership, he has shared voting and dispositive power with respect to the warrants held by the Hagedorn Partnership.</w:t>
      </w:r>
    </w:p>
    <w:p>
      <w:pPr>
        <w:spacing w:after="0" w:line="168" w:lineRule="exact"/>
        <w:rPr>
          <w:rFonts w:ascii="Courier New" w:cs="Courier New" w:eastAsia="Courier New" w:hAnsi="Courier New"/>
          <w:sz w:val="15"/>
          <w:szCs w:val="15"/>
          <w:color w:val="auto"/>
        </w:rPr>
      </w:pPr>
    </w:p>
    <w:p>
      <w:pPr>
        <w:ind w:left="430" w:hanging="343"/>
        <w:spacing w:after="0"/>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common shares owned by Mr. Harris' spouse.</w:t>
      </w:r>
    </w:p>
    <w:p>
      <w:pPr>
        <w:spacing w:after="0" w:line="172" w:lineRule="exact"/>
        <w:rPr>
          <w:rFonts w:ascii="Courier New" w:cs="Courier New" w:eastAsia="Courier New" w:hAnsi="Courier New"/>
          <w:sz w:val="15"/>
          <w:szCs w:val="15"/>
          <w:color w:val="auto"/>
        </w:rPr>
      </w:pPr>
    </w:p>
    <w:p>
      <w:pPr>
        <w:ind w:left="430" w:right="3579" w:hanging="430"/>
        <w:spacing w:after="0" w:line="234"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6,623 common share units allocated to Mr. Kenlon's account and held by the trustee under the RSP.</w:t>
      </w:r>
    </w:p>
    <w:p>
      <w:pPr>
        <w:spacing w:after="0" w:line="173"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Kenlon owns warrants to purchase 6,642 common shares. Each of Mr. Kenlon's four children beneficially owns warrants to purchase an additional 15,000 common shares, for which Mr. Kenlon disclaims beneficial ownership. The Hagedorn Partnership has the right to vote, and a right of first refusal with respect to, the Company's securities received by Mr. Kenlon and his children pursuant to the Merger Agreement described below (175,000 common shares presently held by Mr. Kenlon and warrants to purchase an aggregate of 66,642 common shares). See note (17) below. Mr. Kenlon also holds currently exercisable options to purchase 116,500 common shares.</w:t>
      </w:r>
    </w:p>
    <w:p>
      <w:pPr>
        <w:spacing w:after="0" w:line="165" w:lineRule="exact"/>
        <w:rPr>
          <w:rFonts w:ascii="Courier New" w:cs="Courier New" w:eastAsia="Courier New" w:hAnsi="Courier New"/>
          <w:sz w:val="14"/>
          <w:szCs w:val="14"/>
          <w:color w:val="auto"/>
        </w:rPr>
      </w:pPr>
    </w:p>
    <w:p>
      <w:pPr>
        <w:ind w:left="430" w:right="3319" w:hanging="430"/>
        <w:spacing w:after="0" w:line="235"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Littlefield is a general partner of the Hagedorn Partnership and has shared voting and dispositive power with respect to the common shares held by the Hagedorn Partnership. See note (17) below.</w:t>
      </w:r>
    </w:p>
    <w:p>
      <w:pPr>
        <w:spacing w:after="0" w:line="173" w:lineRule="exact"/>
        <w:rPr>
          <w:rFonts w:ascii="Courier New" w:cs="Courier New" w:eastAsia="Courier New" w:hAnsi="Courier New"/>
          <w:sz w:val="15"/>
          <w:szCs w:val="15"/>
          <w:color w:val="auto"/>
        </w:rPr>
      </w:pPr>
    </w:p>
    <w:p>
      <w:pPr>
        <w:ind w:left="430" w:right="3499" w:hanging="430"/>
        <w:spacing w:after="0" w:line="235"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Littlefield, as a general partner of the Hagedorn Partnership, has shared voting and dispositive power with respect to the warrants held by the Hagedorn Partnership.</w:t>
      </w:r>
    </w:p>
    <w:p>
      <w:pPr>
        <w:spacing w:after="0" w:line="173" w:lineRule="exact"/>
        <w:rPr>
          <w:rFonts w:ascii="Courier New" w:cs="Courier New" w:eastAsia="Courier New" w:hAnsi="Courier New"/>
          <w:sz w:val="15"/>
          <w:szCs w:val="15"/>
          <w:color w:val="auto"/>
        </w:rPr>
      </w:pPr>
    </w:p>
    <w:p>
      <w:pPr>
        <w:ind w:left="430" w:right="3319" w:hanging="430"/>
        <w:spacing w:after="0" w:line="235"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 common shares owned by Mr. Lucas' spouse, 2,000 common shares held in a broker retirement account on behalf of Mr. Lucas and 843 common share units allocated to Mr. Lucas' account and held by the trustee under the RSP.</w:t>
      </w:r>
    </w:p>
    <w:p>
      <w:pPr>
        <w:spacing w:after="0" w:line="168"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 common shares owned by Mr. Norton's spouse.</w:t>
      </w:r>
    </w:p>
    <w:p>
      <w:pPr>
        <w:spacing w:after="0" w:line="172"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(2), (5) and (7) through (15) above and note (17) below. Also includes common shares held by the respective spouses of executive officers of the Company and by their children who live with them; and common shares units allocated to the accounts of executive officers and held by the trustee under the RSP.</w:t>
      </w:r>
    </w:p>
    <w:p>
      <w:pPr>
        <w:spacing w:after="0" w:line="173" w:lineRule="exact"/>
        <w:rPr>
          <w:rFonts w:ascii="Courier New" w:cs="Courier New" w:eastAsia="Courier New" w:hAnsi="Courier New"/>
          <w:sz w:val="15"/>
          <w:szCs w:val="15"/>
          <w:color w:val="auto"/>
        </w:rPr>
      </w:pPr>
    </w:p>
    <w:p>
      <w:pPr>
        <w:ind w:left="430" w:right="3239" w:hanging="430"/>
        <w:spacing w:after="0" w:line="254" w:lineRule="auto"/>
        <w:tabs>
          <w:tab w:leader="none" w:pos="43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Hagedorn Partnership owns 9,869,631 common shares, warrants to purchase 2,933,358 common shares, and has the right to vote, and a right of first refusal with respect to, the Company's securities received by Mr. Kenlon and his children pursuant to the Merger Agreement described below. See note</w:t>
      </w:r>
    </w:p>
    <w:p>
      <w:pPr>
        <w:spacing w:after="0" w:line="1" w:lineRule="exact"/>
        <w:rPr>
          <w:rFonts w:ascii="Courier New" w:cs="Courier New" w:eastAsia="Courier New" w:hAnsi="Courier New"/>
          <w:sz w:val="14"/>
          <w:szCs w:val="14"/>
          <w:color w:val="auto"/>
        </w:rPr>
      </w:pPr>
    </w:p>
    <w:p>
      <w:pPr>
        <w:ind w:left="430" w:right="3319" w:firstLine="7"/>
        <w:spacing w:after="0" w:line="236" w:lineRule="auto"/>
        <w:tabs>
          <w:tab w:leader="none" w:pos="868"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The general partners of the Hagedorn Partnership are Mr. James Hagedorn, Ms. Katherine Hagedorn Littlefield, Mr. Paul Hagedorn, Mr. Peter Hagedorn, Mr. Robert Hagedorn and Ms. Susan Hagedorn, each of whom is a former shareholder of Stern's Miracle-Gro Products, Inc. ("Miracle-Gro Products"). Mr. James Hagedorn and Ms. Katherine Hagedorn Littlefield are directors of the Company. Community Funds, Inc., a New York not-for-profit corporation ("Community Funds"), is a limited partner of the Hagedorn Partnership.</w:t>
      </w:r>
    </w:p>
    <w:p>
      <w:pPr>
        <w:spacing w:after="0" w:line="177" w:lineRule="exact"/>
        <w:rPr>
          <w:sz w:val="20"/>
          <w:szCs w:val="20"/>
          <w:color w:val="auto"/>
        </w:rPr>
      </w:pPr>
    </w:p>
    <w:p>
      <w:pPr>
        <w:ind w:left="430" w:right="3319"/>
        <w:spacing w:after="0" w:line="236" w:lineRule="auto"/>
        <w:rPr>
          <w:sz w:val="20"/>
          <w:szCs w:val="20"/>
          <w:color w:val="auto"/>
        </w:rPr>
      </w:pPr>
      <w:r>
        <w:rPr>
          <w:rFonts w:ascii="Courier New" w:cs="Courier New" w:eastAsia="Courier New" w:hAnsi="Courier New"/>
          <w:sz w:val="15"/>
          <w:szCs w:val="15"/>
          <w:color w:val="auto"/>
        </w:rPr>
        <w:t>The Amended and Restated Agreement and Plan of Merger, dated as of May 19, 1995 (the "Merger Agreement"), among the Company, ZYX Corporation, Miracle-Gro Products, Stern's Nurseries, Inc., Miracle-Gro Lawn Products Limited, the Hagedorn Partnership, the general partners of the Hagedorn Partnership, Horace Hagedorn, Community Funds and John Kenlon, as amended by the First Amendment to Amended and Restated Agreement and Plan of Merger, dated as of October 1, 1999 (the "First Amendment"), limits the ability of the Hagedorn Partnership, Community Funds, Horace Hagedorn and John Kenlon (the "Miracle-Gro Shareholders") to acquire additional voting securities of the Company. See "-- The Merger Agreement and the First Amendment" below.</w:t>
      </w:r>
    </w:p>
    <w:p>
      <w:pPr>
        <w:sectPr>
          <w:pgSz w:w="11900" w:h="16838" w:orient="portrait"/>
          <w:cols w:equalWidth="0" w:num="1">
            <w:col w:w="10229"/>
          </w:cols>
          <w:pgMar w:left="230" w:top="281" w:right="1440" w:bottom="1440" w:gutter="0" w:footer="0" w:header="0"/>
        </w:sectPr>
      </w:pPr>
    </w:p>
    <w:p>
      <w:pPr>
        <w:spacing w:after="0" w:line="174"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281"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left="440" w:right="3239" w:hanging="430"/>
        <w:spacing w:after="0" w:line="236"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Amendment No. 2 to Schedule 13G, dated February 14, 2000, as of December 31, 1999, Perry Corp., a New York corporation, had sole voting and dispositive power with respect to 1,813,432 common shares of the Company. Perry Corp. is a private investment firm, and Richard C. Perry is the President and sole stockholder of Perry Corp.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 AND THE FIRST AMENDMENT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the First Amendment, the voting and transfer restrictions on the Miracle-Gro Shareholders contained in the Merger Agreement terminated as of October 1, 1999. The limitations on the ability of the Miracle-Gro Shareholders to acquire additional voting securities of the Company contained in the Merger Agreement also terminated as of October 1, 1999, except for the restriction under which the Miracle-Gro Shareholders may not acquire, directly or indirectly, beneficial ownership of Voting Stock (as that term is defined in the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Company other than the Miracle-Gro Shareholders and their affiliates and associates.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3"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John Kenlon, a director, filed a late Form 4 reporting two sales of common shares in November 1999. Michael P. Kelty, Ph.D., an executive officer, filed a late Form 4 reporting one sale of common shares in November 1999. Michel J.</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Farkouh, an executive officer, filed a late Form 4 reporting one purchase of common shares in January 2000. In his Form 5 for the 2000 fiscal year, John Walker, Ph.D., a director, reported late one purchase of common shares in February 2000. In September 2000, Daniel C. McCafferty and Mark R. Schwartz, each filed a late Form 3 reporting that they had been named as executive officers in May 2000. Mr. Schwartz filed an amended Form 3 to report beneficial ownership of non-derivative securities of the Company which were inadvertently omitted from his original Form 3. In his Form 5 for the 2000 fiscal year, Mr. Schwartz reported late five sales of common shares in May 2000. Nick G. Kirkbride, an executive officer, filed a late Form 4 reporting one sale of common shares in May 2000.</w:t>
      </w:r>
    </w:p>
    <w:p>
      <w:pPr>
        <w:spacing w:after="0" w:line="17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PROPOSAL NO. 1</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Code of Regulations of the Company, the Board of Directors has set the authorized number of directors at 12, divided into three classes with regular three-year staggered terms. The election of each class of directors is a separate election. The four Class III directors hold office for terms expiring at the Annual Meeting, the four Class I directors hold office for terms expiring in 2002, and the four Class II directors hold office for terms expiring in 2003. Horace Hagedorn, a Class III director, retired from the Board of Directors in July 2000, but remains Director Emeritus. Katherine Hagedorn Littlefield, the daughter of Horace Hagedorn, was at the same time elected by the Board to fill the remainder of his term.</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proposes that the four nominees identified below be elected to Class III for a new term to expire at the Annual Meeting of Shareholders to be held in 2004 and until their successors are duly elected and qualified, or until their earlier death, resignation or removal. The Board of Directors has no reason to believe that any of the nominees will not serve if elected, but if any of them should become unavailable or unable to serve as a director, and if the Board designates a substitute nominee, the persons named in the form of proxy will vote for the substitute nominee designated by the Board of Directors.</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following information, as of December 1, 2000, with respect to the principal occupation or employment, other affiliations and business experience of each director during the last five years, has been furnished to the Company by each director. Except where indicated, each director has had the same principal occupation for the last five years.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NOMINEES STANDING FOR RE-ELECTION TO THE BOARD OF DIRECTORS</w:t>
      </w:r>
    </w:p>
    <w:p>
      <w:pPr>
        <w:spacing w:after="0" w:line="200" w:lineRule="exact"/>
        <w:rPr>
          <w:sz w:val="20"/>
          <w:szCs w:val="20"/>
          <w:color w:val="auto"/>
        </w:rPr>
      </w:pPr>
    </w:p>
    <w:p>
      <w:pPr>
        <w:spacing w:after="0" w:line="314"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CLASS III -- TERMS TO EXPIRE AT THE 2004 ANNUAL MEETING</w:t>
      </w:r>
    </w:p>
    <w:p>
      <w:pPr>
        <w:sectPr>
          <w:pgSz w:w="11900" w:h="16838" w:orient="portrait"/>
          <w:cols w:equalWidth="0" w:num="1">
            <w:col w:w="10239"/>
          </w:cols>
          <w:pgMar w:left="220" w:top="281" w:right="1440" w:bottom="1440" w:gutter="0" w:footer="0" w:header="0"/>
        </w:sectPr>
      </w:pPr>
    </w:p>
    <w:p>
      <w:pPr>
        <w:spacing w:after="0" w:line="178"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[JOSEPH P. FLANNERY PHOTO]</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P. Flannery, age 68, Director of the Company since</w:t>
      </w:r>
    </w:p>
    <w:p>
      <w:pPr>
        <w:spacing w:after="0" w:line="237" w:lineRule="auto"/>
        <w:rPr>
          <w:sz w:val="20"/>
          <w:szCs w:val="20"/>
          <w:color w:val="auto"/>
        </w:rPr>
      </w:pPr>
      <w:r>
        <w:rPr>
          <w:rFonts w:ascii="Courier New" w:cs="Courier New" w:eastAsia="Courier New" w:hAnsi="Courier New"/>
          <w:sz w:val="15"/>
          <w:szCs w:val="15"/>
          <w:color w:val="auto"/>
        </w:rPr>
        <w:t>1987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Flannery has been President, Chief Executive Officer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of Directors of Uniroyal Holding, Inc.</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since 1986. Mr. Flannery is also a director of</w:t>
      </w:r>
    </w:p>
    <w:p>
      <w:pPr>
        <w:ind w:left="440"/>
        <w:spacing w:after="0" w:line="237" w:lineRule="auto"/>
        <w:rPr>
          <w:sz w:val="20"/>
          <w:szCs w:val="20"/>
          <w:color w:val="auto"/>
        </w:rPr>
      </w:pPr>
      <w:r>
        <w:rPr>
          <w:rFonts w:ascii="Courier New" w:cs="Courier New" w:eastAsia="Courier New" w:hAnsi="Courier New"/>
          <w:sz w:val="15"/>
          <w:szCs w:val="15"/>
          <w:color w:val="auto"/>
        </w:rPr>
        <w:t>Ingersoll-Rand Company, Kmart Corporation, Newmont</w:t>
      </w:r>
    </w:p>
    <w:p>
      <w:pPr>
        <w:ind w:left="440"/>
        <w:spacing w:after="0" w:line="238" w:lineRule="auto"/>
        <w:rPr>
          <w:sz w:val="20"/>
          <w:szCs w:val="20"/>
          <w:color w:val="auto"/>
        </w:rPr>
      </w:pPr>
      <w:r>
        <w:rPr>
          <w:rFonts w:ascii="Courier New" w:cs="Courier New" w:eastAsia="Courier New" w:hAnsi="Courier New"/>
          <w:sz w:val="15"/>
          <w:szCs w:val="15"/>
          <w:color w:val="auto"/>
        </w:rPr>
        <w:t>Mining Corporation and ArvinMeritor Industries, Inc.</w:t>
      </w:r>
    </w:p>
    <w:p>
      <w:pPr>
        <w:ind w:left="440"/>
        <w:spacing w:after="0" w:line="237" w:lineRule="auto"/>
        <w:rPr>
          <w:sz w:val="20"/>
          <w:szCs w:val="20"/>
          <w:color w:val="auto"/>
        </w:rPr>
      </w:pPr>
      <w:r>
        <w:rPr>
          <w:rFonts w:ascii="Courier New" w:cs="Courier New" w:eastAsia="Courier New" w:hAnsi="Courier New"/>
          <w:sz w:val="15"/>
          <w:szCs w:val="15"/>
          <w:color w:val="auto"/>
        </w:rPr>
        <w:t>Committee Membership: Compensation and Organization</w:t>
      </w:r>
    </w:p>
    <w:p>
      <w:pPr>
        <w:ind w:left="440"/>
        <w:spacing w:after="0" w:line="238" w:lineRule="auto"/>
        <w:rPr>
          <w:sz w:val="20"/>
          <w:szCs w:val="20"/>
          <w:color w:val="auto"/>
        </w:rPr>
      </w:pPr>
      <w:r>
        <w:rPr>
          <w:rFonts w:ascii="Courier New" w:cs="Courier New" w:eastAsia="Courier New" w:hAnsi="Courier New"/>
          <w:sz w:val="15"/>
          <w:szCs w:val="15"/>
          <w:color w:val="auto"/>
        </w:rPr>
        <w:t>(Chairman)</w:t>
      </w:r>
    </w:p>
    <w:p>
      <w:pPr>
        <w:spacing w:after="0" w:line="173" w:lineRule="exact"/>
        <w:rPr>
          <w:sz w:val="20"/>
          <w:szCs w:val="20"/>
          <w:color w:val="auto"/>
        </w:rPr>
      </w:pPr>
    </w:p>
    <w:p>
      <w:pPr>
        <w:sectPr>
          <w:pgSz w:w="11900" w:h="16838" w:orient="portrait"/>
          <w:cols w:equalWidth="0" w:num="2">
            <w:col w:w="1680" w:space="520"/>
            <w:col w:w="8039"/>
          </w:cols>
          <w:pgMar w:left="220" w:top="281" w:right="1440" w:bottom="1440" w:gutter="0" w:footer="0" w:header="0"/>
          <w:type w:val="continuous"/>
        </w:sectPr>
      </w:pPr>
    </w:p>
    <w:p>
      <w:pPr>
        <w:ind w:left="2200" w:right="2799" w:hanging="2185"/>
        <w:spacing w:after="0" w:line="254" w:lineRule="auto"/>
        <w:rPr>
          <w:sz w:val="20"/>
          <w:szCs w:val="20"/>
          <w:color w:val="auto"/>
        </w:rPr>
      </w:pPr>
      <w:r>
        <w:rPr>
          <w:rFonts w:ascii="Courier New" w:cs="Courier New" w:eastAsia="Courier New" w:hAnsi="Courier New"/>
          <w:sz w:val="14"/>
          <w:szCs w:val="14"/>
          <w:color w:val="auto"/>
        </w:rPr>
        <w:t>[ALBERT E. HARRIS PHOTO] Albert E. Harris, age 68, Director of the Company since 1997 Mr. Harris is co-founder and, effective July 1997, the retired President of EDBH, Inc., a privately-held company</w:t>
      </w:r>
    </w:p>
    <w:p>
      <w:pPr>
        <w:ind w:left="2640"/>
        <w:spacing w:after="0" w:line="232" w:lineRule="auto"/>
        <w:rPr>
          <w:sz w:val="20"/>
          <w:szCs w:val="20"/>
          <w:color w:val="auto"/>
        </w:rPr>
      </w:pPr>
      <w:r>
        <w:rPr>
          <w:rFonts w:ascii="Courier New" w:cs="Courier New" w:eastAsia="Courier New" w:hAnsi="Courier New"/>
          <w:sz w:val="15"/>
          <w:szCs w:val="15"/>
          <w:color w:val="auto"/>
        </w:rPr>
        <w:t>which develops international optical businesses. From</w:t>
      </w:r>
    </w:p>
    <w:p>
      <w:pPr>
        <w:ind w:left="2640"/>
        <w:spacing w:after="0" w:line="237" w:lineRule="auto"/>
        <w:rPr>
          <w:sz w:val="20"/>
          <w:szCs w:val="20"/>
          <w:color w:val="auto"/>
        </w:rPr>
      </w:pPr>
      <w:r>
        <w:rPr>
          <w:rFonts w:ascii="Courier New" w:cs="Courier New" w:eastAsia="Courier New" w:hAnsi="Courier New"/>
          <w:sz w:val="15"/>
          <w:szCs w:val="15"/>
          <w:color w:val="auto"/>
        </w:rPr>
        <w:t>1988 until July 1997, he served as either Chairman or</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President of that company, which established a chain of</w:t>
      </w:r>
    </w:p>
    <w:p>
      <w:pPr>
        <w:spacing w:after="0" w:line="10"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approximately 200 superoptical stores, operating under</w:t>
      </w:r>
    </w:p>
    <w:p>
      <w:pPr>
        <w:spacing w:after="0" w:line="10"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the "Vision Express+" name and located primarily in the</w:t>
      </w:r>
    </w:p>
    <w:p>
      <w:pPr>
        <w:spacing w:after="0" w:line="10"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United Kingdom. Since 1992, Mr. Harris has also been a</w:t>
      </w:r>
    </w:p>
    <w:p>
      <w:pPr>
        <w:spacing w:after="0" w:line="10"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trustee of Fifth Third Funds (previously named Fountain</w:t>
      </w:r>
    </w:p>
    <w:p>
      <w:pPr>
        <w:spacing w:after="0" w:line="10"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Square Funds), a mutual funds family established by The</w:t>
      </w:r>
    </w:p>
    <w:p>
      <w:pPr>
        <w:spacing w:after="0" w:line="10"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Fifth Third Bank, and is currently the Chairman of that</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group of funds. Fifth Third Funds is registered as an</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investment company under the Investment Company Act of</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1940.</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Committee Memberships: Nominating and Board Governance;</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Compensation and Organization</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[KATHERINE HAGEDORN LITTLEFIELD PHOTO]</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Hagedorn Littlefield, age 45, Director of the</w:t>
      </w:r>
    </w:p>
    <w:p>
      <w:pPr>
        <w:spacing w:after="0" w:line="237" w:lineRule="auto"/>
        <w:rPr>
          <w:sz w:val="20"/>
          <w:szCs w:val="20"/>
          <w:color w:val="auto"/>
        </w:rPr>
      </w:pPr>
      <w:r>
        <w:rPr>
          <w:rFonts w:ascii="Courier New" w:cs="Courier New" w:eastAsia="Courier New" w:hAnsi="Courier New"/>
          <w:sz w:val="15"/>
          <w:szCs w:val="15"/>
          <w:color w:val="auto"/>
        </w:rPr>
        <w:t>Company since 2000</w:t>
      </w:r>
    </w:p>
    <w:p>
      <w:pPr>
        <w:spacing w:after="0" w:line="238" w:lineRule="auto"/>
        <w:rPr>
          <w:sz w:val="20"/>
          <w:szCs w:val="20"/>
          <w:color w:val="auto"/>
        </w:rPr>
      </w:pPr>
      <w:r>
        <w:rPr>
          <w:rFonts w:ascii="Courier New" w:cs="Courier New" w:eastAsia="Courier New" w:hAnsi="Courier New"/>
          <w:sz w:val="15"/>
          <w:szCs w:val="15"/>
          <w:color w:val="auto"/>
        </w:rPr>
        <w:t>Ms. Littlefield was elected by the Board in July 2000 to</w:t>
      </w:r>
    </w:p>
    <w:p>
      <w:pPr>
        <w:spacing w:after="0" w:line="237" w:lineRule="auto"/>
        <w:rPr>
          <w:sz w:val="20"/>
          <w:szCs w:val="20"/>
          <w:color w:val="auto"/>
        </w:rPr>
      </w:pPr>
      <w:r>
        <w:rPr>
          <w:rFonts w:ascii="Courier New" w:cs="Courier New" w:eastAsia="Courier New" w:hAnsi="Courier New"/>
          <w:sz w:val="15"/>
          <w:szCs w:val="15"/>
          <w:color w:val="auto"/>
        </w:rPr>
        <w:t>fill the vacancy created by the retirement of Horace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Hagedorn, her father, who founded Miracle-Gro Products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1950 and had served as a director of the Company</w:t>
      </w:r>
    </w:p>
    <w:p>
      <w:pPr>
        <w:ind w:left="440"/>
        <w:spacing w:after="0" w:line="237" w:lineRule="auto"/>
        <w:rPr>
          <w:sz w:val="20"/>
          <w:szCs w:val="20"/>
          <w:color w:val="auto"/>
        </w:rPr>
      </w:pPr>
      <w:r>
        <w:rPr>
          <w:rFonts w:ascii="Courier New" w:cs="Courier New" w:eastAsia="Courier New" w:hAnsi="Courier New"/>
          <w:sz w:val="15"/>
          <w:szCs w:val="15"/>
          <w:color w:val="auto"/>
        </w:rPr>
        <w:t>since 1995. Ms. Littlefield is the sister of James</w:t>
      </w:r>
    </w:p>
    <w:p>
      <w:pPr>
        <w:ind w:left="440"/>
        <w:spacing w:after="0" w:line="238" w:lineRule="auto"/>
        <w:rPr>
          <w:sz w:val="20"/>
          <w:szCs w:val="20"/>
          <w:color w:val="auto"/>
        </w:rPr>
      </w:pPr>
      <w:r>
        <w:rPr>
          <w:rFonts w:ascii="Courier New" w:cs="Courier New" w:eastAsia="Courier New" w:hAnsi="Courier New"/>
          <w:sz w:val="15"/>
          <w:szCs w:val="15"/>
          <w:color w:val="auto"/>
        </w:rPr>
        <w:t>Hagedorn. She is also the Chairman of the Hagedorn</w:t>
      </w:r>
    </w:p>
    <w:p>
      <w:pPr>
        <w:ind w:left="440"/>
        <w:spacing w:after="0" w:line="237" w:lineRule="auto"/>
        <w:rPr>
          <w:sz w:val="20"/>
          <w:szCs w:val="20"/>
          <w:color w:val="auto"/>
        </w:rPr>
      </w:pPr>
      <w:r>
        <w:rPr>
          <w:rFonts w:ascii="Courier New" w:cs="Courier New" w:eastAsia="Courier New" w:hAnsi="Courier New"/>
          <w:sz w:val="15"/>
          <w:szCs w:val="15"/>
          <w:color w:val="auto"/>
        </w:rPr>
        <w:t>Partnership.</w:t>
      </w:r>
    </w:p>
    <w:p>
      <w:pPr>
        <w:ind w:left="440"/>
        <w:spacing w:after="0" w:line="238" w:lineRule="auto"/>
        <w:rPr>
          <w:sz w:val="20"/>
          <w:szCs w:val="20"/>
          <w:color w:val="auto"/>
        </w:rPr>
      </w:pPr>
      <w:r>
        <w:rPr>
          <w:rFonts w:ascii="Courier New" w:cs="Courier New" w:eastAsia="Courier New" w:hAnsi="Courier New"/>
          <w:sz w:val="15"/>
          <w:szCs w:val="15"/>
          <w:color w:val="auto"/>
        </w:rPr>
        <w:t>Committee Membership: None at this time</w:t>
      </w:r>
    </w:p>
    <w:p>
      <w:pPr>
        <w:spacing w:after="0" w:line="167" w:lineRule="exact"/>
        <w:rPr>
          <w:sz w:val="20"/>
          <w:szCs w:val="20"/>
          <w:color w:val="auto"/>
        </w:rPr>
      </w:pPr>
    </w:p>
    <w:p>
      <w:pPr>
        <w:sectPr>
          <w:pgSz w:w="11900" w:h="16838" w:orient="portrait"/>
          <w:cols w:equalWidth="0" w:num="2">
            <w:col w:w="1680" w:space="520"/>
            <w:col w:w="8039"/>
          </w:cols>
          <w:pgMar w:left="220" w:top="281" w:right="1440" w:bottom="1440" w:gutter="0" w:footer="0" w:header="0"/>
          <w:type w:val="continuous"/>
        </w:sectPr>
      </w:pPr>
    </w:p>
    <w:p>
      <w:pPr>
        <w:spacing w:after="0" w:line="6"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[PATRICK J. NORTON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Patrick J. Norton, age 50, Director of the Company since</w:t>
      </w:r>
    </w:p>
    <w:p>
      <w:pPr>
        <w:spacing w:after="0" w:line="237" w:lineRule="auto"/>
        <w:rPr>
          <w:sz w:val="20"/>
          <w:szCs w:val="20"/>
          <w:color w:val="auto"/>
        </w:rPr>
      </w:pPr>
      <w:r>
        <w:rPr>
          <w:rFonts w:ascii="Courier New" w:cs="Courier New" w:eastAsia="Courier New" w:hAnsi="Courier New"/>
          <w:sz w:val="15"/>
          <w:szCs w:val="15"/>
          <w:color w:val="auto"/>
        </w:rPr>
        <w:t>1998</w:t>
      </w:r>
    </w:p>
    <w:p>
      <w:pPr>
        <w:spacing w:after="0" w:line="238" w:lineRule="auto"/>
        <w:rPr>
          <w:sz w:val="20"/>
          <w:szCs w:val="20"/>
          <w:color w:val="auto"/>
        </w:rPr>
      </w:pPr>
      <w:r>
        <w:rPr>
          <w:rFonts w:ascii="Courier New" w:cs="Courier New" w:eastAsia="Courier New" w:hAnsi="Courier New"/>
          <w:sz w:val="15"/>
          <w:szCs w:val="15"/>
          <w:color w:val="auto"/>
        </w:rPr>
        <w:t>Mr. Norton was named Executive Vice President and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Officer of the Company in June 2000, having served</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interim Chief Financial Officer since February 2000.</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From 1983 until February 1997, Mr. Norton was the</w:t>
      </w:r>
    </w:p>
    <w:p>
      <w:pPr>
        <w:ind w:left="440"/>
        <w:spacing w:after="0" w:line="237" w:lineRule="auto"/>
        <w:rPr>
          <w:sz w:val="20"/>
          <w:szCs w:val="20"/>
          <w:color w:val="auto"/>
        </w:rPr>
      </w:pPr>
      <w:r>
        <w:rPr>
          <w:rFonts w:ascii="Courier New" w:cs="Courier New" w:eastAsia="Courier New" w:hAnsi="Courier New"/>
          <w:sz w:val="15"/>
          <w:szCs w:val="15"/>
          <w:color w:val="auto"/>
        </w:rPr>
        <w:t>President, Chief Executive Officer and a director of</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Barefoot Inc., the second largest lawn care company in</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United States prior to its acquisition in February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1997 by ServiceMaster. Mr. Norton serves as an</w:t>
      </w:r>
    </w:p>
    <w:p>
      <w:pPr>
        <w:ind w:left="440"/>
        <w:spacing w:after="0" w:line="237" w:lineRule="auto"/>
        <w:rPr>
          <w:sz w:val="20"/>
          <w:szCs w:val="20"/>
          <w:color w:val="auto"/>
        </w:rPr>
      </w:pPr>
      <w:r>
        <w:rPr>
          <w:rFonts w:ascii="Courier New" w:cs="Courier New" w:eastAsia="Courier New" w:hAnsi="Courier New"/>
          <w:sz w:val="15"/>
          <w:szCs w:val="15"/>
          <w:color w:val="auto"/>
        </w:rPr>
        <w:t>independent director for various privately-held</w:t>
      </w:r>
    </w:p>
    <w:p>
      <w:pPr>
        <w:ind w:left="440"/>
        <w:spacing w:after="0" w:line="238" w:lineRule="auto"/>
        <w:rPr>
          <w:sz w:val="20"/>
          <w:szCs w:val="20"/>
          <w:color w:val="auto"/>
        </w:rPr>
      </w:pPr>
      <w:r>
        <w:rPr>
          <w:rFonts w:ascii="Courier New" w:cs="Courier New" w:eastAsia="Courier New" w:hAnsi="Courier New"/>
          <w:sz w:val="15"/>
          <w:szCs w:val="15"/>
          <w:color w:val="auto"/>
        </w:rPr>
        <w:t>companies and partnerships, including Svoboda Collins</w:t>
      </w:r>
    </w:p>
    <w:p>
      <w:pPr>
        <w:ind w:left="440"/>
        <w:spacing w:after="0" w:line="237" w:lineRule="auto"/>
        <w:rPr>
          <w:sz w:val="20"/>
          <w:szCs w:val="20"/>
          <w:color w:val="auto"/>
        </w:rPr>
      </w:pPr>
      <w:r>
        <w:rPr>
          <w:rFonts w:ascii="Courier New" w:cs="Courier New" w:eastAsia="Courier New" w:hAnsi="Courier New"/>
          <w:sz w:val="15"/>
          <w:szCs w:val="15"/>
          <w:color w:val="auto"/>
        </w:rPr>
        <w:t>LLC, In The Swim, Inc. and Baird Capital Partners.</w:t>
      </w:r>
    </w:p>
    <w:p>
      <w:pPr>
        <w:ind w:left="440"/>
        <w:spacing w:after="0" w:line="238" w:lineRule="auto"/>
        <w:rPr>
          <w:sz w:val="20"/>
          <w:szCs w:val="20"/>
          <w:color w:val="auto"/>
        </w:rPr>
      </w:pPr>
      <w:r>
        <w:rPr>
          <w:rFonts w:ascii="Courier New" w:cs="Courier New" w:eastAsia="Courier New" w:hAnsi="Courier New"/>
          <w:sz w:val="15"/>
          <w:szCs w:val="15"/>
          <w:color w:val="auto"/>
        </w:rPr>
        <w:t>Committee Membership: None at this time</w:t>
      </w:r>
    </w:p>
    <w:p>
      <w:pPr>
        <w:spacing w:after="0" w:line="200" w:lineRule="exact"/>
        <w:rPr>
          <w:sz w:val="20"/>
          <w:szCs w:val="20"/>
          <w:color w:val="auto"/>
        </w:rPr>
      </w:pPr>
    </w:p>
    <w:p>
      <w:pPr>
        <w:sectPr>
          <w:pgSz w:w="11900" w:h="16838" w:orient="portrait"/>
          <w:cols w:equalWidth="0" w:num="2">
            <w:col w:w="1580" w:space="620"/>
            <w:col w:w="8039"/>
          </w:cols>
          <w:pgMar w:left="220" w:top="281" w:right="1440" w:bottom="1440" w:gutter="0" w:footer="0" w:header="0"/>
          <w:type w:val="continuous"/>
        </w:sectPr>
      </w:pPr>
    </w:p>
    <w:p>
      <w:pPr>
        <w:spacing w:after="0" w:line="1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DIRECTORS REMAINING IN OFFICE</w:t>
      </w:r>
    </w:p>
    <w:p>
      <w:pPr>
        <w:spacing w:after="0" w:line="173"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CLASS I -- TERMS TO EXPIRE AT THE 2002 ANNUAL MEETING</w:t>
      </w:r>
    </w:p>
    <w:p>
      <w:pPr>
        <w:sectPr>
          <w:pgSz w:w="11900" w:h="16838" w:orient="portrait"/>
          <w:cols w:equalWidth="0" w:num="1">
            <w:col w:w="10239"/>
          </w:cols>
          <w:pgMar w:left="220" w:top="281" w:right="1440" w:bottom="1440" w:gutter="0" w:footer="0" w:header="0"/>
        </w:sectPr>
      </w:pPr>
    </w:p>
    <w:p>
      <w:pPr>
        <w:spacing w:after="0" w:line="178"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[CHARLES M. BERGER PHOTO]</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M. Berger, age 64, Chairman of the Board and Chief Executive</w:t>
      </w:r>
    </w:p>
    <w:p>
      <w:pPr>
        <w:spacing w:after="0" w:line="237" w:lineRule="auto"/>
        <w:rPr>
          <w:sz w:val="20"/>
          <w:szCs w:val="20"/>
          <w:color w:val="auto"/>
        </w:rPr>
      </w:pPr>
      <w:r>
        <w:rPr>
          <w:rFonts w:ascii="Courier New" w:cs="Courier New" w:eastAsia="Courier New" w:hAnsi="Courier New"/>
          <w:sz w:val="15"/>
          <w:szCs w:val="15"/>
          <w:color w:val="auto"/>
        </w:rPr>
        <w:t>Officer of the Company since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Berger was elected Chairman of the Board and Chief Executive Officer of the Company in</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August 1996. From August 1996 until April 2000, he was also President of the Company.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Mr. Berger came to the Company from H.J. Heinz Company, where, from October 1994</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until August 1996, he served as Chairman and Chief Executive Officer of Heinz India</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Pvt. Ltd. (Bombay). During his 32-year career at Heinz, he also held the positions of</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Chairman, President and Chief Executive Officer of Weight Watchers International, 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Heinz affiliate; Managing Director and Chief Executive Officer of Heinz-Italy</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(Milan), the largest Heinz profit center in Europe; General Manager, Marketing, for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Heinz U.S. grocery products; Marketing Director for Heinz U.K. (London); and</w:t>
      </w:r>
    </w:p>
    <w:p>
      <w:pPr>
        <w:ind w:left="440"/>
        <w:spacing w:after="0" w:line="237" w:lineRule="auto"/>
        <w:rPr>
          <w:sz w:val="20"/>
          <w:szCs w:val="20"/>
          <w:color w:val="auto"/>
        </w:rPr>
      </w:pPr>
      <w:r>
        <w:rPr>
          <w:rFonts w:ascii="Courier New" w:cs="Courier New" w:eastAsia="Courier New" w:hAnsi="Courier New"/>
          <w:sz w:val="15"/>
          <w:szCs w:val="15"/>
          <w:color w:val="auto"/>
        </w:rPr>
        <w:t>Director of Corporate Planning at Heinz World Headquarters. He is also a former</w:t>
      </w:r>
    </w:p>
    <w:p>
      <w:pPr>
        <w:ind w:left="440"/>
        <w:spacing w:after="0" w:line="238" w:lineRule="auto"/>
        <w:rPr>
          <w:sz w:val="20"/>
          <w:szCs w:val="20"/>
          <w:color w:val="auto"/>
        </w:rPr>
      </w:pPr>
      <w:r>
        <w:rPr>
          <w:rFonts w:ascii="Courier New" w:cs="Courier New" w:eastAsia="Courier New" w:hAnsi="Courier New"/>
          <w:sz w:val="15"/>
          <w:szCs w:val="15"/>
          <w:color w:val="auto"/>
        </w:rPr>
        <w:t>director of Miracle-Gro Products.</w:t>
      </w:r>
    </w:p>
    <w:p>
      <w:pPr>
        <w:ind w:left="440"/>
        <w:spacing w:after="0" w:line="237" w:lineRule="auto"/>
        <w:rPr>
          <w:sz w:val="20"/>
          <w:szCs w:val="20"/>
          <w:color w:val="auto"/>
        </w:rPr>
      </w:pPr>
      <w:r>
        <w:rPr>
          <w:rFonts w:ascii="Courier New" w:cs="Courier New" w:eastAsia="Courier New" w:hAnsi="Courier New"/>
          <w:sz w:val="15"/>
          <w:szCs w:val="15"/>
          <w:color w:val="auto"/>
        </w:rPr>
        <w:t>Committee Membership: Finance</w:t>
      </w:r>
    </w:p>
    <w:p>
      <w:pPr>
        <w:spacing w:after="0" w:line="167" w:lineRule="exact"/>
        <w:rPr>
          <w:sz w:val="20"/>
          <w:szCs w:val="20"/>
          <w:color w:val="auto"/>
        </w:rPr>
      </w:pPr>
    </w:p>
    <w:p>
      <w:pPr>
        <w:sectPr>
          <w:pgSz w:w="11900" w:h="16838" w:orient="portrait"/>
          <w:cols w:equalWidth="0" w:num="2">
            <w:col w:w="1580" w:space="700"/>
            <w:col w:w="7959"/>
          </w:cols>
          <w:pgMar w:left="220" w:top="281"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HAGEDORN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James Hagedorn, age 45, President and Chief Operating Officer of the Company since</w:t>
      </w:r>
    </w:p>
    <w:p>
      <w:pPr>
        <w:spacing w:after="0" w:line="237" w:lineRule="auto"/>
        <w:rPr>
          <w:sz w:val="20"/>
          <w:szCs w:val="20"/>
          <w:color w:val="auto"/>
        </w:rPr>
      </w:pPr>
      <w:r>
        <w:rPr>
          <w:rFonts w:ascii="Courier New" w:cs="Courier New" w:eastAsia="Courier New" w:hAnsi="Courier New"/>
          <w:sz w:val="15"/>
          <w:szCs w:val="15"/>
          <w:color w:val="auto"/>
        </w:rPr>
        <w:t>April 2000, and Director of the Company since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Hagedorn was named President and Chief Operating Officer of the Company in April 2000.</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From December 1998 to April 2000, he was President, Scotts North America. He was</w:t>
      </w:r>
    </w:p>
    <w:p>
      <w:pPr>
        <w:ind w:left="440"/>
        <w:spacing w:after="0" w:line="237" w:lineRule="auto"/>
        <w:rPr>
          <w:sz w:val="20"/>
          <w:szCs w:val="20"/>
          <w:color w:val="auto"/>
        </w:rPr>
      </w:pPr>
      <w:r>
        <w:rPr>
          <w:rFonts w:ascii="Courier New" w:cs="Courier New" w:eastAsia="Courier New" w:hAnsi="Courier New"/>
          <w:sz w:val="15"/>
          <w:szCs w:val="15"/>
          <w:color w:val="auto"/>
        </w:rPr>
        <w:t>previously Executive Vice President, U.S. Business Groups, of the Company from</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October 1996 to December 1998. From May 1995 until October 1996, he served as Senior</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 Consumer Gardens Group, of the Company. He served as Executive Vice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President of Scotts Miracle-Gro Products, Inc. (now the Company's Consumer Gardens</w:t>
      </w:r>
    </w:p>
    <w:p>
      <w:pPr>
        <w:ind w:left="440"/>
        <w:spacing w:after="0" w:line="237" w:lineRule="auto"/>
        <w:rPr>
          <w:sz w:val="20"/>
          <w:szCs w:val="20"/>
          <w:color w:val="auto"/>
        </w:rPr>
      </w:pPr>
      <w:r>
        <w:rPr>
          <w:rFonts w:ascii="Courier New" w:cs="Courier New" w:eastAsia="Courier New" w:hAnsi="Courier New"/>
          <w:sz w:val="15"/>
          <w:szCs w:val="15"/>
          <w:color w:val="auto"/>
        </w:rPr>
        <w:t>Business Group) from May 1995 to August 2000, and Executive Vice President of</w:t>
      </w:r>
    </w:p>
    <w:p>
      <w:pPr>
        <w:ind w:left="440"/>
        <w:spacing w:after="0" w:line="238" w:lineRule="auto"/>
        <w:rPr>
          <w:sz w:val="20"/>
          <w:szCs w:val="20"/>
          <w:color w:val="auto"/>
        </w:rPr>
      </w:pPr>
      <w:r>
        <w:rPr>
          <w:rFonts w:ascii="Courier New" w:cs="Courier New" w:eastAsia="Courier New" w:hAnsi="Courier New"/>
          <w:sz w:val="15"/>
          <w:szCs w:val="15"/>
          <w:color w:val="auto"/>
        </w:rPr>
        <w:t>Miracle-Gro Products from 1989 until May 1995. Mr. Hagedorn is the son of Horace</w:t>
      </w:r>
    </w:p>
    <w:p>
      <w:pPr>
        <w:ind w:left="440"/>
        <w:spacing w:after="0" w:line="237" w:lineRule="auto"/>
        <w:rPr>
          <w:sz w:val="20"/>
          <w:szCs w:val="20"/>
          <w:color w:val="auto"/>
        </w:rPr>
      </w:pPr>
      <w:r>
        <w:rPr>
          <w:rFonts w:ascii="Courier New" w:cs="Courier New" w:eastAsia="Courier New" w:hAnsi="Courier New"/>
          <w:sz w:val="15"/>
          <w:szCs w:val="15"/>
          <w:color w:val="auto"/>
        </w:rPr>
        <w:t>Hagedorn and the brother of Katherine Hagedorn Littlefield.</w:t>
      </w:r>
    </w:p>
    <w:p>
      <w:pPr>
        <w:ind w:left="440"/>
        <w:spacing w:after="0" w:line="238" w:lineRule="auto"/>
        <w:rPr>
          <w:sz w:val="20"/>
          <w:szCs w:val="20"/>
          <w:color w:val="auto"/>
        </w:rPr>
      </w:pPr>
      <w:r>
        <w:rPr>
          <w:rFonts w:ascii="Courier New" w:cs="Courier New" w:eastAsia="Courier New" w:hAnsi="Courier New"/>
          <w:sz w:val="15"/>
          <w:szCs w:val="15"/>
          <w:color w:val="auto"/>
        </w:rPr>
        <w:t>Committee Memberships: Finance; Nominating and Board Governance</w:t>
      </w:r>
    </w:p>
    <w:p>
      <w:pPr>
        <w:spacing w:after="0" w:line="167" w:lineRule="exact"/>
        <w:rPr>
          <w:sz w:val="20"/>
          <w:szCs w:val="20"/>
          <w:color w:val="auto"/>
        </w:rPr>
      </w:pPr>
    </w:p>
    <w:p>
      <w:pPr>
        <w:sectPr>
          <w:pgSz w:w="11900" w:h="16838" w:orient="portrait"/>
          <w:cols w:equalWidth="0" w:num="2">
            <w:col w:w="1940" w:space="340"/>
            <w:col w:w="7959"/>
          </w:cols>
          <w:pgMar w:left="220" w:top="281"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[KAREN G. MILLS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Karen G. Mills, age 47, Director of the Company since 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June 1999, Ms. Mills has been a Managing Director and founder of Solera Capital, a</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private equity firm based in New York. Since 1993, Ms. Mills has also been President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 MMP Group, Inc., an advisory company serving leveraged buy-out firms, company</w:t>
      </w:r>
    </w:p>
    <w:p>
      <w:pPr>
        <w:ind w:left="440"/>
        <w:spacing w:after="0" w:line="237" w:lineRule="auto"/>
        <w:rPr>
          <w:sz w:val="20"/>
          <w:szCs w:val="20"/>
          <w:color w:val="auto"/>
        </w:rPr>
      </w:pPr>
      <w:r>
        <w:rPr>
          <w:rFonts w:ascii="Courier New" w:cs="Courier New" w:eastAsia="Courier New" w:hAnsi="Courier New"/>
          <w:sz w:val="15"/>
          <w:szCs w:val="15"/>
          <w:color w:val="auto"/>
        </w:rPr>
        <w:t>owners and chief executive officers. Ms. Mills is currently a director of Arrow</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Electronics, Inc., The Guardian Life Insurance Company and Dry Bulk Shipping Inc., 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privately-held company.</w:t>
      </w:r>
    </w:p>
    <w:p>
      <w:pPr>
        <w:ind w:left="440"/>
        <w:spacing w:after="0" w:line="237" w:lineRule="auto"/>
        <w:rPr>
          <w:sz w:val="20"/>
          <w:szCs w:val="20"/>
          <w:color w:val="auto"/>
        </w:rPr>
      </w:pPr>
      <w:r>
        <w:rPr>
          <w:rFonts w:ascii="Courier New" w:cs="Courier New" w:eastAsia="Courier New" w:hAnsi="Courier New"/>
          <w:sz w:val="15"/>
          <w:szCs w:val="15"/>
          <w:color w:val="auto"/>
        </w:rPr>
        <w:t>Committee Memberships: Finance; Nominating and Board Governance (Chairman)</w:t>
      </w:r>
    </w:p>
    <w:p>
      <w:pPr>
        <w:spacing w:after="0" w:line="200" w:lineRule="exact"/>
        <w:rPr>
          <w:sz w:val="20"/>
          <w:szCs w:val="20"/>
          <w:color w:val="auto"/>
        </w:rPr>
      </w:pPr>
    </w:p>
    <w:p>
      <w:pPr>
        <w:sectPr>
          <w:pgSz w:w="11900" w:h="16838" w:orient="portrait"/>
          <w:cols w:equalWidth="0" w:num="2">
            <w:col w:w="1940" w:space="340"/>
            <w:col w:w="7959"/>
          </w:cols>
          <w:pgMar w:left="220" w:top="281" w:right="1440" w:bottom="1440" w:gutter="0" w:footer="0" w:header="0"/>
          <w:type w:val="continuous"/>
        </w:sectPr>
      </w:pPr>
    </w:p>
    <w:p>
      <w:pPr>
        <w:spacing w:after="0" w:line="1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2"/>
          <w:szCs w:val="12"/>
          <w:color w:val="auto"/>
        </w:rPr>
        <w:t>12</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WALKER PHOTO]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Walker, Ph.D., age 60, Director of the Company since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September 1994, Dr. Walker has been Chairman of Advent International plc, a private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management company based in Boston, Massachusetts which manages over $3</w:t>
      </w:r>
    </w:p>
    <w:p>
      <w:pPr>
        <w:ind w:left="440"/>
        <w:spacing w:after="0" w:line="237" w:lineRule="auto"/>
        <w:rPr>
          <w:sz w:val="20"/>
          <w:szCs w:val="20"/>
          <w:color w:val="auto"/>
        </w:rPr>
      </w:pPr>
      <w:r>
        <w:rPr>
          <w:rFonts w:ascii="Courier New" w:cs="Courier New" w:eastAsia="Courier New" w:hAnsi="Courier New"/>
          <w:sz w:val="15"/>
          <w:szCs w:val="15"/>
          <w:color w:val="auto"/>
        </w:rPr>
        <w:t>billion on a global basis.</w:t>
      </w:r>
    </w:p>
    <w:p>
      <w:pPr>
        <w:ind w:left="440"/>
        <w:spacing w:after="0" w:line="238" w:lineRule="auto"/>
        <w:rPr>
          <w:sz w:val="20"/>
          <w:szCs w:val="20"/>
          <w:color w:val="auto"/>
        </w:rPr>
      </w:pPr>
      <w:r>
        <w:rPr>
          <w:rFonts w:ascii="Courier New" w:cs="Courier New" w:eastAsia="Courier New" w:hAnsi="Courier New"/>
          <w:sz w:val="15"/>
          <w:szCs w:val="15"/>
          <w:color w:val="auto"/>
        </w:rPr>
        <w:t>Committee Memberships: Compensation and Organization; Finance (Chairman)</w:t>
      </w:r>
    </w:p>
    <w:p>
      <w:pPr>
        <w:spacing w:after="0" w:line="173" w:lineRule="exact"/>
        <w:rPr>
          <w:sz w:val="20"/>
          <w:szCs w:val="20"/>
          <w:color w:val="auto"/>
        </w:rPr>
      </w:pPr>
    </w:p>
    <w:p>
      <w:pPr>
        <w:sectPr>
          <w:pgSz w:w="11900" w:h="16838" w:orient="portrait"/>
          <w:cols w:equalWidth="0" w:num="2">
            <w:col w:w="1680" w:space="600"/>
            <w:col w:w="7959"/>
          </w:cols>
          <w:pgMar w:left="220" w:top="287" w:right="1440" w:bottom="1440" w:gutter="0" w:footer="0" w:header="0"/>
          <w:type w:val="continuous"/>
        </w:sectPr>
      </w:pPr>
    </w:p>
    <w:p>
      <w:pPr>
        <w:jc w:val="center"/>
        <w:ind w:right="79"/>
        <w:spacing w:after="0"/>
        <w:rPr>
          <w:sz w:val="20"/>
          <w:szCs w:val="20"/>
          <w:color w:val="auto"/>
        </w:rPr>
      </w:pPr>
      <w:r>
        <w:rPr>
          <w:rFonts w:ascii="Courier New" w:cs="Courier New" w:eastAsia="Courier New" w:hAnsi="Courier New"/>
          <w:sz w:val="14"/>
          <w:szCs w:val="14"/>
          <w:color w:val="auto"/>
        </w:rPr>
        <w:t>CLASS II -- TERMS TO EXPIRE AT THE 2003 ANNUAL MEETING</w:t>
      </w:r>
    </w:p>
    <w:p>
      <w:pPr>
        <w:sectPr>
          <w:pgSz w:w="11900" w:h="16838" w:orient="portrait"/>
          <w:cols w:equalWidth="0" w:num="1">
            <w:col w:w="10239"/>
          </w:cols>
          <w:pgMar w:left="220" w:top="287"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[ARNOLD W. DONALD PHOTO]</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Arnold W. Donald, age 45, Director of the Company since 2000</w:t>
      </w:r>
    </w:p>
    <w:p>
      <w:pPr>
        <w:spacing w:after="0" w:line="237" w:lineRule="auto"/>
        <w:rPr>
          <w:sz w:val="20"/>
          <w:szCs w:val="20"/>
          <w:color w:val="auto"/>
        </w:rPr>
      </w:pPr>
      <w:r>
        <w:rPr>
          <w:rFonts w:ascii="Courier New" w:cs="Courier New" w:eastAsia="Courier New" w:hAnsi="Courier New"/>
          <w:sz w:val="15"/>
          <w:szCs w:val="15"/>
          <w:color w:val="auto"/>
        </w:rPr>
        <w:t>Mr. Donald was elected by the Board in October 2000 to fill the vacancy created by the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retirement of Dr. James B Beard. Since March 2000, Mr. Donald has been Chairman and</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Chief Executive Officer of Merisant Company, a company that sells health, nutritional</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 lifestyle products based on science and technology. From January 1998 to March</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2000, he was Senior Vice President of Monsanto Company (n/k/a Pharmacia Corporation),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responsibility for growth, globalization and technology initiatives. From</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February 1997 to January 1998, he was Co-President, Agriculture Sector, of Monsanto.</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From January 1995 to February 1997, he was President, Crop Protection Unit, of</w:t>
      </w:r>
    </w:p>
    <w:p>
      <w:pPr>
        <w:ind w:left="440"/>
        <w:spacing w:after="0" w:line="237" w:lineRule="auto"/>
        <w:rPr>
          <w:sz w:val="20"/>
          <w:szCs w:val="20"/>
          <w:color w:val="auto"/>
        </w:rPr>
      </w:pPr>
      <w:r>
        <w:rPr>
          <w:rFonts w:ascii="Courier New" w:cs="Courier New" w:eastAsia="Courier New" w:hAnsi="Courier New"/>
          <w:sz w:val="15"/>
          <w:szCs w:val="15"/>
          <w:color w:val="auto"/>
        </w:rPr>
        <w:t>Monsanto. He serves as a director of Crown Cork &amp; Seal Company, Belden, Inc. and</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Strategic Distribution, Inc. In 1998, he was appointed by President Clinton to serve</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the President's Export Council for international trade. He is also a member of the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Executive Leadership Council.</w:t>
      </w:r>
    </w:p>
    <w:p>
      <w:pPr>
        <w:ind w:left="440"/>
        <w:spacing w:after="0" w:line="237" w:lineRule="auto"/>
        <w:rPr>
          <w:sz w:val="20"/>
          <w:szCs w:val="20"/>
          <w:color w:val="auto"/>
        </w:rPr>
      </w:pPr>
      <w:r>
        <w:rPr>
          <w:rFonts w:ascii="Courier New" w:cs="Courier New" w:eastAsia="Courier New" w:hAnsi="Courier New"/>
          <w:sz w:val="15"/>
          <w:szCs w:val="15"/>
          <w:color w:val="auto"/>
        </w:rPr>
        <w:t>Committee Membership: Audit</w:t>
      </w:r>
    </w:p>
    <w:p>
      <w:pPr>
        <w:spacing w:after="0" w:line="167" w:lineRule="exact"/>
        <w:rPr>
          <w:sz w:val="20"/>
          <w:szCs w:val="20"/>
          <w:color w:val="auto"/>
        </w:rPr>
      </w:pPr>
    </w:p>
    <w:p>
      <w:pPr>
        <w:sectPr>
          <w:pgSz w:w="11900" w:h="16838" w:orient="portrait"/>
          <w:cols w:equalWidth="0" w:num="2">
            <w:col w:w="2100" w:space="180"/>
            <w:col w:w="7959"/>
          </w:cols>
          <w:pgMar w:left="220" w:top="28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KENLON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John Kenlon, age 69, Director of the Company since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Kenlon retired as an officer of the Company effective December 31, 1999. He was Senior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Vice President, Consumer Gardens Group, of the Company, from May 1999 to December</w:t>
      </w:r>
    </w:p>
    <w:p>
      <w:pPr>
        <w:ind w:left="440"/>
        <w:spacing w:after="0" w:line="237" w:lineRule="auto"/>
        <w:rPr>
          <w:sz w:val="20"/>
          <w:szCs w:val="20"/>
          <w:color w:val="auto"/>
        </w:rPr>
      </w:pPr>
      <w:r>
        <w:rPr>
          <w:rFonts w:ascii="Courier New" w:cs="Courier New" w:eastAsia="Courier New" w:hAnsi="Courier New"/>
          <w:sz w:val="15"/>
          <w:szCs w:val="15"/>
          <w:color w:val="auto"/>
        </w:rPr>
        <w:t>1999. He was President, Consumer Gardens Group, of the Company from December 1996</w:t>
      </w:r>
    </w:p>
    <w:p>
      <w:pPr>
        <w:ind w:left="440"/>
        <w:spacing w:after="0" w:line="238" w:lineRule="auto"/>
        <w:rPr>
          <w:sz w:val="20"/>
          <w:szCs w:val="20"/>
          <w:color w:val="auto"/>
        </w:rPr>
      </w:pPr>
      <w:r>
        <w:rPr>
          <w:rFonts w:ascii="Courier New" w:cs="Courier New" w:eastAsia="Courier New" w:hAnsi="Courier New"/>
          <w:sz w:val="15"/>
          <w:szCs w:val="15"/>
          <w:color w:val="auto"/>
        </w:rPr>
        <w:t>until May 1999. He was previously President and Chief Operating Officer of Scotts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Miracle-Gro Products, Inc. (now the Company's Consumer Gardens Business Group) from</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May 1995 to December 1999. Mr. Kenlon was the President of Miracle-Gro Products from</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1985 until May 1995. Mr. Kenlon began his association with the Miracle-Gro companies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1960.</w:t>
      </w:r>
    </w:p>
    <w:p>
      <w:pPr>
        <w:ind w:left="440"/>
        <w:spacing w:after="0" w:line="237" w:lineRule="auto"/>
        <w:rPr>
          <w:sz w:val="20"/>
          <w:szCs w:val="20"/>
          <w:color w:val="auto"/>
        </w:rPr>
      </w:pPr>
      <w:r>
        <w:rPr>
          <w:rFonts w:ascii="Courier New" w:cs="Courier New" w:eastAsia="Courier New" w:hAnsi="Courier New"/>
          <w:sz w:val="15"/>
          <w:szCs w:val="15"/>
          <w:color w:val="auto"/>
        </w:rPr>
        <w:t>Committee Membership: None at this time</w:t>
      </w:r>
    </w:p>
    <w:p>
      <w:pPr>
        <w:spacing w:after="0" w:line="167" w:lineRule="exact"/>
        <w:rPr>
          <w:sz w:val="20"/>
          <w:szCs w:val="20"/>
          <w:color w:val="auto"/>
        </w:rPr>
      </w:pPr>
    </w:p>
    <w:p>
      <w:pPr>
        <w:sectPr>
          <w:pgSz w:w="11900" w:h="16838" w:orient="portrait"/>
          <w:cols w:equalWidth="0" w:num="2">
            <w:col w:w="1680" w:space="600"/>
            <w:col w:w="7959"/>
          </w:cols>
          <w:pgMar w:left="220" w:top="28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M. SULLIVAN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John M. Sullivan, age 65, Director of the Company since 1994</w:t>
      </w:r>
    </w:p>
    <w:p>
      <w:pPr>
        <w:spacing w:after="0" w:line="237" w:lineRule="auto"/>
        <w:rPr>
          <w:sz w:val="20"/>
          <w:szCs w:val="20"/>
          <w:color w:val="auto"/>
        </w:rPr>
      </w:pPr>
      <w:r>
        <w:rPr>
          <w:rFonts w:ascii="Courier New" w:cs="Courier New" w:eastAsia="Courier New" w:hAnsi="Courier New"/>
          <w:sz w:val="15"/>
          <w:szCs w:val="15"/>
          <w:color w:val="auto"/>
        </w:rPr>
        <w:t>Mr. Sullivan serves as a director of Rental Services Corp. Mr. Sullivan is also an</w:t>
      </w:r>
    </w:p>
    <w:p>
      <w:pPr>
        <w:ind w:left="440"/>
        <w:spacing w:after="0" w:line="238" w:lineRule="auto"/>
        <w:rPr>
          <w:sz w:val="20"/>
          <w:szCs w:val="20"/>
          <w:color w:val="auto"/>
        </w:rPr>
      </w:pPr>
      <w:r>
        <w:rPr>
          <w:rFonts w:ascii="Courier New" w:cs="Courier New" w:eastAsia="Courier New" w:hAnsi="Courier New"/>
          <w:sz w:val="15"/>
          <w:szCs w:val="15"/>
          <w:color w:val="auto"/>
        </w:rPr>
        <w:t>independent director for various privately-held companies, including Bell Sports,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 and Silver Cinemas International, Inc., of which he is Chairman of the Board of</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Directors.</w:t>
      </w:r>
    </w:p>
    <w:p>
      <w:pPr>
        <w:ind w:left="440"/>
        <w:spacing w:after="0" w:line="237" w:lineRule="auto"/>
        <w:rPr>
          <w:sz w:val="20"/>
          <w:szCs w:val="20"/>
          <w:color w:val="auto"/>
        </w:rPr>
      </w:pPr>
      <w:r>
        <w:rPr>
          <w:rFonts w:ascii="Courier New" w:cs="Courier New" w:eastAsia="Courier New" w:hAnsi="Courier New"/>
          <w:sz w:val="15"/>
          <w:szCs w:val="15"/>
          <w:color w:val="auto"/>
        </w:rPr>
        <w:t>Committee Memberships: Audit; Compensation and Organization</w:t>
      </w:r>
    </w:p>
    <w:p>
      <w:pPr>
        <w:spacing w:after="0" w:line="200" w:lineRule="exact"/>
        <w:rPr>
          <w:sz w:val="20"/>
          <w:szCs w:val="20"/>
          <w:color w:val="auto"/>
        </w:rPr>
      </w:pPr>
    </w:p>
    <w:p>
      <w:pPr>
        <w:sectPr>
          <w:pgSz w:w="11900" w:h="16838" w:orient="portrait"/>
          <w:cols w:equalWidth="0" w:num="2">
            <w:col w:w="2100" w:space="180"/>
            <w:col w:w="7959"/>
          </w:cols>
          <w:pgMar w:left="220" w:top="287" w:right="1440" w:bottom="1440" w:gutter="0" w:footer="0" w:header="0"/>
          <w:type w:val="continuous"/>
        </w:sectPr>
      </w:pPr>
    </w:p>
    <w:p>
      <w:pPr>
        <w:spacing w:after="0" w:line="1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7"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2"/>
          <w:szCs w:val="12"/>
          <w:color w:val="auto"/>
        </w:rPr>
        <w:t>13</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[L. JACK VAN FOSSEN PHOTO]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Jack Van Fossen, age 63, Director of the Company since 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Van Fossen was Chief Executive Officer and President of Red Roof Inns, Inc., an owner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 operator of motels, from 1991 until 1995. Since July 1988, Mr. Van Fossen has</w:t>
      </w:r>
    </w:p>
    <w:p>
      <w:pPr>
        <w:ind w:left="440"/>
        <w:spacing w:after="0" w:line="237" w:lineRule="auto"/>
        <w:rPr>
          <w:sz w:val="20"/>
          <w:szCs w:val="20"/>
          <w:color w:val="auto"/>
        </w:rPr>
      </w:pPr>
      <w:r>
        <w:rPr>
          <w:rFonts w:ascii="Courier New" w:cs="Courier New" w:eastAsia="Courier New" w:hAnsi="Courier New"/>
          <w:sz w:val="15"/>
          <w:szCs w:val="15"/>
          <w:color w:val="auto"/>
        </w:rPr>
        <w:t>served as President of Nessoff Corporation, a privately-held investment company.</w:t>
      </w:r>
    </w:p>
    <w:p>
      <w:pPr>
        <w:ind w:left="440"/>
        <w:spacing w:after="0" w:line="238" w:lineRule="auto"/>
        <w:rPr>
          <w:sz w:val="20"/>
          <w:szCs w:val="20"/>
          <w:color w:val="auto"/>
        </w:rPr>
      </w:pPr>
      <w:r>
        <w:rPr>
          <w:rFonts w:ascii="Courier New" w:cs="Courier New" w:eastAsia="Courier New" w:hAnsi="Courier New"/>
          <w:sz w:val="15"/>
          <w:szCs w:val="15"/>
          <w:color w:val="auto"/>
        </w:rPr>
        <w:t>Committee Membership: Audit (Chairman)</w:t>
      </w:r>
    </w:p>
    <w:p>
      <w:pPr>
        <w:spacing w:after="0" w:line="200" w:lineRule="exact"/>
        <w:rPr>
          <w:sz w:val="20"/>
          <w:szCs w:val="20"/>
          <w:color w:val="auto"/>
        </w:rPr>
      </w:pPr>
    </w:p>
    <w:p>
      <w:pPr>
        <w:sectPr>
          <w:pgSz w:w="11900" w:h="16838" w:orient="portrait"/>
          <w:cols w:equalWidth="0" w:num="2">
            <w:col w:w="1680" w:space="600"/>
            <w:col w:w="7959"/>
          </w:cols>
          <w:pgMar w:left="220" w:top="287"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Ohio law and the Company's Code of Regulations, the four nominees for election in Class III receiving the greatest number of votes will be elected. Common shares represented by your proxy will be voted FOR the election of the above-named nominees unless authority to vote for one or more nominees is withheld. Common shares as to which the authority to vote is withheld will be counted for quorum purposes but will not be counted toward the election of directors or toward the election of the individual nominees specified on the form of proxy.</w:t>
      </w:r>
    </w:p>
    <w:p>
      <w:pPr>
        <w:spacing w:after="0" w:line="177"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YOUR BOARD OF DIRECTORS RECOMMENDS A VOTE FOR THE ELECTION OF THE ABOVE-NAMED CLASS III DIRECTOR NOMINEES.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AND MEETINGS OF THE BOARD</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Board of Directors held six regularly scheduled or special meetings during the 2000 fiscal year. The Board of Directors has four standing committees: the Audit Committee; the Compensation and Organization Committee; the Finance Committee; and the Nominating and Board Governance Committee. Each current member of the Board attended at least 75% of the aggregate of the total number of meetings of the Board of Directors and of the committees on which he or she served during the 2000 fiscal year.</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Audit Committee. The Audit Committee reviews and approves the scope and results of any outside audit of the Company and the fees therefor and makes recommendations to the Board of Directors or management concerning auditing and accounting matters and the selection of independent auditors. The Audit Committee's responsibilities are outlined further in its written charter attached as Annex A to this Proxy Statement. Each member of the Audit Committee qualifies as independent under the rules of the New York Stock Exchange (the "NYSE"). The Audit Committee met six times during the 2000 fiscal year. The Audit Committee's report relating to our 2000 fiscal year appears on Page 26.</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Compensation and Organization Committee. The Compensation and Organization Committee reviews, considers and acts upon matters concerning salary and other compensation and benefits of all executive officers and certain other employees of the Company. In addition, it acts upon all matters concerning, and exercises such authority as is delegated to it under the provisions of, any benefit, retirement or pension plan maintained by the Company. This Committee also advises the Board regarding executive officer organizational issues and succession plans. The Compensation and Organization Committee met five times during the 2000 fiscal year.</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Finance Committee. The Finance Committee provides oversight of the financial plans and policies of the Company and its subsidiaries by reviewing annual business plans; operating performance goals; investment, dividend payment and stock repurchase programs; financial forecasts; and general corporate financing matters. The Finance Committee met five times during the 2000 fiscal year.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Nominating and Board Governance Committee. The Nominating and Board Governance Committee recommends policies on the composition of the Board of Directors and nominees for membership on the Board. This Committee has not established a procedure for shareholders to recommend nominees to the Board for consideration at the Annual Meeting. Rather, it conducts its own search for available, qualified nominees. The Nominating and Board Governance Committee met six times during the 2000 fiscal year.</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7"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Each director of the Company who is not an employee of the Company (the "Non-Employee Directors") receives a $30,000 annual retainer for Board and committee meetings plus reimbursement of all reasonable travel and other expenses of attending such meetings. Non-Employee Directors may elect to receive all or a portion, in 25% increments, of their annual retainer in cash or in common share units. If common share units are elected, the Non-Employee Director receives a number of common share units determined by dividing the chosen dollar amount, by the fair market value of the Company's common shares on the first business day following the date of the annual meeting. Final distributions are made in cash or common shares upon the date that the Non-Employee Director ceases to be a member of the Board, or upon a change in control (as defined under the Company's 1996 Stock Option Plan), whichever is earlier. Distributions may be made either in a lump sum or in installments over a period of up to ten years.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Non-Employee Directors also receive an annual grant, on the first business day following the date of each annual meeting of shareholders, of options to purchase 5,000 common shares at an exercise price equal to the fair market value of the common shares on the date of the grant. Non-Employee Directors who are members of one or more Board committees receive options to purchase an additional 500 common shares for each committee on which they serve (with committee chairs receiving options to purchase a total of an additional 1,500 common shares for each committee they chair). Options granted to a Non-Employee Director become exercisable six months after the date of grant and remain exercisable until the earlier to occur of (i) the tenth anniversary of the date of grant or (ii) the first anniversary of the date the Non-Employee Director ceases to be a member of the Company's Board of Directors, except that if the Non-Employee Director ceases to be a member of the Board after (a) having been convicted of, or pled guilty or nolo contendere to, a felony, his or her options will be canceled on the date he or she ceases to be a director, or (b) having retired, any outstanding options (whether or not then exercisable) may be exercised in full at any time prior to the expiration of the term of the options or within five years following retirement, whichever period is shorter.</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2</w:t>
      </w:r>
    </w:p>
    <w:p>
      <w:pPr>
        <w:spacing w:after="0" w:line="173" w:lineRule="exact"/>
        <w:rPr>
          <w:sz w:val="20"/>
          <w:szCs w:val="20"/>
          <w:color w:val="auto"/>
        </w:rPr>
      </w:pPr>
    </w:p>
    <w:p>
      <w:pPr>
        <w:jc w:val="center"/>
        <w:ind w:left="240" w:right="160"/>
        <w:spacing w:after="0" w:line="235" w:lineRule="auto"/>
        <w:rPr>
          <w:sz w:val="20"/>
          <w:szCs w:val="20"/>
          <w:color w:val="auto"/>
        </w:rPr>
      </w:pPr>
      <w:r>
        <w:rPr>
          <w:rFonts w:ascii="Courier New" w:cs="Courier New" w:eastAsia="Courier New" w:hAnsi="Courier New"/>
          <w:sz w:val="15"/>
          <w:szCs w:val="15"/>
          <w:color w:val="auto"/>
        </w:rPr>
        <w:t>AMENDMENT OF OUR AMENDED ARTICLES OF INCORPORATION TO RETURN THE CLASS A CONVERTIBLE PREFERRED STOCK TO THE STATUS OF AUTHORIZED BUT UNISSUED, "BLANK CHECK" PREFERRED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PROPOSAL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Article FOURTH of our existing Amended Articles of Incorporation sets forth the terms of our Class A Convertible Preferred Stock. This stock was issued in connection with the merger transactions with the Miracle-Gro companies in 1995. Effective as of October 1, 1999, all outstanding shares of the Class A Convertible Preferred Stock were converted into common shares. According to Section 8 of Article FOURTH, upon conversion, the shares of Class A Convertible Preferred Stock returned to the status of authorized but unissued shares of Class A Convertible Preferred Stock. Because the Class A Convertible Preferred Stock contained rights, preferences and limitations that were specifically negotiated in connection with the Miracle-Gro merger transactions, they provide us with little or no flexibility or usefulness in their present form.</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Rather than return the converted shares of Class A Convertible Preferred Stock to the status of authorized but unissued shares of Class A Convertible Preferred Stock, the Board has determined that the Amended Articles of Incorporation should be amended to return all 195,000 shares of Class A Convertible Preferred Stock to the status of authorized but unissued preferred shares.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shareholders adopt this proposal, the 195,000 preferred shares will be available for issuance from time to time for such purposes and consideration as the Board may approve. No further vote of our shareholders would be required, except as provided by Ohio law or the rules of the NYSE. The availability of preferred shares for issuance without the delay and expense of obtaining the approval of shareholders at a special meeting, should afford us the means of raising additional capital. In addition, if need be, the preferred shares could be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utilized by the Board of Directors to assist the Company in defending against any potential hostile or abusive takeover threats.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preferred shares would be "blank check" preferred stock, and the Board, in its sole discretion, could issue one or more series of preferred shares and could determine the rights, preferences and limitations of each series. The rights, preferences and limitations that the Board could determine by resolution without further shareholder action include dividend rates, liquidation preferences, redemption rights and conversion rights. In addition, as a result of a recent change in Ohio law, the Board could also determine voting rights. The Board would have sole authority to issue any preferred shares to whomever and for whatever purposes it deems to be appropriate and in, or not opposed to, the best interests of the Company. The Board of Directors has no present intention of issuing any preferred shares.</w:t>
      </w:r>
    </w:p>
    <w:p>
      <w:pPr>
        <w:spacing w:after="0" w:line="180"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proposed amendment is not a part of a plan by the Company to adopt other measures intended to have or having potential anti-takeover effects. The Company's Amended Articles of Incorporation and Code of Regulations currently include the following provisions which may be considered to have anti-takeover effects: (a) the classification of the Board of Directors of the Company into three classes of directors so that each director serves a three-year term, with one class being elected each year; (b) the elimination of cumulative voting in the election of directors; (c) the requirement of the affirmative vote of two-thirds of the voting power of the Company as a condition to certain major corporate transactions (e.g., adoption of certain amendments to the Company's Amended Articles of Incorporation, approval of a merger or consolidation involving the Company, approval of a combination or majority share acquisition involving the issuance of shares of the Company, approval of a sale, exchange, transfer or other disposition of all or substantially all of the Company's assets, or approval of the dissolution of the Company); and (d) certain procedural requirements, including provisions limiting who may call special shareholder meetings.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order to return the Class A Convertible Preferred Stock to the status of authorized but unissued preferred shares, the rights, preferences and limitations of which may subsequently be designated by action of the Board of Directors without further shareholder vote, the Board of Directors of the Company has approved, and recommends that the shareholders of the Company adopt, an amendment to our Amended Articles of Incorporation to delete the existing Article FOURTH in its entirety and replace it with the following:</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Article FOURTH: The authorized number of shares of</w:t>
      </w:r>
    </w:p>
    <w:p>
      <w:pPr>
        <w:ind w:left="980"/>
        <w:spacing w:after="0" w:line="237" w:lineRule="auto"/>
        <w:rPr>
          <w:sz w:val="20"/>
          <w:szCs w:val="20"/>
          <w:color w:val="auto"/>
        </w:rPr>
      </w:pPr>
      <w:r>
        <w:rPr>
          <w:rFonts w:ascii="Courier New" w:cs="Courier New" w:eastAsia="Courier New" w:hAnsi="Courier New"/>
          <w:sz w:val="15"/>
          <w:szCs w:val="15"/>
          <w:color w:val="auto"/>
        </w:rPr>
        <w:t>the corporation shall be One Hundred Million, One Hundred</w:t>
      </w:r>
    </w:p>
    <w:p>
      <w:pPr>
        <w:ind w:left="980"/>
        <w:spacing w:after="0" w:line="238" w:lineRule="auto"/>
        <w:rPr>
          <w:sz w:val="20"/>
          <w:szCs w:val="20"/>
          <w:color w:val="auto"/>
        </w:rPr>
      </w:pPr>
      <w:r>
        <w:rPr>
          <w:rFonts w:ascii="Courier New" w:cs="Courier New" w:eastAsia="Courier New" w:hAnsi="Courier New"/>
          <w:sz w:val="15"/>
          <w:szCs w:val="15"/>
          <w:color w:val="auto"/>
        </w:rPr>
        <w:t>and Ninety-Five Thousand (100,195,000), consisting of One</w:t>
      </w:r>
    </w:p>
    <w:p>
      <w:pPr>
        <w:ind w:left="980"/>
        <w:spacing w:after="0" w:line="237" w:lineRule="auto"/>
        <w:rPr>
          <w:sz w:val="20"/>
          <w:szCs w:val="20"/>
          <w:color w:val="auto"/>
        </w:rPr>
      </w:pPr>
      <w:r>
        <w:rPr>
          <w:rFonts w:ascii="Courier New" w:cs="Courier New" w:eastAsia="Courier New" w:hAnsi="Courier New"/>
          <w:sz w:val="15"/>
          <w:szCs w:val="15"/>
          <w:color w:val="auto"/>
        </w:rPr>
        <w:t>Hundred Million (100,000,000) common shares, each without</w:t>
      </w:r>
    </w:p>
    <w:p>
      <w:pPr>
        <w:ind w:left="980"/>
        <w:spacing w:after="0" w:line="238" w:lineRule="auto"/>
        <w:rPr>
          <w:sz w:val="20"/>
          <w:szCs w:val="20"/>
          <w:color w:val="auto"/>
        </w:rPr>
      </w:pPr>
      <w:r>
        <w:rPr>
          <w:rFonts w:ascii="Courier New" w:cs="Courier New" w:eastAsia="Courier New" w:hAnsi="Courier New"/>
          <w:sz w:val="15"/>
          <w:szCs w:val="15"/>
          <w:color w:val="auto"/>
        </w:rPr>
        <w:t>par value, and One Hundred and Ninety-Five Thousand</w:t>
      </w:r>
    </w:p>
    <w:p>
      <w:pPr>
        <w:ind w:left="980"/>
        <w:spacing w:after="0" w:line="237" w:lineRule="auto"/>
        <w:rPr>
          <w:sz w:val="20"/>
          <w:szCs w:val="20"/>
          <w:color w:val="auto"/>
        </w:rPr>
      </w:pPr>
      <w:r>
        <w:rPr>
          <w:rFonts w:ascii="Courier New" w:cs="Courier New" w:eastAsia="Courier New" w:hAnsi="Courier New"/>
          <w:sz w:val="15"/>
          <w:szCs w:val="15"/>
          <w:color w:val="auto"/>
        </w:rPr>
        <w:t>(195,000) preferred shares, each without par value.</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The directors of the corporation are authorized to</w:t>
      </w:r>
    </w:p>
    <w:p>
      <w:pPr>
        <w:ind w:left="980"/>
        <w:spacing w:after="0" w:line="237" w:lineRule="auto"/>
        <w:rPr>
          <w:sz w:val="20"/>
          <w:szCs w:val="20"/>
          <w:color w:val="auto"/>
        </w:rPr>
      </w:pPr>
      <w:r>
        <w:rPr>
          <w:rFonts w:ascii="Courier New" w:cs="Courier New" w:eastAsia="Courier New" w:hAnsi="Courier New"/>
          <w:sz w:val="15"/>
          <w:szCs w:val="15"/>
          <w:color w:val="auto"/>
        </w:rPr>
        <w:t>adopt amendments to the Amended Articles of Incorporation</w:t>
      </w:r>
    </w:p>
    <w:p>
      <w:pPr>
        <w:ind w:left="980"/>
        <w:spacing w:after="0" w:line="238" w:lineRule="auto"/>
        <w:rPr>
          <w:sz w:val="20"/>
          <w:szCs w:val="20"/>
          <w:color w:val="auto"/>
        </w:rPr>
      </w:pPr>
      <w:r>
        <w:rPr>
          <w:rFonts w:ascii="Courier New" w:cs="Courier New" w:eastAsia="Courier New" w:hAnsi="Courier New"/>
          <w:sz w:val="15"/>
          <w:szCs w:val="15"/>
          <w:color w:val="auto"/>
        </w:rPr>
        <w:t>in respect of any unissued preferred shares and thereby to</w:t>
      </w:r>
    </w:p>
    <w:p>
      <w:pPr>
        <w:ind w:left="980"/>
        <w:spacing w:after="0" w:line="237" w:lineRule="auto"/>
        <w:rPr>
          <w:sz w:val="20"/>
          <w:szCs w:val="20"/>
          <w:color w:val="auto"/>
        </w:rPr>
      </w:pPr>
      <w:r>
        <w:rPr>
          <w:rFonts w:ascii="Courier New" w:cs="Courier New" w:eastAsia="Courier New" w:hAnsi="Courier New"/>
          <w:sz w:val="15"/>
          <w:szCs w:val="15"/>
          <w:color w:val="auto"/>
        </w:rPr>
        <w:t>fix or change, to the fullest extent now or hereafter</w:t>
      </w:r>
    </w:p>
    <w:p>
      <w:pPr>
        <w:ind w:left="980"/>
        <w:spacing w:after="0" w:line="238" w:lineRule="auto"/>
        <w:rPr>
          <w:sz w:val="20"/>
          <w:szCs w:val="20"/>
          <w:color w:val="auto"/>
        </w:rPr>
      </w:pPr>
      <w:r>
        <w:rPr>
          <w:rFonts w:ascii="Courier New" w:cs="Courier New" w:eastAsia="Courier New" w:hAnsi="Courier New"/>
          <w:sz w:val="15"/>
          <w:szCs w:val="15"/>
          <w:color w:val="auto"/>
        </w:rPr>
        <w:t>permitted by Ohio law: the division of such shares into</w:t>
      </w:r>
    </w:p>
    <w:p>
      <w:pPr>
        <w:ind w:left="980"/>
        <w:spacing w:after="0" w:line="237" w:lineRule="auto"/>
        <w:rPr>
          <w:sz w:val="20"/>
          <w:szCs w:val="20"/>
          <w:color w:val="auto"/>
        </w:rPr>
      </w:pPr>
      <w:r>
        <w:rPr>
          <w:rFonts w:ascii="Courier New" w:cs="Courier New" w:eastAsia="Courier New" w:hAnsi="Courier New"/>
          <w:sz w:val="15"/>
          <w:szCs w:val="15"/>
          <w:color w:val="auto"/>
        </w:rPr>
        <w:t>series and the designation and authorized number of shares</w:t>
      </w:r>
    </w:p>
    <w:p>
      <w:pPr>
        <w:ind w:left="980"/>
        <w:spacing w:after="0" w:line="238" w:lineRule="auto"/>
        <w:rPr>
          <w:sz w:val="20"/>
          <w:szCs w:val="20"/>
          <w:color w:val="auto"/>
        </w:rPr>
      </w:pPr>
      <w:r>
        <w:rPr>
          <w:rFonts w:ascii="Courier New" w:cs="Courier New" w:eastAsia="Courier New" w:hAnsi="Courier New"/>
          <w:sz w:val="15"/>
          <w:szCs w:val="15"/>
          <w:color w:val="auto"/>
        </w:rPr>
        <w:t>of each series; the dividend or distribution rights;</w:t>
      </w:r>
    </w:p>
    <w:p>
      <w:pPr>
        <w:ind w:left="980"/>
        <w:spacing w:after="0" w:line="237" w:lineRule="auto"/>
        <w:rPr>
          <w:sz w:val="20"/>
          <w:szCs w:val="20"/>
          <w:color w:val="auto"/>
        </w:rPr>
      </w:pPr>
      <w:r>
        <w:rPr>
          <w:rFonts w:ascii="Courier New" w:cs="Courier New" w:eastAsia="Courier New" w:hAnsi="Courier New"/>
          <w:sz w:val="15"/>
          <w:szCs w:val="15"/>
          <w:color w:val="auto"/>
        </w:rPr>
        <w:t>dividend rate; liquidation rights, preferences and price;</w:t>
      </w:r>
    </w:p>
    <w:p>
      <w:pPr>
        <w:ind w:left="980"/>
        <w:spacing w:after="0" w:line="238" w:lineRule="auto"/>
        <w:rPr>
          <w:sz w:val="20"/>
          <w:szCs w:val="20"/>
          <w:color w:val="auto"/>
        </w:rPr>
      </w:pPr>
      <w:r>
        <w:rPr>
          <w:rFonts w:ascii="Courier New" w:cs="Courier New" w:eastAsia="Courier New" w:hAnsi="Courier New"/>
          <w:sz w:val="15"/>
          <w:szCs w:val="15"/>
          <w:color w:val="auto"/>
        </w:rPr>
        <w:t>redemption rights and price; sinking fund requirements;</w:t>
      </w:r>
    </w:p>
    <w:p>
      <w:pPr>
        <w:ind w:left="980"/>
        <w:spacing w:after="0" w:line="238" w:lineRule="auto"/>
        <w:rPr>
          <w:sz w:val="20"/>
          <w:szCs w:val="20"/>
          <w:color w:val="auto"/>
        </w:rPr>
      </w:pPr>
      <w:r>
        <w:rPr>
          <w:rFonts w:ascii="Courier New" w:cs="Courier New" w:eastAsia="Courier New" w:hAnsi="Courier New"/>
          <w:sz w:val="15"/>
          <w:szCs w:val="15"/>
          <w:color w:val="auto"/>
        </w:rPr>
        <w:t>voting rights; pre-emptive rights; conversion rights;</w:t>
      </w:r>
    </w:p>
    <w:p>
      <w:pPr>
        <w:ind w:left="980"/>
        <w:spacing w:after="0" w:line="237" w:lineRule="auto"/>
        <w:rPr>
          <w:sz w:val="20"/>
          <w:szCs w:val="20"/>
          <w:color w:val="auto"/>
        </w:rPr>
      </w:pPr>
      <w:r>
        <w:rPr>
          <w:rFonts w:ascii="Courier New" w:cs="Courier New" w:eastAsia="Courier New" w:hAnsi="Courier New"/>
          <w:sz w:val="15"/>
          <w:szCs w:val="15"/>
          <w:color w:val="auto"/>
        </w:rPr>
        <w:t>restrictions on issuance of shares; and such other rights,</w:t>
      </w:r>
    </w:p>
    <w:p>
      <w:pPr>
        <w:ind w:left="980"/>
        <w:spacing w:after="0" w:line="238" w:lineRule="auto"/>
        <w:rPr>
          <w:sz w:val="20"/>
          <w:szCs w:val="20"/>
          <w:color w:val="auto"/>
        </w:rPr>
      </w:pPr>
      <w:r>
        <w:rPr>
          <w:rFonts w:ascii="Courier New" w:cs="Courier New" w:eastAsia="Courier New" w:hAnsi="Courier New"/>
          <w:sz w:val="15"/>
          <w:szCs w:val="15"/>
          <w:color w:val="auto"/>
        </w:rPr>
        <w:t>preferences and limitations as shall not be inconsistent</w:t>
      </w:r>
    </w:p>
    <w:p>
      <w:pPr>
        <w:ind w:left="980"/>
        <w:spacing w:after="0" w:line="237" w:lineRule="auto"/>
        <w:rPr>
          <w:sz w:val="20"/>
          <w:szCs w:val="20"/>
          <w:color w:val="auto"/>
        </w:rPr>
      </w:pPr>
      <w:r>
        <w:rPr>
          <w:rFonts w:ascii="Courier New" w:cs="Courier New" w:eastAsia="Courier New" w:hAnsi="Courier New"/>
          <w:sz w:val="15"/>
          <w:szCs w:val="15"/>
          <w:color w:val="auto"/>
        </w:rPr>
        <w:t>with this Article FOURTH.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proposed amendment to Article FOURTH of our Amended Articles of Incorporation requires the affirmative vote of the holders of a majority of our outstanding common shares on the Record Date. Proxies will be voted for adoption of the amendment unless contrary instructions are set forth on your proxy. Abstentions and broker non-votes will have the same legal effect as a vote against the proposed amendment. If adopted by the shareholders, the proposed amendment to Article FOURTH of the Amended Articles of Incorporation will</w:t>
      </w:r>
    </w:p>
    <w:p>
      <w:pPr>
        <w:ind w:left="3420"/>
        <w:spacing w:after="0" w:line="234" w:lineRule="auto"/>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become effective as soon as it is filed with the Secretary of State of the State of Ohio, which the Company expects to occur as soon as practical after the Annual Meeting.</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YOUR BOARD OF DIRECTORS RECOMMENDS A VOTE FOR ADOPTION OF THE AMENDMENT TO ARTICLE FOURTH OF OUR AMENDED ARTICLES OF INCORPORATION.</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PROPOSAL NO. 3</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Technology, and particularly the Internet or worldwide web, has dramatically changed the way people communicate. Traditional methods of communication involve paper delivery of documents and "physical" meeting places. However, electronic communication is rapidly replacing or supplementing paper document delivery, and companies now have the capability to conduct meetings and conferences through Internet-driven technologies. The following proposals are designed to allow us to take advantage of these new technologies in communicating with our shareholders.</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AMENDMENT OF OUR CODE OF REGULATIONS TO:</w:t>
      </w:r>
    </w:p>
    <w:p>
      <w:pPr>
        <w:spacing w:after="0" w:line="173" w:lineRule="exact"/>
        <w:rPr>
          <w:sz w:val="20"/>
          <w:szCs w:val="20"/>
          <w:color w:val="auto"/>
        </w:rPr>
      </w:pPr>
    </w:p>
    <w:p>
      <w:pPr>
        <w:ind w:left="1940" w:right="4799" w:hanging="443"/>
        <w:spacing w:after="0" w:line="261" w:lineRule="auto"/>
        <w:tabs>
          <w:tab w:leader="none" w:pos="1853"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APPOINTMENT OF SHAREHOLDER PROXIES IN ANY MANNER PERMITTED BY OHIO LAW;</w:t>
      </w:r>
    </w:p>
    <w:p>
      <w:pPr>
        <w:spacing w:after="0" w:line="159" w:lineRule="exact"/>
        <w:rPr>
          <w:rFonts w:ascii="Courier New" w:cs="Courier New" w:eastAsia="Courier New" w:hAnsi="Courier New"/>
          <w:sz w:val="14"/>
          <w:szCs w:val="14"/>
          <w:color w:val="auto"/>
        </w:rPr>
      </w:pPr>
    </w:p>
    <w:p>
      <w:pPr>
        <w:ind w:left="1840" w:right="4899" w:hanging="169"/>
        <w:spacing w:after="0" w:line="254" w:lineRule="auto"/>
        <w:tabs>
          <w:tab w:leader="none" w:pos="2102"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SHAREHOLDERS TO RECEIVE NOTICE OF SHAREHOLDER MEETINGS IN ANY MANNER</w:t>
      </w:r>
    </w:p>
    <w:p>
      <w:pPr>
        <w:ind w:left="23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PERMITTED BY OHIO LAW; AND</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(iii) ALLOW OUR SHAREHOLDER MEETINGS</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BE HELD IN ANY MANNER PERMITTED BY OHIO LAW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PROPOSAL</w:t>
      </w:r>
    </w:p>
    <w:p>
      <w:pPr>
        <w:spacing w:after="0" w:line="173" w:lineRule="exact"/>
        <w:rPr>
          <w:sz w:val="20"/>
          <w:szCs w:val="20"/>
          <w:color w:val="auto"/>
        </w:rPr>
      </w:pPr>
    </w:p>
    <w:p>
      <w:pPr>
        <w:ind w:left="800" w:right="4099" w:hanging="353"/>
        <w:spacing w:after="0" w:line="234" w:lineRule="auto"/>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OUR CODE OF REGULATIONS TO PERMIT APPOINTMENT OF SHAREHOLDER PROXIES IN ANY MANNER PERMITTED BY OHIO LAW.</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1.10 of the Company's Code of Regulations presently allows a shareholder to vote by proxy, if the proxy appointment is in writing and signed by the shareholder. Effective September 13, 1999, the Ohio General Corporation Law was amended to expand the methods that a shareholder can use to appoint a proxy. The Ohio General Corporation Law now permits a shareholder to appoint a proxy by any verifiable communication authorized by the person appointing the proxy. Any transmission that creates a record capable of authentication that appears to have been transmitted by the person appointing a proxy is permitted, and would include electronic mail and telephone, as well as traditional written proxies. The Company's Code of Regulations currently does not expressly provide for shareholder appointment of a proxy by electronic mail, telephone or other electronic media. The amendment to Section 1.10 would clarify and confirm that shareholders are expressly authorized to utilize the more modern forms of proxy appointment now permitted by the Ohio General Corporation Law.</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of the Company has approved, and recommends that the shareholders of the Company adopt, an amendment to Section 1.10 of the Code of Regulations to permit a shareholder to use electronic mail, telephone and other methods to appoint a proxy. The proposed amendment would expressly provide that a shareholder could appoint a proxy by any method authorized by Ohio law. Adoption of the proposed amendment is being sought because the Ohio General Corporation Law and the Company's Code of Regulations require the adoption by the shareholders of any amendment to the Code of Regulations.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text of Section 1.10 would read as follows:</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Section 1.10. Proxies. At meetings of the</w:t>
      </w:r>
    </w:p>
    <w:p>
      <w:pPr>
        <w:ind w:left="980"/>
        <w:spacing w:after="0" w:line="237" w:lineRule="auto"/>
        <w:rPr>
          <w:sz w:val="20"/>
          <w:szCs w:val="20"/>
          <w:color w:val="auto"/>
        </w:rPr>
      </w:pPr>
      <w:r>
        <w:rPr>
          <w:rFonts w:ascii="Courier New" w:cs="Courier New" w:eastAsia="Courier New" w:hAnsi="Courier New"/>
          <w:sz w:val="15"/>
          <w:szCs w:val="15"/>
          <w:color w:val="auto"/>
        </w:rPr>
        <w:t>shareholders, any shareholder of record entitled to vote</w:t>
      </w:r>
    </w:p>
    <w:p>
      <w:pPr>
        <w:ind w:left="980"/>
        <w:spacing w:after="0" w:line="238" w:lineRule="auto"/>
        <w:rPr>
          <w:sz w:val="20"/>
          <w:szCs w:val="20"/>
          <w:color w:val="auto"/>
        </w:rPr>
      </w:pPr>
      <w:r>
        <w:rPr>
          <w:rFonts w:ascii="Courier New" w:cs="Courier New" w:eastAsia="Courier New" w:hAnsi="Courier New"/>
          <w:sz w:val="15"/>
          <w:szCs w:val="15"/>
          <w:color w:val="auto"/>
        </w:rPr>
        <w:t>thereat may be represented and may vote by proxy or</w:t>
      </w:r>
    </w:p>
    <w:p>
      <w:pPr>
        <w:ind w:left="980"/>
        <w:spacing w:after="0" w:line="237" w:lineRule="auto"/>
        <w:rPr>
          <w:sz w:val="20"/>
          <w:szCs w:val="20"/>
          <w:color w:val="auto"/>
        </w:rPr>
      </w:pPr>
      <w:r>
        <w:rPr>
          <w:rFonts w:ascii="Courier New" w:cs="Courier New" w:eastAsia="Courier New" w:hAnsi="Courier New"/>
          <w:sz w:val="15"/>
          <w:szCs w:val="15"/>
          <w:color w:val="auto"/>
        </w:rPr>
        <w:t>proxies appointed by an instrument in writing signed by</w:t>
      </w:r>
    </w:p>
    <w:p>
      <w:pPr>
        <w:ind w:left="980"/>
        <w:spacing w:after="0" w:line="238" w:lineRule="auto"/>
        <w:rPr>
          <w:sz w:val="20"/>
          <w:szCs w:val="20"/>
          <w:color w:val="auto"/>
        </w:rPr>
      </w:pPr>
      <w:r>
        <w:rPr>
          <w:rFonts w:ascii="Courier New" w:cs="Courier New" w:eastAsia="Courier New" w:hAnsi="Courier New"/>
          <w:sz w:val="15"/>
          <w:szCs w:val="15"/>
          <w:color w:val="auto"/>
        </w:rPr>
        <w:t>such shareholder or appointed in any other manner</w:t>
      </w:r>
    </w:p>
    <w:p>
      <w:pPr>
        <w:ind w:left="980"/>
        <w:spacing w:after="0" w:line="237" w:lineRule="auto"/>
        <w:rPr>
          <w:sz w:val="20"/>
          <w:szCs w:val="20"/>
          <w:color w:val="auto"/>
        </w:rPr>
      </w:pPr>
      <w:r>
        <w:rPr>
          <w:rFonts w:ascii="Courier New" w:cs="Courier New" w:eastAsia="Courier New" w:hAnsi="Courier New"/>
          <w:sz w:val="15"/>
          <w:szCs w:val="15"/>
          <w:color w:val="auto"/>
        </w:rPr>
        <w:t>permitted by Ohio law. Any such instrument in writing or</w:t>
      </w:r>
    </w:p>
    <w:p>
      <w:pPr>
        <w:ind w:left="980"/>
        <w:spacing w:after="0" w:line="238" w:lineRule="auto"/>
        <w:rPr>
          <w:sz w:val="20"/>
          <w:szCs w:val="20"/>
          <w:color w:val="auto"/>
        </w:rPr>
      </w:pPr>
      <w:r>
        <w:rPr>
          <w:rFonts w:ascii="Courier New" w:cs="Courier New" w:eastAsia="Courier New" w:hAnsi="Courier New"/>
          <w:sz w:val="15"/>
          <w:szCs w:val="15"/>
          <w:color w:val="auto"/>
        </w:rPr>
        <w:t>record</w:t>
      </w:r>
    </w:p>
    <w:p>
      <w:pPr>
        <w:ind w:left="3420"/>
        <w:spacing w:after="0" w:line="237" w:lineRule="auto"/>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of any such appointment shall be filed with or received by</w:t>
      </w:r>
    </w:p>
    <w:p>
      <w:pPr>
        <w:ind w:left="980"/>
        <w:spacing w:after="0" w:line="237" w:lineRule="auto"/>
        <w:rPr>
          <w:sz w:val="20"/>
          <w:szCs w:val="20"/>
          <w:color w:val="auto"/>
        </w:rPr>
      </w:pPr>
      <w:r>
        <w:rPr>
          <w:rFonts w:ascii="Courier New" w:cs="Courier New" w:eastAsia="Courier New" w:hAnsi="Courier New"/>
          <w:sz w:val="15"/>
          <w:szCs w:val="15"/>
          <w:color w:val="auto"/>
        </w:rPr>
        <w:t>the secretary of the meeting before the person holding</w:t>
      </w:r>
    </w:p>
    <w:p>
      <w:pPr>
        <w:ind w:left="980"/>
        <w:spacing w:after="0" w:line="238" w:lineRule="auto"/>
        <w:rPr>
          <w:sz w:val="20"/>
          <w:szCs w:val="20"/>
          <w:color w:val="auto"/>
        </w:rPr>
      </w:pPr>
      <w:r>
        <w:rPr>
          <w:rFonts w:ascii="Courier New" w:cs="Courier New" w:eastAsia="Courier New" w:hAnsi="Courier New"/>
          <w:sz w:val="15"/>
          <w:szCs w:val="15"/>
          <w:color w:val="auto"/>
        </w:rPr>
        <w:t>such proxy shall be allowed to vote thereunder. No</w:t>
      </w:r>
    </w:p>
    <w:p>
      <w:pPr>
        <w:ind w:left="980"/>
        <w:spacing w:after="0" w:line="237" w:lineRule="auto"/>
        <w:rPr>
          <w:sz w:val="20"/>
          <w:szCs w:val="20"/>
          <w:color w:val="auto"/>
        </w:rPr>
      </w:pPr>
      <w:r>
        <w:rPr>
          <w:rFonts w:ascii="Courier New" w:cs="Courier New" w:eastAsia="Courier New" w:hAnsi="Courier New"/>
          <w:sz w:val="15"/>
          <w:szCs w:val="15"/>
          <w:color w:val="auto"/>
        </w:rPr>
        <w:t>appointment of a proxy is valid after the expiration of</w:t>
      </w:r>
    </w:p>
    <w:p>
      <w:pPr>
        <w:ind w:left="980"/>
        <w:spacing w:after="0" w:line="238" w:lineRule="auto"/>
        <w:rPr>
          <w:sz w:val="20"/>
          <w:szCs w:val="20"/>
          <w:color w:val="auto"/>
        </w:rPr>
      </w:pPr>
      <w:r>
        <w:rPr>
          <w:rFonts w:ascii="Courier New" w:cs="Courier New" w:eastAsia="Courier New" w:hAnsi="Courier New"/>
          <w:sz w:val="15"/>
          <w:szCs w:val="15"/>
          <w:color w:val="auto"/>
        </w:rPr>
        <w:t>eleven months after it is made unless the writing or other</w:t>
      </w:r>
    </w:p>
    <w:p>
      <w:pPr>
        <w:ind w:left="980"/>
        <w:spacing w:after="0" w:line="237" w:lineRule="auto"/>
        <w:rPr>
          <w:sz w:val="20"/>
          <w:szCs w:val="20"/>
          <w:color w:val="auto"/>
        </w:rPr>
      </w:pPr>
      <w:r>
        <w:rPr>
          <w:rFonts w:ascii="Courier New" w:cs="Courier New" w:eastAsia="Courier New" w:hAnsi="Courier New"/>
          <w:sz w:val="15"/>
          <w:szCs w:val="15"/>
          <w:color w:val="auto"/>
        </w:rPr>
        <w:t>communication which appoints such proxy specifies the date</w:t>
      </w:r>
    </w:p>
    <w:p>
      <w:pPr>
        <w:ind w:left="980"/>
        <w:spacing w:after="0" w:line="238" w:lineRule="auto"/>
        <w:rPr>
          <w:sz w:val="20"/>
          <w:szCs w:val="20"/>
          <w:color w:val="auto"/>
        </w:rPr>
      </w:pPr>
      <w:r>
        <w:rPr>
          <w:rFonts w:ascii="Courier New" w:cs="Courier New" w:eastAsia="Courier New" w:hAnsi="Courier New"/>
          <w:sz w:val="15"/>
          <w:szCs w:val="15"/>
          <w:color w:val="auto"/>
        </w:rPr>
        <w:t>on which it is to expire or the length of time it is to</w:t>
      </w:r>
    </w:p>
    <w:p>
      <w:pPr>
        <w:ind w:left="980"/>
        <w:spacing w:after="0" w:line="237" w:lineRule="auto"/>
        <w:rPr>
          <w:sz w:val="20"/>
          <w:szCs w:val="20"/>
          <w:color w:val="auto"/>
        </w:rPr>
      </w:pPr>
      <w:r>
        <w:rPr>
          <w:rFonts w:ascii="Courier New" w:cs="Courier New" w:eastAsia="Courier New" w:hAnsi="Courier New"/>
          <w:sz w:val="15"/>
          <w:szCs w:val="15"/>
          <w:color w:val="auto"/>
        </w:rPr>
        <w:t>continue in force.</w:t>
      </w:r>
    </w:p>
    <w:p>
      <w:pPr>
        <w:spacing w:after="0" w:line="174" w:lineRule="exact"/>
        <w:rPr>
          <w:sz w:val="20"/>
          <w:szCs w:val="20"/>
          <w:color w:val="auto"/>
        </w:rPr>
      </w:pPr>
    </w:p>
    <w:p>
      <w:pPr>
        <w:ind w:left="880" w:right="3239" w:hanging="433"/>
        <w:spacing w:after="0" w:line="261" w:lineRule="auto"/>
        <w:tabs>
          <w:tab w:leader="none" w:pos="8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OUR CODE OF REGULATIONS TO PERMIT SHAREHOLDERS TO RECEIVE NOTICE OF SHAREHOLDER MEETINGS IN ANY MANNER PERMITTED BY OHIO LAW.</w:t>
      </w:r>
    </w:p>
    <w:p>
      <w:pPr>
        <w:spacing w:after="0" w:line="16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1.04 of the Company's Code of Regulations presently requires that written notice of shareholders' meetings be given either by "personal delivery or by mail". Amendments to the Ohio General Corporation Law are being considered which would expand the methods by which a shareholder may receive notice of meetings, to include notices via personal delivery, mail, overnight delivery service, or any other means of communication authorized by the shareholder to whom the notice is given. Under federal securities laws and regulations, electronic delivery of proxy soliciting materials (including meeting notices) may be substituted for paper delivery if a shareholder consents to the electronic delivery. The Company's Code of Regulations currently does not authorize a shareholder to receive notices by e-mail or electronic media, should the Ohio General Corporation Law permit that form of delivery. The amendment to Section 1.04 would allow shareholders to receive notices in any manner permitted by Ohio law.</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of the Company has approved, and recommends that the shareholders of the Company adopt, an amendment to Section 1.04 of the Code of Regulations that would allow notices of meetings to shareholders to be given in any manner permitted by Ohio law. Adoption of the proposed amendment is being sought because the Ohio General Corporation Law and the Company's Code of Regulations require the adoption by the shareholders of any amendment to the Code of Regulations.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text of Section 1.04 would read as follows: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Section 1.04. Notice of Meetings. (A) Written notice</w:t>
      </w:r>
    </w:p>
    <w:p>
      <w:pPr>
        <w:ind w:left="980"/>
        <w:spacing w:after="0" w:line="237" w:lineRule="auto"/>
        <w:rPr>
          <w:sz w:val="20"/>
          <w:szCs w:val="20"/>
          <w:color w:val="auto"/>
        </w:rPr>
      </w:pPr>
      <w:r>
        <w:rPr>
          <w:rFonts w:ascii="Courier New" w:cs="Courier New" w:eastAsia="Courier New" w:hAnsi="Courier New"/>
          <w:sz w:val="15"/>
          <w:szCs w:val="15"/>
          <w:color w:val="auto"/>
        </w:rPr>
        <w:t>stating the time, place, if any, and purposes of a meeting</w:t>
      </w:r>
    </w:p>
    <w:p>
      <w:pPr>
        <w:ind w:left="980"/>
        <w:spacing w:after="0" w:line="238" w:lineRule="auto"/>
        <w:rPr>
          <w:sz w:val="20"/>
          <w:szCs w:val="20"/>
          <w:color w:val="auto"/>
        </w:rPr>
      </w:pPr>
      <w:r>
        <w:rPr>
          <w:rFonts w:ascii="Courier New" w:cs="Courier New" w:eastAsia="Courier New" w:hAnsi="Courier New"/>
          <w:sz w:val="15"/>
          <w:szCs w:val="15"/>
          <w:color w:val="auto"/>
        </w:rPr>
        <w:t>of the shareholders, and any other matters related to the</w:t>
      </w:r>
    </w:p>
    <w:p>
      <w:pPr>
        <w:ind w:left="980"/>
        <w:spacing w:after="0" w:line="237" w:lineRule="auto"/>
        <w:rPr>
          <w:sz w:val="20"/>
          <w:szCs w:val="20"/>
          <w:color w:val="auto"/>
        </w:rPr>
      </w:pPr>
      <w:r>
        <w:rPr>
          <w:rFonts w:ascii="Courier New" w:cs="Courier New" w:eastAsia="Courier New" w:hAnsi="Courier New"/>
          <w:sz w:val="15"/>
          <w:szCs w:val="15"/>
          <w:color w:val="auto"/>
        </w:rPr>
        <w:t>conduct of the meeting required by Ohio law to be</w:t>
      </w:r>
    </w:p>
    <w:p>
      <w:pPr>
        <w:ind w:left="980"/>
        <w:spacing w:after="0" w:line="238" w:lineRule="auto"/>
        <w:rPr>
          <w:sz w:val="20"/>
          <w:szCs w:val="20"/>
          <w:color w:val="auto"/>
        </w:rPr>
      </w:pPr>
      <w:r>
        <w:rPr>
          <w:rFonts w:ascii="Courier New" w:cs="Courier New" w:eastAsia="Courier New" w:hAnsi="Courier New"/>
          <w:sz w:val="15"/>
          <w:szCs w:val="15"/>
          <w:color w:val="auto"/>
        </w:rPr>
        <w:t>specified, shall be given by personal delivery, by mail or</w:t>
      </w:r>
    </w:p>
    <w:p>
      <w:pPr>
        <w:ind w:left="980"/>
        <w:spacing w:after="0" w:line="237" w:lineRule="auto"/>
        <w:rPr>
          <w:sz w:val="20"/>
          <w:szCs w:val="20"/>
          <w:color w:val="auto"/>
        </w:rPr>
      </w:pPr>
      <w:r>
        <w:rPr>
          <w:rFonts w:ascii="Courier New" w:cs="Courier New" w:eastAsia="Courier New" w:hAnsi="Courier New"/>
          <w:sz w:val="15"/>
          <w:szCs w:val="15"/>
          <w:color w:val="auto"/>
        </w:rPr>
        <w:t>by any other means of delivery or communication permitted</w:t>
      </w:r>
    </w:p>
    <w:p>
      <w:pPr>
        <w:ind w:left="980"/>
        <w:spacing w:after="0" w:line="238" w:lineRule="auto"/>
        <w:rPr>
          <w:sz w:val="20"/>
          <w:szCs w:val="20"/>
          <w:color w:val="auto"/>
        </w:rPr>
      </w:pPr>
      <w:r>
        <w:rPr>
          <w:rFonts w:ascii="Courier New" w:cs="Courier New" w:eastAsia="Courier New" w:hAnsi="Courier New"/>
          <w:sz w:val="15"/>
          <w:szCs w:val="15"/>
          <w:color w:val="auto"/>
        </w:rPr>
        <w:t>by Ohio law. Any such notice shall be given not less than</w:t>
      </w:r>
    </w:p>
    <w:p>
      <w:pPr>
        <w:ind w:left="980"/>
        <w:spacing w:after="0" w:line="237" w:lineRule="auto"/>
        <w:rPr>
          <w:sz w:val="20"/>
          <w:szCs w:val="20"/>
          <w:color w:val="auto"/>
        </w:rPr>
      </w:pPr>
      <w:r>
        <w:rPr>
          <w:rFonts w:ascii="Courier New" w:cs="Courier New" w:eastAsia="Courier New" w:hAnsi="Courier New"/>
          <w:sz w:val="15"/>
          <w:szCs w:val="15"/>
          <w:color w:val="auto"/>
        </w:rPr>
        <w:t>seven nor more than sixty days before the date of the</w:t>
      </w:r>
    </w:p>
    <w:p>
      <w:pPr>
        <w:ind w:left="980"/>
        <w:spacing w:after="0" w:line="238" w:lineRule="auto"/>
        <w:rPr>
          <w:sz w:val="20"/>
          <w:szCs w:val="20"/>
          <w:color w:val="auto"/>
        </w:rPr>
      </w:pPr>
      <w:r>
        <w:rPr>
          <w:rFonts w:ascii="Courier New" w:cs="Courier New" w:eastAsia="Courier New" w:hAnsi="Courier New"/>
          <w:sz w:val="15"/>
          <w:szCs w:val="15"/>
          <w:color w:val="auto"/>
        </w:rPr>
        <w:t>meeting, (1) to every shareholder of record entitled to</w:t>
      </w:r>
    </w:p>
    <w:p>
      <w:pPr>
        <w:ind w:left="980"/>
        <w:spacing w:after="0" w:line="238" w:lineRule="auto"/>
        <w:rPr>
          <w:sz w:val="20"/>
          <w:szCs w:val="20"/>
          <w:color w:val="auto"/>
        </w:rPr>
      </w:pPr>
      <w:r>
        <w:rPr>
          <w:rFonts w:ascii="Courier New" w:cs="Courier New" w:eastAsia="Courier New" w:hAnsi="Courier New"/>
          <w:sz w:val="15"/>
          <w:szCs w:val="15"/>
          <w:color w:val="auto"/>
        </w:rPr>
        <w:t>notice of the meeting, (2) by or at the direction of the</w:t>
      </w:r>
    </w:p>
    <w:p>
      <w:pPr>
        <w:ind w:left="980"/>
        <w:spacing w:after="0" w:line="237" w:lineRule="auto"/>
        <w:rPr>
          <w:sz w:val="20"/>
          <w:szCs w:val="20"/>
          <w:color w:val="auto"/>
        </w:rPr>
      </w:pPr>
      <w:r>
        <w:rPr>
          <w:rFonts w:ascii="Courier New" w:cs="Courier New" w:eastAsia="Courier New" w:hAnsi="Courier New"/>
          <w:sz w:val="15"/>
          <w:szCs w:val="15"/>
          <w:color w:val="auto"/>
        </w:rPr>
        <w:t>chairman of the board, the president or the secretary. If</w:t>
      </w:r>
    </w:p>
    <w:p>
      <w:pPr>
        <w:ind w:left="980"/>
        <w:spacing w:after="0" w:line="238" w:lineRule="auto"/>
        <w:rPr>
          <w:sz w:val="20"/>
          <w:szCs w:val="20"/>
          <w:color w:val="auto"/>
        </w:rPr>
      </w:pPr>
      <w:r>
        <w:rPr>
          <w:rFonts w:ascii="Courier New" w:cs="Courier New" w:eastAsia="Courier New" w:hAnsi="Courier New"/>
          <w:sz w:val="15"/>
          <w:szCs w:val="15"/>
          <w:color w:val="auto"/>
        </w:rPr>
        <w:t>mailed or sent by a delivery service permitted by Ohio</w:t>
      </w:r>
    </w:p>
    <w:p>
      <w:pPr>
        <w:ind w:left="980"/>
        <w:spacing w:after="0" w:line="237" w:lineRule="auto"/>
        <w:rPr>
          <w:sz w:val="20"/>
          <w:szCs w:val="20"/>
          <w:color w:val="auto"/>
        </w:rPr>
      </w:pPr>
      <w:r>
        <w:rPr>
          <w:rFonts w:ascii="Courier New" w:cs="Courier New" w:eastAsia="Courier New" w:hAnsi="Courier New"/>
          <w:sz w:val="15"/>
          <w:szCs w:val="15"/>
          <w:color w:val="auto"/>
        </w:rPr>
        <w:t>law, the notice shall be sent to the shareholder at the</w:t>
      </w:r>
    </w:p>
    <w:p>
      <w:pPr>
        <w:ind w:left="980"/>
        <w:spacing w:after="0" w:line="238" w:lineRule="auto"/>
        <w:rPr>
          <w:sz w:val="20"/>
          <w:szCs w:val="20"/>
          <w:color w:val="auto"/>
        </w:rPr>
      </w:pPr>
      <w:r>
        <w:rPr>
          <w:rFonts w:ascii="Courier New" w:cs="Courier New" w:eastAsia="Courier New" w:hAnsi="Courier New"/>
          <w:sz w:val="15"/>
          <w:szCs w:val="15"/>
          <w:color w:val="auto"/>
        </w:rPr>
        <w:t>shareholder's address as it appears on the records of the</w:t>
      </w:r>
    </w:p>
    <w:p>
      <w:pPr>
        <w:ind w:left="980"/>
        <w:spacing w:after="0" w:line="237" w:lineRule="auto"/>
        <w:rPr>
          <w:sz w:val="20"/>
          <w:szCs w:val="20"/>
          <w:color w:val="auto"/>
        </w:rPr>
      </w:pPr>
      <w:r>
        <w:rPr>
          <w:rFonts w:ascii="Courier New" w:cs="Courier New" w:eastAsia="Courier New" w:hAnsi="Courier New"/>
          <w:sz w:val="15"/>
          <w:szCs w:val="15"/>
          <w:color w:val="auto"/>
        </w:rPr>
        <w:t>corporation. If transmitted by another means of</w:t>
      </w:r>
    </w:p>
    <w:p>
      <w:pPr>
        <w:ind w:left="980"/>
        <w:spacing w:after="0" w:line="238" w:lineRule="auto"/>
        <w:rPr>
          <w:sz w:val="20"/>
          <w:szCs w:val="20"/>
          <w:color w:val="auto"/>
        </w:rPr>
      </w:pPr>
      <w:r>
        <w:rPr>
          <w:rFonts w:ascii="Courier New" w:cs="Courier New" w:eastAsia="Courier New" w:hAnsi="Courier New"/>
          <w:sz w:val="15"/>
          <w:szCs w:val="15"/>
          <w:color w:val="auto"/>
        </w:rPr>
        <w:t>communications in the manner permitted by Ohio law, the</w:t>
      </w:r>
    </w:p>
    <w:p>
      <w:pPr>
        <w:ind w:left="980"/>
        <w:spacing w:after="0" w:line="238" w:lineRule="auto"/>
        <w:rPr>
          <w:sz w:val="20"/>
          <w:szCs w:val="20"/>
          <w:color w:val="auto"/>
        </w:rPr>
      </w:pPr>
      <w:r>
        <w:rPr>
          <w:rFonts w:ascii="Courier New" w:cs="Courier New" w:eastAsia="Courier New" w:hAnsi="Courier New"/>
          <w:sz w:val="15"/>
          <w:szCs w:val="15"/>
          <w:color w:val="auto"/>
        </w:rPr>
        <w:t>notice shall be transmitted to the address furnished by</w:t>
      </w:r>
    </w:p>
    <w:p>
      <w:pPr>
        <w:ind w:left="980"/>
        <w:spacing w:after="0" w:line="237" w:lineRule="auto"/>
        <w:rPr>
          <w:sz w:val="20"/>
          <w:szCs w:val="20"/>
          <w:color w:val="auto"/>
        </w:rPr>
      </w:pPr>
      <w:r>
        <w:rPr>
          <w:rFonts w:ascii="Courier New" w:cs="Courier New" w:eastAsia="Courier New" w:hAnsi="Courier New"/>
          <w:sz w:val="15"/>
          <w:szCs w:val="15"/>
          <w:color w:val="auto"/>
        </w:rPr>
        <w:t>the shareholder for such transmissions. Notice of</w:t>
      </w:r>
    </w:p>
    <w:p>
      <w:pPr>
        <w:ind w:left="980"/>
        <w:spacing w:after="0" w:line="238" w:lineRule="auto"/>
        <w:rPr>
          <w:sz w:val="20"/>
          <w:szCs w:val="20"/>
          <w:color w:val="auto"/>
        </w:rPr>
      </w:pPr>
      <w:r>
        <w:rPr>
          <w:rFonts w:ascii="Courier New" w:cs="Courier New" w:eastAsia="Courier New" w:hAnsi="Courier New"/>
          <w:sz w:val="15"/>
          <w:szCs w:val="15"/>
          <w:color w:val="auto"/>
        </w:rPr>
        <w:t>adjournment of a meeting need not be given if the time and</w:t>
      </w:r>
    </w:p>
    <w:p>
      <w:pPr>
        <w:ind w:left="980"/>
        <w:spacing w:after="0" w:line="237" w:lineRule="auto"/>
        <w:rPr>
          <w:sz w:val="20"/>
          <w:szCs w:val="20"/>
          <w:color w:val="auto"/>
        </w:rPr>
      </w:pPr>
      <w:r>
        <w:rPr>
          <w:rFonts w:ascii="Courier New" w:cs="Courier New" w:eastAsia="Courier New" w:hAnsi="Courier New"/>
          <w:sz w:val="15"/>
          <w:szCs w:val="15"/>
          <w:color w:val="auto"/>
        </w:rPr>
        <w:t>place, if any, to which it is adjourned and any other</w:t>
      </w:r>
    </w:p>
    <w:p>
      <w:pPr>
        <w:ind w:left="980"/>
        <w:spacing w:after="0" w:line="238" w:lineRule="auto"/>
        <w:rPr>
          <w:sz w:val="20"/>
          <w:szCs w:val="20"/>
          <w:color w:val="auto"/>
        </w:rPr>
      </w:pPr>
      <w:r>
        <w:rPr>
          <w:rFonts w:ascii="Courier New" w:cs="Courier New" w:eastAsia="Courier New" w:hAnsi="Courier New"/>
          <w:sz w:val="15"/>
          <w:szCs w:val="15"/>
          <w:color w:val="auto"/>
        </w:rPr>
        <w:t>matters related to the conduct of the adjourned meeting</w:t>
      </w:r>
    </w:p>
    <w:p>
      <w:pPr>
        <w:ind w:left="980"/>
        <w:spacing w:after="0" w:line="237" w:lineRule="auto"/>
        <w:rPr>
          <w:sz w:val="20"/>
          <w:szCs w:val="20"/>
          <w:color w:val="auto"/>
        </w:rPr>
      </w:pPr>
      <w:r>
        <w:rPr>
          <w:rFonts w:ascii="Courier New" w:cs="Courier New" w:eastAsia="Courier New" w:hAnsi="Courier New"/>
          <w:sz w:val="15"/>
          <w:szCs w:val="15"/>
          <w:color w:val="auto"/>
        </w:rPr>
        <w:t>required by Ohio law to be specified, shall be fixed and</w:t>
      </w:r>
    </w:p>
    <w:p>
      <w:pPr>
        <w:ind w:left="980"/>
        <w:spacing w:after="0" w:line="238" w:lineRule="auto"/>
        <w:rPr>
          <w:sz w:val="20"/>
          <w:szCs w:val="20"/>
          <w:color w:val="auto"/>
        </w:rPr>
      </w:pPr>
      <w:r>
        <w:rPr>
          <w:rFonts w:ascii="Courier New" w:cs="Courier New" w:eastAsia="Courier New" w:hAnsi="Courier New"/>
          <w:sz w:val="15"/>
          <w:szCs w:val="15"/>
          <w:color w:val="auto"/>
        </w:rPr>
        <w:t>announced at such meeting. In the event of a transfer of</w:t>
      </w:r>
    </w:p>
    <w:p>
      <w:pPr>
        <w:ind w:left="980"/>
        <w:spacing w:after="0" w:line="238" w:lineRule="auto"/>
        <w:rPr>
          <w:sz w:val="20"/>
          <w:szCs w:val="20"/>
          <w:color w:val="auto"/>
        </w:rPr>
      </w:pPr>
      <w:r>
        <w:rPr>
          <w:rFonts w:ascii="Courier New" w:cs="Courier New" w:eastAsia="Courier New" w:hAnsi="Courier New"/>
          <w:sz w:val="15"/>
          <w:szCs w:val="15"/>
          <w:color w:val="auto"/>
        </w:rPr>
        <w:t>shares after the record date for determining the</w:t>
      </w:r>
    </w:p>
    <w:p>
      <w:pPr>
        <w:ind w:left="980"/>
        <w:spacing w:after="0" w:line="237" w:lineRule="auto"/>
        <w:rPr>
          <w:sz w:val="20"/>
          <w:szCs w:val="20"/>
          <w:color w:val="auto"/>
        </w:rPr>
      </w:pPr>
      <w:r>
        <w:rPr>
          <w:rFonts w:ascii="Courier New" w:cs="Courier New" w:eastAsia="Courier New" w:hAnsi="Courier New"/>
          <w:sz w:val="15"/>
          <w:szCs w:val="15"/>
          <w:color w:val="auto"/>
        </w:rPr>
        <w:t>shareholders who are entitled to receive notice of a</w:t>
      </w:r>
    </w:p>
    <w:p>
      <w:pPr>
        <w:ind w:left="980"/>
        <w:spacing w:after="0" w:line="238" w:lineRule="auto"/>
        <w:rPr>
          <w:sz w:val="20"/>
          <w:szCs w:val="20"/>
          <w:color w:val="auto"/>
        </w:rPr>
      </w:pPr>
      <w:r>
        <w:rPr>
          <w:rFonts w:ascii="Courier New" w:cs="Courier New" w:eastAsia="Courier New" w:hAnsi="Courier New"/>
          <w:sz w:val="15"/>
          <w:szCs w:val="15"/>
          <w:color w:val="auto"/>
        </w:rPr>
        <w:t>meeting of shareholders, it shall not be necessary to give</w:t>
      </w:r>
    </w:p>
    <w:p>
      <w:pPr>
        <w:ind w:left="980"/>
        <w:spacing w:after="0" w:line="237" w:lineRule="auto"/>
        <w:rPr>
          <w:sz w:val="20"/>
          <w:szCs w:val="20"/>
          <w:color w:val="auto"/>
        </w:rPr>
      </w:pPr>
      <w:r>
        <w:rPr>
          <w:rFonts w:ascii="Courier New" w:cs="Courier New" w:eastAsia="Courier New" w:hAnsi="Courier New"/>
          <w:sz w:val="15"/>
          <w:szCs w:val="15"/>
          <w:color w:val="auto"/>
        </w:rPr>
        <w:t>notice to the transferee. Nothing herein contained shall</w:t>
      </w:r>
    </w:p>
    <w:p>
      <w:pPr>
        <w:ind w:left="980"/>
        <w:spacing w:after="0" w:line="238" w:lineRule="auto"/>
        <w:rPr>
          <w:sz w:val="20"/>
          <w:szCs w:val="20"/>
          <w:color w:val="auto"/>
        </w:rPr>
      </w:pPr>
      <w:r>
        <w:rPr>
          <w:rFonts w:ascii="Courier New" w:cs="Courier New" w:eastAsia="Courier New" w:hAnsi="Courier New"/>
          <w:sz w:val="15"/>
          <w:szCs w:val="15"/>
          <w:color w:val="auto"/>
        </w:rPr>
        <w:t>prevent the setting of a record date in the manner</w:t>
      </w:r>
    </w:p>
    <w:p>
      <w:pPr>
        <w:ind w:left="980"/>
        <w:spacing w:after="0" w:line="237" w:lineRule="auto"/>
        <w:rPr>
          <w:sz w:val="20"/>
          <w:szCs w:val="20"/>
          <w:color w:val="auto"/>
        </w:rPr>
      </w:pPr>
      <w:r>
        <w:rPr>
          <w:rFonts w:ascii="Courier New" w:cs="Courier New" w:eastAsia="Courier New" w:hAnsi="Courier New"/>
          <w:sz w:val="15"/>
          <w:szCs w:val="15"/>
          <w:color w:val="auto"/>
        </w:rPr>
        <w:t>provided by law, the Articles or the Regulations for the</w:t>
      </w:r>
    </w:p>
    <w:p>
      <w:pPr>
        <w:ind w:left="980"/>
        <w:spacing w:after="0" w:line="238" w:lineRule="auto"/>
        <w:rPr>
          <w:sz w:val="20"/>
          <w:szCs w:val="20"/>
          <w:color w:val="auto"/>
        </w:rPr>
      </w:pPr>
      <w:r>
        <w:rPr>
          <w:rFonts w:ascii="Courier New" w:cs="Courier New" w:eastAsia="Courier New" w:hAnsi="Courier New"/>
          <w:sz w:val="15"/>
          <w:szCs w:val="15"/>
          <w:color w:val="auto"/>
        </w:rPr>
        <w:t>determination of shareholders who are entitled to receive</w:t>
      </w:r>
    </w:p>
    <w:p>
      <w:pPr>
        <w:ind w:left="980"/>
        <w:spacing w:after="0" w:line="238" w:lineRule="auto"/>
        <w:rPr>
          <w:sz w:val="20"/>
          <w:szCs w:val="20"/>
          <w:color w:val="auto"/>
        </w:rPr>
      </w:pPr>
      <w:r>
        <w:rPr>
          <w:rFonts w:ascii="Courier New" w:cs="Courier New" w:eastAsia="Courier New" w:hAnsi="Courier New"/>
          <w:sz w:val="15"/>
          <w:szCs w:val="15"/>
          <w:color w:val="auto"/>
        </w:rPr>
        <w:t>notice of or to vote at any meeting of shareholders or for</w:t>
      </w:r>
    </w:p>
    <w:p>
      <w:pPr>
        <w:ind w:left="980"/>
        <w:spacing w:after="0" w:line="237" w:lineRule="auto"/>
        <w:rPr>
          <w:sz w:val="20"/>
          <w:szCs w:val="20"/>
          <w:color w:val="auto"/>
        </w:rPr>
      </w:pPr>
      <w:r>
        <w:rPr>
          <w:rFonts w:ascii="Courier New" w:cs="Courier New" w:eastAsia="Courier New" w:hAnsi="Courier New"/>
          <w:sz w:val="15"/>
          <w:szCs w:val="15"/>
          <w:color w:val="auto"/>
        </w:rPr>
        <w:t>any purpose required or permitted by law.</w:t>
      </w:r>
    </w:p>
    <w:p>
      <w:pPr>
        <w:spacing w:after="0" w:line="167" w:lineRule="exact"/>
        <w:rPr>
          <w:sz w:val="20"/>
          <w:szCs w:val="20"/>
          <w:color w:val="auto"/>
        </w:rPr>
      </w:pPr>
    </w:p>
    <w:p>
      <w:pPr>
        <w:ind w:left="1680" w:hanging="358"/>
        <w:spacing w:after="0"/>
        <w:tabs>
          <w:tab w:leader="none" w:pos="16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receipt by the president or the</w:t>
      </w:r>
    </w:p>
    <w:p>
      <w:pPr>
        <w:spacing w:after="0" w:line="4" w:lineRule="exact"/>
        <w:rPr>
          <w:rFonts w:ascii="Courier New" w:cs="Courier New" w:eastAsia="Courier New" w:hAnsi="Courier New"/>
          <w:sz w:val="15"/>
          <w:szCs w:val="15"/>
          <w:color w:val="auto"/>
        </w:rPr>
      </w:pPr>
    </w:p>
    <w:p>
      <w:pPr>
        <w:ind w:left="980" w:right="42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secretary of a request in writing, specifying the purpose or purposes for which the persons properly making such request have called a meeting of shareholders, delivered either in person or by registered mail to such officer by any persons entitled to call a meeting of</w:t>
      </w:r>
    </w:p>
    <w:p>
      <w:pPr>
        <w:ind w:left="3420"/>
        <w:spacing w:after="0" w:line="233" w:lineRule="auto"/>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shareholders, such officer shall cause to be given to the</w:t>
      </w:r>
    </w:p>
    <w:p>
      <w:pPr>
        <w:ind w:left="980"/>
        <w:spacing w:after="0" w:line="237" w:lineRule="auto"/>
        <w:rPr>
          <w:sz w:val="20"/>
          <w:szCs w:val="20"/>
          <w:color w:val="auto"/>
        </w:rPr>
      </w:pPr>
      <w:r>
        <w:rPr>
          <w:rFonts w:ascii="Courier New" w:cs="Courier New" w:eastAsia="Courier New" w:hAnsi="Courier New"/>
          <w:sz w:val="15"/>
          <w:szCs w:val="15"/>
          <w:color w:val="auto"/>
        </w:rPr>
        <w:t>shareholders entitled to notice, notice of a meeting to be</w:t>
      </w:r>
    </w:p>
    <w:p>
      <w:pPr>
        <w:ind w:left="980"/>
        <w:spacing w:after="0" w:line="238" w:lineRule="auto"/>
        <w:rPr>
          <w:sz w:val="20"/>
          <w:szCs w:val="20"/>
          <w:color w:val="auto"/>
        </w:rPr>
      </w:pPr>
      <w:r>
        <w:rPr>
          <w:rFonts w:ascii="Courier New" w:cs="Courier New" w:eastAsia="Courier New" w:hAnsi="Courier New"/>
          <w:sz w:val="15"/>
          <w:szCs w:val="15"/>
          <w:color w:val="auto"/>
        </w:rPr>
        <w:t>held on a date not less than seven nor more than sixty</w:t>
      </w:r>
    </w:p>
    <w:p>
      <w:pPr>
        <w:ind w:left="980"/>
        <w:spacing w:after="0" w:line="237" w:lineRule="auto"/>
        <w:rPr>
          <w:sz w:val="20"/>
          <w:szCs w:val="20"/>
          <w:color w:val="auto"/>
        </w:rPr>
      </w:pPr>
      <w:r>
        <w:rPr>
          <w:rFonts w:ascii="Courier New" w:cs="Courier New" w:eastAsia="Courier New" w:hAnsi="Courier New"/>
          <w:sz w:val="15"/>
          <w:szCs w:val="15"/>
          <w:color w:val="auto"/>
        </w:rPr>
        <w:t>days after the receipt of the request, as the officer may</w:t>
      </w:r>
    </w:p>
    <w:p>
      <w:pPr>
        <w:ind w:left="980"/>
        <w:spacing w:after="0" w:line="238" w:lineRule="auto"/>
        <w:rPr>
          <w:sz w:val="20"/>
          <w:szCs w:val="20"/>
          <w:color w:val="auto"/>
        </w:rPr>
      </w:pPr>
      <w:r>
        <w:rPr>
          <w:rFonts w:ascii="Courier New" w:cs="Courier New" w:eastAsia="Courier New" w:hAnsi="Courier New"/>
          <w:sz w:val="15"/>
          <w:szCs w:val="15"/>
          <w:color w:val="auto"/>
        </w:rPr>
        <w:t>fix. If the notice is not given within fifteen days after</w:t>
      </w:r>
    </w:p>
    <w:p>
      <w:pPr>
        <w:ind w:left="980"/>
        <w:spacing w:after="0" w:line="237" w:lineRule="auto"/>
        <w:rPr>
          <w:sz w:val="20"/>
          <w:szCs w:val="20"/>
          <w:color w:val="auto"/>
        </w:rPr>
      </w:pPr>
      <w:r>
        <w:rPr>
          <w:rFonts w:ascii="Courier New" w:cs="Courier New" w:eastAsia="Courier New" w:hAnsi="Courier New"/>
          <w:sz w:val="15"/>
          <w:szCs w:val="15"/>
          <w:color w:val="auto"/>
        </w:rPr>
        <w:t>the receipt of the request by the president or the</w:t>
      </w:r>
    </w:p>
    <w:p>
      <w:pPr>
        <w:ind w:left="980"/>
        <w:spacing w:after="0" w:line="238" w:lineRule="auto"/>
        <w:rPr>
          <w:sz w:val="20"/>
          <w:szCs w:val="20"/>
          <w:color w:val="auto"/>
        </w:rPr>
      </w:pPr>
      <w:r>
        <w:rPr>
          <w:rFonts w:ascii="Courier New" w:cs="Courier New" w:eastAsia="Courier New" w:hAnsi="Courier New"/>
          <w:sz w:val="15"/>
          <w:szCs w:val="15"/>
          <w:color w:val="auto"/>
        </w:rPr>
        <w:t>secretary, then, and only then, the persons properly</w:t>
      </w:r>
    </w:p>
    <w:p>
      <w:pPr>
        <w:ind w:left="980"/>
        <w:spacing w:after="0" w:line="237" w:lineRule="auto"/>
        <w:rPr>
          <w:sz w:val="20"/>
          <w:szCs w:val="20"/>
          <w:color w:val="auto"/>
        </w:rPr>
      </w:pPr>
      <w:r>
        <w:rPr>
          <w:rFonts w:ascii="Courier New" w:cs="Courier New" w:eastAsia="Courier New" w:hAnsi="Courier New"/>
          <w:sz w:val="15"/>
          <w:szCs w:val="15"/>
          <w:color w:val="auto"/>
        </w:rPr>
        <w:t>calling the meeting may fix the time of meeting and give</w:t>
      </w:r>
    </w:p>
    <w:p>
      <w:pPr>
        <w:ind w:left="980"/>
        <w:spacing w:after="0" w:line="238" w:lineRule="auto"/>
        <w:rPr>
          <w:sz w:val="20"/>
          <w:szCs w:val="20"/>
          <w:color w:val="auto"/>
        </w:rPr>
      </w:pPr>
      <w:r>
        <w:rPr>
          <w:rFonts w:ascii="Courier New" w:cs="Courier New" w:eastAsia="Courier New" w:hAnsi="Courier New"/>
          <w:sz w:val="15"/>
          <w:szCs w:val="15"/>
          <w:color w:val="auto"/>
        </w:rPr>
        <w:t>notice on the time of meeting in accordance with the</w:t>
      </w:r>
    </w:p>
    <w:p>
      <w:pPr>
        <w:ind w:left="980"/>
        <w:spacing w:after="0" w:line="238" w:lineRule="auto"/>
        <w:rPr>
          <w:sz w:val="20"/>
          <w:szCs w:val="20"/>
          <w:color w:val="auto"/>
        </w:rPr>
      </w:pPr>
      <w:r>
        <w:rPr>
          <w:rFonts w:ascii="Courier New" w:cs="Courier New" w:eastAsia="Courier New" w:hAnsi="Courier New"/>
          <w:sz w:val="15"/>
          <w:szCs w:val="15"/>
          <w:color w:val="auto"/>
        </w:rPr>
        <w:t>provisions of the Regulations.</w:t>
      </w:r>
    </w:p>
    <w:p>
      <w:pPr>
        <w:spacing w:after="0" w:line="173" w:lineRule="exact"/>
        <w:rPr>
          <w:sz w:val="20"/>
          <w:szCs w:val="20"/>
          <w:color w:val="auto"/>
        </w:rPr>
      </w:pPr>
    </w:p>
    <w:p>
      <w:pPr>
        <w:ind w:left="980" w:right="3939" w:hanging="533"/>
        <w:spacing w:after="0" w:line="261" w:lineRule="auto"/>
        <w:tabs>
          <w:tab w:leader="none" w:pos="9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OUR CODE OF REGULATIONS TO ALLOW FOR SHAREHOLDER MEETINGS TO BE HELD IN ANY MANNER PERMITTED BY OHIO LAW.</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1.03 of the Company's Code of Regulations presently provides that meetings of shareholders must be held at a specified physical "place" within or outside of the State of Ohio. Amendments to the Ohio General Corporation Law are being considered which would expand the methods by which shareholder meetings may be conducted, including through communications equipment or via worldwide web or Internet simulcasting, called "webcasting". In any case, shareholders would have the opportunity to participate in the meeting and to vote on matters submitted to the shareholders. Even if individual shareholders do not have access to the Internet, locations would be identified, such as the Company's principal business offices, where free access to the broadcast would be offered to shareholders. The amendment to Section 1.03 would allow meetings to be held in any manner authorized by the Board of Directors and permitted by Ohio law.</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of the Company has approved, and recommends that the shareholders of the Company adopt, an amendment to Section 1.03 of the Code of Regulations, which would allow meetings of shareholders to be held in any manner authorized by the Board of Directors and permitted by Ohio law. Adoption of the proposed amendment is being sought because the Ohio General Corporation Law and the Company's Code of Regulations require the adoption by the shareholders of any amendment to the Code of Regulations.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text of Section 1.03 would read as follows: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Section 1.03. Place of Meetings. Meetings of</w:t>
      </w:r>
    </w:p>
    <w:p>
      <w:pPr>
        <w:ind w:left="980"/>
        <w:spacing w:after="0" w:line="237" w:lineRule="auto"/>
        <w:rPr>
          <w:sz w:val="20"/>
          <w:szCs w:val="20"/>
          <w:color w:val="auto"/>
        </w:rPr>
      </w:pPr>
      <w:r>
        <w:rPr>
          <w:rFonts w:ascii="Courier New" w:cs="Courier New" w:eastAsia="Courier New" w:hAnsi="Courier New"/>
          <w:sz w:val="15"/>
          <w:szCs w:val="15"/>
          <w:color w:val="auto"/>
        </w:rPr>
        <w:t>shareholders may be held either within or outside the</w:t>
      </w:r>
    </w:p>
    <w:p>
      <w:pPr>
        <w:ind w:left="980"/>
        <w:spacing w:after="0" w:line="238" w:lineRule="auto"/>
        <w:rPr>
          <w:sz w:val="20"/>
          <w:szCs w:val="20"/>
          <w:color w:val="auto"/>
        </w:rPr>
      </w:pPr>
      <w:r>
        <w:rPr>
          <w:rFonts w:ascii="Courier New" w:cs="Courier New" w:eastAsia="Courier New" w:hAnsi="Courier New"/>
          <w:sz w:val="15"/>
          <w:szCs w:val="15"/>
          <w:color w:val="auto"/>
        </w:rPr>
        <w:t>State of Ohio. Meetings of shareholders may be held in any</w:t>
      </w:r>
    </w:p>
    <w:p>
      <w:pPr>
        <w:ind w:left="980"/>
        <w:spacing w:after="0" w:line="237" w:lineRule="auto"/>
        <w:rPr>
          <w:sz w:val="20"/>
          <w:szCs w:val="20"/>
          <w:color w:val="auto"/>
        </w:rPr>
      </w:pPr>
      <w:r>
        <w:rPr>
          <w:rFonts w:ascii="Courier New" w:cs="Courier New" w:eastAsia="Courier New" w:hAnsi="Courier New"/>
          <w:sz w:val="15"/>
          <w:szCs w:val="15"/>
          <w:color w:val="auto"/>
        </w:rPr>
        <w:t>manner or place determined by the Board of Directors and</w:t>
      </w:r>
    </w:p>
    <w:p>
      <w:pPr>
        <w:ind w:left="980"/>
        <w:spacing w:after="0" w:line="238" w:lineRule="auto"/>
        <w:rPr>
          <w:sz w:val="20"/>
          <w:szCs w:val="20"/>
          <w:color w:val="auto"/>
        </w:rPr>
      </w:pPr>
      <w:r>
        <w:rPr>
          <w:rFonts w:ascii="Courier New" w:cs="Courier New" w:eastAsia="Courier New" w:hAnsi="Courier New"/>
          <w:sz w:val="15"/>
          <w:szCs w:val="15"/>
          <w:color w:val="auto"/>
        </w:rPr>
        <w:t>permitted by Ohio law.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proposed amendments to Sections 1.03, 1.04 and 1.10 of our Code of Regulations require the affirmative vote of the holders of a majority of our outstanding common shares on the Record Date. Proxies will be voted for the amendments unless contrary instructions are set forth on your proxy. Abstentions and broker non-votes will have the same legal effect as a vote against the proposed amendments. If adopted by the shareholders, the proposed amendments to the Code of Regulations will become effective immediately without any additional action by the Company.</w:t>
      </w:r>
    </w:p>
    <w:p>
      <w:pPr>
        <w:spacing w:after="0" w:line="177"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YOUR BOARD OF DIRECTORS RECOMMENDS A VOTE FOR ADOPTION OF THE AMENDMENTS TO SECTIONS 1.03, 1.04 AND 1.10 OF OUR CODE OF REGULATIONS.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4</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AMENDMENT OF OUR CODE OF REGULATIONS</w:t>
      </w:r>
    </w:p>
    <w:p>
      <w:pPr>
        <w:ind w:left="1320"/>
        <w:spacing w:after="0" w:line="237" w:lineRule="auto"/>
        <w:rPr>
          <w:sz w:val="20"/>
          <w:szCs w:val="20"/>
          <w:color w:val="auto"/>
        </w:rPr>
      </w:pPr>
      <w:r>
        <w:rPr>
          <w:rFonts w:ascii="Courier New" w:cs="Courier New" w:eastAsia="Courier New" w:hAnsi="Courier New"/>
          <w:sz w:val="15"/>
          <w:szCs w:val="15"/>
          <w:color w:val="auto"/>
        </w:rPr>
        <w:t>TO CLARIFY AND SEPARATE THE ROLES OF THE OFFICERS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PROPOSAL</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Sections 3.03 and 3.04 of our Code of Regulations provide that the Chairman of the Board of the Company must also be its Chief Executive Officer and that the President of the Company must also be its Chief Operating Officer. We would like our Board of Directors to have the flexibility to assign separate titles to senior management of the Company, if the Company's needs would be best served by members of management having separate areas of responsibility.</w:t>
      </w:r>
    </w:p>
    <w:p>
      <w:pPr>
        <w:ind w:left="3420"/>
        <w:spacing w:after="0" w:line="233" w:lineRule="auto"/>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8" w:name="page19"/>
    <w:bookmarkEnd w:id="18"/>
    <w:p>
      <w:pPr>
        <w:jc w:val="center"/>
        <w:ind w:right="9539"/>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We are asking our shareholders to adopt amendments to our Code of Regulations to create a separate office for the Chief Executive Officer and to clarify the duties of each of the Chairman of the Board and the President. Specifically, our Board of Directors proposes that Article THREE of our Code of Regulations be amended to: (i) insert the words "chief executive officer," between the words "chairman of the board," and "a president" in Section 3.01;</w:t>
      </w:r>
    </w:p>
    <w:p>
      <w:pPr>
        <w:spacing w:after="0" w:line="2" w:lineRule="exact"/>
        <w:rPr>
          <w:sz w:val="20"/>
          <w:szCs w:val="20"/>
          <w:color w:val="auto"/>
        </w:rPr>
      </w:pPr>
    </w:p>
    <w:p>
      <w:pPr>
        <w:ind w:right="3499" w:firstLine="10"/>
        <w:spacing w:after="0" w:line="255" w:lineRule="auto"/>
        <w:tabs>
          <w:tab w:leader="none" w:pos="43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delete current Sections 3.03 and 3.04 and replace them in their entirety with the following Sections 3.03, 3.04 and 3.05; and (iii) renumber existing Sections 3.05, 3.06 and 3.07 as Sections 3.06, 3.07 and 3.08, respectively. Adoption of the proposed amendments is being sought because the Ohio General Corporation Law and the Company's Code of Regulations require the adoption by the shareholders of any amendment to the Code of Regulations.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text of new Sections 3.03, 3.04 and 3.05 would read as follows: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Section 3.03. Duties of the Chairman of the</w:t>
      </w:r>
    </w:p>
    <w:p>
      <w:pPr>
        <w:ind w:left="980"/>
        <w:spacing w:after="0" w:line="237" w:lineRule="auto"/>
        <w:rPr>
          <w:sz w:val="20"/>
          <w:szCs w:val="20"/>
          <w:color w:val="auto"/>
        </w:rPr>
      </w:pPr>
      <w:r>
        <w:rPr>
          <w:rFonts w:ascii="Courier New" w:cs="Courier New" w:eastAsia="Courier New" w:hAnsi="Courier New"/>
          <w:sz w:val="15"/>
          <w:szCs w:val="15"/>
          <w:color w:val="auto"/>
        </w:rPr>
        <w:t>Board. The chairman of the board, if there shall be such</w:t>
      </w:r>
    </w:p>
    <w:p>
      <w:pPr>
        <w:ind w:left="980"/>
        <w:spacing w:after="0" w:line="238" w:lineRule="auto"/>
        <w:rPr>
          <w:sz w:val="20"/>
          <w:szCs w:val="20"/>
          <w:color w:val="auto"/>
        </w:rPr>
      </w:pPr>
      <w:r>
        <w:rPr>
          <w:rFonts w:ascii="Courier New" w:cs="Courier New" w:eastAsia="Courier New" w:hAnsi="Courier New"/>
          <w:sz w:val="15"/>
          <w:szCs w:val="15"/>
          <w:color w:val="auto"/>
        </w:rPr>
        <w:t>an officer, shall preside at all meetings of the directors</w:t>
      </w:r>
    </w:p>
    <w:p>
      <w:pPr>
        <w:ind w:left="980"/>
        <w:spacing w:after="0" w:line="237" w:lineRule="auto"/>
        <w:rPr>
          <w:sz w:val="20"/>
          <w:szCs w:val="20"/>
          <w:color w:val="auto"/>
        </w:rPr>
      </w:pPr>
      <w:r>
        <w:rPr>
          <w:rFonts w:ascii="Courier New" w:cs="Courier New" w:eastAsia="Courier New" w:hAnsi="Courier New"/>
          <w:sz w:val="15"/>
          <w:szCs w:val="15"/>
          <w:color w:val="auto"/>
        </w:rPr>
        <w:t>and of the shareholders. He shall perform such other</w:t>
      </w:r>
    </w:p>
    <w:p>
      <w:pPr>
        <w:ind w:left="980"/>
        <w:spacing w:after="0" w:line="238" w:lineRule="auto"/>
        <w:rPr>
          <w:sz w:val="20"/>
          <w:szCs w:val="20"/>
          <w:color w:val="auto"/>
        </w:rPr>
      </w:pPr>
      <w:r>
        <w:rPr>
          <w:rFonts w:ascii="Courier New" w:cs="Courier New" w:eastAsia="Courier New" w:hAnsi="Courier New"/>
          <w:sz w:val="15"/>
          <w:szCs w:val="15"/>
          <w:color w:val="auto"/>
        </w:rPr>
        <w:t>duties and exercise such other powers as the directors</w:t>
      </w:r>
    </w:p>
    <w:p>
      <w:pPr>
        <w:ind w:left="980"/>
        <w:spacing w:after="0" w:line="237" w:lineRule="auto"/>
        <w:rPr>
          <w:sz w:val="20"/>
          <w:szCs w:val="20"/>
          <w:color w:val="auto"/>
        </w:rPr>
      </w:pPr>
      <w:r>
        <w:rPr>
          <w:rFonts w:ascii="Courier New" w:cs="Courier New" w:eastAsia="Courier New" w:hAnsi="Courier New"/>
          <w:sz w:val="15"/>
          <w:szCs w:val="15"/>
          <w:color w:val="auto"/>
        </w:rPr>
        <w:t>shall from time to time assign to him.</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Section 3.04. Duties of the Chief Executive</w:t>
      </w:r>
    </w:p>
    <w:p>
      <w:pPr>
        <w:ind w:left="980"/>
        <w:spacing w:after="0" w:line="237" w:lineRule="auto"/>
        <w:rPr>
          <w:sz w:val="20"/>
          <w:szCs w:val="20"/>
          <w:color w:val="auto"/>
        </w:rPr>
      </w:pPr>
      <w:r>
        <w:rPr>
          <w:rFonts w:ascii="Courier New" w:cs="Courier New" w:eastAsia="Courier New" w:hAnsi="Courier New"/>
          <w:sz w:val="15"/>
          <w:szCs w:val="15"/>
          <w:color w:val="auto"/>
        </w:rPr>
        <w:t>Officer. The chief executive officer of the corporation</w:t>
      </w:r>
    </w:p>
    <w:p>
      <w:pPr>
        <w:ind w:left="980"/>
        <w:spacing w:after="0" w:line="238" w:lineRule="auto"/>
        <w:rPr>
          <w:sz w:val="20"/>
          <w:szCs w:val="20"/>
          <w:color w:val="auto"/>
        </w:rPr>
      </w:pPr>
      <w:r>
        <w:rPr>
          <w:rFonts w:ascii="Courier New" w:cs="Courier New" w:eastAsia="Courier New" w:hAnsi="Courier New"/>
          <w:sz w:val="15"/>
          <w:szCs w:val="15"/>
          <w:color w:val="auto"/>
        </w:rPr>
        <w:t>shall have, subject to the control of the directors,</w:t>
      </w:r>
    </w:p>
    <w:p>
      <w:pPr>
        <w:ind w:left="980"/>
        <w:spacing w:after="0" w:line="237" w:lineRule="auto"/>
        <w:rPr>
          <w:sz w:val="20"/>
          <w:szCs w:val="20"/>
          <w:color w:val="auto"/>
        </w:rPr>
      </w:pPr>
      <w:r>
        <w:rPr>
          <w:rFonts w:ascii="Courier New" w:cs="Courier New" w:eastAsia="Courier New" w:hAnsi="Courier New"/>
          <w:sz w:val="15"/>
          <w:szCs w:val="15"/>
          <w:color w:val="auto"/>
        </w:rPr>
        <w:t>general supervision and management over the business of</w:t>
      </w:r>
    </w:p>
    <w:p>
      <w:pPr>
        <w:ind w:left="980"/>
        <w:spacing w:after="0" w:line="238" w:lineRule="auto"/>
        <w:rPr>
          <w:sz w:val="20"/>
          <w:szCs w:val="20"/>
          <w:color w:val="auto"/>
        </w:rPr>
      </w:pPr>
      <w:r>
        <w:rPr>
          <w:rFonts w:ascii="Courier New" w:cs="Courier New" w:eastAsia="Courier New" w:hAnsi="Courier New"/>
          <w:sz w:val="15"/>
          <w:szCs w:val="15"/>
          <w:color w:val="auto"/>
        </w:rPr>
        <w:t>the corporation and over its officers and employees. The</w:t>
      </w:r>
    </w:p>
    <w:p>
      <w:pPr>
        <w:ind w:left="980"/>
        <w:spacing w:after="0" w:line="237" w:lineRule="auto"/>
        <w:rPr>
          <w:sz w:val="20"/>
          <w:szCs w:val="20"/>
          <w:color w:val="auto"/>
        </w:rPr>
      </w:pPr>
      <w:r>
        <w:rPr>
          <w:rFonts w:ascii="Courier New" w:cs="Courier New" w:eastAsia="Courier New" w:hAnsi="Courier New"/>
          <w:sz w:val="15"/>
          <w:szCs w:val="15"/>
          <w:color w:val="auto"/>
        </w:rPr>
        <w:t>chief executive officer shall perform such other duties</w:t>
      </w:r>
    </w:p>
    <w:p>
      <w:pPr>
        <w:ind w:left="980"/>
        <w:spacing w:after="0" w:line="238" w:lineRule="auto"/>
        <w:rPr>
          <w:sz w:val="20"/>
          <w:szCs w:val="20"/>
          <w:color w:val="auto"/>
        </w:rPr>
      </w:pPr>
      <w:r>
        <w:rPr>
          <w:rFonts w:ascii="Courier New" w:cs="Courier New" w:eastAsia="Courier New" w:hAnsi="Courier New"/>
          <w:sz w:val="15"/>
          <w:szCs w:val="15"/>
          <w:color w:val="auto"/>
        </w:rPr>
        <w:t>and exercise such other powers as the directors may from</w:t>
      </w:r>
    </w:p>
    <w:p>
      <w:pPr>
        <w:ind w:left="980"/>
        <w:spacing w:after="0" w:line="237" w:lineRule="auto"/>
        <w:rPr>
          <w:sz w:val="20"/>
          <w:szCs w:val="20"/>
          <w:color w:val="auto"/>
        </w:rPr>
      </w:pPr>
      <w:r>
        <w:rPr>
          <w:rFonts w:ascii="Courier New" w:cs="Courier New" w:eastAsia="Courier New" w:hAnsi="Courier New"/>
          <w:sz w:val="15"/>
          <w:szCs w:val="15"/>
          <w:color w:val="auto"/>
        </w:rPr>
        <w:t>time to time assign to him.</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Section 3.05. Duties of the President. The president</w:t>
      </w:r>
    </w:p>
    <w:p>
      <w:pPr>
        <w:ind w:left="980"/>
        <w:spacing w:after="0" w:line="237" w:lineRule="auto"/>
        <w:rPr>
          <w:sz w:val="20"/>
          <w:szCs w:val="20"/>
          <w:color w:val="auto"/>
        </w:rPr>
      </w:pPr>
      <w:r>
        <w:rPr>
          <w:rFonts w:ascii="Courier New" w:cs="Courier New" w:eastAsia="Courier New" w:hAnsi="Courier New"/>
          <w:sz w:val="15"/>
          <w:szCs w:val="15"/>
          <w:color w:val="auto"/>
        </w:rPr>
        <w:t>of the corporation shall have, subject to the control of</w:t>
      </w:r>
    </w:p>
    <w:p>
      <w:pPr>
        <w:ind w:left="980"/>
        <w:spacing w:after="0" w:line="238" w:lineRule="auto"/>
        <w:rPr>
          <w:sz w:val="20"/>
          <w:szCs w:val="20"/>
          <w:color w:val="auto"/>
        </w:rPr>
      </w:pPr>
      <w:r>
        <w:rPr>
          <w:rFonts w:ascii="Courier New" w:cs="Courier New" w:eastAsia="Courier New" w:hAnsi="Courier New"/>
          <w:sz w:val="15"/>
          <w:szCs w:val="15"/>
          <w:color w:val="auto"/>
        </w:rPr>
        <w:t>the directors and, if there be one, the chief executive</w:t>
      </w:r>
    </w:p>
    <w:p>
      <w:pPr>
        <w:ind w:left="980"/>
        <w:spacing w:after="0" w:line="237" w:lineRule="auto"/>
        <w:rPr>
          <w:sz w:val="20"/>
          <w:szCs w:val="20"/>
          <w:color w:val="auto"/>
        </w:rPr>
      </w:pPr>
      <w:r>
        <w:rPr>
          <w:rFonts w:ascii="Courier New" w:cs="Courier New" w:eastAsia="Courier New" w:hAnsi="Courier New"/>
          <w:sz w:val="15"/>
          <w:szCs w:val="15"/>
          <w:color w:val="auto"/>
        </w:rPr>
        <w:t>officer, general and active supervision and management</w:t>
      </w:r>
    </w:p>
    <w:p>
      <w:pPr>
        <w:ind w:left="980"/>
        <w:spacing w:after="0" w:line="238" w:lineRule="auto"/>
        <w:rPr>
          <w:sz w:val="20"/>
          <w:szCs w:val="20"/>
          <w:color w:val="auto"/>
        </w:rPr>
      </w:pPr>
      <w:r>
        <w:rPr>
          <w:rFonts w:ascii="Courier New" w:cs="Courier New" w:eastAsia="Courier New" w:hAnsi="Courier New"/>
          <w:sz w:val="15"/>
          <w:szCs w:val="15"/>
          <w:color w:val="auto"/>
        </w:rPr>
        <w:t>over the business of the corporation and over its officers</w:t>
      </w:r>
    </w:p>
    <w:p>
      <w:pPr>
        <w:ind w:left="980"/>
        <w:spacing w:after="0" w:line="237" w:lineRule="auto"/>
        <w:rPr>
          <w:sz w:val="20"/>
          <w:szCs w:val="20"/>
          <w:color w:val="auto"/>
        </w:rPr>
      </w:pPr>
      <w:r>
        <w:rPr>
          <w:rFonts w:ascii="Courier New" w:cs="Courier New" w:eastAsia="Courier New" w:hAnsi="Courier New"/>
          <w:sz w:val="15"/>
          <w:szCs w:val="15"/>
          <w:color w:val="auto"/>
        </w:rPr>
        <w:t>and employees. The president shall perform such other</w:t>
      </w:r>
    </w:p>
    <w:p>
      <w:pPr>
        <w:ind w:left="980"/>
        <w:spacing w:after="0" w:line="238" w:lineRule="auto"/>
        <w:rPr>
          <w:sz w:val="20"/>
          <w:szCs w:val="20"/>
          <w:color w:val="auto"/>
        </w:rPr>
      </w:pPr>
      <w:r>
        <w:rPr>
          <w:rFonts w:ascii="Courier New" w:cs="Courier New" w:eastAsia="Courier New" w:hAnsi="Courier New"/>
          <w:sz w:val="15"/>
          <w:szCs w:val="15"/>
          <w:color w:val="auto"/>
        </w:rPr>
        <w:t>duties and exercise such other powers as the directors may</w:t>
      </w:r>
    </w:p>
    <w:p>
      <w:pPr>
        <w:ind w:left="980"/>
        <w:spacing w:after="0" w:line="237" w:lineRule="auto"/>
        <w:rPr>
          <w:sz w:val="20"/>
          <w:szCs w:val="20"/>
          <w:color w:val="auto"/>
        </w:rPr>
      </w:pPr>
      <w:r>
        <w:rPr>
          <w:rFonts w:ascii="Courier New" w:cs="Courier New" w:eastAsia="Courier New" w:hAnsi="Courier New"/>
          <w:sz w:val="15"/>
          <w:szCs w:val="15"/>
          <w:color w:val="auto"/>
        </w:rPr>
        <w:t>from time to time assign to him.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proposed amendments to Article THREE of our Code of Regulations require the affirmative vote of the holders of a majority of our outstanding common shares on the Record Date. Proxies will be voted for the amendments unless contrary instructions are set forth on your proxy. Abstentions and broker non-votes will have the same legal effect as a vote against the proposed amendments. If adopted by the shareholders, the proposed amendments to the Code of Regulations will become effective immediately without any additional action by the Company.</w:t>
      </w:r>
    </w:p>
    <w:p>
      <w:pPr>
        <w:spacing w:after="0" w:line="177"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YOUR BOARD OF DIRECTORS RECOMMENDS A VOTE FOR ADOPTION OF THE AMENDMENTS TO ARTICLE THREE OF OUR CODE OF REGULATIONS.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5</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AMENDMENT OF OUR CODE OF REGULATIONS</w:t>
      </w:r>
    </w:p>
    <w:p>
      <w:pPr>
        <w:ind w:left="2100"/>
        <w:spacing w:after="0" w:line="237" w:lineRule="auto"/>
        <w:rPr>
          <w:sz w:val="20"/>
          <w:szCs w:val="20"/>
          <w:color w:val="auto"/>
        </w:rPr>
      </w:pPr>
      <w:r>
        <w:rPr>
          <w:rFonts w:ascii="Courier New" w:cs="Courier New" w:eastAsia="Courier New" w:hAnsi="Courier New"/>
          <w:sz w:val="15"/>
          <w:szCs w:val="15"/>
          <w:color w:val="auto"/>
        </w:rPr>
        <w:t>TO PROVIDE FOR BOARD COMMITTEES</w:t>
      </w:r>
    </w:p>
    <w:p>
      <w:pPr>
        <w:ind w:left="2460"/>
        <w:spacing w:after="0" w:line="238" w:lineRule="auto"/>
        <w:rPr>
          <w:sz w:val="20"/>
          <w:szCs w:val="20"/>
          <w:color w:val="auto"/>
        </w:rPr>
      </w:pPr>
      <w:r>
        <w:rPr>
          <w:rFonts w:ascii="Courier New" w:cs="Courier New" w:eastAsia="Courier New" w:hAnsi="Courier New"/>
          <w:sz w:val="15"/>
          <w:szCs w:val="15"/>
          <w:color w:val="auto"/>
        </w:rPr>
        <w:t>OF ONE OR MORE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PROPOSAL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2.10 of the Company's Code of Regulations provides that committees of directors must consist of not less than three directors. Effective March 17, 2000, the Ohio General Corporation Law was amended to permit committees to consist of one or more directors. The proposed amendment to Section 2.10 would allow committees of our Board of Directors to consist of one or more directors, subject to any other requirements as to</w:t>
      </w: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number of directors serving on a committee as may be imposed by law or the rules and regulations of the Securities and Exchange Commission (the "SEC"), the NYSE or any other regulatory authority.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of Directors of the Company has approved, and recommends that the shareholders of the Company adopt, an amendment to Section 2.10 of the Code of Regulations which would allow committees of directors to consist of one or more directors. Adoption of the proposed amendment is being sought because the Ohio General Corporation Law and the Company's Code of Regulations require the adoption by the shareholders of any amendment to the Code of Regulations.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text of Section 2.10 would read as follows: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Section 2.10. Executive and Other Committees. The</w:t>
      </w:r>
    </w:p>
    <w:p>
      <w:pPr>
        <w:ind w:left="980"/>
        <w:spacing w:after="0" w:line="237" w:lineRule="auto"/>
        <w:rPr>
          <w:sz w:val="20"/>
          <w:szCs w:val="20"/>
          <w:color w:val="auto"/>
        </w:rPr>
      </w:pPr>
      <w:r>
        <w:rPr>
          <w:rFonts w:ascii="Courier New" w:cs="Courier New" w:eastAsia="Courier New" w:hAnsi="Courier New"/>
          <w:sz w:val="15"/>
          <w:szCs w:val="15"/>
          <w:color w:val="auto"/>
        </w:rPr>
        <w:t>directors may create an executive committee or any other</w:t>
      </w:r>
    </w:p>
    <w:p>
      <w:pPr>
        <w:ind w:left="980"/>
        <w:spacing w:after="0" w:line="238" w:lineRule="auto"/>
        <w:rPr>
          <w:sz w:val="20"/>
          <w:szCs w:val="20"/>
          <w:color w:val="auto"/>
        </w:rPr>
      </w:pPr>
      <w:r>
        <w:rPr>
          <w:rFonts w:ascii="Courier New" w:cs="Courier New" w:eastAsia="Courier New" w:hAnsi="Courier New"/>
          <w:sz w:val="15"/>
          <w:szCs w:val="15"/>
          <w:color w:val="auto"/>
        </w:rPr>
        <w:t>committee of directors, to consist of one or more</w:t>
      </w:r>
    </w:p>
    <w:p>
      <w:pPr>
        <w:ind w:left="980"/>
        <w:spacing w:after="0" w:line="237" w:lineRule="auto"/>
        <w:rPr>
          <w:sz w:val="20"/>
          <w:szCs w:val="20"/>
          <w:color w:val="auto"/>
        </w:rPr>
      </w:pPr>
      <w:r>
        <w:rPr>
          <w:rFonts w:ascii="Courier New" w:cs="Courier New" w:eastAsia="Courier New" w:hAnsi="Courier New"/>
          <w:sz w:val="15"/>
          <w:szCs w:val="15"/>
          <w:color w:val="auto"/>
        </w:rPr>
        <w:t>directors (subject to any other requirements as to the</w:t>
      </w:r>
    </w:p>
    <w:p>
      <w:pPr>
        <w:ind w:left="980"/>
        <w:spacing w:after="0" w:line="238" w:lineRule="auto"/>
        <w:rPr>
          <w:sz w:val="20"/>
          <w:szCs w:val="20"/>
          <w:color w:val="auto"/>
        </w:rPr>
      </w:pPr>
      <w:r>
        <w:rPr>
          <w:rFonts w:ascii="Courier New" w:cs="Courier New" w:eastAsia="Courier New" w:hAnsi="Courier New"/>
          <w:sz w:val="15"/>
          <w:szCs w:val="15"/>
          <w:color w:val="auto"/>
        </w:rPr>
        <w:t>number of directors serving on a committee that may be</w:t>
      </w:r>
    </w:p>
    <w:p>
      <w:pPr>
        <w:ind w:left="980"/>
        <w:spacing w:after="0" w:line="237" w:lineRule="auto"/>
        <w:rPr>
          <w:sz w:val="20"/>
          <w:szCs w:val="20"/>
          <w:color w:val="auto"/>
        </w:rPr>
      </w:pPr>
      <w:r>
        <w:rPr>
          <w:rFonts w:ascii="Courier New" w:cs="Courier New" w:eastAsia="Courier New" w:hAnsi="Courier New"/>
          <w:sz w:val="15"/>
          <w:szCs w:val="15"/>
          <w:color w:val="auto"/>
        </w:rPr>
        <w:t>imposed by law or the rules and regulations of the</w:t>
      </w:r>
    </w:p>
    <w:p>
      <w:pPr>
        <w:ind w:left="980"/>
        <w:spacing w:after="0" w:line="238" w:lineRule="auto"/>
        <w:rPr>
          <w:sz w:val="20"/>
          <w:szCs w:val="20"/>
          <w:color w:val="auto"/>
        </w:rPr>
      </w:pPr>
      <w:r>
        <w:rPr>
          <w:rFonts w:ascii="Courier New" w:cs="Courier New" w:eastAsia="Courier New" w:hAnsi="Courier New"/>
          <w:sz w:val="15"/>
          <w:szCs w:val="15"/>
          <w:color w:val="auto"/>
        </w:rPr>
        <w:t>Securities and Exchange Commission or any other regulatory</w:t>
      </w:r>
    </w:p>
    <w:p>
      <w:pPr>
        <w:ind w:left="980"/>
        <w:spacing w:after="0" w:line="237" w:lineRule="auto"/>
        <w:rPr>
          <w:sz w:val="20"/>
          <w:szCs w:val="20"/>
          <w:color w:val="auto"/>
        </w:rPr>
      </w:pPr>
      <w:r>
        <w:rPr>
          <w:rFonts w:ascii="Courier New" w:cs="Courier New" w:eastAsia="Courier New" w:hAnsi="Courier New"/>
          <w:sz w:val="15"/>
          <w:szCs w:val="15"/>
          <w:color w:val="auto"/>
        </w:rPr>
        <w:t>authority), and may authorize the delegation to such</w:t>
      </w:r>
    </w:p>
    <w:p>
      <w:pPr>
        <w:ind w:left="980"/>
        <w:spacing w:after="0" w:line="238" w:lineRule="auto"/>
        <w:rPr>
          <w:sz w:val="20"/>
          <w:szCs w:val="20"/>
          <w:color w:val="auto"/>
        </w:rPr>
      </w:pPr>
      <w:r>
        <w:rPr>
          <w:rFonts w:ascii="Courier New" w:cs="Courier New" w:eastAsia="Courier New" w:hAnsi="Courier New"/>
          <w:sz w:val="15"/>
          <w:szCs w:val="15"/>
          <w:color w:val="auto"/>
        </w:rPr>
        <w:t>executive committee or other committees of any of the</w:t>
      </w:r>
    </w:p>
    <w:p>
      <w:pPr>
        <w:ind w:left="980"/>
        <w:spacing w:after="0" w:line="238" w:lineRule="auto"/>
        <w:rPr>
          <w:sz w:val="20"/>
          <w:szCs w:val="20"/>
          <w:color w:val="auto"/>
        </w:rPr>
      </w:pPr>
      <w:r>
        <w:rPr>
          <w:rFonts w:ascii="Courier New" w:cs="Courier New" w:eastAsia="Courier New" w:hAnsi="Courier New"/>
          <w:sz w:val="15"/>
          <w:szCs w:val="15"/>
          <w:color w:val="auto"/>
        </w:rPr>
        <w:t>authority of the directors, however conferred, other than</w:t>
      </w:r>
    </w:p>
    <w:p>
      <w:pPr>
        <w:ind w:left="980"/>
        <w:spacing w:after="0" w:line="237" w:lineRule="auto"/>
        <w:rPr>
          <w:sz w:val="20"/>
          <w:szCs w:val="20"/>
          <w:color w:val="auto"/>
        </w:rPr>
      </w:pPr>
      <w:r>
        <w:rPr>
          <w:rFonts w:ascii="Courier New" w:cs="Courier New" w:eastAsia="Courier New" w:hAnsi="Courier New"/>
          <w:sz w:val="15"/>
          <w:szCs w:val="15"/>
          <w:color w:val="auto"/>
        </w:rPr>
        <w:t>that of filling vacancies among the directors or in the</w:t>
      </w:r>
    </w:p>
    <w:p>
      <w:pPr>
        <w:ind w:left="980"/>
        <w:spacing w:after="0" w:line="238" w:lineRule="auto"/>
        <w:rPr>
          <w:sz w:val="20"/>
          <w:szCs w:val="20"/>
          <w:color w:val="auto"/>
        </w:rPr>
      </w:pPr>
      <w:r>
        <w:rPr>
          <w:rFonts w:ascii="Courier New" w:cs="Courier New" w:eastAsia="Courier New" w:hAnsi="Courier New"/>
          <w:sz w:val="15"/>
          <w:szCs w:val="15"/>
          <w:color w:val="auto"/>
        </w:rPr>
        <w:t>executive committee or in any other committee of the</w:t>
      </w:r>
    </w:p>
    <w:p>
      <w:pPr>
        <w:ind w:left="980"/>
        <w:spacing w:after="0" w:line="237" w:lineRule="auto"/>
        <w:rPr>
          <w:sz w:val="20"/>
          <w:szCs w:val="20"/>
          <w:color w:val="auto"/>
        </w:rPr>
      </w:pPr>
      <w:r>
        <w:rPr>
          <w:rFonts w:ascii="Courier New" w:cs="Courier New" w:eastAsia="Courier New" w:hAnsi="Courier New"/>
          <w:sz w:val="15"/>
          <w:szCs w:val="15"/>
          <w:color w:val="auto"/>
        </w:rPr>
        <w:t>directors.</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Such executive committee or any other committee of</w:t>
      </w:r>
    </w:p>
    <w:p>
      <w:pPr>
        <w:ind w:left="980"/>
        <w:spacing w:after="0" w:line="237" w:lineRule="auto"/>
        <w:rPr>
          <w:sz w:val="20"/>
          <w:szCs w:val="20"/>
          <w:color w:val="auto"/>
        </w:rPr>
      </w:pPr>
      <w:r>
        <w:rPr>
          <w:rFonts w:ascii="Courier New" w:cs="Courier New" w:eastAsia="Courier New" w:hAnsi="Courier New"/>
          <w:sz w:val="15"/>
          <w:szCs w:val="15"/>
          <w:color w:val="auto"/>
        </w:rPr>
        <w:t>directors shall serve at the pleasure of the directors,</w:t>
      </w:r>
    </w:p>
    <w:p>
      <w:pPr>
        <w:ind w:left="980"/>
        <w:spacing w:after="0" w:line="238" w:lineRule="auto"/>
        <w:rPr>
          <w:sz w:val="20"/>
          <w:szCs w:val="20"/>
          <w:color w:val="auto"/>
        </w:rPr>
      </w:pPr>
      <w:r>
        <w:rPr>
          <w:rFonts w:ascii="Courier New" w:cs="Courier New" w:eastAsia="Courier New" w:hAnsi="Courier New"/>
          <w:sz w:val="15"/>
          <w:szCs w:val="15"/>
          <w:color w:val="auto"/>
        </w:rPr>
        <w:t>shall act only in the intervals between meetings of the</w:t>
      </w:r>
    </w:p>
    <w:p>
      <w:pPr>
        <w:ind w:left="980"/>
        <w:spacing w:after="0" w:line="237" w:lineRule="auto"/>
        <w:rPr>
          <w:sz w:val="20"/>
          <w:szCs w:val="20"/>
          <w:color w:val="auto"/>
        </w:rPr>
      </w:pPr>
      <w:r>
        <w:rPr>
          <w:rFonts w:ascii="Courier New" w:cs="Courier New" w:eastAsia="Courier New" w:hAnsi="Courier New"/>
          <w:sz w:val="15"/>
          <w:szCs w:val="15"/>
          <w:color w:val="auto"/>
        </w:rPr>
        <w:t>directors, and shall be subject to the control and</w:t>
      </w:r>
    </w:p>
    <w:p>
      <w:pPr>
        <w:ind w:left="980"/>
        <w:spacing w:after="0" w:line="238" w:lineRule="auto"/>
        <w:rPr>
          <w:sz w:val="20"/>
          <w:szCs w:val="20"/>
          <w:color w:val="auto"/>
        </w:rPr>
      </w:pPr>
      <w:r>
        <w:rPr>
          <w:rFonts w:ascii="Courier New" w:cs="Courier New" w:eastAsia="Courier New" w:hAnsi="Courier New"/>
          <w:sz w:val="15"/>
          <w:szCs w:val="15"/>
          <w:color w:val="auto"/>
        </w:rPr>
        <w:t>direction of the directors. Such executive committee or</w:t>
      </w:r>
    </w:p>
    <w:p>
      <w:pPr>
        <w:ind w:left="980"/>
        <w:spacing w:after="0" w:line="237" w:lineRule="auto"/>
        <w:rPr>
          <w:sz w:val="20"/>
          <w:szCs w:val="20"/>
          <w:color w:val="auto"/>
        </w:rPr>
      </w:pPr>
      <w:r>
        <w:rPr>
          <w:rFonts w:ascii="Courier New" w:cs="Courier New" w:eastAsia="Courier New" w:hAnsi="Courier New"/>
          <w:sz w:val="15"/>
          <w:szCs w:val="15"/>
          <w:color w:val="auto"/>
        </w:rPr>
        <w:t>other committee of directors may act by a majority of its</w:t>
      </w:r>
    </w:p>
    <w:p>
      <w:pPr>
        <w:ind w:left="980"/>
        <w:spacing w:after="0" w:line="238" w:lineRule="auto"/>
        <w:rPr>
          <w:sz w:val="20"/>
          <w:szCs w:val="20"/>
          <w:color w:val="auto"/>
        </w:rPr>
      </w:pPr>
      <w:r>
        <w:rPr>
          <w:rFonts w:ascii="Courier New" w:cs="Courier New" w:eastAsia="Courier New" w:hAnsi="Courier New"/>
          <w:sz w:val="15"/>
          <w:szCs w:val="15"/>
          <w:color w:val="auto"/>
        </w:rPr>
        <w:t>members at a meeting or by a writing or writings signed by</w:t>
      </w:r>
    </w:p>
    <w:p>
      <w:pPr>
        <w:ind w:left="980"/>
        <w:spacing w:after="0" w:line="237" w:lineRule="auto"/>
        <w:rPr>
          <w:sz w:val="20"/>
          <w:szCs w:val="20"/>
          <w:color w:val="auto"/>
        </w:rPr>
      </w:pPr>
      <w:r>
        <w:rPr>
          <w:rFonts w:ascii="Courier New" w:cs="Courier New" w:eastAsia="Courier New" w:hAnsi="Courier New"/>
          <w:sz w:val="15"/>
          <w:szCs w:val="15"/>
          <w:color w:val="auto"/>
        </w:rPr>
        <w:t>all of its members.</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Any act or authorization of any act by the executive</w:t>
      </w:r>
    </w:p>
    <w:p>
      <w:pPr>
        <w:ind w:left="980"/>
        <w:spacing w:after="0" w:line="237" w:lineRule="auto"/>
        <w:rPr>
          <w:sz w:val="20"/>
          <w:szCs w:val="20"/>
          <w:color w:val="auto"/>
        </w:rPr>
      </w:pPr>
      <w:r>
        <w:rPr>
          <w:rFonts w:ascii="Courier New" w:cs="Courier New" w:eastAsia="Courier New" w:hAnsi="Courier New"/>
          <w:sz w:val="15"/>
          <w:szCs w:val="15"/>
          <w:color w:val="auto"/>
        </w:rPr>
        <w:t>committee or any other committee within the authority</w:t>
      </w:r>
    </w:p>
    <w:p>
      <w:pPr>
        <w:ind w:left="980"/>
        <w:spacing w:after="0" w:line="238" w:lineRule="auto"/>
        <w:rPr>
          <w:sz w:val="20"/>
          <w:szCs w:val="20"/>
          <w:color w:val="auto"/>
        </w:rPr>
      </w:pPr>
      <w:r>
        <w:rPr>
          <w:rFonts w:ascii="Courier New" w:cs="Courier New" w:eastAsia="Courier New" w:hAnsi="Courier New"/>
          <w:sz w:val="15"/>
          <w:szCs w:val="15"/>
          <w:color w:val="auto"/>
        </w:rPr>
        <w:t>delegated to it shall be as effective for all purposes as</w:t>
      </w:r>
    </w:p>
    <w:p>
      <w:pPr>
        <w:ind w:left="980"/>
        <w:spacing w:after="0" w:line="237" w:lineRule="auto"/>
        <w:rPr>
          <w:sz w:val="20"/>
          <w:szCs w:val="20"/>
          <w:color w:val="auto"/>
        </w:rPr>
      </w:pPr>
      <w:r>
        <w:rPr>
          <w:rFonts w:ascii="Courier New" w:cs="Courier New" w:eastAsia="Courier New" w:hAnsi="Courier New"/>
          <w:sz w:val="15"/>
          <w:szCs w:val="15"/>
          <w:color w:val="auto"/>
        </w:rPr>
        <w:t>the act or authorization of the directors. No notice of a</w:t>
      </w:r>
    </w:p>
    <w:p>
      <w:pPr>
        <w:ind w:left="980"/>
        <w:spacing w:after="0" w:line="238" w:lineRule="auto"/>
        <w:rPr>
          <w:sz w:val="20"/>
          <w:szCs w:val="20"/>
          <w:color w:val="auto"/>
        </w:rPr>
      </w:pPr>
      <w:r>
        <w:rPr>
          <w:rFonts w:ascii="Courier New" w:cs="Courier New" w:eastAsia="Courier New" w:hAnsi="Courier New"/>
          <w:sz w:val="15"/>
          <w:szCs w:val="15"/>
          <w:color w:val="auto"/>
        </w:rPr>
        <w:t>meeting of the executive committee or of any other</w:t>
      </w:r>
    </w:p>
    <w:p>
      <w:pPr>
        <w:ind w:left="980"/>
        <w:spacing w:after="0" w:line="237" w:lineRule="auto"/>
        <w:rPr>
          <w:sz w:val="20"/>
          <w:szCs w:val="20"/>
          <w:color w:val="auto"/>
        </w:rPr>
      </w:pPr>
      <w:r>
        <w:rPr>
          <w:rFonts w:ascii="Courier New" w:cs="Courier New" w:eastAsia="Courier New" w:hAnsi="Courier New"/>
          <w:sz w:val="15"/>
          <w:szCs w:val="15"/>
          <w:color w:val="auto"/>
        </w:rPr>
        <w:t>committee of directors shall be required. A meeting of the</w:t>
      </w:r>
    </w:p>
    <w:p>
      <w:pPr>
        <w:ind w:left="980"/>
        <w:spacing w:after="0" w:line="238" w:lineRule="auto"/>
        <w:rPr>
          <w:sz w:val="20"/>
          <w:szCs w:val="20"/>
          <w:color w:val="auto"/>
        </w:rPr>
      </w:pPr>
      <w:r>
        <w:rPr>
          <w:rFonts w:ascii="Courier New" w:cs="Courier New" w:eastAsia="Courier New" w:hAnsi="Courier New"/>
          <w:sz w:val="15"/>
          <w:szCs w:val="15"/>
          <w:color w:val="auto"/>
        </w:rPr>
        <w:t>executive committee or of any other committee of directors</w:t>
      </w:r>
    </w:p>
    <w:p>
      <w:pPr>
        <w:ind w:left="980"/>
        <w:spacing w:after="0" w:line="237" w:lineRule="auto"/>
        <w:rPr>
          <w:sz w:val="20"/>
          <w:szCs w:val="20"/>
          <w:color w:val="auto"/>
        </w:rPr>
      </w:pPr>
      <w:r>
        <w:rPr>
          <w:rFonts w:ascii="Courier New" w:cs="Courier New" w:eastAsia="Courier New" w:hAnsi="Courier New"/>
          <w:sz w:val="15"/>
          <w:szCs w:val="15"/>
          <w:color w:val="auto"/>
        </w:rPr>
        <w:t>may be called only by the chairman of the board, chief</w:t>
      </w:r>
    </w:p>
    <w:p>
      <w:pPr>
        <w:ind w:left="980"/>
        <w:spacing w:after="0" w:line="238" w:lineRule="auto"/>
        <w:rPr>
          <w:sz w:val="20"/>
          <w:szCs w:val="20"/>
          <w:color w:val="auto"/>
        </w:rPr>
      </w:pPr>
      <w:r>
        <w:rPr>
          <w:rFonts w:ascii="Courier New" w:cs="Courier New" w:eastAsia="Courier New" w:hAnsi="Courier New"/>
          <w:sz w:val="15"/>
          <w:szCs w:val="15"/>
          <w:color w:val="auto"/>
        </w:rPr>
        <w:t>executive officer or president or by a member of such</w:t>
      </w:r>
    </w:p>
    <w:p>
      <w:pPr>
        <w:ind w:left="980"/>
        <w:spacing w:after="0" w:line="238" w:lineRule="auto"/>
        <w:rPr>
          <w:sz w:val="20"/>
          <w:szCs w:val="20"/>
          <w:color w:val="auto"/>
        </w:rPr>
      </w:pPr>
      <w:r>
        <w:rPr>
          <w:rFonts w:ascii="Courier New" w:cs="Courier New" w:eastAsia="Courier New" w:hAnsi="Courier New"/>
          <w:sz w:val="15"/>
          <w:szCs w:val="15"/>
          <w:color w:val="auto"/>
        </w:rPr>
        <w:t>executive or other committee of directors. Meetings of the</w:t>
      </w:r>
    </w:p>
    <w:p>
      <w:pPr>
        <w:ind w:left="980"/>
        <w:spacing w:after="0" w:line="237" w:lineRule="auto"/>
        <w:rPr>
          <w:sz w:val="20"/>
          <w:szCs w:val="20"/>
          <w:color w:val="auto"/>
        </w:rPr>
      </w:pPr>
      <w:r>
        <w:rPr>
          <w:rFonts w:ascii="Courier New" w:cs="Courier New" w:eastAsia="Courier New" w:hAnsi="Courier New"/>
          <w:sz w:val="15"/>
          <w:szCs w:val="15"/>
          <w:color w:val="auto"/>
        </w:rPr>
        <w:t>executive committee or of any other committee of directors</w:t>
      </w:r>
    </w:p>
    <w:p>
      <w:pPr>
        <w:ind w:left="980"/>
        <w:spacing w:after="0" w:line="238" w:lineRule="auto"/>
        <w:rPr>
          <w:sz w:val="20"/>
          <w:szCs w:val="20"/>
          <w:color w:val="auto"/>
        </w:rPr>
      </w:pPr>
      <w:r>
        <w:rPr>
          <w:rFonts w:ascii="Courier New" w:cs="Courier New" w:eastAsia="Courier New" w:hAnsi="Courier New"/>
          <w:sz w:val="15"/>
          <w:szCs w:val="15"/>
          <w:color w:val="auto"/>
        </w:rPr>
        <w:t>may be held through any communications equipment if all</w:t>
      </w:r>
    </w:p>
    <w:p>
      <w:pPr>
        <w:ind w:left="980"/>
        <w:spacing w:after="0" w:line="237" w:lineRule="auto"/>
        <w:rPr>
          <w:sz w:val="20"/>
          <w:szCs w:val="20"/>
          <w:color w:val="auto"/>
        </w:rPr>
      </w:pPr>
      <w:r>
        <w:rPr>
          <w:rFonts w:ascii="Courier New" w:cs="Courier New" w:eastAsia="Courier New" w:hAnsi="Courier New"/>
          <w:sz w:val="15"/>
          <w:szCs w:val="15"/>
          <w:color w:val="auto"/>
        </w:rPr>
        <w:t>persons participating can hear each other and</w:t>
      </w:r>
    </w:p>
    <w:p>
      <w:pPr>
        <w:ind w:left="980"/>
        <w:spacing w:after="0" w:line="238" w:lineRule="auto"/>
        <w:rPr>
          <w:sz w:val="20"/>
          <w:szCs w:val="20"/>
          <w:color w:val="auto"/>
        </w:rPr>
      </w:pPr>
      <w:r>
        <w:rPr>
          <w:rFonts w:ascii="Courier New" w:cs="Courier New" w:eastAsia="Courier New" w:hAnsi="Courier New"/>
          <w:sz w:val="15"/>
          <w:szCs w:val="15"/>
          <w:color w:val="auto"/>
        </w:rPr>
        <w:t>participation in such a meeting shall constitute presence</w:t>
      </w:r>
    </w:p>
    <w:p>
      <w:pPr>
        <w:ind w:left="980"/>
        <w:spacing w:after="0" w:line="237" w:lineRule="auto"/>
        <w:rPr>
          <w:sz w:val="20"/>
          <w:szCs w:val="20"/>
          <w:color w:val="auto"/>
        </w:rPr>
      </w:pPr>
      <w:r>
        <w:rPr>
          <w:rFonts w:ascii="Courier New" w:cs="Courier New" w:eastAsia="Courier New" w:hAnsi="Courier New"/>
          <w:sz w:val="15"/>
          <w:szCs w:val="15"/>
          <w:color w:val="auto"/>
        </w:rPr>
        <w:t>thereat.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proposed amendment to Section 2.10 of our Code of Regulations requires the affirmative vote of the holders of a majority of our outstanding common shares on the Record Date. Proxies will be voted for the amendment unless contrary instructions are set forth on your proxy. Abstentions and broker non-votes will have the same legal effect as a vote against the proposed amendment. If adopted by the shareholders, the proposed amendment to the Code of Regulations will become effective immediately without any additional action by the Company.</w:t>
      </w:r>
    </w:p>
    <w:p>
      <w:pPr>
        <w:spacing w:after="0" w:line="177"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YOUR BOARD OF DIRECTORS RECOMMENDS A VOTE FOR ADOPTION OF THE AMENDMENT TO SECTION 2.10 OF OUR CODE OF REGULATIONS.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CASH AND OTHER COMPENSATION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shows, for the fiscal years ended September 30, 2000,</w:t>
      </w:r>
    </w:p>
    <w:p>
      <w:pPr>
        <w:spacing w:after="0" w:line="5"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1999 and 1998, compensation awarded or paid to, or earned by, the Company's Chief Executive Officer and the four other most highly compensated executive officers of the Company.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73"/>
        </w:trPr>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LONG-TERM</w:t>
            </w:r>
          </w:p>
        </w:tc>
        <w:tc>
          <w:tcPr>
            <w:tcW w:w="1620" w:type="dxa"/>
            <w:vAlign w:val="bottom"/>
          </w:tcPr>
          <w:p>
            <w:pPr>
              <w:spacing w:after="0"/>
              <w:rPr>
                <w:sz w:val="24"/>
                <w:szCs w:val="24"/>
                <w:color w:val="auto"/>
              </w:rPr>
            </w:pPr>
          </w:p>
        </w:tc>
      </w:tr>
      <w:tr>
        <w:trPr>
          <w:trHeight w:val="168"/>
        </w:trPr>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COMPENSATION</w:t>
            </w:r>
          </w:p>
        </w:tc>
        <w:tc>
          <w:tcPr>
            <w:tcW w:w="16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AWARDS</w:t>
            </w:r>
          </w:p>
        </w:tc>
        <w:tc>
          <w:tcPr>
            <w:tcW w:w="16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SECURITIES</w:t>
            </w:r>
          </w:p>
        </w:tc>
        <w:tc>
          <w:tcPr>
            <w:tcW w:w="16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FISCAL</w:t>
            </w: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UNDERLYING</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PRINCIPAL POSITION</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YEAR</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SALARY($)(1)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BONUS($)(1)</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OPTIONS(#)(2)</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COMPENSATION($)</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Charles M. Berger.................</w:t>
            </w:r>
          </w:p>
        </w:tc>
        <w:tc>
          <w:tcPr>
            <w:tcW w:w="8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2000</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$512,900</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$[450,000]</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$ 26,038(4)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Chairman of the Board and</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1999</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$512,855</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$ 634,605</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$ 12,074(4)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Chief Executive Officer(3)</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1998</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$461,290</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$ 382,536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$ 28,189(5)</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James Hagedorn....................</w:t>
            </w:r>
          </w:p>
        </w:tc>
        <w:tc>
          <w:tcPr>
            <w:tcW w:w="8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2000</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$415,542</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$[257,411]</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$ 38,704(4)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1999</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$369,000</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$ 421,254</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80,000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$ 11,744(4)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Officer(6)</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1998</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$294,667</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$ 218,003</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90,000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$ 14,679(4)</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Jean H. Mordo.....................</w:t>
            </w:r>
          </w:p>
        </w:tc>
        <w:tc>
          <w:tcPr>
            <w:tcW w:w="8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2000</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$364,000</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$[123,000]</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$ 27,452(4)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Former Group Executive Vice</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1999</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$364,000</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$ 326,063</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$ 11,741(4)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International(7)</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1998</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$312,750</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$ 186,708</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$ 29,647(8)</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G. Robert Lucas...................</w:t>
            </w:r>
          </w:p>
        </w:tc>
        <w:tc>
          <w:tcPr>
            <w:tcW w:w="8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2000</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$309,460</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$[171,000]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1,600(9)</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$ 32,257(4)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Vice President,</w:t>
            </w: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1999</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$277,749</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$ 255,469</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$ 25,048(4)</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Counsel and Corporate</w:t>
            </w: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Secretary(10)</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1998</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$242,830</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$ 145,789</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$ 24,005(4)</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James L. Rogula...................</w:t>
            </w:r>
          </w:p>
        </w:tc>
        <w:tc>
          <w:tcPr>
            <w:tcW w:w="8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2000</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$287,917</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$[165,117]</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$315,119(12)</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Group Executive Vice President,</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1999</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$257,748</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$ 204,311</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62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$ 91,960(13)</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North American Business</w:t>
            </w: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Groups(11)</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1998</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$235,850</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$ 178,486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$ 14,848(4)</w:t>
            </w:r>
          </w:p>
        </w:tc>
      </w:tr>
    </w:tbl>
    <w:p>
      <w:pPr>
        <w:spacing w:after="0" w:line="335" w:lineRule="exact"/>
        <w:rPr>
          <w:sz w:val="20"/>
          <w:szCs w:val="20"/>
          <w:color w:val="auto"/>
        </w:rPr>
      </w:pPr>
    </w:p>
    <w:p>
      <w:pPr>
        <w:ind w:left="180" w:hanging="170"/>
        <w:spacing w:after="0"/>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440" w:right="3239" w:hanging="343"/>
        <w:spacing w:after="0" w:line="234" w:lineRule="auto"/>
        <w:tabs>
          <w:tab w:leader="none" w:pos="44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compensation which may be deferred under the RSP and the Executive Retirement Plan.</w:t>
      </w:r>
    </w:p>
    <w:p>
      <w:pPr>
        <w:spacing w:after="0" w:line="173" w:lineRule="exact"/>
        <w:rPr>
          <w:rFonts w:ascii="Courier New" w:cs="Courier New" w:eastAsia="Courier New" w:hAnsi="Courier New"/>
          <w:sz w:val="15"/>
          <w:szCs w:val="15"/>
          <w:color w:val="auto"/>
        </w:rPr>
      </w:pPr>
    </w:p>
    <w:p>
      <w:pPr>
        <w:ind w:left="440" w:right="3319" w:hanging="343"/>
        <w:spacing w:after="0" w:line="235" w:lineRule="auto"/>
        <w:tabs>
          <w:tab w:leader="none" w:pos="44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numbers represent options granted pursuant to the Company's 1996 Stock Option Plan. See the table under "-- Option Exercises in 2000 Fiscal Year and Option Values at End of 2000 Fiscal Year" for more detailed information on these options.</w:t>
      </w:r>
    </w:p>
    <w:p>
      <w:pPr>
        <w:spacing w:after="0" w:line="175" w:lineRule="exact"/>
        <w:rPr>
          <w:rFonts w:ascii="Courier New" w:cs="Courier New" w:eastAsia="Courier New" w:hAnsi="Courier New"/>
          <w:sz w:val="15"/>
          <w:szCs w:val="15"/>
          <w:color w:val="auto"/>
        </w:rPr>
      </w:pPr>
    </w:p>
    <w:p>
      <w:pPr>
        <w:jc w:val="both"/>
        <w:ind w:left="440" w:right="3239" w:hanging="343"/>
        <w:spacing w:after="0" w:line="235" w:lineRule="auto"/>
        <w:tabs>
          <w:tab w:leader="none" w:pos="44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Berger was named Chairman and Chief Executive Officer of the Company in August 1996. From August 1996 until April 2000, he also served as President of the Company.</w:t>
      </w:r>
    </w:p>
    <w:p>
      <w:pPr>
        <w:spacing w:after="0" w:line="173" w:lineRule="exact"/>
        <w:rPr>
          <w:rFonts w:ascii="Courier New" w:cs="Courier New" w:eastAsia="Courier New" w:hAnsi="Courier New"/>
          <w:sz w:val="15"/>
          <w:szCs w:val="15"/>
          <w:color w:val="auto"/>
        </w:rPr>
      </w:pPr>
    </w:p>
    <w:p>
      <w:pPr>
        <w:ind w:left="440" w:right="3499" w:hanging="343"/>
        <w:spacing w:after="0" w:line="234" w:lineRule="auto"/>
        <w:tabs>
          <w:tab w:leader="none" w:pos="44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contributions made by the Company to the RSP and the Executive Retirement Plan.</w:t>
      </w:r>
    </w:p>
    <w:p>
      <w:pPr>
        <w:spacing w:after="0" w:line="166" w:lineRule="exact"/>
        <w:rPr>
          <w:rFonts w:ascii="Courier New" w:cs="Courier New" w:eastAsia="Courier New" w:hAnsi="Courier New"/>
          <w:sz w:val="15"/>
          <w:szCs w:val="15"/>
          <w:color w:val="auto"/>
        </w:rPr>
      </w:pPr>
    </w:p>
    <w:p>
      <w:pPr>
        <w:ind w:left="440" w:hanging="343"/>
        <w:spacing w:after="0"/>
        <w:tabs>
          <w:tab w:leader="none" w:pos="44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$13,281 reimbursement for taxable relocation expense, and</w:t>
      </w:r>
    </w:p>
    <w:p>
      <w:pPr>
        <w:spacing w:after="0" w:line="4"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$14,908 aggregate contributions by the Company to the RSP and the Executive Retirement Plan.</w:t>
      </w:r>
    </w:p>
    <w:p>
      <w:pPr>
        <w:spacing w:after="0" w:line="173" w:lineRule="exact"/>
        <w:rPr>
          <w:rFonts w:ascii="Courier New" w:cs="Courier New" w:eastAsia="Courier New" w:hAnsi="Courier New"/>
          <w:sz w:val="15"/>
          <w:szCs w:val="15"/>
          <w:color w:val="auto"/>
        </w:rPr>
      </w:pPr>
    </w:p>
    <w:p>
      <w:pPr>
        <w:ind w:left="440" w:right="3239" w:hanging="343"/>
        <w:spacing w:after="0" w:line="235" w:lineRule="auto"/>
        <w:tabs>
          <w:tab w:leader="none" w:pos="44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Hagedorn was named President and Chief Operating Officer of the Company in April 2000. He was President, Scotts North America, of the Company from December 1998 to April 2000, and Executive Vice President, U.S. Business Groups, of the Company from October 1996 to December 1998.</w:t>
      </w:r>
    </w:p>
    <w:p>
      <w:pPr>
        <w:spacing w:after="0" w:line="175" w:lineRule="exact"/>
        <w:rPr>
          <w:rFonts w:ascii="Courier New" w:cs="Courier New" w:eastAsia="Courier New" w:hAnsi="Courier New"/>
          <w:sz w:val="15"/>
          <w:szCs w:val="15"/>
          <w:color w:val="auto"/>
        </w:rPr>
      </w:pPr>
    </w:p>
    <w:p>
      <w:pPr>
        <w:ind w:left="440" w:right="3239" w:hanging="343"/>
        <w:spacing w:after="0" w:line="255" w:lineRule="auto"/>
        <w:tabs>
          <w:tab w:leader="none" w:pos="44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Mordo was named Group Executive Vice President, International, of the Company in May 1999. He was Executive Vice President and Chief Financial Officer of the Company from January 1997 to May 1999. Mr. Mordo's employment as an executive officer of the Company terminated effective October 13, 2000. Pursuant to an agreement dated October 18, 2000, and in accordance with his employment agreement which was effective May 1, 1997, for twenty-four months beginning November 1, 2000, Mr. Mordo will have his base salary continued and receive the greater of his target bonus amount or</w:t>
      </w:r>
    </w:p>
    <w:p>
      <w:pPr>
        <w:sectPr>
          <w:pgSz w:w="11900" w:h="16838" w:orient="portrait"/>
          <w:cols w:equalWidth="0" w:num="1">
            <w:col w:w="10239"/>
          </w:cols>
          <w:pgMar w:left="220" w:top="281" w:right="1440" w:bottom="1440" w:gutter="0" w:footer="0" w:header="0"/>
        </w:sectPr>
      </w:pP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fiscal year 2000 bonus amount. In addition, with respect to an option to purchase 35,000 common shares that would have vested on October 20, 2000, the Company agreed to pay Mr. Mordo, on or before January 31, 2001, an amount equal</w:t>
      </w:r>
    </w:p>
    <w:p>
      <w:pPr>
        <w:spacing w:after="0" w:line="1"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to the difference between the exercise price for the common shares covered by the option and the highest closing price of the common shares on the NYSE between October 16, 2000 and January 12, 2001. Also, Mr. Mordo must exercise any vested options that he owns by February 2, 2001, when such options will expire.</w:t>
      </w:r>
    </w:p>
    <w:p>
      <w:pPr>
        <w:spacing w:after="0" w:line="167" w:lineRule="exact"/>
        <w:rPr>
          <w:sz w:val="20"/>
          <w:szCs w:val="20"/>
          <w:color w:val="auto"/>
        </w:rPr>
      </w:pPr>
    </w:p>
    <w:p>
      <w:pPr>
        <w:ind w:left="440" w:hanging="343"/>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$15,911 reimbursement for taxable relocation expense, and</w:t>
      </w:r>
    </w:p>
    <w:p>
      <w:pPr>
        <w:spacing w:after="0" w:line="4"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$13,736 aggregate contributions by the Company to the RSP and the Executive Retirement Plan.</w:t>
      </w:r>
    </w:p>
    <w:p>
      <w:pPr>
        <w:spacing w:after="0" w:line="173" w:lineRule="exact"/>
        <w:rPr>
          <w:rFonts w:ascii="Courier New" w:cs="Courier New" w:eastAsia="Courier New" w:hAnsi="Courier New"/>
          <w:sz w:val="15"/>
          <w:szCs w:val="15"/>
          <w:color w:val="auto"/>
        </w:rPr>
      </w:pPr>
    </w:p>
    <w:p>
      <w:pPr>
        <w:ind w:left="440" w:right="3239" w:hanging="343"/>
        <w:spacing w:after="0" w:line="236"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number represents cash performance units ("CPUs") granted under the Scotts Millenium Growth Plan, which are valued initially at $100 per unit. Cash value of CPUs can increase or decrease by the end of a three year performance cycle ending September 30, 2002, at which time the Company's cumulative three year earnings per share ("eps") performance target will be compared to actual Company performance, to determine the performance unit value. The payout will be: $100 per CPU, if cumulative eps is $7.90 to $9.03; the maximum award, if cumulative eps is $9.04 or above; and no award, if cumulative eps is less than $7.90. The Scotts Millennium Growth Plan was terminated in November 2000.</w:t>
      </w:r>
    </w:p>
    <w:p>
      <w:pPr>
        <w:spacing w:after="0" w:line="179"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Lucas was named Executive Vice President in February 1999, and General Counsel and Corporate Secretary in May 1997. He was a Senior Vice President of the Company from May 1997 to February 1999.</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Rogula was named Group Executive Vice President, North American Business Groups, of the Company, in February 2000. He was previously Senior Vice President, Consumer Ortho Business Group, from October 1998 to February 2000. Prior thereto, he had been Senior Vice President, Consumer Lawns Group, from October 1996 to October 1998.</w:t>
      </w:r>
    </w:p>
    <w:p>
      <w:pPr>
        <w:spacing w:after="0" w:line="173" w:lineRule="exact"/>
        <w:rPr>
          <w:rFonts w:ascii="Courier New" w:cs="Courier New" w:eastAsia="Courier New" w:hAnsi="Courier New"/>
          <w:sz w:val="15"/>
          <w:szCs w:val="15"/>
          <w:color w:val="auto"/>
        </w:rPr>
      </w:pPr>
    </w:p>
    <w:p>
      <w:pPr>
        <w:ind w:left="440" w:right="3239" w:hanging="430"/>
        <w:spacing w:after="0" w:line="256"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$242,762 reimbursement for taxable relocation expense, a $28,480 tax equalization payment and a housing allowance of $18,326, each in connection with a temporary relocation to California, and $25,551 aggregate contributions by the Company to the RSP and the Executive Retirement Plan.</w:t>
      </w:r>
    </w:p>
    <w:p>
      <w:pPr>
        <w:spacing w:after="0" w:line="164" w:lineRule="exact"/>
        <w:rPr>
          <w:rFonts w:ascii="Courier New" w:cs="Courier New" w:eastAsia="Courier New" w:hAnsi="Courier New"/>
          <w:sz w:val="14"/>
          <w:szCs w:val="14"/>
          <w:color w:val="auto"/>
        </w:rPr>
      </w:pPr>
    </w:p>
    <w:p>
      <w:pPr>
        <w:ind w:left="440" w:right="3319" w:hanging="430"/>
        <w:spacing w:after="0" w:line="256"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$28,760 reimbursement for taxable relocation expense, a $7,879 tax equalization payment and a housing allowance of $46,479, each in connection with a temporary relocation to California, and $8,842 aggregate contributions by the Company to the RSP and the Executive Retirement Plan.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GRANTS OF OPTIONS IN 2000 FISCAL YEAR</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There were no stock options granted during the 2000 fiscal year to any of the individuals named in the Summary Compensation Table. The Company has never granted stock appreciation rights.</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OPTION EXERCISES IN 2000 FISCAL YEAR AND OPTION VALUES AT END OF 2000 FISCAL YEAR</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sets forth information with respect to options exercised during the 2000 fiscal year and unexercised options held as of the end of the 2000 fiscal year by each of the individuals named in the Summary Compensation Table.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4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NUMBER OF SECURITIES</w:t>
            </w:r>
          </w:p>
        </w:tc>
        <w:tc>
          <w:tcPr>
            <w:tcW w:w="120" w:type="dxa"/>
            <w:vAlign w:val="bottom"/>
          </w:tcPr>
          <w:p>
            <w:pPr>
              <w:spacing w:after="0"/>
              <w:rPr>
                <w:sz w:val="14"/>
                <w:szCs w:val="14"/>
                <w:color w:val="auto"/>
              </w:rPr>
            </w:pPr>
          </w:p>
        </w:tc>
        <w:tc>
          <w:tcPr>
            <w:tcW w:w="2460" w:type="dxa"/>
            <w:vAlign w:val="bottom"/>
            <w:gridSpan w:val="2"/>
          </w:tcPr>
          <w:p>
            <w:pPr>
              <w:jc w:val="center"/>
              <w:ind w:right="287"/>
              <w:spacing w:after="0"/>
              <w:rPr>
                <w:sz w:val="20"/>
                <w:szCs w:val="20"/>
                <w:color w:val="auto"/>
              </w:rPr>
            </w:pPr>
            <w:r>
              <w:rPr>
                <w:rFonts w:ascii="Courier New" w:cs="Courier New" w:eastAsia="Courier New" w:hAnsi="Courier New"/>
                <w:sz w:val="15"/>
                <w:szCs w:val="15"/>
                <w:color w:val="auto"/>
                <w:w w:val="96"/>
              </w:rPr>
              <w:t>VALUE OF UNEXERCISED</w:t>
            </w:r>
          </w:p>
        </w:tc>
      </w:tr>
      <w:tr>
        <w:trPr>
          <w:trHeight w:val="168"/>
        </w:trPr>
        <w:tc>
          <w:tcPr>
            <w:tcW w:w="2020" w:type="dxa"/>
            <w:vAlign w:val="bottom"/>
          </w:tcPr>
          <w:p>
            <w:pPr>
              <w:spacing w:after="0"/>
              <w:rPr>
                <w:sz w:val="14"/>
                <w:szCs w:val="14"/>
                <w:color w:val="auto"/>
              </w:rPr>
            </w:pPr>
          </w:p>
        </w:tc>
        <w:tc>
          <w:tcPr>
            <w:tcW w:w="14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NUMBER</w:t>
            </w:r>
          </w:p>
        </w:tc>
        <w:tc>
          <w:tcPr>
            <w:tcW w:w="1220" w:type="dxa"/>
            <w:vAlign w:val="bottom"/>
          </w:tcPr>
          <w:p>
            <w:pPr>
              <w:spacing w:after="0"/>
              <w:rPr>
                <w:sz w:val="14"/>
                <w:szCs w:val="14"/>
                <w:color w:val="auto"/>
              </w:rPr>
            </w:pPr>
          </w:p>
        </w:tc>
        <w:tc>
          <w:tcPr>
            <w:tcW w:w="26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UNDERLYING UNEXERCISED</w:t>
            </w:r>
          </w:p>
        </w:tc>
        <w:tc>
          <w:tcPr>
            <w:tcW w:w="120" w:type="dxa"/>
            <w:vAlign w:val="bottom"/>
          </w:tcPr>
          <w:p>
            <w:pPr>
              <w:spacing w:after="0"/>
              <w:rPr>
                <w:sz w:val="14"/>
                <w:szCs w:val="14"/>
                <w:color w:val="auto"/>
              </w:rPr>
            </w:pPr>
          </w:p>
        </w:tc>
        <w:tc>
          <w:tcPr>
            <w:tcW w:w="246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8"/>
              </w:rPr>
              <w:t>IN-THE-MONEY</w:t>
            </w:r>
          </w:p>
        </w:tc>
      </w:tr>
      <w:tr>
        <w:trPr>
          <w:trHeight w:val="168"/>
        </w:trPr>
        <w:tc>
          <w:tcPr>
            <w:tcW w:w="2020" w:type="dxa"/>
            <w:vAlign w:val="bottom"/>
          </w:tcPr>
          <w:p>
            <w:pPr>
              <w:spacing w:after="0"/>
              <w:rPr>
                <w:sz w:val="14"/>
                <w:szCs w:val="14"/>
                <w:color w:val="auto"/>
              </w:rPr>
            </w:pPr>
          </w:p>
        </w:tc>
        <w:tc>
          <w:tcPr>
            <w:tcW w:w="14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OF SECURITIES</w:t>
            </w:r>
          </w:p>
        </w:tc>
        <w:tc>
          <w:tcPr>
            <w:tcW w:w="1220" w:type="dxa"/>
            <w:vAlign w:val="bottom"/>
          </w:tcPr>
          <w:p>
            <w:pPr>
              <w:spacing w:after="0"/>
              <w:rPr>
                <w:sz w:val="14"/>
                <w:szCs w:val="14"/>
                <w:color w:val="auto"/>
              </w:rPr>
            </w:pPr>
          </w:p>
        </w:tc>
        <w:tc>
          <w:tcPr>
            <w:tcW w:w="264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OPTIONS AT</w:t>
            </w:r>
          </w:p>
        </w:tc>
        <w:tc>
          <w:tcPr>
            <w:tcW w:w="120" w:type="dxa"/>
            <w:vAlign w:val="bottom"/>
          </w:tcPr>
          <w:p>
            <w:pPr>
              <w:spacing w:after="0"/>
              <w:rPr>
                <w:sz w:val="14"/>
                <w:szCs w:val="14"/>
                <w:color w:val="auto"/>
              </w:rPr>
            </w:pPr>
          </w:p>
        </w:tc>
        <w:tc>
          <w:tcPr>
            <w:tcW w:w="2460" w:type="dxa"/>
            <w:vAlign w:val="bottom"/>
            <w:gridSpan w:val="2"/>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OPTIONS AT</w:t>
            </w:r>
          </w:p>
        </w:tc>
      </w:tr>
      <w:tr>
        <w:trPr>
          <w:trHeight w:val="168"/>
        </w:trPr>
        <w:tc>
          <w:tcPr>
            <w:tcW w:w="2020" w:type="dxa"/>
            <w:vAlign w:val="bottom"/>
          </w:tcPr>
          <w:p>
            <w:pPr>
              <w:spacing w:after="0"/>
              <w:rPr>
                <w:sz w:val="14"/>
                <w:szCs w:val="14"/>
                <w:color w:val="auto"/>
              </w:rPr>
            </w:pPr>
          </w:p>
        </w:tc>
        <w:tc>
          <w:tcPr>
            <w:tcW w:w="14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UNDERLYING</w:t>
            </w:r>
          </w:p>
        </w:tc>
        <w:tc>
          <w:tcPr>
            <w:tcW w:w="1220" w:type="dxa"/>
            <w:vAlign w:val="bottom"/>
          </w:tcPr>
          <w:p>
            <w:pPr>
              <w:spacing w:after="0"/>
              <w:rPr>
                <w:sz w:val="14"/>
                <w:szCs w:val="14"/>
                <w:color w:val="auto"/>
              </w:rPr>
            </w:pPr>
          </w:p>
        </w:tc>
        <w:tc>
          <w:tcPr>
            <w:tcW w:w="26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FISCAL YEAR-END(#)(1)</w:t>
            </w:r>
          </w:p>
        </w:tc>
        <w:tc>
          <w:tcPr>
            <w:tcW w:w="120" w:type="dxa"/>
            <w:vAlign w:val="bottom"/>
          </w:tcPr>
          <w:p>
            <w:pPr>
              <w:spacing w:after="0"/>
              <w:rPr>
                <w:sz w:val="14"/>
                <w:szCs w:val="14"/>
                <w:color w:val="auto"/>
              </w:rPr>
            </w:pPr>
          </w:p>
        </w:tc>
        <w:tc>
          <w:tcPr>
            <w:tcW w:w="2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FISCAL YEAR-END($)(2)</w:t>
            </w:r>
          </w:p>
        </w:tc>
      </w:tr>
      <w:tr>
        <w:trPr>
          <w:trHeight w:val="168"/>
        </w:trPr>
        <w:tc>
          <w:tcPr>
            <w:tcW w:w="2020" w:type="dxa"/>
            <w:vAlign w:val="bottom"/>
          </w:tcPr>
          <w:p>
            <w:pPr>
              <w:spacing w:after="0"/>
              <w:rPr>
                <w:sz w:val="14"/>
                <w:szCs w:val="14"/>
                <w:color w:val="auto"/>
              </w:rPr>
            </w:pP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OPTIONS</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VALUE</w:t>
            </w:r>
          </w:p>
        </w:tc>
        <w:tc>
          <w:tcPr>
            <w:tcW w:w="26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25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EXERCISED</w:t>
            </w:r>
          </w:p>
        </w:tc>
        <w:tc>
          <w:tcPr>
            <w:tcW w:w="386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REALIZED($)   EXERCISABLE   UNEXERCISABLE</w:t>
            </w:r>
          </w:p>
        </w:tc>
        <w:tc>
          <w:tcPr>
            <w:tcW w:w="1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EXERCISABLE</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UNEXERCISABLE</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Charles M. Berger.....</w:t>
            </w:r>
          </w:p>
        </w:tc>
        <w:tc>
          <w:tcPr>
            <w:tcW w:w="14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475,000</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550,000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4,453,125</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$525,000</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Hagedorn........</w:t>
            </w: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150,000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320,000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2,097,375</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$466,875</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Jean H. Mordo.........</w:t>
            </w: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150,000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270,000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1,837,500</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$329,375</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G. Robert Lucas.......</w:t>
            </w: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70,000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110,000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507,500</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$ 50,625</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L. Rogula.......</w:t>
            </w: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88"/>
              </w:rPr>
              <w:t>0</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50,000</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720,000</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$120,625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19" w:hanging="350"/>
        <w:spacing w:after="0" w:line="236"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in Control" (as defined in the 1996 Stock Option Plan), each option will be canceled in exchange for the payment to the optionee of cash in an amount equal to the excess of the highest price paid (or offered) for common shares of the Company during the preceding 30-day period over the exercise price for such option. Notwithstanding the foregoing, if the Compensation and Organization</w:t>
      </w:r>
    </w:p>
    <w:p>
      <w:pPr>
        <w:sectPr>
          <w:pgSz w:w="11900" w:h="16838" w:orient="portrait"/>
          <w:cols w:equalWidth="0" w:num="1">
            <w:col w:w="10239"/>
          </w:cols>
          <w:pgMar w:left="220" w:top="281" w:right="1440" w:bottom="1440" w:gutter="0" w:footer="0" w:header="0"/>
        </w:sectPr>
      </w:pP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left="360" w:right="3239"/>
        <w:spacing w:after="0" w:line="254" w:lineRule="auto"/>
        <w:rPr>
          <w:sz w:val="20"/>
          <w:szCs w:val="20"/>
          <w:color w:val="auto"/>
        </w:rPr>
      </w:pPr>
      <w:r>
        <w:rPr>
          <w:rFonts w:ascii="Courier New" w:cs="Courier New" w:eastAsia="Courier New" w:hAnsi="Courier New"/>
          <w:sz w:val="14"/>
          <w:szCs w:val="14"/>
          <w:color w:val="auto"/>
        </w:rPr>
        <w:t>Committee determines that the optionee will receive a new award (or have the options honored or assumed) in a manner which preserves its value and eliminates the risk that the value of the award will be forfeited due to involuntary termination, no cash payment will be made as a result of a Change in Control. If any cash payment is to be made with respect to options granted within six months of the date on which a Change in Control occurs, the cash payment will not occur unless and until the cash payment may be made without subjecting the optionee to potential liability under Section 16(b) of the Securities Exchange Act of 1934 by reason of such cash payment. In the event of termination of employment by reason of retirement, long-term disability or death, the options may thereafter be exercised in full for a period of five years, subject to the stated term of the options. The options are forfeited if the holder's employment is terminated for cause. In the event an option holder's employment is terminated for any reason other than retirement, long-term disability, death or for cause, any exercisable options held by him at the date of termination may be exercised for a period of 90 days, subject to the stated terms of the options.</w:t>
      </w:r>
    </w:p>
    <w:p>
      <w:pPr>
        <w:spacing w:after="0" w:line="174" w:lineRule="exact"/>
        <w:rPr>
          <w:sz w:val="20"/>
          <w:szCs w:val="20"/>
          <w:color w:val="auto"/>
        </w:rPr>
      </w:pPr>
    </w:p>
    <w:p>
      <w:pPr>
        <w:ind w:left="360" w:right="3239" w:hanging="350"/>
        <w:spacing w:after="0" w:line="235"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In-the-Money Options at Fiscal Year-End" is based upon the fair market value of the Company's common shares on September 30, 2000 ($33.50) less the exercise price of in-the-money options at the end of the 2000 fiscal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PLANS</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Company maintains a tax-qualified, non-contributory defined benefit pension plan (the "Pension Plan"). Eligibility for and accruals under the Pension Plan were frozen as of December 31, 1997.</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Monthly benefits under the Pension Plan upon normal retirement (age 65) are determined under the following formula:</w:t>
      </w:r>
    </w:p>
    <w:p>
      <w:pPr>
        <w:spacing w:after="0" w:line="173" w:lineRule="exact"/>
        <w:rPr>
          <w:sz w:val="20"/>
          <w:szCs w:val="20"/>
          <w:color w:val="auto"/>
        </w:rPr>
      </w:pPr>
    </w:p>
    <w:p>
      <w:pPr>
        <w:ind w:left="1400" w:right="3239" w:hanging="691"/>
        <w:spacing w:after="0" w:line="235" w:lineRule="auto"/>
        <w:tabs>
          <w:tab w:leader="none" w:pos="10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1.5% of the individual's highest average annual compensation for 60 consecutive months during the ten-year period ending December 31, 1997; times</w:t>
      </w:r>
    </w:p>
    <w:p>
      <w:pPr>
        <w:spacing w:after="0" w:line="173" w:lineRule="exact"/>
        <w:rPr>
          <w:rFonts w:ascii="Courier New" w:cs="Courier New" w:eastAsia="Courier New" w:hAnsi="Courier New"/>
          <w:sz w:val="15"/>
          <w:szCs w:val="15"/>
          <w:color w:val="auto"/>
        </w:rPr>
      </w:pPr>
    </w:p>
    <w:p>
      <w:pPr>
        <w:ind w:left="1500" w:hanging="441"/>
        <w:spacing w:after="0"/>
        <w:tabs>
          <w:tab w:leader="none" w:pos="150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of benefit service through December 31, 1997; reduced by</w:t>
      </w:r>
    </w:p>
    <w:p>
      <w:pPr>
        <w:spacing w:after="0" w:line="177" w:lineRule="exact"/>
        <w:rPr>
          <w:rFonts w:ascii="Courier New" w:cs="Courier New" w:eastAsia="Courier New" w:hAnsi="Courier New"/>
          <w:sz w:val="14"/>
          <w:szCs w:val="14"/>
          <w:color w:val="auto"/>
        </w:rPr>
      </w:pPr>
    </w:p>
    <w:p>
      <w:pPr>
        <w:ind w:left="1400" w:right="3239" w:hanging="691"/>
        <w:spacing w:after="0" w:line="234" w:lineRule="auto"/>
        <w:tabs>
          <w:tab w:leader="none" w:pos="10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1.25% of the individual's primary Social Security benefit (as of December 31, 1997); times</w:t>
      </w:r>
    </w:p>
    <w:p>
      <w:pPr>
        <w:spacing w:after="0" w:line="166" w:lineRule="exact"/>
        <w:rPr>
          <w:rFonts w:ascii="Courier New" w:cs="Courier New" w:eastAsia="Courier New" w:hAnsi="Courier New"/>
          <w:sz w:val="15"/>
          <w:szCs w:val="15"/>
          <w:color w:val="auto"/>
        </w:rPr>
      </w:pPr>
    </w:p>
    <w:p>
      <w:pPr>
        <w:ind w:left="1500" w:hanging="441"/>
        <w:spacing w:after="0"/>
        <w:tabs>
          <w:tab w:leader="none" w:pos="150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of benefit service through December 31, 1997.</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Compensation includes all earnings plus 401(k) contributions and salary reduction contributions for welfare benefits, but does not include earnings in connection with foreign service, the value of a company car or separation or other special allowances. An individual's primary Social Security benefit is based on the Social Security Act as in effect on December 31, 1997, and assumes constant compensation through age 65 and that the individual will not retire earlier than age 65. No more than 40 years of benefit service are taken into account. The Pension Plan includes additional provisions for early retirement.</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Benefits under the Pension Plan are supplemented by benefits under The O.M. Scotts &amp; Sons Company Excess Benefit Plan (the "Excess Benefit Plan"). The Excess Benefit Plan was established October 1, 1993 and was frozen as of December 31, 1997. The Excess Benefit Plan provides additional benefits to participants in the Pension Plan whose benefits are reduced by limitations imposed under Sections 415 and 401(a)(17) of the Internal Revenue Code of 1986 (the "Internal Revenue Code"). Under the Excess Benefit Plan, executive officers and certain key employees will receive, at the time and in the same form as benefits are paid under the Pension Plan, additional monthly benefits in an amount which, when added to the benefits paid to each participant under the Pension Plan, will equal the benefit amount such participant would have earned but for the limitations imposed by the Internal Revenue Code.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estimated annual benefits under the Pension Plan and the Excess Benefit Plan payable upon retirement at normal retirement age for each of the individuals named in the Summary Compensation Table are: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YEARS OF BENEFIT SERVICE</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BENEFIT</w:t>
            </w:r>
          </w:p>
        </w:tc>
      </w:tr>
      <w:tr>
        <w:trPr>
          <w:trHeight w:val="168"/>
        </w:trPr>
        <w:tc>
          <w:tcPr>
            <w:tcW w:w="3240" w:type="dxa"/>
            <w:vAlign w:val="bottom"/>
          </w:tcPr>
          <w:p>
            <w:pPr>
              <w:spacing w:after="0"/>
              <w:rPr>
                <w:sz w:val="14"/>
                <w:szCs w:val="14"/>
                <w:color w:val="auto"/>
              </w:rPr>
            </w:pPr>
          </w:p>
        </w:tc>
        <w:tc>
          <w:tcPr>
            <w:tcW w:w="2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Charles M. Berger...................</w:t>
            </w:r>
          </w:p>
        </w:tc>
        <w:tc>
          <w:tcPr>
            <w:tcW w:w="23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0.333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134.01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James Hagedorn......................</w:t>
            </w: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9.9167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3,368.46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Jean H. Mordo.......................</w:t>
            </w: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N/A</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 Robert Lucas.....................</w:t>
            </w: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N/A</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James L. Rogula.....................</w:t>
            </w: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1.9167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461.93</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Associates participate in the RSP, formerly known as "The Scotts Company Profit Sharing and Savings Plan." The RSP, as amended and restated effective as of December 31, 1997, consolidated various defined contribution retirement plans in effect at the Company and its domestic subsidiaries. The RSP permits 401(k) contributions, employee after-tax contributions, Company matching contributions, Company retirement contributions, and, between 1998 and 2002 for participants whose benefits were frozen under the Pension Plan (and the Scotts-Sierra Horticultural Products Company Retirement Plan for Salaried Employees), certain transitional contributions based on age and service.</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Executive Retirement Plan is a nonqualified deferred compensation plan for the benefit of certain officers and highly paid employees, including the individuals named in the Summary Compensation Table. The Executive Retirement Plan provides participants with the opportunity to defer bonuses under the Executive Incentive Plan. In addition, the Executive Retirement Plan allows participants to make and have made on their behalf contributions which could have been made under the terms of the RSP but for the limitations imposed by the Internal Revenue Code on qualified defined compensation plans.</w:t>
      </w:r>
    </w:p>
    <w:p>
      <w:pPr>
        <w:spacing w:after="0" w:line="177"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EMPLOYMENT AGREEMENTS AND TERMINATION OF EMPLOYMENT AND CHANGE-IN-CONTROL ARRANGEMENTS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entered into an employment agreement with Mr. Berger effective as of August 7, 1998 (the "Berger Agreement"), providing for his employment as Chairman and Chief Executive Officer of the Company until August 2001, at an annual base salary of $500,000, plus an incentive bonus under The Scotts Company Executive and Management Incentive Plan (the "Executive Incentive Plan"). If Mr. Berger's employment is terminated by the Company without "cause" (as defined in the Berger Agreement), as a result of his death or disability, as a result of "cause" by Mr. Berger (also as defined) or as a result of a "change of control" (also as defined), he will be entitled to have his base salary continued at the rate then in effect for two years thereafter, and to receive incentive compensation equal to the lesser of his target percentage under the Executive Incentive Plan then in effect or the amount of his last actual bonus under the Executive Incentive Plan, also for the two-year period after the date of termination. If Mr. Berger voluntarily terminates his employment, or if his employment is terminated for any other reason (including for "cause" by the Company), Mr. Berger is entitled to receive his base salary through the date of termination. In connection with entering into the Berger Agreement, Mr. Berger entered into three Stock Option Agreements with the Company dated as of September 23, 1998, October 21, 1998 and September 24, 1999. Mr. Berger was granted options to purchase 150,000 common shares of the Company under the two agreements dated as of 1998, and 75,000 common shares under the agreement dated as of 1999, totaling 225,000 common shares. The options vested one year from the respective dates of grant. The options are exercisable at a purchase price of $30.125 per share under the September 23, 1998 agreement, $30.000 per share under the October 21, 1998 agreement and $35.250 per share under the September 24, 1999 agreement. The exercise price is subject to adjustment in the event of certain corporate changes. These options expire ten years from the respective dates of grant.</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transactions contemplated by the Merger Agreement, the Company entered into an employment agreement with Mr. James Hagedorn (the "Hagedorn Agreement"). The Hagedorn Agreement has a term of three years, and is automatically renewed for an additional year each subsequent year, unless either party notifies the other party of his/its desire not to renew. The Hagedorn Agreement provides for a minimum annual base salary of $200,000 for Mr. Hagedorn and participation in the various benefit plans available to senior executive officers of the Company. In addition, pursuant to the Hagedorn Agreement, the Company</w:t>
      </w:r>
    </w:p>
    <w:p>
      <w:pPr>
        <w:sectPr>
          <w:pgSz w:w="11900" w:h="16838" w:orient="portrait"/>
          <w:cols w:equalWidth="0" w:num="1">
            <w:col w:w="10239"/>
          </w:cols>
          <w:pgMar w:left="220" w:top="281" w:right="1440" w:bottom="1440" w:gutter="0" w:footer="0" w:header="0"/>
        </w:sectPr>
      </w:pP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granted to Mr. Hagedorn options to acquire 24,000 common shares. Upon certain types of termination of employment (e.g., a termination by the Company for any reason other than "cause" (as defined in the Hagedorn Agreement) or a termination by Mr. Hagedorn constituting "good reason" (also as defined)), he will become entitled to receive certain severance benefits including a payment equal to three times the sum of his base salary then in effect plus his highest annual bonus in any of the three preceding years. Upon termination of employment for any other reason, Mr. Hagedorn or his beneficiary will be entitled to receive all unpaid amounts of base salary and benefits under the executive benefit plans in which he participated. The Hagedorn Agreement also contains confidentiality and noncompetition provisions which prevent Mr. Hagedorn from disclosing confidential information about the Company and from competing with the Company during his employment therewith and for an additional three years thereafter.</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entered into an employment arrangement with Mr. Mordo effective May 1, 1997, relating to his employment with the Company. If Mr. Mordo's employment was terminated by the Company without "cause" (as defined in such employment agreement), as a result of his death or disability or as a result of a "change of control" (also as defined), he was entitled to have his base salary continued at the rate then in effect for two years thereafter, and to receive incentive compensation at least comparable to the prior year's level for the two-year period after termination. Mr. Mordo was also granted options to purchase 150,000 common shares of the Company, one-third of which vested in each of March 1997, March 1998 and March 1999. Mr. Mordo's employment as an executive officer of the Company terminated effective October 13, 2000. Pursuant to an agreement dated October 18, 2000, and in accordance with his employment agreement, for twenty-four months beginning November 1, 2000, Mr. Mordo will have his base salary continued and receive the greater of his target bonus amount or 2000 fiscal year bonus amount. In addition, with respect to an option to purchase 35,000 common shares that would have vested on October 20, 2000, the Company agreed to pay Mr. Mordo, on or before January 31, 2001, an amount equal to the difference between the aggregate exercise price for the common shares covered by the option and the highest closing price of the common shares on the NYSE between October 16, 2000 and January 12, 2001. Also, Mr. Mordo must exercise any vested options that he owns by February 2, 2001, when such options will expire.</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entered into an employment arrangement with Mr. Lucas effective May 1, 1997, relating to his employment with the Company. If Mr. Lucas' employment is terminated by the Company without "cause," as a result of his death or disability or as a result of a "change of control," he will be entitled to have his base salary continued at the rate then in effect for two years thereafter, and to receive incentive compensation at least comparable to the prior year's level for the two-year period after termination. Mr. Lucas was also granted options to purchase 70,000 common shares of the Company, one-third of which vested in each of May 1997, May 1998 and May 1999.</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THE COMPENSATION AND ORGANIZATION COMMITTEE ON EXECUTIVE COMPENSATION</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Notwithstanding anything to the contrary set forth in the Company's previous filings under the Securities Act of 1933 or the Securities Exchange Act of 1934 that might incorporate future filings, including this Proxy Statement, in whole or in part, this Report shall not be incorporated by reference into any such filings.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 OF THE COMPENSATION AND ORGANIZATION COMMITTEE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and Organization Committee (the "Compensation Committee") is made up of four members of the Board of Directors who are neither current nor former employees of the Company. The Compensation Committee reviews the Company's organizational structure, succession planning and the ongoing functions of the executive officers. It is also responsible for the Company's executive compensation policies and programs. The Compensation Committee reviews and recommends to the Board all compensation payments to the CEO and executive officers of the Company and the aggregate incentive payments to the participants in the Executive Incentive Plan.</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reaching compensation decisions, the Compensation Committee reviews information from various sources, including proxy statement surveys and industry surveys. The Compensation Committee has retained external legal counsel and compensation consultants.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OBJECTIVES OF THE EXECUTIVE COMPENSATION PROGRAM</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Compensation Committee's primary objective is the establishment of compensation programs for the Company's executive officers who are in a position to maximize long-term shareholder value. The executive compensation program is designed with a performance orientation, where a large portion of executive compensation is "at risk". In pursing this objective, the Compensation Committee believes the Company's executive compensation program must:</w:t>
      </w:r>
    </w:p>
    <w:p>
      <w:pPr>
        <w:spacing w:after="0" w:line="166" w:lineRule="exact"/>
        <w:rPr>
          <w:sz w:val="20"/>
          <w:szCs w:val="20"/>
          <w:color w:val="auto"/>
        </w:rPr>
      </w:pPr>
    </w:p>
    <w:p>
      <w:pPr>
        <w:ind w:left="880" w:right="3319" w:hanging="171"/>
        <w:spacing w:after="0" w:line="234"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Emphasize pay for performance, motivating both long-term and short-term performance for the benefit of the Company's shareholders;</w:t>
      </w:r>
    </w:p>
    <w:p>
      <w:pPr>
        <w:spacing w:after="0" w:line="173" w:lineRule="exact"/>
        <w:rPr>
          <w:rFonts w:ascii="Courier New" w:cs="Courier New" w:eastAsia="Courier New" w:hAnsi="Courier New"/>
          <w:sz w:val="15"/>
          <w:szCs w:val="15"/>
          <w:color w:val="auto"/>
        </w:rPr>
      </w:pPr>
    </w:p>
    <w:p>
      <w:pPr>
        <w:ind w:left="880" w:right="3239" w:hanging="171"/>
        <w:spacing w:after="0" w:line="234"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greater emphasis on variable incentive compensation versus fixed or base pay;</w:t>
      </w:r>
    </w:p>
    <w:p>
      <w:pPr>
        <w:spacing w:after="0" w:line="173" w:lineRule="exact"/>
        <w:rPr>
          <w:rFonts w:ascii="Courier New" w:cs="Courier New" w:eastAsia="Courier New" w:hAnsi="Courier New"/>
          <w:sz w:val="15"/>
          <w:szCs w:val="15"/>
          <w:color w:val="auto"/>
        </w:rPr>
      </w:pPr>
    </w:p>
    <w:p>
      <w:pPr>
        <w:ind w:left="880" w:right="3939" w:hanging="171"/>
        <w:spacing w:after="0" w:line="234"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Encourage and reward decision-making that emphasizes long-term shareholder value;</w:t>
      </w:r>
    </w:p>
    <w:p>
      <w:pPr>
        <w:spacing w:after="0" w:line="173" w:lineRule="exact"/>
        <w:rPr>
          <w:rFonts w:ascii="Courier New" w:cs="Courier New" w:eastAsia="Courier New" w:hAnsi="Courier New"/>
          <w:sz w:val="15"/>
          <w:szCs w:val="15"/>
          <w:color w:val="auto"/>
        </w:rPr>
      </w:pPr>
    </w:p>
    <w:p>
      <w:pPr>
        <w:jc w:val="both"/>
        <w:ind w:left="880" w:right="3319" w:hanging="171"/>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total compensation program competitive with those companies with which the Company competes for top management talent on a global basis; and</w:t>
      </w:r>
    </w:p>
    <w:p>
      <w:pPr>
        <w:spacing w:after="0" w:line="173" w:lineRule="exact"/>
        <w:rPr>
          <w:rFonts w:ascii="Courier New" w:cs="Courier New" w:eastAsia="Courier New" w:hAnsi="Courier New"/>
          <w:sz w:val="15"/>
          <w:szCs w:val="15"/>
          <w:color w:val="auto"/>
        </w:rPr>
      </w:pPr>
    </w:p>
    <w:p>
      <w:pPr>
        <w:jc w:val="both"/>
        <w:ind w:left="880" w:right="3399" w:hanging="171"/>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Ensure the Company's continued growth and performance by attracting, retaining and motivating talented executives and employees necessary to meet the Company's strategic goals.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sets compensation levels which are designed to be competitive with a comparison group of consumer products companies of similar size and complexity (the "Comparison Group"). This comparative data may not include the compensation paid by all of the companies that are included in the S&amp;P 500 Household Index which is used for comparative purposes in the performance graph. Base salary and annual incentive opportunities are targeted at the median of the Comparison Group companies, while long-term incentives are targeted at the 75th percentile. Through the use of these and other tools, the Company has been successful in attracting executives who as key members of the top management team have been instrumental in improving the performance of the Company.</w:t>
      </w:r>
    </w:p>
    <w:p>
      <w:pPr>
        <w:spacing w:after="0" w:line="180"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Compensation Committee does not have a policy that requires the Company's executive compensation programs to qualify as performance-based compensation under Section 162(m) of the Internal Revenue Code. The design and administration of the Company's 1996 Stock Option Plan qualifies under Section 162(m) of the Internal Revenue Code as performance-based compensation. In all cases, the Compensation Committee will continue to carefully consider the net cost and value to the shareholders of its compensation policies.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EXECUTIVE COMPENSATION AND 2000 COMPENSATION COMMITTEE ACTIONS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Company's executive compensation program consists of four principal components:</w:t>
      </w:r>
    </w:p>
    <w:p>
      <w:pPr>
        <w:spacing w:after="0" w:line="167" w:lineRule="exact"/>
        <w:rPr>
          <w:sz w:val="20"/>
          <w:szCs w:val="20"/>
          <w:color w:val="auto"/>
        </w:rPr>
      </w:pPr>
    </w:p>
    <w:p>
      <w:pPr>
        <w:ind w:left="880" w:hanging="171"/>
        <w:spacing w:after="0"/>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Incentive Plan</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1996 Stock Option Plan</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Millennium Growth Plan</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base salaries of the Company's executive officers and subsequent</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adjustments to base salaries are determined relative to the following factors:</w:t>
      </w:r>
    </w:p>
    <w:p>
      <w:pPr>
        <w:spacing w:after="0" w:line="10" w:lineRule="exact"/>
        <w:rPr>
          <w:sz w:val="20"/>
          <w:szCs w:val="20"/>
          <w:color w:val="auto"/>
        </w:rPr>
      </w:pPr>
    </w:p>
    <w:p>
      <w:pPr>
        <w:ind w:right="3319" w:firstLine="10"/>
        <w:spacing w:after="0" w:line="236" w:lineRule="auto"/>
        <w:tabs>
          <w:tab w:leader="none" w:pos="3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strategic importance to the Company of the executive officer's job function; (2) the individual's performance in his or her position; (3) the individual's potential to make a significant contribution to the Company in the future; and (4) a comparison of industry compensation practices. The Compensation Committee believes that all of these factors are important and the relevance of each factor varies from individual to individual.</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INCENTIVE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executive officers are eligible to participate in the Executive Incentive Plan, which provides annual incentive compensation opportunities based on various performance measures related to the financial performance of the Company and the achievement of individual goals and objectives for the fiscal year.</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Compensation Committee oversees the operation of the Executive Incentive Plan by evaluating and approving the targets and the objectives to be met by the Company and the executive officers and the amount of bonus payable at specified levels of attainment of those targets and objectives. At the end of each fiscal year, the Compensation Committee determines the extent to which the targets and objectives have been met and awards bonuses accordingly.</w:t>
      </w:r>
    </w:p>
    <w:p>
      <w:pPr>
        <w:spacing w:after="0" w:line="16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Bonuses for corporate officers are based on the Company's earnings per share (80%) as well as on individual goals (20%). Bonuses for officers in the Company's business groups are based on the Company's earnings per share (30%), the adjusted contribution margins of their particular business group (50%) and individual goals (20%).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STOCK OPTION 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Using the Black-Scholes method, the Compensation Committee targets executive officers at the 75th percentile of expected value for long-term incentive programs to executives of Comparison Group companies. Annual stock option grants are thus targeted at the 50th percentile. The 1996 Stock Option Plan enables the Compensation Committee to grant both incentive stock options and non-qualified stock options, although no incentive stock options have been granted to date. All options granted have a three-year cliff vesting provision. The Compensation Committee has on occasion adjusted annual grants based on corporate or individual performance.</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Because of a change in the timing when the Compensation Committee considers the grant of options under the 1996 Stock Option Plan, no options were granted in the 2000 fiscal year. However, the Compensation Committee granted options in October 2000 to its executive officers after considering the factors described herein. Those option grants will be shown in the proxy statement for the 2002 Annual Meeting of Shareholders. The Compensation Committee currently intends to consider annual option grants for its executive officers in the first quarter of each fiscal year.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MILLENNIUM GROWTH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executive officers are eligible to participate in the Scotts Millennium Growth Plan, which provides long-term incentive compensation opportunities based on specified performance measures related to the financial performance of the Company. For the 2000 fiscal year, the Compensation Committee targeted grants in the Scotts Millenium Growth Plan at a level that, when combined with the expected value of a stock option grant, achieves its desired long-term incentive target. The performance target for the first three-year cycle ending September 30, 2002 is based on cumulative earnings per share.</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Scotts Millenium Growth Plan was terminated in November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THE CEO</w:t>
      </w:r>
    </w:p>
    <w:p>
      <w:pPr>
        <w:spacing w:after="0" w:line="17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The Compensation Committee, in conjunction with the CEO, establishes the CEO's annual goals and objectives and evaluates his performance against these goals and objectives annually in executive session.</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September 23, 1998, the Compensation Committee approved a three-year employment agreement for the CEO through September 2001. His base salary of $500,000 will remain frozen for the remainder of the term of the agreement, while his target bonus under the Executive Incentive Plan increases from 65% in 1999, to 75% in 2000, and to 85% in 2001.</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Consistent with the focus on performance-based compensation, Mr. Berger's target bonus opportunity was set at 75% of his salary for the 2000 fiscal year. In his position, 80% of Mr. Berger's target bonus is directly attributable to corporate performance (earnings per share) with a performance modifier of 0 to 250%. With</w:t>
      </w: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respect to the remaining 20% of the target bonus, with a performance modifier of 0 to 200%, the Compensation Committee considered Mr. Berger's individual accountabilities, including:</w:t>
      </w:r>
    </w:p>
    <w:p>
      <w:pPr>
        <w:spacing w:after="0" w:line="167" w:lineRule="exact"/>
        <w:rPr>
          <w:sz w:val="20"/>
          <w:szCs w:val="20"/>
          <w:color w:val="auto"/>
        </w:rPr>
      </w:pPr>
    </w:p>
    <w:p>
      <w:pPr>
        <w:ind w:left="880" w:hanging="171"/>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strategic planning</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Organizational development, with a global focus</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growth and operational excellence</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investment optimization</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Investor relations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In consideration of the Company's and Mr. Berger's performance during the 2000 fiscal year, he earned a bonus of [$450,000].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COMPENSATION AND ORGANIZATION COMMITTEE OF THE COMPANY:</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JOSEPH P. FLANNERY, CHAIRMAN</w:t>
      </w:r>
    </w:p>
    <w:p>
      <w:pPr>
        <w:ind w:left="3860"/>
        <w:spacing w:after="0" w:line="237" w:lineRule="auto"/>
        <w:rPr>
          <w:sz w:val="20"/>
          <w:szCs w:val="20"/>
          <w:color w:val="auto"/>
        </w:rPr>
      </w:pPr>
      <w:r>
        <w:rPr>
          <w:rFonts w:ascii="Courier New" w:cs="Courier New" w:eastAsia="Courier New" w:hAnsi="Courier New"/>
          <w:sz w:val="15"/>
          <w:szCs w:val="15"/>
          <w:color w:val="auto"/>
        </w:rPr>
        <w:t>ALBERT E. HARRIS</w:t>
      </w:r>
    </w:p>
    <w:p>
      <w:pPr>
        <w:ind w:left="3860"/>
        <w:spacing w:after="0" w:line="238" w:lineRule="auto"/>
        <w:rPr>
          <w:sz w:val="20"/>
          <w:szCs w:val="20"/>
          <w:color w:val="auto"/>
        </w:rPr>
      </w:pPr>
      <w:r>
        <w:rPr>
          <w:rFonts w:ascii="Courier New" w:cs="Courier New" w:eastAsia="Courier New" w:hAnsi="Courier New"/>
          <w:sz w:val="15"/>
          <w:szCs w:val="15"/>
          <w:color w:val="auto"/>
        </w:rPr>
        <w:t>JOHN M. SULLIVAN</w:t>
      </w:r>
    </w:p>
    <w:p>
      <w:pPr>
        <w:ind w:left="3860"/>
        <w:spacing w:after="0" w:line="237" w:lineRule="auto"/>
        <w:rPr>
          <w:sz w:val="20"/>
          <w:szCs w:val="20"/>
          <w:color w:val="auto"/>
        </w:rPr>
      </w:pPr>
      <w:r>
        <w:rPr>
          <w:rFonts w:ascii="Courier New" w:cs="Courier New" w:eastAsia="Courier New" w:hAnsi="Courier New"/>
          <w:sz w:val="15"/>
          <w:szCs w:val="15"/>
          <w:color w:val="auto"/>
        </w:rPr>
        <w:t>JOHN WALKER, PH.D.]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ind w:right="2000" w:firstLine="437"/>
        <w:spacing w:after="0" w:line="254" w:lineRule="auto"/>
        <w:rPr>
          <w:sz w:val="20"/>
          <w:szCs w:val="20"/>
          <w:color w:val="auto"/>
        </w:rPr>
      </w:pPr>
      <w:r>
        <w:rPr>
          <w:rFonts w:ascii="Courier New" w:cs="Courier New" w:eastAsia="Courier New" w:hAnsi="Courier New"/>
          <w:sz w:val="14"/>
          <w:szCs w:val="14"/>
          <w:color w:val="auto"/>
        </w:rPr>
        <w:t>The following line graph compares the yearly percentage change in the Company's cumulative total shareholder return (as measured by dividing (i) the sum of (A) the cumulative amount of dividends for the measurement period, assuming dividend reinvestment, and (B) the difference between the price of the Company's common shares at the end and the beginning of the measurement period; by (ii) the price of the Company's common shares at the beginning of the measurement period) against the cumulative return of (a) Standard &amp; Poor's 500 Consumer Household Non-Durable Products Index ("S&amp;P 500 Household Index"); and</w:t>
      </w:r>
    </w:p>
    <w:p>
      <w:pPr>
        <w:spacing w:after="0" w:line="3" w:lineRule="exact"/>
        <w:rPr>
          <w:sz w:val="20"/>
          <w:szCs w:val="20"/>
          <w:color w:val="auto"/>
        </w:rPr>
      </w:pPr>
    </w:p>
    <w:p>
      <w:pPr>
        <w:ind w:right="1920" w:firstLine="10"/>
        <w:spacing w:after="0" w:line="254" w:lineRule="auto"/>
        <w:tabs>
          <w:tab w:leader="none" w:pos="35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Russell 2000 (the "Russell 2000"); each for the period from September 30, 1995 to September 30, 2000. The comparison assumes $100 was invested on September 30, 1995 in the Company's common shares and in each of the foregoing indices and assumes reinvestment of dividends. Notwithstanding anything to the contrary set forth in the Company's previous filings under the Securities Act of 1933 or the Securities Exchange Act of 1934 that might incorporate future filings, including this Proxy Statement, in whole or in part, the graph set forth below shall not be incorporated by reference into any such filings.</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[TOTAL SHAREHOLDER RETURNS GRAPH]</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3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THE SCOTTS COMPANY</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S&amp;P 500 HOUSEHOLD INDEX</w:t>
            </w:r>
          </w:p>
        </w:tc>
      </w:tr>
      <w:tr>
        <w:trPr>
          <w:trHeight w:val="168"/>
        </w:trPr>
        <w:tc>
          <w:tcPr>
            <w:tcW w:w="2420" w:type="dxa"/>
            <w:vAlign w:val="bottom"/>
          </w:tcPr>
          <w:p>
            <w:pPr>
              <w:spacing w:after="0"/>
              <w:rPr>
                <w:sz w:val="14"/>
                <w:szCs w:val="14"/>
                <w:color w:val="auto"/>
              </w:rPr>
            </w:pPr>
          </w:p>
        </w:tc>
        <w:tc>
          <w:tcPr>
            <w:tcW w:w="3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jc w:val="right"/>
              <w:ind w:right="1987"/>
              <w:spacing w:after="0"/>
              <w:rPr>
                <w:sz w:val="20"/>
                <w:szCs w:val="20"/>
                <w:color w:val="auto"/>
              </w:rPr>
            </w:pPr>
            <w:r>
              <w:rPr>
                <w:rFonts w:ascii="Courier New" w:cs="Courier New" w:eastAsia="Courier New" w:hAnsi="Courier New"/>
                <w:sz w:val="15"/>
                <w:szCs w:val="15"/>
                <w:color w:val="auto"/>
                <w:w w:val="94"/>
              </w:rPr>
              <w:t>9/95</w:t>
            </w:r>
          </w:p>
        </w:tc>
        <w:tc>
          <w:tcPr>
            <w:tcW w:w="39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100.00</w:t>
            </w:r>
          </w:p>
        </w:tc>
        <w:tc>
          <w:tcPr>
            <w:tcW w:w="2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242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w w:val="94"/>
              </w:rPr>
              <w:t>9/96</w:t>
            </w:r>
          </w:p>
        </w:tc>
        <w:tc>
          <w:tcPr>
            <w:tcW w:w="39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87.01</w:t>
            </w:r>
          </w:p>
        </w:tc>
        <w:tc>
          <w:tcPr>
            <w:tcW w:w="2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132.25</w:t>
            </w:r>
          </w:p>
        </w:tc>
      </w:tr>
      <w:tr>
        <w:trPr>
          <w:trHeight w:val="168"/>
        </w:trPr>
        <w:tc>
          <w:tcPr>
            <w:tcW w:w="242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w w:val="94"/>
              </w:rPr>
              <w:t>9/97</w:t>
            </w:r>
          </w:p>
        </w:tc>
        <w:tc>
          <w:tcPr>
            <w:tcW w:w="39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118.64</w:t>
            </w:r>
          </w:p>
        </w:tc>
        <w:tc>
          <w:tcPr>
            <w:tcW w:w="2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185.36</w:t>
            </w:r>
          </w:p>
        </w:tc>
      </w:tr>
      <w:tr>
        <w:trPr>
          <w:trHeight w:val="168"/>
        </w:trPr>
        <w:tc>
          <w:tcPr>
            <w:tcW w:w="242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w w:val="94"/>
              </w:rPr>
              <w:t>9/98</w:t>
            </w:r>
          </w:p>
        </w:tc>
        <w:tc>
          <w:tcPr>
            <w:tcW w:w="39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138.42</w:t>
            </w:r>
          </w:p>
        </w:tc>
        <w:tc>
          <w:tcPr>
            <w:tcW w:w="2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183.15</w:t>
            </w:r>
          </w:p>
        </w:tc>
      </w:tr>
      <w:tr>
        <w:trPr>
          <w:trHeight w:val="168"/>
        </w:trPr>
        <w:tc>
          <w:tcPr>
            <w:tcW w:w="242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w w:val="94"/>
              </w:rPr>
              <w:t>9/99</w:t>
            </w:r>
          </w:p>
        </w:tc>
        <w:tc>
          <w:tcPr>
            <w:tcW w:w="39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156.50</w:t>
            </w:r>
          </w:p>
        </w:tc>
        <w:tc>
          <w:tcPr>
            <w:tcW w:w="2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235.69</w:t>
            </w:r>
          </w:p>
        </w:tc>
      </w:tr>
      <w:tr>
        <w:trPr>
          <w:trHeight w:val="168"/>
        </w:trPr>
        <w:tc>
          <w:tcPr>
            <w:tcW w:w="242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w w:val="94"/>
              </w:rPr>
              <w:t>9/00</w:t>
            </w:r>
          </w:p>
        </w:tc>
        <w:tc>
          <w:tcPr>
            <w:tcW w:w="39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151.41</w:t>
            </w:r>
          </w:p>
        </w:tc>
        <w:tc>
          <w:tcPr>
            <w:tcW w:w="2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200.58</w:t>
            </w:r>
          </w:p>
        </w:tc>
      </w:tr>
    </w:tbl>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THE AUDIT COMMITTEE</w:t>
      </w:r>
    </w:p>
    <w:p>
      <w:pPr>
        <w:ind w:left="2640"/>
        <w:spacing w:after="0" w:line="237" w:lineRule="auto"/>
        <w:rPr>
          <w:sz w:val="20"/>
          <w:szCs w:val="20"/>
          <w:color w:val="auto"/>
        </w:rPr>
      </w:pPr>
      <w:r>
        <w:rPr>
          <w:rFonts w:ascii="Courier New" w:cs="Courier New" w:eastAsia="Courier New" w:hAnsi="Courier New"/>
          <w:sz w:val="15"/>
          <w:szCs w:val="15"/>
          <w:color w:val="auto"/>
        </w:rPr>
        <w:t>(NOVEMBER 29, 2000)</w:t>
      </w:r>
    </w:p>
    <w:p>
      <w:pPr>
        <w:spacing w:after="0" w:line="173" w:lineRule="exact"/>
        <w:rPr>
          <w:sz w:val="20"/>
          <w:szCs w:val="20"/>
          <w:color w:val="auto"/>
        </w:rPr>
      </w:pPr>
    </w:p>
    <w:p>
      <w:pPr>
        <w:ind w:right="1920" w:firstLine="437"/>
        <w:spacing w:after="0" w:line="236" w:lineRule="auto"/>
        <w:rPr>
          <w:sz w:val="20"/>
          <w:szCs w:val="20"/>
          <w:color w:val="auto"/>
        </w:rPr>
      </w:pPr>
      <w:r>
        <w:rPr>
          <w:rFonts w:ascii="Courier New" w:cs="Courier New" w:eastAsia="Courier New" w:hAnsi="Courier New"/>
          <w:sz w:val="15"/>
          <w:szCs w:val="15"/>
          <w:color w:val="auto"/>
        </w:rPr>
        <w:t>Notwithstanding anything to the contrary set forth in the Company's previous filings under the Securities Act of 1993 or the Securities Exchange Act of 1934 that might incorporate future filings, including this Proxy Statement, in whole or in part, this Report shall not be incorporated by reference into any such filings.</w:t>
      </w:r>
    </w:p>
    <w:p>
      <w:pPr>
        <w:spacing w:after="0" w:line="174" w:lineRule="exact"/>
        <w:rPr>
          <w:sz w:val="20"/>
          <w:szCs w:val="20"/>
          <w:color w:val="auto"/>
        </w:rPr>
      </w:pPr>
    </w:p>
    <w:p>
      <w:pPr>
        <w:ind w:right="2080" w:firstLine="437"/>
        <w:spacing w:after="0" w:line="255" w:lineRule="auto"/>
        <w:rPr>
          <w:sz w:val="20"/>
          <w:szCs w:val="20"/>
          <w:color w:val="auto"/>
        </w:rPr>
      </w:pPr>
      <w:r>
        <w:rPr>
          <w:rFonts w:ascii="Courier New" w:cs="Courier New" w:eastAsia="Courier New" w:hAnsi="Courier New"/>
          <w:sz w:val="14"/>
          <w:szCs w:val="14"/>
          <w:color w:val="auto"/>
        </w:rPr>
        <w:t>The Audit Committee consists of three independent directors and operates under a written charter adopted by the Board of Directors. A copy of such written charter is attached as Annex A to this Proxy Statement. Annually, the Audit Committee recommends to the Board of Directors the selection of the Company's independent auditors. PricewaterhouseCoopers LLP was selected as the Company's independent auditors for the 2000 fiscal year.</w:t>
      </w:r>
    </w:p>
    <w:p>
      <w:pPr>
        <w:spacing w:after="0" w:line="166" w:lineRule="exact"/>
        <w:rPr>
          <w:sz w:val="20"/>
          <w:szCs w:val="20"/>
          <w:color w:val="auto"/>
        </w:rPr>
      </w:pPr>
    </w:p>
    <w:p>
      <w:pPr>
        <w:ind w:right="1920" w:firstLine="437"/>
        <w:spacing w:after="0" w:line="236" w:lineRule="auto"/>
        <w:rPr>
          <w:sz w:val="20"/>
          <w:szCs w:val="20"/>
          <w:color w:val="auto"/>
        </w:rPr>
      </w:pPr>
      <w:r>
        <w:rPr>
          <w:rFonts w:ascii="Courier New" w:cs="Courier New" w:eastAsia="Courier New" w:hAnsi="Courier New"/>
          <w:sz w:val="15"/>
          <w:szCs w:val="15"/>
          <w:color w:val="auto"/>
        </w:rPr>
        <w:t>Management is responsible for designing and maintaining the Company's systems of internal controls and financial reporting processes. The Company's independent auditors are responsible for performing an audit of the Company's consolidated financial statements in accordance with generally accepted auditing standards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RUSSELL 2000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100.00</w:t>
      </w:r>
    </w:p>
    <w:p>
      <w:pPr>
        <w:ind w:left="260"/>
        <w:spacing w:after="0" w:line="237" w:lineRule="auto"/>
        <w:rPr>
          <w:sz w:val="20"/>
          <w:szCs w:val="20"/>
          <w:color w:val="auto"/>
        </w:rPr>
      </w:pPr>
      <w:r>
        <w:rPr>
          <w:rFonts w:ascii="Courier New" w:cs="Courier New" w:eastAsia="Courier New" w:hAnsi="Courier New"/>
          <w:sz w:val="15"/>
          <w:szCs w:val="15"/>
          <w:color w:val="auto"/>
        </w:rPr>
        <w:t>113.13</w:t>
      </w:r>
    </w:p>
    <w:p>
      <w:pPr>
        <w:ind w:left="260"/>
        <w:spacing w:after="0" w:line="238" w:lineRule="auto"/>
        <w:rPr>
          <w:sz w:val="20"/>
          <w:szCs w:val="20"/>
          <w:color w:val="auto"/>
        </w:rPr>
      </w:pPr>
      <w:r>
        <w:rPr>
          <w:rFonts w:ascii="Courier New" w:cs="Courier New" w:eastAsia="Courier New" w:hAnsi="Courier New"/>
          <w:sz w:val="15"/>
          <w:szCs w:val="15"/>
          <w:color w:val="auto"/>
        </w:rPr>
        <w:t>150.68</w:t>
      </w:r>
    </w:p>
    <w:p>
      <w:pPr>
        <w:ind w:left="260"/>
        <w:spacing w:after="0" w:line="237" w:lineRule="auto"/>
        <w:rPr>
          <w:sz w:val="20"/>
          <w:szCs w:val="20"/>
          <w:color w:val="auto"/>
        </w:rPr>
      </w:pPr>
      <w:r>
        <w:rPr>
          <w:rFonts w:ascii="Courier New" w:cs="Courier New" w:eastAsia="Courier New" w:hAnsi="Courier New"/>
          <w:sz w:val="15"/>
          <w:szCs w:val="15"/>
          <w:color w:val="auto"/>
        </w:rPr>
        <w:t>122.02</w:t>
      </w:r>
    </w:p>
    <w:p>
      <w:pPr>
        <w:ind w:left="260"/>
        <w:spacing w:after="0" w:line="238" w:lineRule="auto"/>
        <w:rPr>
          <w:sz w:val="20"/>
          <w:szCs w:val="20"/>
          <w:color w:val="auto"/>
        </w:rPr>
      </w:pPr>
      <w:r>
        <w:rPr>
          <w:rFonts w:ascii="Courier New" w:cs="Courier New" w:eastAsia="Courier New" w:hAnsi="Courier New"/>
          <w:sz w:val="15"/>
          <w:szCs w:val="15"/>
          <w:color w:val="auto"/>
        </w:rPr>
        <w:t>143.43</w:t>
      </w:r>
    </w:p>
    <w:p>
      <w:pPr>
        <w:ind w:left="260"/>
        <w:spacing w:after="0" w:line="237" w:lineRule="auto"/>
        <w:rPr>
          <w:sz w:val="20"/>
          <w:szCs w:val="20"/>
          <w:color w:val="auto"/>
        </w:rPr>
      </w:pPr>
      <w:r>
        <w:rPr>
          <w:rFonts w:ascii="Courier New" w:cs="Courier New" w:eastAsia="Courier New" w:hAnsi="Courier New"/>
          <w:sz w:val="15"/>
          <w:szCs w:val="15"/>
          <w:color w:val="auto"/>
        </w:rPr>
        <w:t>175.01</w:t>
      </w:r>
    </w:p>
    <w:p>
      <w:pPr>
        <w:sectPr>
          <w:pgSz w:w="11900" w:h="16838" w:orient="portrait"/>
          <w:cols w:equalWidth="0" w:num="2">
            <w:col w:w="8920" w:space="720"/>
            <w:col w:w="1040"/>
          </w:cols>
          <w:pgMar w:left="220" w:top="281" w:right="999"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issuing their report thereon. The Audit Committee's responsibility is to provide independent, objective oversight of these processes.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Pursuant to this responsibility, the Audit Committee met with management and the independent auditors throughout the year. The Audit Committee reviewed the audit plan and scope with the independent auditors, and discussed the matters required by Statement on Auditing Standards No. 61 (Communication with Audit Committees). The Audit Committee also met with the independent auditors, without management present, to discuss the results of their audit work, their evaluation of the Company's system of internal controls and the quality of the Company's financial reporting.</w:t>
      </w:r>
    </w:p>
    <w:p>
      <w:pPr>
        <w:spacing w:after="0" w:line="177"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addition, the Audit Committee has discussed with the independent auditors their independence from the Company and its management, including the matters in written disclosures and letters from the independent auditors required by the Independence Standards Board Standard No. 1 (Independence Discussions with Audit Committees).</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Management has represented to the Audit Committee that the Company's consolidated financial statements for the year ended September 30, 2000 were prepared in accordance with generally accepted accounting principles, and the Audit Committee reviewed and discussed the consolidated financial statements with management and the independent auditors. Based on the Audit Committee's discussions with management and the independent auditors and review of the report of the independent auditors to the Audit Committee, the Audit Committee recommended to the Board of Directors (and the Board has approved) that the audited consolidated financial statements be included in the Company's Annual Report on Form 10-K for the year ended September 30, 2000 to be filed with the Securities and Exchange Commission.</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SUBMITTED BY THE AUDIT COMMITTEE OF THE BOARD OF DIRECTORS OF THE COMPANY:</w:t>
      </w:r>
    </w:p>
    <w:p>
      <w:pPr>
        <w:spacing w:after="0" w:line="171"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 JACK VAN FOSSEN, CHAIRMAN</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ARNOLD W. DONALD (FROM OCTOBER 2000)</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PATRICK J. NORTON (UNTIL FEBRUARY</w:t>
      </w:r>
    </w:p>
    <w:p>
      <w:pPr>
        <w:ind w:left="3860"/>
        <w:spacing w:after="0" w:line="237" w:lineRule="auto"/>
        <w:rPr>
          <w:sz w:val="20"/>
          <w:szCs w:val="20"/>
          <w:color w:val="auto"/>
        </w:rPr>
      </w:pPr>
      <w:r>
        <w:rPr>
          <w:rFonts w:ascii="Courier New" w:cs="Courier New" w:eastAsia="Courier New" w:hAnsi="Courier New"/>
          <w:sz w:val="15"/>
          <w:szCs w:val="15"/>
          <w:color w:val="auto"/>
        </w:rPr>
        <w:t>2000)</w:t>
      </w:r>
    </w:p>
    <w:p>
      <w:pPr>
        <w:ind w:left="3860"/>
        <w:spacing w:after="0" w:line="238" w:lineRule="auto"/>
        <w:rPr>
          <w:sz w:val="20"/>
          <w:szCs w:val="20"/>
          <w:color w:val="auto"/>
        </w:rPr>
      </w:pPr>
      <w:r>
        <w:rPr>
          <w:rFonts w:ascii="Courier New" w:cs="Courier New" w:eastAsia="Courier New" w:hAnsi="Courier New"/>
          <w:sz w:val="15"/>
          <w:szCs w:val="15"/>
          <w:color w:val="auto"/>
        </w:rPr>
        <w:t>JOHN M. SULLIVAN]</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James Hagedorn is the President and Treasurer and owns 83% of the shares of Hagedorn Aviation, a company which owns the aircraft used for certain business travel by James Hagedorn and, on occasion, the senior management of the Company. Horace Hagedorn is the Vice President of Hagedorn Aviation and owns the remaining 17% equity interest. The Company pays charges by Hagedorn Aviation for flight time at the rate of $150 per hour of flight. The charges cover the cost to operate and maintain the aircraft. During the 2000 fiscal year, the Company paid a total of approximately $17,000 to Hagedorn Aviation for such service, which constituted more than five percent of Hagedorn Aviation's consolidated gross revenues for its last full fiscal year.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Paul Hagedorn, a brother of James Hagedorn and a general partner of the</w:t>
      </w:r>
    </w:p>
    <w:p>
      <w:pPr>
        <w:spacing w:after="0" w:line="237" w:lineRule="auto"/>
        <w:rPr>
          <w:sz w:val="20"/>
          <w:szCs w:val="20"/>
          <w:color w:val="auto"/>
        </w:rPr>
      </w:pPr>
      <w:r>
        <w:rPr>
          <w:rFonts w:ascii="Courier New" w:cs="Courier New" w:eastAsia="Courier New" w:hAnsi="Courier New"/>
          <w:sz w:val="15"/>
          <w:szCs w:val="15"/>
          <w:color w:val="auto"/>
        </w:rPr>
        <w:t>Hagedorn Partnership, is employed by the Company as a graphics design</w:t>
      </w:r>
    </w:p>
    <w:p>
      <w:pPr>
        <w:spacing w:after="0" w:line="238" w:lineRule="auto"/>
        <w:rPr>
          <w:sz w:val="20"/>
          <w:szCs w:val="20"/>
          <w:color w:val="auto"/>
        </w:rPr>
      </w:pPr>
      <w:r>
        <w:rPr>
          <w:rFonts w:ascii="Courier New" w:cs="Courier New" w:eastAsia="Courier New" w:hAnsi="Courier New"/>
          <w:sz w:val="15"/>
          <w:szCs w:val="15"/>
          <w:color w:val="auto"/>
        </w:rPr>
        <w:t>specialist. For the 2000 fiscal year, Mr. Hagedorn received a salary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$104,117. He also received employment benefits consistent with those offered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associates of the Company. In the 2000 fiscal year, the Company paid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rent and utility expenses of $5,924 for an office in Atlanta, Georgia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Mr. Hagedorn.</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INDEPENDENT AUDITORS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Board of Directors of the Company has appointed PricewaterhouseCoopers LLP as the Company's independent auditors for the 2001 fiscal year. PricewaterhouseCoopers LLP, a certified public accounting firm, has served as the Company's independent auditors since 1986.</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 representative of PricewaterhouseCoopers LLP is expected to be present at the Annual Meeting to respond to appropriate questions and to make such statements as he or she may desire.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SHAREHOLDER PROPOSALS FOR 2002 ANNUAL MEETING</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Proposals by shareholders intended to be presented at the 2002 Annual Meeting of Shareholders must be received by the Secretary of the Company no later than August 17, 2001, to be included in the Company's proxy, notice of meeting and proxy statement relating to such meeting and should be mailed to: The Scotts Company, 41 South High Street, Suite 3500, Columbus, Ohio 43215, Attention: Secretary. Upon receipt of a shareholder proposal, the Company will determine whether or not to include the proposal in the proxy materials in accordance with applicable rules and regulations promulgated by the SEC.</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SEC has promulgated rules relating to the exercise of discretionary voting authority pursuant to proxies solicited by the Board of Directors. If a shareholder intends to present a proposal at the 2002 Annual Meeting of Shareholders and does not notify the Secretary of the Company of the proposal by October 31, 2001, the proxies solicited by the Board of Directors for use at the 2002 Annual Meeting may vote on the proposal, without discussion of the proposal in the Company's proxy statement for that annual meeting.</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OTHER BUSINESS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Board of Directors is aware of no other matter that will be presented for action at the Annual Meeting. If any other matter requiring a vote of the shareholders properly comes before the Annual Meeting, the persons authorized under management proxies will vote and act according to their best judgments in light of the conditions then prevailing.</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ANNUAL REPORT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Company's 2000 Annual Report to Shareholders containing audited consolidated financial statements for the 2000 fiscal year is being mailed to all shareholders of record with this Proxy Statement.</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Charles M. Berger</w:t>
      </w:r>
    </w:p>
    <w:p>
      <w:pPr>
        <w:ind w:left="3680"/>
        <w:spacing w:after="0" w:line="237" w:lineRule="auto"/>
        <w:rPr>
          <w:sz w:val="20"/>
          <w:szCs w:val="20"/>
          <w:color w:val="auto"/>
        </w:rPr>
      </w:pPr>
      <w:r>
        <w:rPr>
          <w:rFonts w:ascii="Courier New" w:cs="Courier New" w:eastAsia="Courier New" w:hAnsi="Courier New"/>
          <w:sz w:val="15"/>
          <w:szCs w:val="15"/>
          <w:color w:val="auto"/>
        </w:rPr>
        <w:t>CHARLES M. BERGER</w:t>
      </w:r>
    </w:p>
    <w:p>
      <w:pPr>
        <w:ind w:left="3680"/>
        <w:spacing w:after="0" w:line="238" w:lineRule="auto"/>
        <w:rPr>
          <w:sz w:val="20"/>
          <w:szCs w:val="20"/>
          <w:color w:val="auto"/>
        </w:rPr>
      </w:pPr>
      <w:r>
        <w:rPr>
          <w:rFonts w:ascii="Courier New" w:cs="Courier New" w:eastAsia="Courier New" w:hAnsi="Courier New"/>
          <w:sz w:val="15"/>
          <w:szCs w:val="15"/>
          <w:color w:val="auto"/>
        </w:rPr>
        <w:t>Chairman and Chief Executive Officer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ANNEX A</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SCOTTS COMPANY</w:t>
      </w:r>
    </w:p>
    <w:p>
      <w:pPr>
        <w:ind w:left="2460"/>
        <w:spacing w:after="0" w:line="237" w:lineRule="auto"/>
        <w:rPr>
          <w:sz w:val="20"/>
          <w:szCs w:val="20"/>
          <w:color w:val="auto"/>
        </w:rPr>
      </w:pPr>
      <w:r>
        <w:rPr>
          <w:rFonts w:ascii="Courier New" w:cs="Courier New" w:eastAsia="Courier New" w:hAnsi="Courier New"/>
          <w:sz w:val="15"/>
          <w:szCs w:val="15"/>
          <w:color w:val="auto"/>
        </w:rPr>
        <w:t>AUDIT COMMITTEE CHARTER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primary purpose of the Audit Committee (the "Committee") of The Scotts Company (the "Company") is to assist the Board of Directors (the "Board") in fulfilling its responsibility to oversee management's conduct of the Company's financial reporting process, including by overviewing the financial reports and other financial information provided by the Company to any governmental or regulatory body, the public or other users thereof, the Company's systems of internal accounting and financial controls, the annual independent audit by the Company's outside auditor of the Company's financial statements, and the Company's ethics policy as established, and as the same may be modified or supplemented from time to time, by the Company.</w:t>
      </w:r>
    </w:p>
    <w:p>
      <w:pPr>
        <w:spacing w:after="0" w:line="179"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Board and the Committee are in place to represent the Company's shareholders. The Company's outside auditor is ultimately accountable to the Board and the Committee. The Committee, subject to any action that may be taken by the full Board, shall have the ultimate authority and responsibility to select, evaluate and, where appropriate, replace the outside auditor.</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discharging its oversight role, the Committee may investigate any matter brought to its attention with full access to all books, records, facilities, and personnel, and to the outside auditor, of the Company, and the power to retain experts for this purpose.</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Committee shall review and reassess the adequacy of this Charter on an annual basis.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MEMBERSHIP</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The Committee shall be comprised of not less than three members of the Board, and the Committee's composition will meet the requirements of the New York Stock Exchange regarding a qualified Audit Committee.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Accordingly, all of the members will be directors:</w:t>
      </w:r>
    </w:p>
    <w:p>
      <w:pPr>
        <w:spacing w:after="0" w:line="173" w:lineRule="exact"/>
        <w:rPr>
          <w:sz w:val="20"/>
          <w:szCs w:val="20"/>
          <w:color w:val="auto"/>
        </w:rPr>
      </w:pPr>
    </w:p>
    <w:p>
      <w:pPr>
        <w:jc w:val="both"/>
        <w:ind w:left="980" w:right="3399" w:hanging="271"/>
        <w:spacing w:after="0" w:line="261" w:lineRule="auto"/>
        <w:tabs>
          <w:tab w:leader="none" w:pos="9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have no relationship to the Company that may interfere with the exercise of their independence from management and the Company; and</w:t>
      </w:r>
    </w:p>
    <w:p>
      <w:pPr>
        <w:spacing w:after="0" w:line="159" w:lineRule="exact"/>
        <w:rPr>
          <w:rFonts w:ascii="Courier New" w:cs="Courier New" w:eastAsia="Courier New" w:hAnsi="Courier New"/>
          <w:sz w:val="14"/>
          <w:szCs w:val="14"/>
          <w:color w:val="auto"/>
        </w:rPr>
      </w:pPr>
    </w:p>
    <w:p>
      <w:pPr>
        <w:ind w:left="980" w:right="3239" w:hanging="271"/>
        <w:spacing w:after="0" w:line="255" w:lineRule="auto"/>
        <w:tabs>
          <w:tab w:leader="none" w:pos="9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are financially literate (as such qualification is interpreted by the Board in its business judgment) or who become financially literate within a reasonable period of time after appointment to the Committee. In addition, at least one member of the Committee will have accounting or related financial management expertise (as such qualification is interpreted by the Board in its business judgment).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RESPONSIBILITIES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Committee's job is one of oversight and it recognizes that the Company's management is responsible for preparing the Company's financial statements and that the outside auditors are responsible for auditing those financial statements. Additionally, the Committee recognizes that financial management, including the internal audit staff, as well as the outside auditors, have more time, knowledge and more detailed information on the Company than do Committee members; consequently, in carrying out its oversight responsibilities, the Committee is not providing any expert or special assurance as to the Company's financial statements or any professional certification as to the outside auditor's work. Nor is it the duty of the Committee to conduct investigations, to resolve disagreements, if any, between management and the independent auditor or to assure compliance with laws and regulations and the Company's ethics policy.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following functions shall be the common recurring activities of the Committee in carrying out its oversight function.</w:t>
      </w:r>
    </w:p>
    <w:p>
      <w:pPr>
        <w:spacing w:after="0" w:line="173" w:lineRule="exact"/>
        <w:rPr>
          <w:sz w:val="20"/>
          <w:szCs w:val="20"/>
          <w:color w:val="auto"/>
        </w:rPr>
      </w:pPr>
    </w:p>
    <w:p>
      <w:pPr>
        <w:ind w:left="620" w:right="3319" w:hanging="173"/>
        <w:spacing w:after="0" w:line="235"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functions are set forth as a guide with the understanding that the Committee may diverge from this guide as appropriate given the circumstances:</w:t>
      </w:r>
    </w:p>
    <w:p>
      <w:pPr>
        <w:spacing w:after="0" w:line="173"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with management and the outside auditors the audited financial statements to be included in the Company's Annual Report on Form 10-K (or the Annual Report to Shareholders if distributed prior to the filing of Form 10-K) and review and consider with the outside auditors the matters required to be discussed by Statement of Auditing Standards (SAS) No. 61, as the same may be modified or supplemented.</w:t>
      </w:r>
    </w:p>
    <w:p>
      <w:pPr>
        <w:spacing w:after="0" w:line="175" w:lineRule="exact"/>
        <w:rPr>
          <w:rFonts w:ascii="Courier New" w:cs="Courier New" w:eastAsia="Courier New" w:hAnsi="Courier New"/>
          <w:sz w:val="15"/>
          <w:szCs w:val="15"/>
          <w:color w:val="auto"/>
        </w:rPr>
      </w:pPr>
    </w:p>
    <w:p>
      <w:pPr>
        <w:ind w:left="620" w:right="3319" w:hanging="173"/>
        <w:spacing w:after="0" w:line="255"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whole, or through the Committee chair, the Committee shall review with the outside auditors the Company's interim financial results to be included in the Company's quarterly reports to be filed with Securities and Exchange Commission and the matters required to be discussed by SAS No. 61 and SAS No. 71, as the same may be modified or supplemented. This review will occur prior to the Company's filing of the Form 10-Q.</w:t>
      </w:r>
    </w:p>
    <w:p>
      <w:pPr>
        <w:spacing w:after="0" w:line="166" w:lineRule="exact"/>
        <w:rPr>
          <w:rFonts w:ascii="Courier New" w:cs="Courier New" w:eastAsia="Courier New" w:hAnsi="Courier New"/>
          <w:sz w:val="14"/>
          <w:szCs w:val="14"/>
          <w:color w:val="auto"/>
        </w:rPr>
      </w:pPr>
    </w:p>
    <w:p>
      <w:pPr>
        <w:ind w:left="620" w:right="3319" w:hanging="173"/>
        <w:spacing w:after="0" w:line="234"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discuss with management and the outside auditors the quality and adequacy of the Company's internal controls.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w:t>
      </w:r>
    </w:p>
    <w:p>
      <w:pPr>
        <w:spacing w:after="0" w:line="172" w:lineRule="exact"/>
        <w:rPr>
          <w:rFonts w:ascii="Courier New" w:cs="Courier New" w:eastAsia="Courier New" w:hAnsi="Courier New"/>
          <w:sz w:val="15"/>
          <w:szCs w:val="15"/>
          <w:color w:val="auto"/>
        </w:rPr>
      </w:pPr>
    </w:p>
    <w:p>
      <w:pPr>
        <w:ind w:left="880" w:right="3239" w:hanging="171"/>
        <w:spacing w:after="0" w:line="235" w:lineRule="auto"/>
        <w:tabs>
          <w:tab w:leader="none" w:pos="88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from the outside auditors annually, a formal written statement delineating all relationships between the auditor and the Company consistent with Independence Standards Board Standard Number 1, as the same may be modified or supplemented;</w:t>
      </w:r>
    </w:p>
    <w:p>
      <w:pPr>
        <w:spacing w:after="0" w:line="175" w:lineRule="exact"/>
        <w:rPr>
          <w:rFonts w:ascii="Courier New" w:cs="Courier New" w:eastAsia="Courier New" w:hAnsi="Courier New"/>
          <w:sz w:val="15"/>
          <w:szCs w:val="15"/>
          <w:color w:val="auto"/>
        </w:rPr>
      </w:pPr>
    </w:p>
    <w:p>
      <w:pPr>
        <w:ind w:left="880" w:right="3319" w:hanging="171"/>
        <w:spacing w:after="0" w:line="235" w:lineRule="auto"/>
        <w:tabs>
          <w:tab w:leader="none" w:pos="88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 with the outside auditors any such disclosed relationships or services and their impact on the outside auditor's independence and objectivity; and</w:t>
      </w:r>
    </w:p>
    <w:p>
      <w:pPr>
        <w:spacing w:after="0" w:line="173" w:lineRule="exact"/>
        <w:rPr>
          <w:rFonts w:ascii="Courier New" w:cs="Courier New" w:eastAsia="Courier New" w:hAnsi="Courier New"/>
          <w:sz w:val="15"/>
          <w:szCs w:val="15"/>
          <w:color w:val="auto"/>
        </w:rPr>
      </w:pPr>
    </w:p>
    <w:p>
      <w:pPr>
        <w:ind w:left="880" w:right="3499" w:hanging="171"/>
        <w:spacing w:after="0" w:line="235" w:lineRule="auto"/>
        <w:tabs>
          <w:tab w:leader="none" w:pos="88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that the Board take appropriate action in response to the outside auditor's report to satisfy itself of the auditor's independence.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2001 ANNUAL MEETING OF SHAREHOLDERS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Westin Great Southern Hotel</w:t>
      </w:r>
    </w:p>
    <w:p>
      <w:pPr>
        <w:ind w:left="2540"/>
        <w:spacing w:after="0" w:line="237" w:lineRule="auto"/>
        <w:rPr>
          <w:sz w:val="20"/>
          <w:szCs w:val="20"/>
          <w:color w:val="auto"/>
        </w:rPr>
      </w:pPr>
      <w:r>
        <w:rPr>
          <w:rFonts w:ascii="Courier New" w:cs="Courier New" w:eastAsia="Courier New" w:hAnsi="Courier New"/>
          <w:sz w:val="15"/>
          <w:szCs w:val="15"/>
          <w:color w:val="auto"/>
        </w:rPr>
        <w:t>310 South High Street</w:t>
      </w:r>
    </w:p>
    <w:p>
      <w:pPr>
        <w:ind w:left="2900"/>
        <w:spacing w:after="0" w:line="238" w:lineRule="auto"/>
        <w:rPr>
          <w:sz w:val="20"/>
          <w:szCs w:val="20"/>
          <w:color w:val="auto"/>
        </w:rPr>
      </w:pPr>
      <w:r>
        <w:rPr>
          <w:rFonts w:ascii="Courier New" w:cs="Courier New" w:eastAsia="Courier New" w:hAnsi="Courier New"/>
          <w:sz w:val="15"/>
          <w:szCs w:val="15"/>
          <w:color w:val="auto"/>
        </w:rPr>
        <w:t>Columbus, Ohio</w:t>
      </w:r>
    </w:p>
    <w:p>
      <w:pPr>
        <w:ind w:left="3420" w:hanging="524"/>
        <w:spacing w:after="0" w:line="237" w:lineRule="auto"/>
        <w:tabs>
          <w:tab w:leader="none" w:pos="34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228-3800</w:t>
      </w:r>
    </w:p>
    <w:p>
      <w:pPr>
        <w:ind w:left="27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Fax (614) 228-8820</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JANUARY 18, 2001 AT 10:00 A.M., LOCAL TIME</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OUTER COLUMBUS MAP</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Directions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TRAVELING SOUTH ON I-71 (FROM CLEVELAND/NORTHERN OHIO) -- Take I-71 South to the Main Street exit. This exit is a cloverleaf which branches to the right. Proceed through the light. This road will curve to the left and become Rich Street. Go about five blocks to High Street and turn left. Go one block to Main Street. The Hotel is on the corner of High and Main Streets. Valet parking is available in front of the Hotel on High Street.</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TRAVELING NORTH ON I-71 (FROM CINCINNATI AREA) -- Take I-71 North. Just before reaching the downtown area, exit onto I-70 East. Take the first exit which is the Front/High Street exit. Go straight off the exit to the second light, which is High Street, and turn left. Just before the third light you will see the Hotel on your right. Valet parking is available in front of the Hotel on High Street.</w:t>
      </w:r>
    </w:p>
    <w:p>
      <w:pPr>
        <w:spacing w:after="0" w:line="17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TRAVELING EAST ON I-70 (FROM DAYTON/INDIANAPOLIS AREA) -- Take I-70 East to the Front/High Street exit. Go straight off the exit to the second light, which is High Street, and turn left. Just before the third light you will see the Hotel on your right. Valet parking is available in front of the Hotel on High Street.</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TRAVELING WEST ON I-70 (FROM PENNSYLVANIA/WEST VIRGINIA AREAS) -- Take I-70 West to the Fourth Street exit. Stay in the middle lane. Proceed straight through the first and second lights. At the third light turn right onto High Street. The Hotel is on the corner of High and Main Streets. Valet parking is available in front of the Hotel on High Street.</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TRAVELING FROM PORT COLUMBUS INTERNATIONAL AIRPORT -- Take International Gateway (the main airport road) and follow it to I-670 West. Take I-670 West to the Third Street exit and after exiting pass eight lights to Mound Street and turn right. Go two blocks to High Street and turn right. The Hotel is on the corner of High and Main Streets. Valet parking is available in front of the Hotel on High Street.</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spacing w:after="0" w:line="237" w:lineRule="auto"/>
        <w:rPr>
          <w:sz w:val="20"/>
          <w:szCs w:val="20"/>
          <w:color w:val="auto"/>
        </w:rPr>
      </w:pPr>
      <w:r>
        <w:rPr>
          <w:rFonts w:ascii="Courier New" w:cs="Courier New" w:eastAsia="Courier New" w:hAnsi="Courier New"/>
          <w:sz w:val="15"/>
          <w:szCs w:val="15"/>
          <w:color w:val="auto"/>
        </w:rPr>
        <w:t>THE SCOTTS COMPANY</w:t>
      </w:r>
    </w:p>
    <w:p>
      <w:pPr>
        <w:spacing w:after="0"/>
        <w:tabs>
          <w:tab w:leader="none" w:pos="960" w:val="left"/>
        </w:tabs>
        <w:rPr>
          <w:sz w:val="20"/>
          <w:szCs w:val="20"/>
          <w:color w:val="auto"/>
        </w:rPr>
      </w:pPr>
      <w:r>
        <w:rPr>
          <w:rFonts w:ascii="Courier New" w:cs="Courier New" w:eastAsia="Courier New" w:hAnsi="Courier New"/>
          <w:sz w:val="15"/>
          <w:szCs w:val="15"/>
          <w:color w:val="auto"/>
        </w:rPr>
        <w:t>C/O PROXY</w:t>
      </w:r>
      <w:r>
        <w:rPr>
          <w:sz w:val="20"/>
          <w:szCs w:val="20"/>
          <w:color w:val="auto"/>
        </w:rPr>
        <w:tab/>
      </w:r>
      <w:r>
        <w:rPr>
          <w:rFonts w:ascii="Courier New" w:cs="Courier New" w:eastAsia="Courier New" w:hAnsi="Courier New"/>
          <w:sz w:val="14"/>
          <w:szCs w:val="14"/>
          <w:color w:val="auto"/>
        </w:rPr>
        <w:t>SERVICES</w:t>
      </w:r>
    </w:p>
    <w:p>
      <w:pPr>
        <w:spacing w:after="0" w:line="237" w:lineRule="auto"/>
        <w:rPr>
          <w:sz w:val="20"/>
          <w:szCs w:val="20"/>
          <w:color w:val="auto"/>
        </w:rPr>
      </w:pPr>
      <w:r>
        <w:rPr>
          <w:rFonts w:ascii="Courier New" w:cs="Courier New" w:eastAsia="Courier New" w:hAnsi="Courier New"/>
          <w:sz w:val="15"/>
          <w:szCs w:val="15"/>
          <w:color w:val="auto"/>
        </w:rPr>
        <w:t>P.O. BOX 9112</w:t>
      </w:r>
    </w:p>
    <w:p>
      <w:pPr>
        <w:spacing w:after="0" w:line="238" w:lineRule="auto"/>
        <w:rPr>
          <w:sz w:val="20"/>
          <w:szCs w:val="20"/>
          <w:color w:val="auto"/>
        </w:rPr>
      </w:pPr>
      <w:r>
        <w:rPr>
          <w:rFonts w:ascii="Courier New" w:cs="Courier New" w:eastAsia="Courier New" w:hAnsi="Courier New"/>
          <w:sz w:val="15"/>
          <w:szCs w:val="15"/>
          <w:color w:val="auto"/>
        </w:rPr>
        <w:t>FARMINGDALE, NY 11735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PHONE - 1-800-690-6903</w:t>
      </w:r>
    </w:p>
    <w:p>
      <w:pPr>
        <w:spacing w:after="0" w:line="5" w:lineRule="exact"/>
        <w:rPr>
          <w:sz w:val="20"/>
          <w:szCs w:val="20"/>
          <w:color w:val="auto"/>
        </w:rPr>
      </w:pPr>
    </w:p>
    <w:p>
      <w:pPr>
        <w:ind w:right="4800"/>
        <w:spacing w:after="0" w:line="235" w:lineRule="auto"/>
        <w:rPr>
          <w:sz w:val="20"/>
          <w:szCs w:val="20"/>
          <w:color w:val="auto"/>
        </w:rPr>
      </w:pPr>
      <w:r>
        <w:rPr>
          <w:rFonts w:ascii="Courier New" w:cs="Courier New" w:eastAsia="Courier New" w:hAnsi="Courier New"/>
          <w:sz w:val="15"/>
          <w:szCs w:val="15"/>
          <w:color w:val="auto"/>
        </w:rPr>
        <w:t>Use any touch-tone telephone to transmit your voting instructions. Have your proxy card in hand when you call. You will be prompted to enter your 12-digit Control Number which is located below and then follow the simple instructions the Vote Voice provides you.</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INTERNET - www.proxyvote.com</w:t>
      </w:r>
    </w:p>
    <w:p>
      <w:pPr>
        <w:spacing w:after="0" w:line="5" w:lineRule="exact"/>
        <w:rPr>
          <w:sz w:val="20"/>
          <w:szCs w:val="20"/>
          <w:color w:val="auto"/>
        </w:rPr>
      </w:pPr>
    </w:p>
    <w:p>
      <w:pPr>
        <w:jc w:val="both"/>
        <w:ind w:right="4700"/>
        <w:spacing w:after="0" w:line="235" w:lineRule="auto"/>
        <w:rPr>
          <w:sz w:val="20"/>
          <w:szCs w:val="20"/>
          <w:color w:val="auto"/>
        </w:rPr>
      </w:pPr>
      <w:r>
        <w:rPr>
          <w:rFonts w:ascii="Courier New" w:cs="Courier New" w:eastAsia="Courier New" w:hAnsi="Courier New"/>
          <w:sz w:val="15"/>
          <w:szCs w:val="15"/>
          <w:color w:val="auto"/>
        </w:rPr>
        <w:t>Use the Internet to transmit your voting instructions. Have your proxy card in hand when you access the web site. You will be prompted to enter your 12-digit Control Number which is located below to vote your proxy.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MAIL</w:t>
      </w:r>
    </w:p>
    <w:p>
      <w:pPr>
        <w:spacing w:after="0" w:line="5" w:lineRule="exact"/>
        <w:rPr>
          <w:sz w:val="20"/>
          <w:szCs w:val="20"/>
          <w:color w:val="auto"/>
        </w:rPr>
      </w:pPr>
    </w:p>
    <w:p>
      <w:pPr>
        <w:ind w:right="4700"/>
        <w:spacing w:after="0" w:line="235" w:lineRule="auto"/>
        <w:rPr>
          <w:sz w:val="20"/>
          <w:szCs w:val="20"/>
          <w:color w:val="auto"/>
        </w:rPr>
      </w:pPr>
      <w:r>
        <w:rPr>
          <w:rFonts w:ascii="Courier New" w:cs="Courier New" w:eastAsia="Courier New" w:hAnsi="Courier New"/>
          <w:sz w:val="15"/>
          <w:szCs w:val="15"/>
          <w:color w:val="auto"/>
        </w:rPr>
        <w:t>Mark, sign and date your proxy card and return it in the postage-paid envelope we have provided or return to The Scotts Company, c/o ADP, 51 Mercedes Way, Edgewood, NY 11717.</w:t>
      </w:r>
    </w:p>
    <w:p>
      <w:pPr>
        <w:sectPr>
          <w:pgSz w:w="11900" w:h="16838" w:orient="portrait"/>
          <w:cols w:equalWidth="0" w:num="1">
            <w:col w:w="11540"/>
          </w:cols>
          <w:pgMar w:left="220" w:top="281" w:right="139"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MARK BLOCKS BELOW IN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KEEP THIS PORTION FOR YOUR RECORDS</w:t>
      </w:r>
    </w:p>
    <w:p>
      <w:pPr>
        <w:spacing w:after="0" w:line="10" w:lineRule="exact"/>
        <w:rPr>
          <w:sz w:val="20"/>
          <w:szCs w:val="20"/>
          <w:color w:val="auto"/>
        </w:rPr>
      </w:pPr>
    </w:p>
    <w:p>
      <w:pPr>
        <w:sectPr>
          <w:pgSz w:w="11900" w:h="16838" w:orient="portrait"/>
          <w:cols w:equalWidth="0" w:num="3">
            <w:col w:w="2540" w:space="540"/>
            <w:col w:w="520" w:space="440"/>
            <w:col w:w="7500"/>
          </w:cols>
          <w:pgMar w:left="220" w:top="28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BLUE OR BLACK INK AS FOLLOWS:</w:t>
      </w:r>
    </w:p>
    <w:p>
      <w:pPr>
        <w:sectPr>
          <w:pgSz w:w="11900" w:h="16838" w:orient="portrait"/>
          <w:cols w:equalWidth="0" w:num="1">
            <w:col w:w="11540"/>
          </w:cols>
          <w:pgMar w:left="220" w:top="281" w:right="1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 - - - - - - - - - - - - - - - - - - - - - - - - - - - - - - - - - -</w:t>
      </w:r>
    </w:p>
    <w:p>
      <w:pPr>
        <w:ind w:left="3940"/>
        <w:spacing w:after="0" w:line="237" w:lineRule="auto"/>
        <w:rPr>
          <w:sz w:val="20"/>
          <w:szCs w:val="20"/>
          <w:color w:val="auto"/>
        </w:rPr>
      </w:pPr>
      <w:r>
        <w:rPr>
          <w:rFonts w:ascii="Courier New" w:cs="Courier New" w:eastAsia="Courier New" w:hAnsi="Courier New"/>
          <w:sz w:val="15"/>
          <w:szCs w:val="15"/>
          <w:color w:val="auto"/>
        </w:rPr>
        <w:t>DETACH AND RETURN THIS PORTION ONLY</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THIS PROXY CARD IS VALID ONLY WHEN SIGNED AND DATED.</w:t>
      </w:r>
    </w:p>
    <w:p>
      <w:pPr>
        <w:spacing w:after="0" w:line="200" w:lineRule="exact"/>
        <w:rPr>
          <w:sz w:val="20"/>
          <w:szCs w:val="20"/>
          <w:color w:val="auto"/>
        </w:rPr>
      </w:pPr>
    </w:p>
    <w:p>
      <w:pPr>
        <w:spacing w:after="0" w:line="309"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 THE SCOTTS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w w:val="96"/>
              </w:rPr>
              <w:t>VOTE ON DIRECTORS</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1. To</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elect four</w:t>
            </w:r>
          </w:p>
        </w:tc>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Directors</w:t>
            </w:r>
          </w:p>
        </w:tc>
        <w:tc>
          <w:tcPr>
            <w:tcW w:w="3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 Class III for terms to expire</w:t>
            </w:r>
          </w:p>
        </w:tc>
        <w:tc>
          <w:tcPr>
            <w:tcW w:w="560" w:type="dxa"/>
            <w:vAlign w:val="bottom"/>
          </w:tcPr>
          <w:p>
            <w:pPr>
              <w:ind w:left="180"/>
              <w:spacing w:after="0"/>
              <w:rPr>
                <w:sz w:val="20"/>
                <w:szCs w:val="20"/>
                <w:color w:val="auto"/>
              </w:rPr>
            </w:pPr>
            <w:r>
              <w:rPr>
                <w:rFonts w:ascii="Courier New" w:cs="Courier New" w:eastAsia="Courier New" w:hAnsi="Courier New"/>
                <w:sz w:val="15"/>
                <w:szCs w:val="15"/>
                <w:color w:val="auto"/>
              </w:rPr>
              <w:t>For</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Withhold</w:t>
            </w:r>
          </w:p>
        </w:tc>
        <w:tc>
          <w:tcPr>
            <w:tcW w:w="420" w:type="dxa"/>
            <w:vAlign w:val="bottom"/>
          </w:tcPr>
          <w:p>
            <w:pPr>
              <w:ind w:left="120"/>
              <w:spacing w:after="0"/>
              <w:rPr>
                <w:sz w:val="20"/>
                <w:szCs w:val="20"/>
                <w:color w:val="auto"/>
              </w:rPr>
            </w:pPr>
            <w:r>
              <w:rPr>
                <w:rFonts w:ascii="Courier New" w:cs="Courier New" w:eastAsia="Courier New" w:hAnsi="Courier New"/>
                <w:sz w:val="15"/>
                <w:szCs w:val="15"/>
                <w:color w:val="auto"/>
              </w:rPr>
              <w:t>For</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rPr>
              <w:t>All</w:t>
            </w:r>
          </w:p>
        </w:tc>
        <w:tc>
          <w:tcPr>
            <w:tcW w:w="3620" w:type="dxa"/>
            <w:vAlign w:val="bottom"/>
          </w:tcPr>
          <w:p>
            <w:pPr>
              <w:ind w:left="140"/>
              <w:spacing w:after="0"/>
              <w:rPr>
                <w:sz w:val="20"/>
                <w:szCs w:val="20"/>
                <w:color w:val="auto"/>
              </w:rPr>
            </w:pPr>
            <w:r>
              <w:rPr>
                <w:rFonts w:ascii="Courier New" w:cs="Courier New" w:eastAsia="Courier New" w:hAnsi="Courier New"/>
                <w:sz w:val="15"/>
                <w:szCs w:val="15"/>
                <w:color w:val="auto"/>
                <w:w w:val="96"/>
              </w:rPr>
              <w:t>To withhold authority to vote, mark "For</w:t>
            </w:r>
          </w:p>
        </w:tc>
      </w:tr>
      <w:tr>
        <w:trPr>
          <w:trHeight w:val="168"/>
        </w:trPr>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at</w:t>
            </w:r>
          </w:p>
        </w:tc>
        <w:tc>
          <w:tcPr>
            <w:tcW w:w="2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the 2004 Annual Meeting:</w:t>
            </w:r>
          </w:p>
        </w:tc>
        <w:tc>
          <w:tcPr>
            <w:tcW w:w="2840" w:type="dxa"/>
            <w:vAlign w:val="bottom"/>
          </w:tcPr>
          <w:p>
            <w:pPr>
              <w:spacing w:after="0"/>
              <w:rPr>
                <w:sz w:val="14"/>
                <w:szCs w:val="14"/>
                <w:color w:val="auto"/>
              </w:rPr>
            </w:pPr>
          </w:p>
        </w:tc>
        <w:tc>
          <w:tcPr>
            <w:tcW w:w="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w:t>
            </w:r>
          </w:p>
        </w:tc>
        <w:tc>
          <w:tcPr>
            <w:tcW w:w="9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All</w:t>
            </w:r>
          </w:p>
        </w:tc>
        <w:tc>
          <w:tcPr>
            <w:tcW w:w="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Except</w:t>
            </w:r>
          </w:p>
        </w:tc>
        <w:tc>
          <w:tcPr>
            <w:tcW w:w="3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All Except" and write the nominee's</w:t>
            </w:r>
          </w:p>
        </w:tc>
      </w:tr>
      <w:tr>
        <w:trPr>
          <w:trHeight w:val="168"/>
        </w:trPr>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8"/>
              </w:rPr>
              <w:t>01)</w:t>
            </w:r>
          </w:p>
        </w:tc>
        <w:tc>
          <w:tcPr>
            <w:tcW w:w="1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Joseph P. Flannery</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Katherine Hagedorn Littlefield</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number on the line below.</w:t>
            </w:r>
          </w:p>
        </w:tc>
      </w:tr>
      <w:tr>
        <w:trPr>
          <w:trHeight w:val="168"/>
        </w:trPr>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8"/>
              </w:rPr>
              <w:t>02)</w:t>
            </w:r>
          </w:p>
        </w:tc>
        <w:tc>
          <w:tcPr>
            <w:tcW w:w="1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Albert E. Harris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Patrick J. Norton</w:t>
            </w:r>
          </w:p>
        </w:tc>
        <w:tc>
          <w:tcPr>
            <w:tcW w:w="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w:t>
            </w:r>
          </w:p>
        </w:tc>
        <w:tc>
          <w:tcPr>
            <w:tcW w:w="9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 ]</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3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gridSpan w:val="3"/>
          </w:tcPr>
          <w:p>
            <w:pPr>
              <w:spacing w:after="0"/>
              <w:rPr>
                <w:sz w:val="20"/>
                <w:szCs w:val="20"/>
                <w:color w:val="auto"/>
              </w:rPr>
            </w:pPr>
            <w:r>
              <w:rPr>
                <w:rFonts w:ascii="Courier New" w:cs="Courier New" w:eastAsia="Courier New" w:hAnsi="Courier New"/>
                <w:sz w:val="15"/>
                <w:szCs w:val="15"/>
                <w:color w:val="auto"/>
              </w:rPr>
              <w:t>VOTE ON PROPOSAL</w:t>
            </w:r>
          </w:p>
        </w:tc>
        <w:tc>
          <w:tcPr>
            <w:tcW w:w="218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For</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5"/>
              </w:rPr>
              <w:t>Against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Abstain</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64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To adopt an amendment to Article FOURTH of the Company's Amended Articles</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of Incorporation, to</w:t>
            </w: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return</w:t>
            </w:r>
          </w:p>
        </w:tc>
        <w:tc>
          <w:tcPr>
            <w:tcW w:w="8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Class A Convertible Preferred Stock to the status of authorized but unissued, "blank</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check"</w:t>
            </w:r>
          </w:p>
        </w:tc>
        <w:tc>
          <w:tcPr>
            <w:tcW w:w="5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preferred shares:</w:t>
            </w:r>
          </w:p>
        </w:tc>
        <w:tc>
          <w:tcPr>
            <w:tcW w:w="2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64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To adopt amendments to Sections 1.03, 1.04 and 1.10 of the Company's Code</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of Regulations to:</w:t>
            </w: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280" w:right="3140" w:hanging="8"/>
        <w:spacing w:after="0" w:line="258" w:lineRule="auto"/>
        <w:tabs>
          <w:tab w:leader="none" w:pos="63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appointment of shareholder proxies in any manner permitted by Ohio law; (ii) permit shareholders to receive notice of shareholder meetings in any manner permitted by Ohio law; and (iii) allow shareholder meetings to be held in any manner permitted by Ohio law: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86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To adopt amendments to Article THREE of the Company's Code of Regulations to clarify and</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2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separate the roles of the</w:t>
            </w: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officers:</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c>
          <w:tcPr>
            <w:tcW w:w="86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To adopt an amendment to Section 2.10 of the Company's Code of Regulations to provide for Board</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2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Committees of one or more</w:t>
            </w: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directors:</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sign name exactly as it is stenciled hereon.</w:t>
      </w:r>
    </w:p>
    <w:p>
      <w:pPr>
        <w:spacing w:after="0" w:line="173" w:lineRule="exact"/>
        <w:rPr>
          <w:sz w:val="20"/>
          <w:szCs w:val="20"/>
          <w:color w:val="auto"/>
        </w:rPr>
      </w:pPr>
    </w:p>
    <w:p>
      <w:pPr>
        <w:ind w:right="160"/>
        <w:spacing w:after="0" w:line="235" w:lineRule="auto"/>
        <w:rPr>
          <w:sz w:val="20"/>
          <w:szCs w:val="20"/>
          <w:color w:val="auto"/>
        </w:rPr>
      </w:pPr>
      <w:r>
        <w:rPr>
          <w:rFonts w:ascii="Courier New" w:cs="Courier New" w:eastAsia="Courier New" w:hAnsi="Courier New"/>
          <w:sz w:val="15"/>
          <w:szCs w:val="15"/>
          <w:color w:val="auto"/>
        </w:rPr>
        <w:t>Note: Please fill in, sign and return this Proxy in the enclosed envelope. When signing as Attorney, Executor, Administrator, Trustee or Guardian, please give full title as such. If holder is a corporation, please sign the full corporate name by authorized officer. Joint Owners should sign individually. (Please note any change of address on this Proxy).</w:t>
      </w:r>
    </w:p>
    <w:p>
      <w:pPr>
        <w:sectPr>
          <w:pgSz w:w="11900" w:h="16838" w:orient="portrait"/>
          <w:cols w:equalWidth="0" w:num="1">
            <w:col w:w="11540"/>
          </w:cols>
          <w:pgMar w:left="220" w:top="281" w:right="1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5500" w:space="720"/>
            <w:col w:w="5320"/>
          </w:cols>
          <w:pgMar w:left="220" w:top="281" w:right="139" w:bottom="1440" w:gutter="0" w:footer="0" w:header="0"/>
          <w:type w:val="continuous"/>
        </w:sectPr>
      </w:pPr>
    </w:p>
    <w:p>
      <w:pPr>
        <w:ind w:right="1040"/>
        <w:spacing w:after="0" w:line="234" w:lineRule="auto"/>
        <w:rPr>
          <w:sz w:val="20"/>
          <w:szCs w:val="20"/>
          <w:color w:val="auto"/>
        </w:rPr>
      </w:pPr>
      <w:r>
        <w:rPr>
          <w:rFonts w:ascii="Courier New" w:cs="Courier New" w:eastAsia="Courier New" w:hAnsi="Courier New"/>
          <w:sz w:val="15"/>
          <w:szCs w:val="15"/>
          <w:color w:val="auto"/>
        </w:rPr>
        <w:t>- ------------------------------------------------- ------------------------------------------------- Signature [PLEASE SIGN WITHIN BOX] Date Signature (Joint Owners) Date</w:t>
      </w:r>
    </w:p>
    <w:p>
      <w:pPr>
        <w:sectPr>
          <w:pgSz w:w="11900" w:h="16838" w:orient="portrait"/>
          <w:cols w:equalWidth="0" w:num="1">
            <w:col w:w="11540"/>
          </w:cols>
          <w:pgMar w:left="220" w:top="281" w:right="1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281" w:right="139" w:bottom="1440"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 - - - - - - - - - - - - - - - - - - - - - - - - - - - - - - - - -</w:t>
      </w:r>
    </w:p>
    <w:p>
      <w:pPr>
        <w:spacing w:after="0" w:line="17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PROXY FOR ANNUAL MEETING OF SHAREHOLDERS TO BE HELD JANUARY 18, 2001</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undersigned holder(s) of common shares of The Scotts Company (the "Company") hereby appoints Charles M. Berger or G. Robert Lucas, the Proxies of the undersigned, with full power of substitution, to attend the Annual Meeting of Shareholders of the Company to be held at The Westin Great Southern Hotel, 310 South High Street, Columbus, Ohio, on Thursday, January 18, 2001 at 10:00 a.m., local time, and any adjournment, and to vote all of the common shares which the undersigned is entitled to vote at such Annual Meeting or any adjournment.</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WHERE A CHOICE IS INDICATED, THE SHARES REPRESENTED BY THIS PROXY WHEN PROPERLY EXECUTED WILL BE VOTED OR NOT VOTED AS SPECIFIED. IF NO CHOICE IS INDICATED, THE COMMON SHARES REPRESENTED BY THIS PROXY WILL BE VOTED "FOR" THE ELECTION OF THE NOMINEES LISTED IN PROPOSAL NO. 1 AS DIRECTORS OF THE COMPANY AND "FOR" PROPOSAL NOS. 2 THROUGH 5. IF ANY OTHER MATTERS ARE PROPERLY BROUGHT BEFORE THE ANNUAL MEETING OR ANY ADJOURNMENT, OR IF A NOMINEE FOR ELECTION AS A DIRECTOR NAMED IN THE PROXY STATEMENT IS UNABLE TO SERVE OR FOR GOOD CAUSE WILL NOT SERVE, THE COMMON SHARES REPRESENTED BY THIS PROXY WILL BE VOTED IN THE DISCRETION OF THE PROXIES ON SUCH MATTERS OR FOR SUCH SUBSTITUTE NOMINEE(S) AS THE DIRECTORS MAY RECOMMEND.</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IF COMMON SHARE UNITS ARE ALLOCATED TO THE ACCOUNT OF THE UNDERSIGNED UNDER THE SCOTTS COMPANY RETIREMENT SAVINGS PLAN (THE "RSP"), THEN THE UNDERSIGNED HEREBY DIRECTS THE TRUSTEE OF THE RSP TO VOTE ALL COMMON SHARES OF THE COMPANY REPRESENTED BY THE UNITS ALLOCATED TO THE UNDERSIGNED'S ACCOUNT UNDER THE RSP IN ACCORDANCE WITH THE INSTRUCTIONS GIVEN HEREIN, AT THE ANNUAL MEETING AND AT ANY ADJOURNMENTS, ON THE MATTERS SET FORTH ABOVE. IF NO INSTRUCTIONS ARE GIVEN, THE PROXY WILL NOT BE VOTED BY THE TRUSTEE OF THE RSP.</w:t>
      </w:r>
    </w:p>
    <w:p>
      <w:pPr>
        <w:spacing w:after="0" w:line="166"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undersigned hereby acknowledges receipt of the Notice of the Annual Meeting of Shareholders, dated December 15, 2000, the Proxy Statement furnished therewith, and the Annual Report of the Company for the fiscal year ended September 30, 2000. Any proxy heretofore given to vote the shares which the undersigned is entitled to vote at the Annual Meeting is hereby revoked.</w:t>
      </w:r>
    </w:p>
    <w:p>
      <w:pPr>
        <w:spacing w:after="0" w:line="15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THIS PROXY IS SOLICITED ON BEHALF OF THE BOARD OF</w:t>
      </w:r>
    </w:p>
    <w:p>
      <w:pPr>
        <w:ind w:left="2200"/>
        <w:spacing w:after="0" w:line="237" w:lineRule="auto"/>
        <w:rPr>
          <w:sz w:val="20"/>
          <w:szCs w:val="20"/>
          <w:color w:val="auto"/>
        </w:rPr>
      </w:pPr>
      <w:r>
        <w:rPr>
          <w:rFonts w:ascii="Courier New" w:cs="Courier New" w:eastAsia="Courier New" w:hAnsi="Courier New"/>
          <w:sz w:val="15"/>
          <w:szCs w:val="15"/>
          <w:color w:val="auto"/>
        </w:rPr>
        <w:t>DIRECTORS OF THE SCOTTS COMPANY</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(This Proxy continues and must be signed and dated on the reverse side)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0239"/>
      </w:cols>
      <w:pgMar w:left="220" w:top="2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upperLetter"/>
      <w:start w:val="24"/>
    </w:lvl>
  </w:abstractNum>
  <w:abstractNum w:abstractNumId="2">
    <w:nsid w:val="519B500D"/>
    <w:multiLevelType w:val="hybridMultilevel"/>
    <w:lvl w:ilvl="0">
      <w:lvlJc w:val="left"/>
      <w:lvlText w:val="["/>
      <w:numFmt w:val="bullet"/>
      <w:start w:val="1"/>
    </w:lvl>
    <w:lvl w:ilvl="1">
      <w:lvlJc w:val="left"/>
      <w:lvlText w:val="(%2)"/>
      <w:numFmt w:val="decimal"/>
      <w:start w:val="1"/>
    </w:lvl>
  </w:abstractNum>
  <w:abstractNum w:abstractNumId="3">
    <w:nsid w:val="431BD7B7"/>
    <w:multiLevelType w:val="hybridMultilevel"/>
    <w:lvl w:ilvl="0">
      <w:lvlJc w:val="left"/>
      <w:lvlText w:val="["/>
      <w:numFmt w:val="bullet"/>
      <w:start w:val="1"/>
    </w:lvl>
    <w:lvl w:ilvl="1">
      <w:lvlJc w:val="left"/>
      <w:lvlText w:val="(%2)"/>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4"/>
    </w:lvl>
    <w:lvl w:ilvl="1">
      <w:lvlJc w:val="left"/>
      <w:lvlText w:val="(%2)"/>
      <w:numFmt w:val="decimal"/>
      <w:start w:val="11"/>
    </w:lvl>
  </w:abstractNum>
  <w:abstractNum w:abstractNumId="11">
    <w:nsid w:val="721DA317"/>
    <w:multiLevelType w:val="hybridMultilevel"/>
    <w:lvl w:ilvl="0">
      <w:lvlJc w:val="left"/>
      <w:lvlText w:val="(%1)"/>
      <w:numFmt w:val="decimal"/>
      <w:start w:val="18"/>
    </w:lvl>
  </w:abstractNum>
  <w:abstractNum w:abstractNumId="12">
    <w:nsid w:val="2443A858"/>
    <w:multiLevelType w:val="hybridMultilevel"/>
    <w:lvl w:ilvl="0">
      <w:lvlJc w:val="left"/>
      <w:lvlText w:val="(%1)"/>
      <w:numFmt w:val="lowerRoman"/>
      <w:start w:val="1"/>
    </w:lvl>
    <w:lvl w:ilvl="1">
      <w:lvlJc w:val="left"/>
      <w:lvlText w:val="(%2)"/>
      <w:numFmt w:val="lowerRoman"/>
      <w:start w:val="2"/>
    </w:lvl>
  </w:abstractNum>
  <w:abstractNum w:abstractNumId="13">
    <w:nsid w:val="2D1D5AE9"/>
    <w:multiLevelType w:val="hybridMultilevel"/>
    <w:lvl w:ilvl="0">
      <w:lvlJc w:val="left"/>
      <w:lvlText w:val="(%1)"/>
      <w:numFmt w:val="lowerRoman"/>
      <w:start w:val="1"/>
    </w:lvl>
  </w:abstractNum>
  <w:abstractNum w:abstractNumId="14">
    <w:nsid w:val="6763845E"/>
    <w:multiLevelType w:val="hybridMultilevel"/>
    <w:lvl w:ilvl="0">
      <w:lvlJc w:val="left"/>
      <w:lvlText w:val="(%1)"/>
      <w:numFmt w:val="lowerRoman"/>
      <w:start w:val="2"/>
    </w:lvl>
  </w:abstractNum>
  <w:abstractNum w:abstractNumId="15">
    <w:nsid w:val="75A2A8D4"/>
    <w:multiLevelType w:val="hybridMultilevel"/>
    <w:lvl w:ilvl="0">
      <w:lvlJc w:val="left"/>
      <w:lvlText w:val="(%1)"/>
      <w:numFmt w:val="upperLetter"/>
      <w:start w:val="2"/>
    </w:lvl>
  </w:abstractNum>
  <w:abstractNum w:abstractNumId="16">
    <w:nsid w:val="8EDBDAB"/>
    <w:multiLevelType w:val="hybridMultilevel"/>
    <w:lvl w:ilvl="0">
      <w:lvlJc w:val="left"/>
      <w:lvlText w:val="(%1)"/>
      <w:numFmt w:val="lowerRoman"/>
      <w:start w:val="3"/>
    </w:lvl>
  </w:abstractNum>
  <w:abstractNum w:abstractNumId="17">
    <w:nsid w:val="79838CB2"/>
    <w:multiLevelType w:val="hybridMultilevel"/>
    <w:lvl w:ilvl="0">
      <w:lvlJc w:val="left"/>
      <w:lvlText w:val="(%1)"/>
      <w:numFmt w:val="lowerRoman"/>
      <w:start w:val="2"/>
    </w:lvl>
  </w:abstractNum>
  <w:abstractNum w:abstractNumId="18">
    <w:nsid w:val="4353D0CD"/>
    <w:multiLevelType w:val="hybridMultilevel"/>
    <w:lvl w:ilvl="0">
      <w:lvlJc w:val="left"/>
      <w:lvlText w:val="-"/>
      <w:numFmt w:val="bullet"/>
      <w:start w:val="1"/>
    </w:lvl>
    <w:lvl w:ilvl="1">
      <w:lvlJc w:val="left"/>
      <w:lvlText w:val="(%2)"/>
      <w:numFmt w:val="decimal"/>
      <w:start w:val="1"/>
    </w:lvl>
  </w:abstractNum>
  <w:abstractNum w:abstractNumId="19">
    <w:nsid w:val="B03E0C6"/>
    <w:multiLevelType w:val="hybridMultilevel"/>
    <w:lvl w:ilvl="0">
      <w:lvlJc w:val="left"/>
      <w:lvlText w:val="(%1)"/>
      <w:numFmt w:val="decimal"/>
      <w:start w:val="8"/>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2"/>
    </w:lvl>
  </w:abstractNum>
  <w:abstractNum w:abstractNumId="22">
    <w:nsid w:val="71F32454"/>
    <w:multiLevelType w:val="hybridMultilevel"/>
    <w:lvl w:ilvl="0">
      <w:lvlJc w:val="left"/>
      <w:lvlText w:val="(%1)"/>
      <w:numFmt w:val="lowerLetter"/>
      <w:start w:val="1"/>
    </w:lvl>
    <w:lvl w:ilvl="1">
      <w:lvlJc w:val="left"/>
      <w:lvlText w:val="(%2)"/>
      <w:numFmt w:val="lowerLetter"/>
      <w:start w:val="35"/>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lowerLetter"/>
      <w:start w:val="2"/>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
      <w:numFmt w:val="bullet"/>
      <w:start w:val="1"/>
    </w:lvl>
    <w:lvl w:ilvl="1">
      <w:lvlJc w:val="left"/>
      <w:lvlText w:val="-"/>
      <w:numFmt w:val="bullet"/>
      <w:start w:val="1"/>
    </w:lvl>
  </w:abstractNum>
  <w:abstractNum w:abstractNumId="30">
    <w:nsid w:val="737B8DDC"/>
    <w:multiLevelType w:val="hybridMultilevel"/>
    <w:lvl w:ilvl="0">
      <w:lvlJc w:val="left"/>
      <w:lvlText w:val="(%1)"/>
      <w:numFmt w:val="decimal"/>
      <w:start w:val="614"/>
    </w:lvl>
  </w:abstractNum>
  <w:abstractNum w:abstractNumId="31">
    <w:nsid w:val="6CEAF08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2019-12-20T06:13:53Z</dcterms:created>
  <dcterms:modified xsi:type="dcterms:W3CDTF">2019-12-20T06:13:53Z</dcterms:modified>
</cp:coreProperties>
</file>