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As filed with the Securities and Exchange Commission on May 9, 2005</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Registration No. 333-72715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122555</wp:posOffset>
            </wp:positionV>
            <wp:extent cx="25469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POST-EFFECTIVE AMENDMENT NO. 1</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148590</wp:posOffset>
            </wp:positionV>
            <wp:extent cx="2546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305435</wp:posOffset>
            </wp:positionV>
            <wp:extent cx="6182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320" w:type="dxa"/>
            <w:vAlign w:val="bottom"/>
            <w:gridSpan w:val="5"/>
          </w:tcPr>
          <w:p>
            <w:pPr>
              <w:jc w:val="center"/>
              <w:ind w:right="3120"/>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432"/>
        </w:trPr>
        <w:tc>
          <w:tcPr>
            <w:tcW w:w="3120" w:type="dxa"/>
            <w:vAlign w:val="bottom"/>
            <w:gridSpan w:val="2"/>
          </w:tcPr>
          <w:p>
            <w:pPr>
              <w:ind w:left="1820"/>
              <w:spacing w:after="0"/>
              <w:rPr>
                <w:sz w:val="20"/>
                <w:szCs w:val="20"/>
                <w:color w:val="auto"/>
              </w:rPr>
            </w:pPr>
            <w:r>
              <w:rPr>
                <w:rFonts w:ascii="Arial" w:cs="Arial" w:eastAsia="Arial" w:hAnsi="Arial"/>
                <w:sz w:val="18"/>
                <w:szCs w:val="18"/>
                <w:color w:val="auto"/>
              </w:rPr>
              <w:t>Ohio</w:t>
            </w:r>
          </w:p>
        </w:tc>
        <w:tc>
          <w:tcPr>
            <w:tcW w:w="8300" w:type="dxa"/>
            <w:vAlign w:val="bottom"/>
            <w:gridSpan w:val="4"/>
          </w:tcPr>
          <w:p>
            <w:pPr>
              <w:jc w:val="center"/>
              <w:ind w:left="4230"/>
              <w:spacing w:after="0"/>
              <w:rPr>
                <w:sz w:val="20"/>
                <w:szCs w:val="20"/>
                <w:color w:val="auto"/>
              </w:rPr>
            </w:pPr>
            <w:r>
              <w:rPr>
                <w:rFonts w:ascii="Arial" w:cs="Arial" w:eastAsia="Arial" w:hAnsi="Arial"/>
                <w:sz w:val="18"/>
                <w:szCs w:val="18"/>
                <w:color w:val="auto"/>
                <w:w w:val="89"/>
              </w:rPr>
              <w:t>31-1414921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6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340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3120" w:type="dxa"/>
            <w:vAlign w:val="bottom"/>
            <w:gridSpan w:val="2"/>
          </w:tcPr>
          <w:p>
            <w:pPr>
              <w:spacing w:after="0"/>
              <w:rPr>
                <w:sz w:val="20"/>
                <w:szCs w:val="20"/>
                <w:color w:val="auto"/>
              </w:rPr>
            </w:pPr>
            <w:r>
              <w:rPr>
                <w:rFonts w:ascii="Arial" w:cs="Arial" w:eastAsia="Arial" w:hAnsi="Arial"/>
                <w:sz w:val="18"/>
                <w:szCs w:val="18"/>
                <w:color w:val="auto"/>
              </w:rPr>
              <w:t>(State or other jurisdiction of</w:t>
            </w:r>
          </w:p>
        </w:tc>
        <w:tc>
          <w:tcPr>
            <w:tcW w:w="9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incorporation or organization)</w:t>
            </w:r>
          </w:p>
        </w:tc>
        <w:tc>
          <w:tcPr>
            <w:tcW w:w="9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w w:val="94"/>
              </w:rPr>
              <w:t>14111 Scottslawn Road, Marysville, Ohio</w:t>
            </w:r>
          </w:p>
        </w:tc>
        <w:tc>
          <w:tcPr>
            <w:tcW w:w="8300" w:type="dxa"/>
            <w:vAlign w:val="bottom"/>
            <w:gridSpan w:val="4"/>
          </w:tcPr>
          <w:p>
            <w:pPr>
              <w:jc w:val="right"/>
              <w:ind w:right="250"/>
              <w:spacing w:after="0"/>
              <w:rPr>
                <w:sz w:val="20"/>
                <w:szCs w:val="20"/>
                <w:color w:val="auto"/>
              </w:rPr>
            </w:pPr>
            <w:r>
              <w:rPr>
                <w:rFonts w:ascii="Arial" w:cs="Arial" w:eastAsia="Arial" w:hAnsi="Arial"/>
                <w:sz w:val="18"/>
                <w:szCs w:val="18"/>
                <w:color w:val="auto"/>
              </w:rPr>
              <w:t>43041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6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120" w:type="dxa"/>
            <w:vAlign w:val="bottom"/>
            <w:gridSpan w:val="2"/>
          </w:tcPr>
          <w:p>
            <w:pPr>
              <w:spacing w:after="0"/>
              <w:rPr>
                <w:sz w:val="20"/>
                <w:szCs w:val="20"/>
                <w:color w:val="auto"/>
              </w:rPr>
            </w:pPr>
            <w:r>
              <w:rPr>
                <w:rFonts w:ascii="Arial" w:cs="Arial" w:eastAsia="Arial" w:hAnsi="Arial"/>
                <w:sz w:val="18"/>
                <w:szCs w:val="18"/>
                <w:color w:val="auto"/>
                <w:w w:val="98"/>
              </w:rPr>
              <w:t>(Address of Principal Executive Offices)</w:t>
            </w:r>
          </w:p>
        </w:tc>
        <w:tc>
          <w:tcPr>
            <w:tcW w:w="9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40" w:type="dxa"/>
            <w:vAlign w:val="bottom"/>
            <w:gridSpan w:val="2"/>
          </w:tcPr>
          <w:p>
            <w:pPr>
              <w:jc w:val="center"/>
              <w:ind w:left="18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392"/>
        </w:trPr>
        <w:tc>
          <w:tcPr>
            <w:tcW w:w="2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320" w:type="dxa"/>
            <w:vAlign w:val="bottom"/>
            <w:gridSpan w:val="5"/>
          </w:tcPr>
          <w:p>
            <w:pPr>
              <w:jc w:val="center"/>
              <w:ind w:right="3140"/>
              <w:spacing w:after="0"/>
              <w:rPr>
                <w:sz w:val="20"/>
                <w:szCs w:val="20"/>
                <w:color w:val="auto"/>
              </w:rPr>
            </w:pPr>
            <w:r>
              <w:rPr>
                <w:rFonts w:ascii="Arial" w:cs="Arial" w:eastAsia="Arial" w:hAnsi="Arial"/>
                <w:sz w:val="18"/>
                <w:szCs w:val="18"/>
                <w:color w:val="auto"/>
                <w:w w:val="91"/>
              </w:rPr>
              <w:t>The Scotts Company LLC Executive Retirement Plan</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2"/>
          </w:tcPr>
          <w:p>
            <w:pPr>
              <w:spacing w:after="0"/>
              <w:rPr>
                <w:sz w:val="15"/>
                <w:szCs w:val="15"/>
                <w:color w:val="auto"/>
              </w:rPr>
            </w:pPr>
          </w:p>
        </w:tc>
        <w:tc>
          <w:tcPr>
            <w:tcW w:w="3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0" w:type="dxa"/>
            <w:vAlign w:val="bottom"/>
            <w:gridSpan w:val="4"/>
          </w:tcPr>
          <w:p>
            <w:pPr>
              <w:jc w:val="center"/>
              <w:ind w:right="4060"/>
              <w:spacing w:after="0"/>
              <w:rPr>
                <w:sz w:val="20"/>
                <w:szCs w:val="20"/>
                <w:color w:val="auto"/>
              </w:rPr>
            </w:pPr>
            <w:r>
              <w:rPr>
                <w:rFonts w:ascii="Arial" w:cs="Arial" w:eastAsia="Arial" w:hAnsi="Arial"/>
                <w:sz w:val="18"/>
                <w:szCs w:val="18"/>
                <w:color w:val="auto"/>
                <w:w w:val="94"/>
              </w:rPr>
              <w:t>(Full title of the plan)</w:t>
            </w:r>
          </w:p>
        </w:tc>
        <w:tc>
          <w:tcPr>
            <w:tcW w:w="0" w:type="dxa"/>
            <w:vAlign w:val="bottom"/>
          </w:tcPr>
          <w:p>
            <w:pPr>
              <w:spacing w:after="0"/>
              <w:rPr>
                <w:sz w:val="1"/>
                <w:szCs w:val="1"/>
                <w:color w:val="auto"/>
              </w:rPr>
            </w:pPr>
          </w:p>
        </w:tc>
      </w:tr>
      <w:tr>
        <w:trPr>
          <w:trHeight w:val="418"/>
        </w:trPr>
        <w:tc>
          <w:tcPr>
            <w:tcW w:w="2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Copy to:</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David M. Aronowitz, Esq.</w:t>
            </w:r>
          </w:p>
        </w:tc>
        <w:tc>
          <w:tcPr>
            <w:tcW w:w="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Elizabeth Turrell Farrar, Esq.</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Scotts Miracle-Gro Company</w:t>
            </w:r>
          </w:p>
        </w:tc>
        <w:tc>
          <w:tcPr>
            <w:tcW w:w="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Vorys, Sater, Seymour and Pease LLP</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14111 Scottslawn Road</w:t>
            </w:r>
          </w:p>
        </w:tc>
        <w:tc>
          <w:tcPr>
            <w:tcW w:w="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52 East Gay Street</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Marysville, Ohio 43041</w:t>
            </w:r>
          </w:p>
        </w:tc>
        <w:tc>
          <w:tcPr>
            <w:tcW w:w="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P.O. Box 1008</w:t>
            </w:r>
          </w:p>
        </w:tc>
        <w:tc>
          <w:tcPr>
            <w:tcW w:w="0" w:type="dxa"/>
            <w:vAlign w:val="bottom"/>
          </w:tcPr>
          <w:p>
            <w:pPr>
              <w:spacing w:after="0"/>
              <w:rPr>
                <w:sz w:val="1"/>
                <w:szCs w:val="1"/>
                <w:color w:val="auto"/>
              </w:rPr>
            </w:pPr>
          </w:p>
        </w:tc>
      </w:tr>
      <w:tr>
        <w:trPr>
          <w:trHeight w:val="122"/>
        </w:trPr>
        <w:tc>
          <w:tcPr>
            <w:tcW w:w="262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4000" w:type="dxa"/>
            <w:vAlign w:val="bottom"/>
            <w:gridSpan w:val="3"/>
            <w:vMerge w:val="restart"/>
          </w:tcPr>
          <w:p>
            <w:pPr>
              <w:spacing w:after="0"/>
              <w:rPr>
                <w:sz w:val="20"/>
                <w:szCs w:val="20"/>
                <w:color w:val="auto"/>
              </w:rPr>
            </w:pPr>
            <w:r>
              <w:rPr>
                <w:rFonts w:ascii="Arial" w:cs="Arial" w:eastAsia="Arial" w:hAnsi="Arial"/>
                <w:sz w:val="18"/>
                <w:szCs w:val="18"/>
                <w:color w:val="auto"/>
              </w:rPr>
              <w:t>Columbus, Ohio 43216-1008</w:t>
            </w:r>
          </w:p>
        </w:tc>
        <w:tc>
          <w:tcPr>
            <w:tcW w:w="0" w:type="dxa"/>
            <w:vAlign w:val="bottom"/>
          </w:tcPr>
          <w:p>
            <w:pPr>
              <w:spacing w:after="0"/>
              <w:rPr>
                <w:sz w:val="1"/>
                <w:szCs w:val="1"/>
                <w:color w:val="auto"/>
              </w:rPr>
            </w:pPr>
          </w:p>
        </w:tc>
      </w:tr>
      <w:tr>
        <w:trPr>
          <w:trHeight w:val="88"/>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w w:val="96"/>
              </w:rPr>
              <w:t>(Name and address of agent for service)</w:t>
            </w:r>
          </w:p>
        </w:tc>
        <w:tc>
          <w:tcPr>
            <w:tcW w:w="9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40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2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20" w:type="dxa"/>
            <w:vAlign w:val="bottom"/>
            <w:gridSpan w:val="2"/>
          </w:tcPr>
          <w:p>
            <w:pPr>
              <w:jc w:val="center"/>
              <w:ind w:left="790"/>
              <w:spacing w:after="0"/>
              <w:rPr>
                <w:sz w:val="20"/>
                <w:szCs w:val="20"/>
                <w:color w:val="auto"/>
              </w:rPr>
            </w:pPr>
            <w:r>
              <w:rPr>
                <w:rFonts w:ascii="Arial" w:cs="Arial" w:eastAsia="Arial" w:hAnsi="Arial"/>
                <w:sz w:val="18"/>
                <w:szCs w:val="18"/>
                <w:color w:val="auto"/>
                <w:w w:val="90"/>
              </w:rPr>
              <w:t>(937) 644-0011</w:t>
            </w:r>
          </w:p>
        </w:tc>
        <w:tc>
          <w:tcPr>
            <w:tcW w:w="8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180" w:type="dxa"/>
            <w:vAlign w:val="bottom"/>
            <w:tcBorders>
              <w:bottom w:val="single" w:sz="8" w:color="auto"/>
            </w:tcBorders>
            <w:gridSpan w:val="3"/>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2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320" w:type="dxa"/>
            <w:vAlign w:val="bottom"/>
            <w:gridSpan w:val="5"/>
          </w:tcPr>
          <w:p>
            <w:pPr>
              <w:jc w:val="center"/>
              <w:ind w:right="3120"/>
              <w:spacing w:after="0"/>
              <w:rPr>
                <w:sz w:val="20"/>
                <w:szCs w:val="20"/>
                <w:color w:val="auto"/>
              </w:rPr>
            </w:pPr>
            <w:r>
              <w:rPr>
                <w:rFonts w:ascii="Arial" w:cs="Arial" w:eastAsia="Arial" w:hAnsi="Arial"/>
                <w:sz w:val="18"/>
                <w:szCs w:val="18"/>
                <w:color w:val="auto"/>
                <w:w w:val="90"/>
              </w:rPr>
              <w:t>(Telephone number, including area code, of agent for service)</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8"/>
        </w:trPr>
        <w:tc>
          <w:tcPr>
            <w:tcW w:w="26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EXPLANATORY NOTE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ADOPTION OF PREDECESSOR ISSUER’S REGISTRATION STATEMENT</w:t>
      </w:r>
    </w:p>
    <w:p>
      <w:pPr>
        <w:spacing w:after="0" w:line="184"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This Post-Effective Amendment No. 1 to Registration Statement on Form S-8 (this “Post-Effective Amendment No. 1”), is being filed by The Scotts Miracle-Gro Company, an Ohio corporation (“Scotts Miracle-Gro” or the “Registrant”), as the public company successor to The Scotts Company, an Ohio corporation (“Scotts”).</w:t>
      </w:r>
    </w:p>
    <w:p>
      <w:pPr>
        <w:spacing w:after="0" w:line="141" w:lineRule="exact"/>
        <w:rPr>
          <w:sz w:val="20"/>
          <w:szCs w:val="20"/>
          <w:color w:val="auto"/>
        </w:rPr>
      </w:pPr>
    </w:p>
    <w:p>
      <w:pPr>
        <w:ind w:right="400" w:firstLine="225"/>
        <w:spacing w:after="0" w:line="259" w:lineRule="auto"/>
        <w:rPr>
          <w:sz w:val="20"/>
          <w:szCs w:val="20"/>
          <w:color w:val="auto"/>
        </w:rPr>
      </w:pPr>
      <w:r>
        <w:rPr>
          <w:rFonts w:ascii="Arial" w:cs="Arial" w:eastAsia="Arial" w:hAnsi="Arial"/>
          <w:sz w:val="18"/>
          <w:szCs w:val="18"/>
          <w:color w:val="auto"/>
        </w:rPr>
        <w:t>On March 18, 2005 (the “Effective Time”), Scotts consummated the restructuring of Scotts’ corporate structure into a holding company structure by merging Scotts into a newly-created, wholly-owned, second-tier Ohio limited liability company subsidiary, The Scotts Company LLC (“Scotts LLC”), pursuant to an Agreement and Plan of Merger, dated as of December 13, 2004, by and among Scotts, Scotts LLC and Scotts Miracle-Gro. This merger is referred to in this Post-Effective Amendment No. 1 as the “Restructuring Merger.”</w:t>
      </w:r>
    </w:p>
    <w:p>
      <w:pPr>
        <w:spacing w:after="0" w:line="146"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Upon consummation of the Restructuring Merger, each of Scotts’ common shares, without par value (the “Scotts Common Shares”), issued and outstanding immediately prior to the Effective Time was automatically converted into one fully paid and nonassessable common share, without par value, of Scotts Miracle-Gro (the “Scotts Miracle-Gro Common Shares”). Also, the entire class of Scotts Miracle-Gro Common Shares became registered under Section 12(b) of the Securities Exchange Act of 1934, as amended (the “Exchange Act”), in accordance with Rule 12g-3 under the Exchange Act. As a result of the Restructuring Merger, Scotts Miracle-Gro is the new parent holding company and the public company successor to Scotts. Scotts LLC is the successor to Scotts and is a direct, wholly-owned subsidiary of Scotts Miracle-Gro.</w:t>
      </w:r>
    </w:p>
    <w:p>
      <w:pPr>
        <w:spacing w:after="0" w:line="166" w:lineRule="exact"/>
        <w:rPr>
          <w:sz w:val="20"/>
          <w:szCs w:val="20"/>
          <w:color w:val="auto"/>
        </w:rPr>
      </w:pPr>
    </w:p>
    <w:p>
      <w:pPr>
        <w:ind w:firstLine="215"/>
        <w:spacing w:after="0" w:line="272" w:lineRule="auto"/>
        <w:rPr>
          <w:sz w:val="20"/>
          <w:szCs w:val="20"/>
          <w:color w:val="auto"/>
        </w:rPr>
      </w:pPr>
      <w:r>
        <w:rPr>
          <w:rFonts w:ascii="Arial" w:cs="Arial" w:eastAsia="Arial" w:hAnsi="Arial"/>
          <w:sz w:val="17"/>
          <w:szCs w:val="17"/>
          <w:color w:val="auto"/>
        </w:rPr>
        <w:t>As of the Effective Time, Scotts maintained The Scotts Company Retirement Savings Plan (the “RSP”), a tax-qualified, defined contribution profit sharing and 401(k) plan, and The Scotts Company Executive Retirement Plan (the “Executive Retirement Plan”), which provides participants with the opportunity for contributions in excess of Internal Revenue Code limitations for the RSP. As of the Effective Time, Scotts LLC assumed the obligations of Scotts under the RSP and the Executive Retirement Plan. The Scotts Common Shares attributable to the accounts of participants under the RSP and the Executive Retirement Plan relating to common share units immediately prior to the Effective Time were, by virtue of the Restructuring Merger, converted into the same number of Scotts Miracle-Gro Common Shares and those Scotts Miracle-Gro Common Shares are attributable to the accounts of those participants upon the same terms and subject to the same conditions as were in effect at the Effective Time.</w:t>
      </w:r>
    </w:p>
    <w:p>
      <w:pPr>
        <w:spacing w:after="0" w:line="137"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All provisions of the Executive Retirement Plan remain the same following the Restructuring Merger, except that the Executive Retirement Plan has been amended to change the name of the Executive Retirement Plan from “The Scotts Company Executive Retirement Plan” to “The Scotts Company LLC Executive Retirement Plan” and to revise certain definitions to reflect the assumption of the Plan by Scotts LLC and the issuance under the Plan of Scotts Miracle-Gro Common Shares instead of Scotts Common Shares. From and after the Effective Time, common share units under the Executive Retirement Plan will relate to Scotts Miracle-Gro Common Shares.</w:t>
      </w:r>
    </w:p>
    <w:p>
      <w:pPr>
        <w:spacing w:after="0" w:line="148"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Restructuring Merger was approved by the shareholders of Scotts at the Annual Meeting of Shareholders held on January 27, 2005. Prior to the Restructuring Merger, Scotts Miracle-Gro had engaged in no activities other than those incident to the restructuring and had no assets or liabilities other than nominal assets and liabilities.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 w:name="page4"/>
    <w:bookmarkEnd w:id="3"/>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Documents by Reference</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Indemnification of Directors and Officers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EX-10.1</w:t>
      </w:r>
    </w:p>
    <w:p>
      <w:pPr>
        <w:spacing w:after="0" w:line="230" w:lineRule="auto"/>
        <w:rPr>
          <w:sz w:val="20"/>
          <w:szCs w:val="20"/>
          <w:color w:val="auto"/>
        </w:rPr>
      </w:pPr>
      <w:r>
        <w:rPr>
          <w:rFonts w:ascii="Arial" w:cs="Arial" w:eastAsia="Arial" w:hAnsi="Arial"/>
          <w:sz w:val="22"/>
          <w:szCs w:val="22"/>
          <w:u w:val="single" w:color="auto"/>
          <w:color w:val="0000EE"/>
        </w:rPr>
        <w:t>EX-23.1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225"/>
        <w:spacing w:after="0" w:line="312" w:lineRule="auto"/>
        <w:rPr>
          <w:sz w:val="20"/>
          <w:szCs w:val="20"/>
          <w:color w:val="auto"/>
        </w:rPr>
      </w:pPr>
      <w:r>
        <w:rPr>
          <w:rFonts w:ascii="Arial" w:cs="Arial" w:eastAsia="Arial" w:hAnsi="Arial"/>
          <w:sz w:val="16"/>
          <w:szCs w:val="16"/>
          <w:color w:val="auto"/>
        </w:rPr>
        <w:t>Pursuant to Rule 414(d) under the Securities Act of 1933, as amended (the “Securities Act”), Scotts Miracle-Gro, as the successor issuer to Scotts, hereby adopts Scotts’ Registration Statement on Form S-8 (Registration No. 333-72715), which Registration Statement is applicable to the securities issuable under the Executive Retirement Plan, as the Registration Statement of Scotts Miracle-Gro for all purposes of the Securities Act and the Exchange Act.</w:t>
      </w:r>
    </w:p>
    <w:p>
      <w:pPr>
        <w:spacing w:after="0" w:line="12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PART II</w:t>
      </w:r>
    </w:p>
    <w:p>
      <w:pPr>
        <w:spacing w:after="0" w:line="18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INFORMATION REQUIRED IN THE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Incorporation of Documents by Reference</w:t>
      </w:r>
      <w:r>
        <w:rPr>
          <w:rFonts w:ascii="Arial" w:cs="Arial" w:eastAsia="Arial" w:hAnsi="Arial"/>
          <w:sz w:val="18"/>
          <w:szCs w:val="18"/>
          <w:color w:val="auto"/>
        </w:rPr>
        <w: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Scotts Miracle-Gro hereby incorporates into this Post-Effective Amendment No. 1 to Registration Statement on Form S-8 (the “Registration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filed by Scotts Miracle-Gro and Scotts with the Securities and Exchange Commission (the “Commission”):</w:t>
      </w:r>
    </w:p>
    <w:p>
      <w:pPr>
        <w:spacing w:after="0" w:line="211" w:lineRule="exact"/>
        <w:rPr>
          <w:sz w:val="20"/>
          <w:szCs w:val="20"/>
          <w:color w:val="auto"/>
        </w:rPr>
      </w:pPr>
    </w:p>
    <w:p>
      <w:pPr>
        <w:ind w:left="440" w:hanging="21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Annual Report on Form 10-K of Scotts for the fiscal year ended September 30, 2004.</w:t>
      </w:r>
    </w:p>
    <w:p>
      <w:pPr>
        <w:spacing w:after="0" w:line="225" w:lineRule="exact"/>
        <w:rPr>
          <w:rFonts w:ascii="Arial" w:cs="Arial" w:eastAsia="Arial" w:hAnsi="Arial"/>
          <w:sz w:val="18"/>
          <w:szCs w:val="18"/>
          <w:color w:val="auto"/>
        </w:rPr>
      </w:pPr>
    </w:p>
    <w:p>
      <w:pPr>
        <w:ind w:left="440" w:hanging="21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Quarterly Report on Form 10-Q of Scotts for the quarterly period ended January 1, 2005.</w:t>
      </w:r>
    </w:p>
    <w:p>
      <w:pPr>
        <w:spacing w:after="0" w:line="225" w:lineRule="exact"/>
        <w:rPr>
          <w:rFonts w:ascii="Arial" w:cs="Arial" w:eastAsia="Arial" w:hAnsi="Arial"/>
          <w:sz w:val="18"/>
          <w:szCs w:val="18"/>
          <w:color w:val="auto"/>
        </w:rPr>
      </w:pPr>
    </w:p>
    <w:p>
      <w:pPr>
        <w:ind w:left="440" w:right="300" w:hanging="216"/>
        <w:spacing w:after="0" w:line="277"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Current Reports on Form 8-K filed by Scotts with the Commission on November 19, 2004, December 8, 2004 (as subsequently amended by the Current Report on Form 8-K/A filed with the Commission on December 17, 2004) and February 2, 2005.</w:t>
      </w:r>
    </w:p>
    <w:p>
      <w:pPr>
        <w:spacing w:after="0" w:line="170" w:lineRule="exact"/>
        <w:rPr>
          <w:rFonts w:ascii="Arial" w:cs="Arial" w:eastAsia="Arial" w:hAnsi="Arial"/>
          <w:sz w:val="18"/>
          <w:szCs w:val="18"/>
          <w:color w:val="auto"/>
        </w:rPr>
      </w:pPr>
    </w:p>
    <w:p>
      <w:pPr>
        <w:ind w:left="440" w:hanging="21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Current Report on Form 8-K filed by Scotts Miracle-Gro with the Commission on March 24, 2005.</w:t>
      </w:r>
    </w:p>
    <w:p>
      <w:pPr>
        <w:spacing w:after="0" w:line="225" w:lineRule="exact"/>
        <w:rPr>
          <w:rFonts w:ascii="Arial" w:cs="Arial" w:eastAsia="Arial" w:hAnsi="Arial"/>
          <w:sz w:val="18"/>
          <w:szCs w:val="18"/>
          <w:color w:val="auto"/>
        </w:rPr>
      </w:pPr>
    </w:p>
    <w:p>
      <w:pPr>
        <w:ind w:left="440" w:right="180" w:hanging="216"/>
        <w:spacing w:after="0" w:line="277"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Scotts Miracle-Gro Common Shares contained in Scotts Miracle-Gro’s Current Report on Form 8-K filed with the Commission on March 24, 2005.</w:t>
      </w:r>
    </w:p>
    <w:p>
      <w:pPr>
        <w:spacing w:after="0" w:line="170"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Any definitive proxy statement or information statement filed by Scotts Miracle-Gro pursuant to Section 14 of the Exchange Act and all documents which may be filed by Scotts Miracle-Gro with the Commission pursuant to Section 13, 14 or 15(d) of the Exchange Act subsequent to the date hereof and prior to the completion of the offering contemplated by the Executive Retirement Plan, shall also be deemed to be incorporated herein by reference and to be made a part hereof from the date of filing of such documents. Information furnished by Scotts Miracle-Gro under any Current Report on Form 8-K is not incorporated by reference in this Registration Statement.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Description of Securities</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Interests of Named Experts and Counsel</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Indemnification of Directors and Officers</w:t>
      </w:r>
      <w:r>
        <w:rPr>
          <w:rFonts w:ascii="Arial" w:cs="Arial" w:eastAsia="Arial" w:hAnsi="Arial"/>
          <w:sz w:val="18"/>
          <w:szCs w:val="18"/>
          <w:color w:val="auto"/>
        </w:rPr>
        <w:t>.</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Article Five of the Code of Regulations of the Registrant governs the indemnification of officers and directors of the Registrant. Article Five provides:</w:t>
      </w:r>
    </w:p>
    <w:p>
      <w:pPr>
        <w:spacing w:after="0" w:line="196" w:lineRule="exact"/>
        <w:rPr>
          <w:sz w:val="20"/>
          <w:szCs w:val="20"/>
          <w:color w:val="auto"/>
        </w:rPr>
      </w:pPr>
    </w:p>
    <w:p>
      <w:pPr>
        <w:ind w:left="240" w:right="140" w:firstLine="225"/>
        <w:spacing w:after="0" w:line="268" w:lineRule="auto"/>
        <w:rPr>
          <w:sz w:val="20"/>
          <w:szCs w:val="20"/>
          <w:color w:val="auto"/>
        </w:rPr>
      </w:pPr>
      <w:r>
        <w:rPr>
          <w:rFonts w:ascii="Arial" w:cs="Arial" w:eastAsia="Arial" w:hAnsi="Arial"/>
          <w:sz w:val="17"/>
          <w:szCs w:val="17"/>
          <w:u w:val="single" w:color="auto"/>
          <w:color w:val="auto"/>
        </w:rPr>
        <w:t>Section 5.01. Mandatory Indemnification</w:t>
      </w:r>
      <w:r>
        <w:rPr>
          <w:rFonts w:ascii="Arial" w:cs="Arial" w:eastAsia="Arial" w:hAnsi="Arial"/>
          <w:sz w:val="17"/>
          <w:szCs w:val="17"/>
          <w:color w:val="auto"/>
        </w:rPr>
        <w:t>.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5.02. Court-Approved Indemnification</w:t>
      </w:r>
      <w:r>
        <w:rPr>
          <w:rFonts w:ascii="Arial" w:cs="Arial" w:eastAsia="Arial" w:hAnsi="Arial"/>
          <w:sz w:val="18"/>
          <w:szCs w:val="18"/>
          <w:color w:val="auto"/>
        </w:rPr>
        <w:t>. Anything contained in the Regulations or elsewhere to the contrary notwithstanding:</w:t>
      </w:r>
    </w:p>
    <w:p>
      <w:pPr>
        <w:spacing w:after="0" w:line="198" w:lineRule="exact"/>
        <w:rPr>
          <w:sz w:val="20"/>
          <w:szCs w:val="20"/>
          <w:color w:val="auto"/>
        </w:rPr>
      </w:pPr>
    </w:p>
    <w:p>
      <w:pPr>
        <w:ind w:left="240" w:right="20" w:firstLine="221"/>
        <w:spacing w:after="0" w:line="253"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156" w:lineRule="exact"/>
        <w:rPr>
          <w:rFonts w:ascii="Arial" w:cs="Arial" w:eastAsia="Arial" w:hAnsi="Arial"/>
          <w:sz w:val="18"/>
          <w:szCs w:val="18"/>
          <w:color w:val="auto"/>
        </w:rPr>
      </w:pPr>
    </w:p>
    <w:p>
      <w:pPr>
        <w:ind w:left="5600" w:hanging="5139"/>
        <w:spacing w:after="0" w:line="481" w:lineRule="auto"/>
        <w:tabs>
          <w:tab w:leader="none" w:pos="73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corporation shall promptly make any such unpaid indemnification as is determined by a court to be proper as contemplated by this Section 5.02.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0" w:firstLine="225"/>
        <w:spacing w:after="0" w:line="302" w:lineRule="auto"/>
        <w:rPr>
          <w:sz w:val="20"/>
          <w:szCs w:val="20"/>
          <w:color w:val="auto"/>
        </w:rPr>
      </w:pPr>
      <w:r>
        <w:rPr>
          <w:rFonts w:ascii="Arial" w:cs="Arial" w:eastAsia="Arial" w:hAnsi="Arial"/>
          <w:sz w:val="16"/>
          <w:szCs w:val="16"/>
          <w:u w:val="single" w:color="auto"/>
          <w:color w:val="auto"/>
        </w:rPr>
        <w:t>Section 5.03. Indemnification for Expenses</w:t>
      </w:r>
      <w:r>
        <w:rPr>
          <w:rFonts w:ascii="Arial" w:cs="Arial" w:eastAsia="Arial" w:hAnsi="Arial"/>
          <w:sz w:val="16"/>
          <w:szCs w:val="16"/>
          <w:color w:val="auto"/>
        </w:rPr>
        <w:t>. Anything contained in the Regulations or elsewhere to the contrary notwithstanding, to the extent that an officer or director of the corporation has been successful on the merits or otherwise in defense of any action, suit or proceeding referred to in 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127" w:lineRule="exact"/>
        <w:rPr>
          <w:sz w:val="20"/>
          <w:szCs w:val="20"/>
          <w:color w:val="auto"/>
        </w:rPr>
      </w:pPr>
    </w:p>
    <w:p>
      <w:pPr>
        <w:ind w:left="240" w:firstLine="225"/>
        <w:spacing w:after="0" w:line="285" w:lineRule="auto"/>
        <w:rPr>
          <w:sz w:val="20"/>
          <w:szCs w:val="20"/>
          <w:color w:val="auto"/>
        </w:rPr>
      </w:pPr>
      <w:r>
        <w:rPr>
          <w:rFonts w:ascii="Arial" w:cs="Arial" w:eastAsia="Arial" w:hAnsi="Arial"/>
          <w:sz w:val="16"/>
          <w:szCs w:val="16"/>
          <w:u w:val="single" w:color="auto"/>
          <w:color w:val="auto"/>
        </w:rPr>
        <w:t>Section 5.04. Determination Required</w:t>
      </w:r>
      <w:r>
        <w:rPr>
          <w:rFonts w:ascii="Arial" w:cs="Arial" w:eastAsia="Arial" w:hAnsi="Arial"/>
          <w:sz w:val="16"/>
          <w:szCs w:val="16"/>
          <w:color w:val="auto"/>
        </w:rPr>
        <w:t>.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135" w:lineRule="exact"/>
        <w:rPr>
          <w:sz w:val="20"/>
          <w:szCs w:val="20"/>
          <w:color w:val="auto"/>
        </w:rPr>
      </w:pPr>
    </w:p>
    <w:p>
      <w:pPr>
        <w:ind w:left="240" w:right="100" w:firstLine="225"/>
        <w:spacing w:after="0" w:line="257" w:lineRule="auto"/>
        <w:rPr>
          <w:sz w:val="20"/>
          <w:szCs w:val="20"/>
          <w:color w:val="auto"/>
        </w:rPr>
      </w:pPr>
      <w:r>
        <w:rPr>
          <w:rFonts w:ascii="Arial" w:cs="Arial" w:eastAsia="Arial" w:hAnsi="Arial"/>
          <w:sz w:val="18"/>
          <w:szCs w:val="18"/>
          <w:u w:val="single" w:color="auto"/>
          <w:color w:val="auto"/>
        </w:rPr>
        <w:t>Section 5.05. Advances for Expenses</w:t>
      </w:r>
      <w:r>
        <w:rPr>
          <w:rFonts w:ascii="Arial" w:cs="Arial" w:eastAsia="Arial" w:hAnsi="Arial"/>
          <w:sz w:val="18"/>
          <w:szCs w:val="18"/>
          <w:color w:val="auto"/>
        </w:rPr>
        <w:t>.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148" w:lineRule="exact"/>
        <w:rPr>
          <w:sz w:val="20"/>
          <w:szCs w:val="20"/>
          <w:color w:val="auto"/>
        </w:rPr>
      </w:pPr>
    </w:p>
    <w:p>
      <w:pPr>
        <w:ind w:left="240" w:right="580" w:firstLine="221"/>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it shall ultimately be determined as provided in Section 5.04 that he is not entitled to be indemnified by the corporation as provided under Section 5.01;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0" w:firstLine="221"/>
        <w:spacing w:after="0" w:line="257" w:lineRule="auto"/>
        <w:tabs>
          <w:tab w:leader="none" w:pos="75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161" w:lineRule="exact"/>
        <w:rPr>
          <w:sz w:val="20"/>
          <w:szCs w:val="20"/>
          <w:color w:val="auto"/>
        </w:rPr>
      </w:pPr>
    </w:p>
    <w:p>
      <w:pPr>
        <w:ind w:left="240" w:right="80" w:firstLine="225"/>
        <w:spacing w:after="0" w:line="257" w:lineRule="auto"/>
        <w:rPr>
          <w:sz w:val="20"/>
          <w:szCs w:val="20"/>
          <w:color w:val="auto"/>
        </w:rPr>
      </w:pPr>
      <w:r>
        <w:rPr>
          <w:rFonts w:ascii="Arial" w:cs="Arial" w:eastAsia="Arial" w:hAnsi="Arial"/>
          <w:sz w:val="18"/>
          <w:szCs w:val="18"/>
          <w:u w:val="single" w:color="auto"/>
          <w:color w:val="auto"/>
        </w:rPr>
        <w:t>Section 5.06. Article FIVE Not Exclusive</w:t>
      </w:r>
      <w:r>
        <w:rPr>
          <w:rFonts w:ascii="Arial" w:cs="Arial" w:eastAsia="Arial" w:hAnsi="Arial"/>
          <w:sz w:val="18"/>
          <w:szCs w:val="18"/>
          <w:color w:val="auto"/>
        </w:rPr>
        <w:t>.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148" w:lineRule="exact"/>
        <w:rPr>
          <w:sz w:val="20"/>
          <w:szCs w:val="20"/>
          <w:color w:val="auto"/>
        </w:rPr>
      </w:pPr>
    </w:p>
    <w:p>
      <w:pPr>
        <w:ind w:left="240" w:firstLine="225"/>
        <w:spacing w:after="0" w:line="255" w:lineRule="auto"/>
        <w:rPr>
          <w:sz w:val="20"/>
          <w:szCs w:val="20"/>
          <w:color w:val="auto"/>
        </w:rPr>
      </w:pPr>
      <w:r>
        <w:rPr>
          <w:rFonts w:ascii="Arial" w:cs="Arial" w:eastAsia="Arial" w:hAnsi="Arial"/>
          <w:sz w:val="18"/>
          <w:szCs w:val="18"/>
          <w:u w:val="single" w:color="auto"/>
          <w:color w:val="auto"/>
        </w:rPr>
        <w:t>Section 5.07. Insurance</w:t>
      </w:r>
      <w:r>
        <w:rPr>
          <w:rFonts w:ascii="Arial" w:cs="Arial" w:eastAsia="Arial" w:hAnsi="Arial"/>
          <w:sz w:val="18"/>
          <w:szCs w:val="18"/>
          <w:color w:val="auto"/>
        </w:rPr>
        <w:t>.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5.08. Certain Definitions</w:t>
      </w:r>
      <w:r>
        <w:rPr>
          <w:rFonts w:ascii="Arial" w:cs="Arial" w:eastAsia="Arial" w:hAnsi="Arial"/>
          <w:sz w:val="18"/>
          <w:szCs w:val="18"/>
          <w:color w:val="auto"/>
        </w:rPr>
        <w:t>. For purposes of this Article FIVE, and as examples and not by way of limitation:</w:t>
      </w:r>
    </w:p>
    <w:p>
      <w:pPr>
        <w:spacing w:after="0" w:line="198" w:lineRule="exact"/>
        <w:rPr>
          <w:sz w:val="20"/>
          <w:szCs w:val="20"/>
          <w:color w:val="auto"/>
        </w:rPr>
      </w:pPr>
    </w:p>
    <w:p>
      <w:pPr>
        <w:ind w:left="240" w:right="240" w:firstLine="221"/>
        <w:spacing w:after="0" w:line="297"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117" w:lineRule="exact"/>
        <w:rPr>
          <w:rFonts w:ascii="Arial" w:cs="Arial" w:eastAsia="Arial" w:hAnsi="Arial"/>
          <w:sz w:val="16"/>
          <w:szCs w:val="16"/>
          <w:color w:val="auto"/>
        </w:rPr>
      </w:pPr>
    </w:p>
    <w:p>
      <w:pPr>
        <w:ind w:left="240" w:right="120" w:firstLine="221"/>
        <w:spacing w:after="0" w:line="276" w:lineRule="auto"/>
        <w:tabs>
          <w:tab w:leader="none" w:pos="75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 have acted in a manner “not opposed to the best interests of the corporation” within the meaning of that term as used in this Article FIVE.</w:t>
      </w:r>
    </w:p>
    <w:p>
      <w:pPr>
        <w:spacing w:after="0" w:line="198" w:lineRule="exact"/>
        <w:rPr>
          <w:sz w:val="20"/>
          <w:szCs w:val="20"/>
          <w:color w:val="auto"/>
        </w:rPr>
      </w:pPr>
    </w:p>
    <w:p>
      <w:pPr>
        <w:ind w:left="240" w:right="100" w:firstLine="225"/>
        <w:spacing w:after="0" w:line="259" w:lineRule="auto"/>
        <w:rPr>
          <w:sz w:val="20"/>
          <w:szCs w:val="20"/>
          <w:color w:val="auto"/>
        </w:rPr>
      </w:pPr>
      <w:r>
        <w:rPr>
          <w:rFonts w:ascii="Arial" w:cs="Arial" w:eastAsia="Arial" w:hAnsi="Arial"/>
          <w:sz w:val="18"/>
          <w:szCs w:val="18"/>
          <w:u w:val="single" w:color="auto"/>
          <w:color w:val="auto"/>
        </w:rPr>
        <w:t>Section 5.09. Venue</w:t>
      </w:r>
      <w:r>
        <w:rPr>
          <w:rFonts w:ascii="Arial" w:cs="Arial" w:eastAsia="Arial" w:hAnsi="Arial"/>
          <w:sz w:val="18"/>
          <w:szCs w:val="18"/>
          <w:color w:val="auto"/>
        </w:rPr>
        <w:t>.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Division (E) of Section 1701.13 of the Ohio Revised Code addresses indemnification by an Ohio corporation and provides as follows:</w:t>
      </w:r>
    </w:p>
    <w:p>
      <w:pPr>
        <w:spacing w:after="0" w:line="185" w:lineRule="exact"/>
        <w:rPr>
          <w:sz w:val="20"/>
          <w:szCs w:val="20"/>
          <w:color w:val="auto"/>
        </w:rPr>
      </w:pPr>
    </w:p>
    <w:p>
      <w:pPr>
        <w:ind w:left="240" w:right="100" w:firstLine="225"/>
        <w:spacing w:after="0" w:line="269" w:lineRule="auto"/>
        <w:rPr>
          <w:sz w:val="20"/>
          <w:szCs w:val="20"/>
          <w:color w:val="auto"/>
        </w:rPr>
      </w:pPr>
      <w:r>
        <w:rPr>
          <w:rFonts w:ascii="Arial" w:cs="Arial" w:eastAsia="Arial" w:hAnsi="Arial"/>
          <w:sz w:val="17"/>
          <w:szCs w:val="17"/>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156" w:lineRule="exact"/>
        <w:rPr>
          <w:sz w:val="20"/>
          <w:szCs w:val="20"/>
          <w:color w:val="auto"/>
        </w:rPr>
      </w:pPr>
    </w:p>
    <w:p>
      <w:pPr>
        <w:ind w:left="240" w:firstLine="221"/>
        <w:spacing w:after="0" w:line="272"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37" w:lineRule="exact"/>
        <w:rPr>
          <w:sz w:val="20"/>
          <w:szCs w:val="20"/>
          <w:color w:val="auto"/>
        </w:rPr>
      </w:pPr>
    </w:p>
    <w:p>
      <w:pPr>
        <w:ind w:left="240" w:right="460" w:firstLine="221"/>
        <w:spacing w:after="0" w:line="286" w:lineRule="auto"/>
        <w:tabs>
          <w:tab w:leader="none" w:pos="71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reasonably entitled to indemnity for such expenses as the court of common pleas or such other court shall deem proper;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Any action or suit in which the only liability asserted against a director is pursuant to section 1701.95 of the Revised Code.</w:t>
      </w:r>
    </w:p>
    <w:p>
      <w:pPr>
        <w:spacing w:after="0" w:line="185" w:lineRule="exact"/>
        <w:rPr>
          <w:sz w:val="20"/>
          <w:szCs w:val="20"/>
          <w:color w:val="auto"/>
        </w:rPr>
      </w:pPr>
    </w:p>
    <w:p>
      <w:pPr>
        <w:ind w:left="240" w:right="100" w:firstLine="221"/>
        <w:spacing w:after="0" w:line="312"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06" w:lineRule="exact"/>
        <w:rPr>
          <w:rFonts w:ascii="Arial" w:cs="Arial" w:eastAsia="Arial" w:hAnsi="Arial"/>
          <w:sz w:val="16"/>
          <w:szCs w:val="16"/>
          <w:color w:val="auto"/>
        </w:rPr>
      </w:pPr>
    </w:p>
    <w:p>
      <w:pPr>
        <w:ind w:left="240" w:right="100" w:firstLine="221"/>
        <w:spacing w:after="0" w:line="259"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 Such determination shall be made as follows:</w:t>
      </w:r>
    </w:p>
    <w:p>
      <w:pPr>
        <w:spacing w:after="0" w:line="160" w:lineRule="exact"/>
        <w:rPr>
          <w:sz w:val="20"/>
          <w:szCs w:val="20"/>
          <w:color w:val="auto"/>
        </w:rPr>
      </w:pPr>
    </w:p>
    <w:p>
      <w:pPr>
        <w:ind w:left="240" w:right="260" w:firstLine="221"/>
        <w:spacing w:after="0" w:line="277" w:lineRule="auto"/>
        <w:tabs>
          <w:tab w:leader="none" w:pos="71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129" w:lineRule="exact"/>
        <w:rPr>
          <w:rFonts w:ascii="Arial" w:cs="Arial" w:eastAsia="Arial" w:hAnsi="Arial"/>
          <w:sz w:val="18"/>
          <w:szCs w:val="18"/>
          <w:color w:val="auto"/>
        </w:rPr>
      </w:pPr>
    </w:p>
    <w:p>
      <w:pPr>
        <w:ind w:left="240" w:firstLine="221"/>
        <w:spacing w:after="0" w:line="264"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40" w:lineRule="exact"/>
        <w:rPr>
          <w:rFonts w:ascii="Arial" w:cs="Arial" w:eastAsia="Arial" w:hAnsi="Arial"/>
          <w:sz w:val="18"/>
          <w:szCs w:val="18"/>
          <w:color w:val="auto"/>
        </w:rPr>
      </w:pPr>
    </w:p>
    <w:p>
      <w:pPr>
        <w:ind w:left="700" w:hanging="23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198" w:lineRule="exact"/>
        <w:rPr>
          <w:rFonts w:ascii="Arial" w:cs="Arial" w:eastAsia="Arial" w:hAnsi="Arial"/>
          <w:sz w:val="18"/>
          <w:szCs w:val="18"/>
          <w:color w:val="auto"/>
        </w:rPr>
      </w:pPr>
    </w:p>
    <w:p>
      <w:pPr>
        <w:ind w:left="720" w:hanging="259"/>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the court of common pleas or the court in which the action, suit, or proceeding referred to in division (E)(1) or (2) of this section was brought.</w:t>
      </w:r>
    </w:p>
    <w:p>
      <w:pPr>
        <w:spacing w:after="0" w:line="208" w:lineRule="exact"/>
        <w:rPr>
          <w:sz w:val="20"/>
          <w:szCs w:val="20"/>
          <w:color w:val="auto"/>
        </w:rPr>
      </w:pPr>
    </w:p>
    <w:p>
      <w:pPr>
        <w:ind w:left="240" w:right="140" w:firstLine="215"/>
        <w:spacing w:after="0" w:line="279" w:lineRule="auto"/>
        <w:rPr>
          <w:sz w:val="20"/>
          <w:szCs w:val="20"/>
          <w:color w:val="auto"/>
        </w:rPr>
      </w:pPr>
      <w:r>
        <w:rPr>
          <w:rFonts w:ascii="Arial" w:cs="Arial" w:eastAsia="Arial" w:hAnsi="Arial"/>
          <w:sz w:val="17"/>
          <w:szCs w:val="17"/>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31" w:lineRule="exact"/>
        <w:rPr>
          <w:sz w:val="20"/>
          <w:szCs w:val="20"/>
          <w:color w:val="auto"/>
        </w:rPr>
      </w:pPr>
    </w:p>
    <w:p>
      <w:pPr>
        <w:jc w:val="both"/>
        <w:ind w:left="240" w:right="280" w:firstLine="225"/>
        <w:spacing w:after="0" w:line="257" w:lineRule="auto"/>
        <w:rPr>
          <w:sz w:val="20"/>
          <w:szCs w:val="20"/>
          <w:color w:val="auto"/>
        </w:rPr>
      </w:pPr>
      <w:r>
        <w:rPr>
          <w:rFonts w:ascii="Arial" w:cs="Arial" w:eastAsia="Arial" w:hAnsi="Arial"/>
          <w:sz w:val="18"/>
          <w:szCs w:val="18"/>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disposition of the action, suit, or proceeding, upon receipt of an undertaking by or on behalf of the director in which he agrees to do both of the following:</w:t>
      </w:r>
    </w:p>
    <w:p>
      <w:pPr>
        <w:spacing w:after="0" w:line="221" w:lineRule="exact"/>
        <w:rPr>
          <w:sz w:val="20"/>
          <w:szCs w:val="20"/>
          <w:color w:val="auto"/>
        </w:rPr>
      </w:pPr>
    </w:p>
    <w:p>
      <w:pPr>
        <w:ind w:left="240" w:right="120" w:firstLine="221"/>
        <w:spacing w:after="0" w:line="26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140" w:lineRule="exact"/>
        <w:rPr>
          <w:rFonts w:ascii="Arial" w:cs="Arial" w:eastAsia="Arial" w:hAnsi="Arial"/>
          <w:sz w:val="18"/>
          <w:szCs w:val="18"/>
          <w:color w:val="auto"/>
        </w:rPr>
      </w:pPr>
    </w:p>
    <w:p>
      <w:pPr>
        <w:ind w:left="720" w:hanging="25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Reasonably cooperate with the corporation concerning the action, suit, or proceeding.</w:t>
      </w:r>
    </w:p>
    <w:p>
      <w:pPr>
        <w:spacing w:after="0" w:line="185" w:lineRule="exact"/>
        <w:rPr>
          <w:sz w:val="20"/>
          <w:szCs w:val="20"/>
          <w:color w:val="auto"/>
        </w:rPr>
      </w:pPr>
    </w:p>
    <w:p>
      <w:pPr>
        <w:ind w:left="240" w:right="160" w:firstLine="221"/>
        <w:spacing w:after="0" w:line="25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61" w:lineRule="exact"/>
        <w:rPr>
          <w:sz w:val="20"/>
          <w:szCs w:val="20"/>
          <w:color w:val="auto"/>
        </w:rPr>
      </w:pPr>
    </w:p>
    <w:p>
      <w:pPr>
        <w:ind w:left="240" w:right="80" w:firstLine="221"/>
        <w:spacing w:after="0" w:line="302"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13" w:lineRule="exact"/>
        <w:rPr>
          <w:rFonts w:ascii="Arial" w:cs="Arial" w:eastAsia="Arial" w:hAnsi="Arial"/>
          <w:sz w:val="16"/>
          <w:szCs w:val="16"/>
          <w:color w:val="auto"/>
        </w:rPr>
      </w:pPr>
    </w:p>
    <w:p>
      <w:pPr>
        <w:ind w:left="240" w:right="80" w:firstLine="221"/>
        <w:spacing w:after="0" w:line="293"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24" w:lineRule="exact"/>
        <w:rPr>
          <w:rFonts w:ascii="Arial" w:cs="Arial" w:eastAsia="Arial" w:hAnsi="Arial"/>
          <w:sz w:val="16"/>
          <w:szCs w:val="16"/>
          <w:color w:val="auto"/>
        </w:rPr>
      </w:pPr>
    </w:p>
    <w:p>
      <w:pPr>
        <w:jc w:val="both"/>
        <w:ind w:left="240" w:firstLine="221"/>
        <w:spacing w:after="0" w:line="312"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119" w:lineRule="exact"/>
        <w:rPr>
          <w:rFonts w:ascii="Arial" w:cs="Arial" w:eastAsia="Arial" w:hAnsi="Arial"/>
          <w:sz w:val="16"/>
          <w:szCs w:val="16"/>
          <w:color w:val="auto"/>
        </w:rPr>
      </w:pPr>
    </w:p>
    <w:p>
      <w:pPr>
        <w:ind w:left="240" w:right="280" w:firstLine="221"/>
        <w:spacing w:after="0" w:line="26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280"/>
        <w:spacing w:after="0" w:line="286" w:lineRule="auto"/>
        <w:rPr>
          <w:sz w:val="20"/>
          <w:szCs w:val="20"/>
          <w:color w:val="auto"/>
        </w:rPr>
      </w:pPr>
      <w:r>
        <w:rPr>
          <w:rFonts w:ascii="Arial" w:cs="Arial" w:eastAsia="Arial" w:hAnsi="Arial"/>
          <w:sz w:val="17"/>
          <w:szCs w:val="17"/>
          <w:color w:val="auto"/>
        </w:rPr>
        <w:t>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39"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Registrant has purchased insurance coverage under a policy which insures directors and officers against certain liabilities which might be incurred by them in such capacity.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Exemption from Registration Claimed</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Exhibits</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the Index to Exhibits attached hereto and beginning at page 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Undertakings</w:t>
      </w:r>
      <w:r>
        <w:rPr>
          <w:rFonts w:ascii="Arial" w:cs="Arial" w:eastAsia="Arial" w:hAnsi="Arial"/>
          <w:sz w:val="18"/>
          <w:szCs w:val="18"/>
          <w:color w:val="auto"/>
        </w:rPr>
        <w: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040" w:hanging="357"/>
        <w:spacing w:after="0"/>
        <w:tabs>
          <w:tab w:leader="none" w:pos="10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040" w:hanging="357"/>
        <w:spacing w:after="0" w:line="255" w:lineRule="auto"/>
        <w:tabs>
          <w:tab w:leader="none" w:pos="10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9" w:lineRule="exact"/>
        <w:rPr>
          <w:rFonts w:ascii="Arial" w:cs="Arial" w:eastAsia="Arial" w:hAnsi="Arial"/>
          <w:sz w:val="18"/>
          <w:szCs w:val="18"/>
          <w:color w:val="auto"/>
        </w:rPr>
      </w:pPr>
    </w:p>
    <w:p>
      <w:pPr>
        <w:ind w:left="1040" w:right="500" w:hanging="357"/>
        <w:spacing w:after="0" w:line="277" w:lineRule="auto"/>
        <w:tabs>
          <w:tab w:leader="none" w:pos="10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680"/>
        <w:spacing w:after="0" w:line="286" w:lineRule="auto"/>
        <w:rPr>
          <w:sz w:val="20"/>
          <w:szCs w:val="20"/>
          <w:color w:val="auto"/>
        </w:rPr>
      </w:pPr>
      <w:r>
        <w:rPr>
          <w:rFonts w:ascii="Arial" w:cs="Arial" w:eastAsia="Arial" w:hAnsi="Arial"/>
          <w:sz w:val="17"/>
          <w:szCs w:val="17"/>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hanging="334"/>
        <w:spacing w:after="0" w:line="264" w:lineRule="auto"/>
        <w:tabs>
          <w:tab w:leader="none" w:pos="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80" w:right="140" w:hanging="334"/>
        <w:spacing w:after="0" w:line="277" w:lineRule="auto"/>
        <w:tabs>
          <w:tab w:leader="none" w:pos="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40" w:right="14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ind w:left="340" w:right="40" w:hanging="332"/>
        <w:spacing w:after="0" w:line="271"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 signatures on following page.]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98"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Registration Statement to be signed on its behalf by the undersigned, thereunto duly authorized, in the City of Marysville, State of Ohio, on the 9th day of May, 2005.</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302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James Hagedorn, President, Chief Executive Officer and Chairman of</w:t>
      </w:r>
    </w:p>
    <w:p>
      <w:pPr>
        <w:spacing w:after="0" w:line="3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the Board</w:t>
      </w:r>
    </w:p>
    <w:p>
      <w:pPr>
        <w:spacing w:after="0" w:line="170"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Registration Statement has been signed by the following persons in the capacities indicated on May 9, 2005.</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0" w:type="dxa"/>
            <w:vAlign w:val="bottom"/>
          </w:tcPr>
          <w:p>
            <w:pPr>
              <w:spacing w:after="0"/>
              <w:rPr>
                <w:sz w:val="20"/>
                <w:szCs w:val="20"/>
                <w:color w:val="auto"/>
              </w:rPr>
            </w:pPr>
            <w:r>
              <w:rPr>
                <w:rFonts w:ascii="Arial" w:cs="Arial" w:eastAsia="Arial" w:hAnsi="Arial"/>
                <w:sz w:val="14"/>
                <w:szCs w:val="14"/>
                <w:color w:val="auto"/>
              </w:rPr>
              <w:t>Signature</w:t>
            </w:r>
          </w:p>
        </w:tc>
        <w:tc>
          <w:tcPr>
            <w:tcW w:w="7620" w:type="dxa"/>
            <w:vAlign w:val="bottom"/>
            <w:gridSpan w:val="2"/>
          </w:tcPr>
          <w:p>
            <w:pPr>
              <w:ind w:left="3820"/>
              <w:spacing w:after="0"/>
              <w:rPr>
                <w:sz w:val="20"/>
                <w:szCs w:val="20"/>
                <w:color w:val="auto"/>
              </w:rPr>
            </w:pPr>
            <w:r>
              <w:rPr>
                <w:rFonts w:ascii="Arial" w:cs="Arial" w:eastAsia="Arial" w:hAnsi="Arial"/>
                <w:sz w:val="14"/>
                <w:szCs w:val="14"/>
                <w:color w:val="auto"/>
              </w:rPr>
              <w:t>Title</w:t>
            </w:r>
          </w:p>
        </w:tc>
      </w:tr>
      <w:tr>
        <w:trPr>
          <w:trHeight w:val="20"/>
        </w:trPr>
        <w:tc>
          <w:tcPr>
            <w:tcW w:w="38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r>
      <w:tr>
        <w:trPr>
          <w:trHeight w:val="426"/>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R. Baker</w:t>
            </w: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Director</w:t>
            </w: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Mark R. Baker</w:t>
            </w:r>
          </w:p>
        </w:tc>
        <w:tc>
          <w:tcPr>
            <w:tcW w:w="382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J. Beasley</w:t>
            </w: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Director</w:t>
            </w: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Lynn J. Beasley</w:t>
            </w:r>
          </w:p>
        </w:tc>
        <w:tc>
          <w:tcPr>
            <w:tcW w:w="382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*Gordon F. Brunner</w:t>
            </w: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Director</w:t>
            </w: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Gordon F. Brunner</w:t>
            </w:r>
          </w:p>
        </w:tc>
        <w:tc>
          <w:tcPr>
            <w:tcW w:w="382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*Arnold W. Donald</w:t>
            </w: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Director</w:t>
            </w: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Arnold W. Donald</w:t>
            </w:r>
          </w:p>
        </w:tc>
        <w:tc>
          <w:tcPr>
            <w:tcW w:w="382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P. Flannery</w:t>
            </w: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Director</w:t>
            </w: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Joseph P. Flannery</w:t>
            </w:r>
          </w:p>
        </w:tc>
        <w:tc>
          <w:tcPr>
            <w:tcW w:w="382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/s/James Hagedorn</w:t>
            </w: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President, Chief Executive Officer</w:t>
            </w:r>
          </w:p>
        </w:tc>
      </w:tr>
      <w:tr>
        <w:trPr>
          <w:trHeight w:val="195"/>
        </w:trPr>
        <w:tc>
          <w:tcPr>
            <w:tcW w:w="3800" w:type="dxa"/>
            <w:vAlign w:val="bottom"/>
          </w:tcPr>
          <w:p>
            <w:pPr>
              <w:spacing w:after="0" w:line="195" w:lineRule="exact"/>
              <w:rPr>
                <w:sz w:val="20"/>
                <w:szCs w:val="20"/>
                <w:color w:val="auto"/>
              </w:rPr>
            </w:pPr>
            <w:r>
              <w:rPr>
                <w:rFonts w:ascii="Arial" w:cs="Arial" w:eastAsia="Arial" w:hAnsi="Arial"/>
                <w:sz w:val="18"/>
                <w:szCs w:val="18"/>
                <w:color w:val="auto"/>
              </w:rPr>
              <w:t>James Hagedorn</w:t>
            </w:r>
          </w:p>
        </w:tc>
        <w:tc>
          <w:tcPr>
            <w:tcW w:w="7620" w:type="dxa"/>
            <w:vAlign w:val="bottom"/>
            <w:gridSpan w:val="2"/>
          </w:tcPr>
          <w:p>
            <w:pPr>
              <w:ind w:left="3820"/>
              <w:spacing w:after="0" w:line="195" w:lineRule="exact"/>
              <w:rPr>
                <w:sz w:val="20"/>
                <w:szCs w:val="20"/>
                <w:color w:val="auto"/>
              </w:rPr>
            </w:pPr>
            <w:r>
              <w:rPr>
                <w:rFonts w:ascii="Arial" w:cs="Arial" w:eastAsia="Arial" w:hAnsi="Arial"/>
                <w:sz w:val="18"/>
                <w:szCs w:val="18"/>
                <w:color w:val="auto"/>
                <w:w w:val="99"/>
              </w:rPr>
              <w:t>and Chairman of the Board (Principal Executive</w:t>
            </w:r>
          </w:p>
        </w:tc>
      </w:tr>
      <w:tr>
        <w:trPr>
          <w:trHeight w:val="230"/>
        </w:trPr>
        <w:tc>
          <w:tcPr>
            <w:tcW w:w="3800" w:type="dxa"/>
            <w:vAlign w:val="bottom"/>
          </w:tcPr>
          <w:p>
            <w:pPr>
              <w:spacing w:after="0"/>
              <w:rPr>
                <w:sz w:val="20"/>
                <w:szCs w:val="20"/>
                <w:color w:val="auto"/>
              </w:rPr>
            </w:pP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Officer) and Director</w:t>
            </w:r>
          </w:p>
        </w:tc>
      </w:tr>
      <w:tr>
        <w:trPr>
          <w:trHeight w:val="432"/>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Hagedorn Littlefield</w:t>
            </w: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Director</w:t>
            </w: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382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/s/Christopher L. Nagel</w:t>
            </w: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Executive Vice President and</w:t>
            </w:r>
          </w:p>
        </w:tc>
      </w:tr>
      <w:tr>
        <w:trPr>
          <w:trHeight w:val="195"/>
        </w:trPr>
        <w:tc>
          <w:tcPr>
            <w:tcW w:w="3800" w:type="dxa"/>
            <w:vAlign w:val="bottom"/>
          </w:tcPr>
          <w:p>
            <w:pPr>
              <w:spacing w:after="0" w:line="195" w:lineRule="exact"/>
              <w:rPr>
                <w:sz w:val="20"/>
                <w:szCs w:val="20"/>
                <w:color w:val="auto"/>
              </w:rPr>
            </w:pPr>
            <w:r>
              <w:rPr>
                <w:rFonts w:ascii="Arial" w:cs="Arial" w:eastAsia="Arial" w:hAnsi="Arial"/>
                <w:sz w:val="18"/>
                <w:szCs w:val="18"/>
                <w:color w:val="auto"/>
              </w:rPr>
              <w:t>Christopher L. Nagel</w:t>
            </w:r>
          </w:p>
        </w:tc>
        <w:tc>
          <w:tcPr>
            <w:tcW w:w="7620" w:type="dxa"/>
            <w:vAlign w:val="bottom"/>
            <w:gridSpan w:val="2"/>
          </w:tcPr>
          <w:p>
            <w:pPr>
              <w:ind w:left="3820"/>
              <w:spacing w:after="0" w:line="195" w:lineRule="exact"/>
              <w:rPr>
                <w:sz w:val="20"/>
                <w:szCs w:val="20"/>
                <w:color w:val="auto"/>
              </w:rPr>
            </w:pPr>
            <w:r>
              <w:rPr>
                <w:rFonts w:ascii="Arial" w:cs="Arial" w:eastAsia="Arial" w:hAnsi="Arial"/>
                <w:sz w:val="18"/>
                <w:szCs w:val="18"/>
                <w:color w:val="auto"/>
                <w:w w:val="96"/>
              </w:rPr>
              <w:t>Chief Financial Officer (Principal Financial Officer</w:t>
            </w:r>
          </w:p>
        </w:tc>
      </w:tr>
      <w:tr>
        <w:trPr>
          <w:trHeight w:val="230"/>
        </w:trPr>
        <w:tc>
          <w:tcPr>
            <w:tcW w:w="3800" w:type="dxa"/>
            <w:vAlign w:val="bottom"/>
          </w:tcPr>
          <w:p>
            <w:pPr>
              <w:spacing w:after="0"/>
              <w:rPr>
                <w:sz w:val="20"/>
                <w:szCs w:val="20"/>
                <w:color w:val="auto"/>
              </w:rPr>
            </w:pP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and Principal Accounting Officer)</w:t>
            </w:r>
          </w:p>
        </w:tc>
      </w:tr>
      <w:tr>
        <w:trPr>
          <w:trHeight w:val="392"/>
        </w:trPr>
        <w:tc>
          <w:tcPr>
            <w:tcW w:w="3800" w:type="dxa"/>
            <w:vAlign w:val="bottom"/>
          </w:tcPr>
          <w:p>
            <w:pPr>
              <w:spacing w:after="0"/>
              <w:rPr>
                <w:sz w:val="24"/>
                <w:szCs w:val="24"/>
                <w:color w:val="auto"/>
              </w:rPr>
            </w:pPr>
          </w:p>
        </w:tc>
        <w:tc>
          <w:tcPr>
            <w:tcW w:w="3820" w:type="dxa"/>
            <w:vAlign w:val="bottom"/>
          </w:tcPr>
          <w:p>
            <w:pPr>
              <w:ind w:left="1760"/>
              <w:spacing w:after="0"/>
              <w:rPr>
                <w:sz w:val="20"/>
                <w:szCs w:val="20"/>
                <w:color w:val="auto"/>
              </w:rPr>
            </w:pPr>
            <w:r>
              <w:rPr>
                <w:rFonts w:ascii="Arial" w:cs="Arial" w:eastAsia="Arial" w:hAnsi="Arial"/>
                <w:sz w:val="18"/>
                <w:szCs w:val="18"/>
                <w:color w:val="auto"/>
              </w:rPr>
              <w:t>-12-</w:t>
            </w:r>
          </w:p>
        </w:tc>
        <w:tc>
          <w:tcPr>
            <w:tcW w:w="3800" w:type="dxa"/>
            <w:vAlign w:val="bottom"/>
          </w:tcPr>
          <w:p>
            <w:pPr>
              <w:spacing w:after="0"/>
              <w:rPr>
                <w:sz w:val="24"/>
                <w:szCs w:val="24"/>
                <w:color w:val="auto"/>
              </w:rPr>
            </w:pPr>
          </w:p>
        </w:tc>
      </w:tr>
      <w:tr>
        <w:trPr>
          <w:trHeight w:val="226"/>
        </w:trPr>
        <w:tc>
          <w:tcPr>
            <w:tcW w:w="380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0" w:type="dxa"/>
            <w:vAlign w:val="bottom"/>
          </w:tcPr>
          <w:p>
            <w:pPr>
              <w:spacing w:after="0"/>
              <w:rPr>
                <w:sz w:val="20"/>
                <w:szCs w:val="20"/>
                <w:color w:val="auto"/>
              </w:rPr>
            </w:pPr>
            <w:r>
              <w:rPr>
                <w:rFonts w:ascii="Arial" w:cs="Arial" w:eastAsia="Arial" w:hAnsi="Arial"/>
                <w:sz w:val="14"/>
                <w:szCs w:val="14"/>
                <w:color w:val="auto"/>
              </w:rPr>
              <w:t>Signature</w:t>
            </w:r>
          </w:p>
        </w:tc>
        <w:tc>
          <w:tcPr>
            <w:tcW w:w="7620" w:type="dxa"/>
            <w:vAlign w:val="bottom"/>
            <w:gridSpan w:val="2"/>
          </w:tcPr>
          <w:p>
            <w:pPr>
              <w:ind w:left="3820"/>
              <w:spacing w:after="0"/>
              <w:rPr>
                <w:sz w:val="20"/>
                <w:szCs w:val="20"/>
                <w:color w:val="auto"/>
              </w:rPr>
            </w:pPr>
            <w:r>
              <w:rPr>
                <w:rFonts w:ascii="Arial" w:cs="Arial" w:eastAsia="Arial" w:hAnsi="Arial"/>
                <w:sz w:val="14"/>
                <w:szCs w:val="14"/>
                <w:color w:val="auto"/>
              </w:rPr>
              <w:t>Title</w:t>
            </w:r>
          </w:p>
        </w:tc>
      </w:tr>
      <w:tr>
        <w:trPr>
          <w:trHeight w:val="20"/>
        </w:trPr>
        <w:tc>
          <w:tcPr>
            <w:tcW w:w="38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r>
      <w:tr>
        <w:trPr>
          <w:trHeight w:val="426"/>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Norton</w:t>
            </w: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Director</w:t>
            </w: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Patrick J. Norton</w:t>
            </w:r>
          </w:p>
        </w:tc>
        <w:tc>
          <w:tcPr>
            <w:tcW w:w="382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*Stephanie M. Shern</w:t>
            </w: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Director</w:t>
            </w: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Stephanie M. Shern</w:t>
            </w:r>
          </w:p>
        </w:tc>
        <w:tc>
          <w:tcPr>
            <w:tcW w:w="382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 Sullivan</w:t>
            </w: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Director</w:t>
            </w: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John M. Sullivan</w:t>
            </w:r>
          </w:p>
        </w:tc>
        <w:tc>
          <w:tcPr>
            <w:tcW w:w="3820" w:type="dxa"/>
            <w:vAlign w:val="bottom"/>
          </w:tcPr>
          <w:p>
            <w:pPr>
              <w:spacing w:after="0"/>
              <w:rPr>
                <w:sz w:val="19"/>
                <w:szCs w:val="19"/>
                <w:color w:val="auto"/>
              </w:rPr>
            </w:pPr>
          </w:p>
        </w:tc>
        <w:tc>
          <w:tcPr>
            <w:tcW w:w="3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3208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89" w:lineRule="exact"/>
        <w:rPr>
          <w:sz w:val="20"/>
          <w:szCs w:val="20"/>
          <w:color w:val="auto"/>
        </w:rPr>
      </w:pPr>
    </w:p>
    <w:p>
      <w:pPr>
        <w:ind w:left="460" w:right="140" w:hanging="452"/>
        <w:spacing w:after="0" w:line="34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By James Hagedorn pursuant to Powers of Attorney executed by the directors and executive officers identified above, which Powers of Attorney have been filed with the Securities and Exchange Commission as exhibits to this Post-Effective Amendment No. 1 to Registration Statement on Form S-8.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James Hagedorn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Hagedorn,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780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7"/>
          <w:szCs w:val="17"/>
          <w:u w:val="single" w:color="auto"/>
          <w:color w:val="auto"/>
        </w:rPr>
        <w:t>INDEX TO EXHIBITS</w:t>
      </w:r>
    </w:p>
    <w:p>
      <w:pPr>
        <w:sectPr>
          <w:pgSz w:w="11900" w:h="16838" w:orient="portrait"/>
          <w:cols w:equalWidth="0" w:num="1">
            <w:col w:w="11340"/>
          </w:cols>
          <w:pgMar w:left="240" w:top="419" w:right="31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100"/>
        <w:spacing w:after="0"/>
        <w:tabs>
          <w:tab w:leader="none" w:pos="320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3810</wp:posOffset>
            </wp:positionV>
            <wp:extent cx="32416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1" w:lineRule="exact"/>
        <w:rPr>
          <w:sz w:val="20"/>
          <w:szCs w:val="20"/>
          <w:color w:val="auto"/>
        </w:rPr>
      </w:pPr>
    </w:p>
    <w:p>
      <w:pPr>
        <w:ind w:left="1000" w:hanging="521"/>
        <w:spacing w:after="0" w:line="321" w:lineRule="auto"/>
        <w:tabs>
          <w:tab w:leader="none" w:pos="9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Initial Articles of Incorporation of The Scotts Miracle-Gro Company as filed with the Ohio Secretary of State on November 22,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32416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Incorporated herein by reference to Exhibit 3.1 to the Current Report on Form 8-K of The Scotts Miracle-Gro Company dated and filed with the Securities and Exchange Commission on March 24, 2005 (File No. 1-13292)</w:t>
      </w:r>
    </w:p>
    <w:p>
      <w:pPr>
        <w:spacing w:after="0"/>
        <w:rPr>
          <w:sz w:val="20"/>
          <w:szCs w:val="20"/>
          <w:color w:val="auto"/>
        </w:rPr>
      </w:pPr>
      <w:r>
        <w:rPr>
          <w:rFonts w:ascii="Arial" w:cs="Arial" w:eastAsia="Arial" w:hAnsi="Arial"/>
          <w:sz w:val="18"/>
          <w:szCs w:val="18"/>
          <w:color w:val="auto"/>
        </w:rPr>
        <w:t>(the “March 24, 2005 Form 8-K”)</w:t>
      </w:r>
    </w:p>
    <w:p>
      <w:pPr>
        <w:spacing w:after="0" w:line="200" w:lineRule="exact"/>
        <w:rPr>
          <w:sz w:val="20"/>
          <w:szCs w:val="20"/>
          <w:color w:val="auto"/>
        </w:rPr>
      </w:pPr>
    </w:p>
    <w:p>
      <w:pPr>
        <w:sectPr>
          <w:pgSz w:w="11900" w:h="16838" w:orient="portrait"/>
          <w:cols w:equalWidth="0" w:num="2">
            <w:col w:w="5960" w:space="360"/>
            <w:col w:w="5020"/>
          </w:cols>
          <w:pgMar w:left="240" w:top="419" w:right="319" w:bottom="1440" w:gutter="0" w:footer="0" w:header="0"/>
          <w:type w:val="continuous"/>
        </w:sectPr>
      </w:pPr>
    </w:p>
    <w:p>
      <w:pPr>
        <w:spacing w:after="0" w:line="1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46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5340" w:type="dxa"/>
            <w:vAlign w:val="bottom"/>
          </w:tcPr>
          <w:p>
            <w:pPr>
              <w:ind w:left="160"/>
              <w:spacing w:after="0"/>
              <w:rPr>
                <w:sz w:val="20"/>
                <w:szCs w:val="20"/>
                <w:color w:val="auto"/>
              </w:rPr>
            </w:pPr>
            <w:r>
              <w:rPr>
                <w:rFonts w:ascii="Arial" w:cs="Arial" w:eastAsia="Arial" w:hAnsi="Arial"/>
                <w:sz w:val="18"/>
                <w:szCs w:val="18"/>
                <w:color w:val="auto"/>
              </w:rPr>
              <w:t>Certificate of Amendment by Shareholders to Articles of</w:t>
            </w:r>
          </w:p>
        </w:tc>
        <w:tc>
          <w:tcPr>
            <w:tcW w:w="5160" w:type="dxa"/>
            <w:vAlign w:val="bottom"/>
          </w:tcPr>
          <w:p>
            <w:pPr>
              <w:ind w:left="140"/>
              <w:spacing w:after="0"/>
              <w:rPr>
                <w:sz w:val="20"/>
                <w:szCs w:val="20"/>
                <w:color w:val="auto"/>
              </w:rPr>
            </w:pPr>
            <w:r>
              <w:rPr>
                <w:rFonts w:ascii="Arial" w:cs="Arial" w:eastAsia="Arial" w:hAnsi="Arial"/>
                <w:sz w:val="18"/>
                <w:szCs w:val="18"/>
                <w:color w:val="auto"/>
                <w:w w:val="90"/>
              </w:rPr>
              <w:t>Incorporated herein by reference to Exhibit 3.2 to the March 24, 2005</w:t>
            </w:r>
          </w:p>
        </w:tc>
      </w:tr>
      <w:tr>
        <w:trPr>
          <w:trHeight w:val="216"/>
        </w:trPr>
        <w:tc>
          <w:tcPr>
            <w:tcW w:w="46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8"/>
              </w:rPr>
              <w:t>Incorporation of The Scotts Miracle-Gro Company as filed with the</w:t>
            </w:r>
          </w:p>
        </w:tc>
        <w:tc>
          <w:tcPr>
            <w:tcW w:w="5160" w:type="dxa"/>
            <w:vAlign w:val="bottom"/>
          </w:tcPr>
          <w:p>
            <w:pPr>
              <w:ind w:left="140"/>
              <w:spacing w:after="0"/>
              <w:rPr>
                <w:sz w:val="20"/>
                <w:szCs w:val="20"/>
                <w:color w:val="auto"/>
              </w:rPr>
            </w:pPr>
            <w:r>
              <w:rPr>
                <w:rFonts w:ascii="Arial" w:cs="Arial" w:eastAsia="Arial" w:hAnsi="Arial"/>
                <w:sz w:val="18"/>
                <w:szCs w:val="18"/>
                <w:color w:val="auto"/>
              </w:rPr>
              <w:t>Form 8-K (File No. 1-13292)</w:t>
            </w:r>
          </w:p>
        </w:tc>
      </w:tr>
      <w:tr>
        <w:trPr>
          <w:trHeight w:val="230"/>
        </w:trPr>
        <w:tc>
          <w:tcPr>
            <w:tcW w:w="46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Ohio Secretary of State on March 18, 2005</w:t>
            </w:r>
          </w:p>
        </w:tc>
        <w:tc>
          <w:tcPr>
            <w:tcW w:w="5160" w:type="dxa"/>
            <w:vAlign w:val="bottom"/>
          </w:tcPr>
          <w:p>
            <w:pPr>
              <w:spacing w:after="0"/>
              <w:rPr>
                <w:sz w:val="20"/>
                <w:szCs w:val="20"/>
                <w:color w:val="auto"/>
              </w:rPr>
            </w:pPr>
          </w:p>
        </w:tc>
      </w:tr>
      <w:tr>
        <w:trPr>
          <w:trHeight w:val="418"/>
        </w:trPr>
        <w:tc>
          <w:tcPr>
            <w:tcW w:w="46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5340" w:type="dxa"/>
            <w:vAlign w:val="bottom"/>
          </w:tcPr>
          <w:p>
            <w:pPr>
              <w:ind w:left="160"/>
              <w:spacing w:after="0"/>
              <w:rPr>
                <w:sz w:val="20"/>
                <w:szCs w:val="20"/>
                <w:color w:val="auto"/>
              </w:rPr>
            </w:pPr>
            <w:r>
              <w:rPr>
                <w:rFonts w:ascii="Arial" w:cs="Arial" w:eastAsia="Arial" w:hAnsi="Arial"/>
                <w:sz w:val="18"/>
                <w:szCs w:val="18"/>
                <w:color w:val="auto"/>
              </w:rPr>
              <w:t>Code of Regulations of The Scotts Miracle-Gro Company</w:t>
            </w:r>
          </w:p>
        </w:tc>
        <w:tc>
          <w:tcPr>
            <w:tcW w:w="5160" w:type="dxa"/>
            <w:vAlign w:val="bottom"/>
          </w:tcPr>
          <w:p>
            <w:pPr>
              <w:ind w:left="140"/>
              <w:spacing w:after="0"/>
              <w:rPr>
                <w:sz w:val="20"/>
                <w:szCs w:val="20"/>
                <w:color w:val="auto"/>
              </w:rPr>
            </w:pPr>
            <w:r>
              <w:rPr>
                <w:rFonts w:ascii="Arial" w:cs="Arial" w:eastAsia="Arial" w:hAnsi="Arial"/>
                <w:sz w:val="18"/>
                <w:szCs w:val="18"/>
                <w:color w:val="auto"/>
                <w:w w:val="90"/>
              </w:rPr>
              <w:t>Incorporated herein by reference to Exhibit 3.3 to the March 24, 2005</w:t>
            </w:r>
          </w:p>
        </w:tc>
      </w:tr>
      <w:tr>
        <w:trPr>
          <w:trHeight w:val="230"/>
        </w:trPr>
        <w:tc>
          <w:tcPr>
            <w:tcW w:w="4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Form 8-K (File No. 1-13292)</w:t>
            </w:r>
          </w:p>
        </w:tc>
      </w:tr>
      <w:tr>
        <w:trPr>
          <w:trHeight w:val="418"/>
        </w:trPr>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10.1</w:t>
            </w:r>
          </w:p>
        </w:tc>
        <w:tc>
          <w:tcPr>
            <w:tcW w:w="5340" w:type="dxa"/>
            <w:vAlign w:val="bottom"/>
          </w:tcPr>
          <w:p>
            <w:pPr>
              <w:ind w:left="160"/>
              <w:spacing w:after="0"/>
              <w:rPr>
                <w:sz w:val="20"/>
                <w:szCs w:val="20"/>
                <w:color w:val="auto"/>
              </w:rPr>
            </w:pPr>
            <w:r>
              <w:rPr>
                <w:rFonts w:ascii="Arial" w:cs="Arial" w:eastAsia="Arial" w:hAnsi="Arial"/>
                <w:sz w:val="18"/>
                <w:szCs w:val="18"/>
                <w:color w:val="auto"/>
                <w:w w:val="93"/>
              </w:rPr>
              <w:t>Fifth Amendment to The Scotts Company Executive Retirement Plan,</w:t>
            </w:r>
          </w:p>
        </w:tc>
        <w:tc>
          <w:tcPr>
            <w:tcW w:w="516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30"/>
        </w:trPr>
        <w:tc>
          <w:tcPr>
            <w:tcW w:w="46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effective as of March 18, 2005</w:t>
            </w:r>
          </w:p>
        </w:tc>
        <w:tc>
          <w:tcPr>
            <w:tcW w:w="5160" w:type="dxa"/>
            <w:vAlign w:val="bottom"/>
          </w:tcPr>
          <w:p>
            <w:pPr>
              <w:spacing w:after="0"/>
              <w:rPr>
                <w:sz w:val="20"/>
                <w:szCs w:val="20"/>
                <w:color w:val="auto"/>
              </w:rPr>
            </w:pPr>
          </w:p>
        </w:tc>
      </w:tr>
      <w:tr>
        <w:trPr>
          <w:trHeight w:val="418"/>
        </w:trPr>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23.1</w:t>
            </w:r>
          </w:p>
        </w:tc>
        <w:tc>
          <w:tcPr>
            <w:tcW w:w="5340" w:type="dxa"/>
            <w:vAlign w:val="bottom"/>
          </w:tcPr>
          <w:p>
            <w:pPr>
              <w:ind w:left="160"/>
              <w:spacing w:after="0"/>
              <w:rPr>
                <w:sz w:val="20"/>
                <w:szCs w:val="20"/>
                <w:color w:val="auto"/>
              </w:rPr>
            </w:pPr>
            <w:r>
              <w:rPr>
                <w:rFonts w:ascii="Arial" w:cs="Arial" w:eastAsia="Arial" w:hAnsi="Arial"/>
                <w:sz w:val="18"/>
                <w:szCs w:val="18"/>
                <w:color w:val="auto"/>
                <w:w w:val="98"/>
              </w:rPr>
              <w:t>Consent of PricewaterhouseCoopers LLP, independent registered</w:t>
            </w:r>
          </w:p>
        </w:tc>
        <w:tc>
          <w:tcPr>
            <w:tcW w:w="516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30"/>
        </w:trPr>
        <w:tc>
          <w:tcPr>
            <w:tcW w:w="46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public accounting firm</w:t>
            </w:r>
          </w:p>
        </w:tc>
        <w:tc>
          <w:tcPr>
            <w:tcW w:w="5160" w:type="dxa"/>
            <w:vAlign w:val="bottom"/>
          </w:tcPr>
          <w:p>
            <w:pPr>
              <w:spacing w:after="0"/>
              <w:rPr>
                <w:sz w:val="20"/>
                <w:szCs w:val="20"/>
                <w:color w:val="auto"/>
              </w:rPr>
            </w:pPr>
          </w:p>
        </w:tc>
      </w:tr>
      <w:tr>
        <w:trPr>
          <w:trHeight w:val="418"/>
        </w:trPr>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24.1</w:t>
            </w:r>
          </w:p>
        </w:tc>
        <w:tc>
          <w:tcPr>
            <w:tcW w:w="5340" w:type="dxa"/>
            <w:vAlign w:val="bottom"/>
          </w:tcPr>
          <w:p>
            <w:pPr>
              <w:ind w:left="160"/>
              <w:spacing w:after="0"/>
              <w:rPr>
                <w:sz w:val="20"/>
                <w:szCs w:val="20"/>
                <w:color w:val="auto"/>
              </w:rPr>
            </w:pPr>
            <w:r>
              <w:rPr>
                <w:rFonts w:ascii="Arial" w:cs="Arial" w:eastAsia="Arial" w:hAnsi="Arial"/>
                <w:sz w:val="18"/>
                <w:szCs w:val="18"/>
                <w:color w:val="auto"/>
                <w:w w:val="94"/>
              </w:rPr>
              <w:t>Powers of Attorney of Executive Officers and Directors of The Scotts</w:t>
            </w:r>
          </w:p>
        </w:tc>
        <w:tc>
          <w:tcPr>
            <w:tcW w:w="516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30"/>
        </w:trPr>
        <w:tc>
          <w:tcPr>
            <w:tcW w:w="46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Miracle-Gro Company</w:t>
            </w:r>
          </w:p>
        </w:tc>
        <w:tc>
          <w:tcPr>
            <w:tcW w:w="516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5340" w:type="dxa"/>
            <w:vAlign w:val="bottom"/>
          </w:tcPr>
          <w:p>
            <w:pPr>
              <w:ind w:left="4720"/>
              <w:spacing w:after="0"/>
              <w:rPr>
                <w:sz w:val="20"/>
                <w:szCs w:val="20"/>
                <w:color w:val="auto"/>
              </w:rPr>
            </w:pPr>
            <w:r>
              <w:rPr>
                <w:rFonts w:ascii="Arial" w:cs="Arial" w:eastAsia="Arial" w:hAnsi="Arial"/>
                <w:sz w:val="18"/>
                <w:szCs w:val="18"/>
                <w:color w:val="auto"/>
              </w:rPr>
              <w:t>-14-</w:t>
            </w:r>
          </w:p>
        </w:tc>
        <w:tc>
          <w:tcPr>
            <w:tcW w:w="5160" w:type="dxa"/>
            <w:vAlign w:val="bottom"/>
          </w:tcPr>
          <w:p>
            <w:pPr>
              <w:spacing w:after="0"/>
              <w:rPr>
                <w:sz w:val="24"/>
                <w:szCs w:val="24"/>
                <w:color w:val="auto"/>
              </w:rPr>
            </w:pPr>
          </w:p>
        </w:tc>
      </w:tr>
    </w:tbl>
    <w:p>
      <w:pPr>
        <w:sectPr>
          <w:pgSz w:w="11900" w:h="16838" w:orient="portrait"/>
          <w:cols w:equalWidth="0" w:num="1">
            <w:col w:w="11340"/>
          </w:cols>
          <w:pgMar w:left="240" w:top="419" w:right="31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RETIREMENT PLAN</w:t>
      </w:r>
    </w:p>
    <w:p>
      <w:pPr>
        <w:spacing w:after="0" w:line="166"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Scotts Company (“Scotts”) previously adopted The Scotts Company Incentive Pay Deferral Plan, subsequently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January 1, 1999 as The Scotts Company Executive Retirement Plan (the “Plan”); and</w:t>
      </w:r>
    </w:p>
    <w:p>
      <w:pPr>
        <w:spacing w:after="0" w:line="121"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18, 2005 (the “Effective Time”), Scotts consummated the restructuring of Scotts’ corporate structure into a holding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by merging Scotts into a wholly-owned second-tier Ohio limited liability company subsidiary, The Scotts Company LLC (the “Company”), pursuant to the Agreement and Plan of Merger, dated as of December 13, 2004 (the “Merger Agreement”), by and among Scotts, The Scotts Miracle-Gro Company (“Scotts Miracle-Gro”) and the Company; and</w:t>
      </w:r>
    </w:p>
    <w:p>
      <w:pPr>
        <w:spacing w:after="0" w:line="153"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and as a result of the merger of Scotts into the Company, the Company assumed, as of the Effective Time, the Plan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and liabilities of Scotts thereunder; and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XI of the Plan provides that the Administrative Committee for the Plan may amend, modify or terminate the Plan;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effective as of March 18, 2005, the Plan is amended as follows to reflect the Company’s assumption of the Plan:</w:t>
      </w:r>
    </w:p>
    <w:p>
      <w:pPr>
        <w:spacing w:after="0" w:line="202" w:lineRule="exact"/>
        <w:rPr>
          <w:sz w:val="20"/>
          <w:szCs w:val="20"/>
          <w:color w:val="auto"/>
        </w:rPr>
      </w:pPr>
    </w:p>
    <w:p>
      <w:pPr>
        <w:ind w:left="400" w:hanging="167"/>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of the Plan is amended to be “The Scotts Company LLC Executive Retirement Plan.”</w:t>
      </w:r>
    </w:p>
    <w:p>
      <w:pPr>
        <w:spacing w:after="0" w:line="184" w:lineRule="exact"/>
        <w:rPr>
          <w:rFonts w:ascii="Arial" w:cs="Arial" w:eastAsia="Arial" w:hAnsi="Arial"/>
          <w:sz w:val="18"/>
          <w:szCs w:val="18"/>
          <w:color w:val="auto"/>
        </w:rPr>
      </w:pPr>
    </w:p>
    <w:p>
      <w:pPr>
        <w:ind w:right="20" w:firstLine="233"/>
        <w:spacing w:after="0" w:line="279" w:lineRule="auto"/>
        <w:tabs>
          <w:tab w:leader="none" w:pos="40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Section I of the Plan is amended and restated to read, in its entirety, as follows: The Scotts Company LLC Executive Retirement Plan provides Eligible Employees with the opportunity to defer bonuses (under the Executive Annual Incentive Plan) and compensation, and supplements the benefits of Eligible Employees under The Scotts Company LLC Retirement Savings Plan. The benefits under the Plan are to be provided from the Plan on an unfunded basis. It is intended that the Plan be exempt from the funding, participation, vesting and fiduciary provisions of Title I of ERISA.</w:t>
      </w:r>
    </w:p>
    <w:p>
      <w:pPr>
        <w:spacing w:after="0" w:line="130" w:lineRule="exact"/>
        <w:rPr>
          <w:rFonts w:ascii="Arial" w:cs="Arial" w:eastAsia="Arial" w:hAnsi="Arial"/>
          <w:sz w:val="17"/>
          <w:szCs w:val="17"/>
          <w:color w:val="auto"/>
        </w:rPr>
      </w:pPr>
    </w:p>
    <w:p>
      <w:pPr>
        <w:ind w:right="80" w:firstLine="233"/>
        <w:spacing w:after="0" w:line="259" w:lineRule="auto"/>
        <w:tabs>
          <w:tab w:leader="none" w:pos="4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definition of “Administrative Committee” contained in Section II of the Plan is amended and restated to read, in its entirety, as follows: “Administrative Committee” means (a) the administrative committee appointed to administer the tax qualified retirement plans which are also sponsored by the Employer or (b) any person or entity to which the Administrative Committee delegates any of the administrative or ministerial duties assigned to it in this Plan.</w:t>
      </w:r>
    </w:p>
    <w:p>
      <w:pPr>
        <w:spacing w:after="0" w:line="159" w:lineRule="exact"/>
        <w:rPr>
          <w:rFonts w:ascii="Arial" w:cs="Arial" w:eastAsia="Arial" w:hAnsi="Arial"/>
          <w:sz w:val="18"/>
          <w:szCs w:val="18"/>
          <w:color w:val="auto"/>
        </w:rPr>
      </w:pPr>
    </w:p>
    <w:p>
      <w:pPr>
        <w:ind w:left="400" w:hanging="167"/>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definition of “Board” contained in Section II of the Plan is deleted in its entirety.</w:t>
      </w:r>
    </w:p>
    <w:p>
      <w:pPr>
        <w:spacing w:after="0" w:line="184" w:lineRule="exact"/>
        <w:rPr>
          <w:rFonts w:ascii="Arial" w:cs="Arial" w:eastAsia="Arial" w:hAnsi="Arial"/>
          <w:sz w:val="18"/>
          <w:szCs w:val="18"/>
          <w:color w:val="auto"/>
        </w:rPr>
      </w:pPr>
    </w:p>
    <w:p>
      <w:pPr>
        <w:ind w:right="20" w:firstLine="233"/>
        <w:spacing w:after="0" w:line="264" w:lineRule="auto"/>
        <w:tabs>
          <w:tab w:leader="none" w:pos="4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definition of “Company Stock Fund” contained in Section II of the Plan is amended and restated to read, in its entirety, as follows: “Company Stock Fund” means a fund consisting of common shares of The Scotts Miracle-Gro Company and cash or cash equivalents needed to meet obligations of such fund or for the purchase of common shares of The Scotts Miracle-Gro Company.</w:t>
      </w:r>
    </w:p>
    <w:p>
      <w:pPr>
        <w:spacing w:after="0" w:line="140" w:lineRule="exact"/>
        <w:rPr>
          <w:rFonts w:ascii="Arial" w:cs="Arial" w:eastAsia="Arial" w:hAnsi="Arial"/>
          <w:sz w:val="18"/>
          <w:szCs w:val="18"/>
          <w:color w:val="auto"/>
        </w:rPr>
      </w:pPr>
    </w:p>
    <w:p>
      <w:pPr>
        <w:ind w:right="420" w:firstLine="233"/>
        <w:spacing w:after="0" w:line="277" w:lineRule="auto"/>
        <w:tabs>
          <w:tab w:leader="none" w:pos="4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definition of “Employer” contained in Section II of the Plan is amended and restated to read, in its entirety, as follows: “Employer” means The Scotts Company LLC and affiliates of The Scotts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ind w:right="680" w:firstLine="233"/>
        <w:spacing w:after="0" w:line="342" w:lineRule="auto"/>
        <w:tabs>
          <w:tab w:leader="none" w:pos="40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definition of “Plan” contained in Section II of the Plan is amended and restated to read, in its entirety, as follows: “Plan” means The Scotts Company LLC Executive Retirement Plan, as reflected in this document, as the same may be amended from time to time after the Effective Date.</w:t>
      </w:r>
    </w:p>
    <w:p>
      <w:pPr>
        <w:spacing w:after="0" w:line="96" w:lineRule="exact"/>
        <w:rPr>
          <w:rFonts w:ascii="Arial" w:cs="Arial" w:eastAsia="Arial" w:hAnsi="Arial"/>
          <w:sz w:val="16"/>
          <w:szCs w:val="16"/>
          <w:color w:val="auto"/>
        </w:rPr>
      </w:pPr>
    </w:p>
    <w:p>
      <w:pPr>
        <w:ind w:right="60" w:firstLine="233"/>
        <w:spacing w:after="0" w:line="277" w:lineRule="auto"/>
        <w:tabs>
          <w:tab w:leader="none" w:pos="4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definition of “Qualified Plan” contained in Section II of the Plan is amended and restated to read, in its entirety, as follows: “Qualified Plan” means The Scotts Company LLC Retirement Savings Plan and any amendments made thereto.</w:t>
      </w:r>
    </w:p>
    <w:p>
      <w:pPr>
        <w:spacing w:after="0" w:line="129" w:lineRule="exact"/>
        <w:rPr>
          <w:rFonts w:ascii="Arial" w:cs="Arial" w:eastAsia="Arial" w:hAnsi="Arial"/>
          <w:sz w:val="18"/>
          <w:szCs w:val="18"/>
          <w:color w:val="auto"/>
        </w:rPr>
      </w:pPr>
    </w:p>
    <w:p>
      <w:pPr>
        <w:ind w:left="420" w:hanging="187"/>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V, Part B – Method of Distribution is amended and restated to read, in its entirety, as follows:</w:t>
      </w:r>
    </w:p>
    <w:p>
      <w:pPr>
        <w:spacing w:after="0" w:line="185" w:lineRule="exact"/>
        <w:rPr>
          <w:sz w:val="20"/>
          <w:szCs w:val="20"/>
          <w:color w:val="auto"/>
        </w:rPr>
      </w:pPr>
    </w:p>
    <w:p>
      <w:pPr>
        <w:ind w:left="240"/>
        <w:spacing w:after="0" w:line="289" w:lineRule="auto"/>
        <w:rPr>
          <w:sz w:val="20"/>
          <w:szCs w:val="20"/>
          <w:color w:val="auto"/>
        </w:rPr>
      </w:pPr>
      <w:r>
        <w:rPr>
          <w:rFonts w:ascii="Arial" w:cs="Arial" w:eastAsia="Arial" w:hAnsi="Arial"/>
          <w:sz w:val="16"/>
          <w:szCs w:val="16"/>
          <w:color w:val="auto"/>
        </w:rPr>
        <w:t>Amounts credited to a Participant’s Account shall be distributed to the Participant either in a single lump sum payment or in substantially equal annual installments over a period less than ten (10) years. To the extent that an Account is distributed in installment payments, the undisbursed portions of such Account shall continue to be credited with Additions in accordance with the applicable provisions of Section IV.H. In addition, if, as of any business day after the date described in Section V.A., the amount allocated to a Participant’s Account is less than $5,000, the Administrative Committee shall pay such amount to the Participant and reduce the balance of his Account to zero. The method of distribution shall be elected by the Participant in the Executive Incentive Pay Deferral Election and Compensation Deferral Election delivered to the Administrative Committee at the time the applicable deferral election is made. Distributions of amounts credited to Investment Funds other than the Company Stock Fund shall be made in cash. Distributions of amounts credited to the Company Stock Fund shall be distributed in the greatest whole number of common shares of The Scotts Miracle-Gro Company which can be distributed based on the amount credited to the Company Stock Fund (after any applicable withholding), plus cash for any fractional share.</w:t>
      </w:r>
    </w:p>
    <w:p>
      <w:pPr>
        <w:spacing w:after="0" w:line="136"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Administrative Committee, acting on behalf of the Company, has caused this Amendment to be executed on this 6th day</w:t>
      </w:r>
      <w:r>
        <w:rPr>
          <w:rFonts w:ascii="Arial" w:cs="Arial" w:eastAsia="Arial" w:hAnsi="Arial"/>
          <w:sz w:val="18"/>
          <w:szCs w:val="18"/>
          <w:b w:val="1"/>
          <w:bCs w:val="1"/>
          <w:color w:val="auto"/>
        </w:rPr>
        <w:t xml:space="preserve"> </w:t>
      </w:r>
      <w:r>
        <w:rPr>
          <w:rFonts w:ascii="Arial" w:cs="Arial" w:eastAsia="Arial" w:hAnsi="Arial"/>
          <w:sz w:val="18"/>
          <w:szCs w:val="18"/>
          <w:color w:val="auto"/>
        </w:rPr>
        <w:t>of May, 2005, to be effective as of March 18, 2005.</w:t>
      </w:r>
    </w:p>
    <w:p>
      <w:pPr>
        <w:spacing w:after="0" w:line="3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SCOTTS COMPANY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L. Nagel</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 Christopher L. Nagel</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Member of the Administrative Committee</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935" w:right="25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November 22, 2004 relating to the financial statements, which appears in The Scotts Company’s Annual Report on Form 10-K for the fiscal year ended September 30, 2004. We also consent to the incorporation by reference of our report dated November 22, 2004 related to the financial statement schedule, which appears in such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2005</w:t>
      </w:r>
    </w:p>
    <w:p>
      <w:pPr>
        <w:sectPr>
          <w:pgSz w:w="11900" w:h="16838" w:orient="portrait"/>
          <w:cols w:equalWidth="0" w:num="1">
            <w:col w:w="11420"/>
          </w:cols>
          <w:pgMar w:left="240" w:top="931" w:right="2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u w:val="single" w:color="auto"/>
          <w:color w:val="auto"/>
        </w:rPr>
        <w:t>EXHIBIT 24.1</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413385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1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Executive Retirement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his true and lawful attorneys-in-fact and agents with full power of substitution and resubstitution, for him and in his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R. Baker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1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Executive Retirement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her true and lawful attorneys-in-fact and agents with full power of substitution and resubstitution, for her and in her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Lynn J. Beasley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Lynn J.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1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Executive Retirement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his true and lawful attorneys-in-fact and agents with full power of substitution and resubstitution, for him and in his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Gordon F. Brunner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Gordon F.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1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Executive Retirement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his true and lawful attorneys-in-fact and agents with full power of substitution and resubstitution, for him and in his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Arnold W. Donald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1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Executive Retirement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his true and lawful attorneys-in-fact and agents with full power of substitution and resubstitution, for him and in his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P. Flannery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5" w:name="page26"/>
    <w:bookmarkEnd w:id="25"/>
    <w:p>
      <w:pPr>
        <w:jc w:val="center"/>
        <w:ind w:right="-1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officer and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Post-Effective Amendment No. 1 to Registration Statement on Form S-8</w:t>
      </w:r>
      <w:r>
        <w:rPr>
          <w:rFonts w:ascii="Arial" w:cs="Arial" w:eastAsia="Arial" w:hAnsi="Arial"/>
          <w:sz w:val="16"/>
          <w:szCs w:val="16"/>
          <w:color w:val="auto"/>
        </w:rPr>
        <w:t xml:space="preserve"> for the registration of certain of its common shares for offering and sale pursuant to </w:t>
      </w:r>
      <w:r>
        <w:rPr>
          <w:rFonts w:ascii="Arial" w:cs="Arial" w:eastAsia="Arial" w:hAnsi="Arial"/>
          <w:sz w:val="16"/>
          <w:szCs w:val="16"/>
          <w:b w:val="1"/>
          <w:bCs w:val="1"/>
          <w:color w:val="auto"/>
        </w:rPr>
        <w:t>The Scotts Company LLC Executive Retirement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 Nagel</w:t>
      </w:r>
      <w:r>
        <w:rPr>
          <w:rFonts w:ascii="Arial" w:cs="Arial" w:eastAsia="Arial" w:hAnsi="Arial"/>
          <w:sz w:val="16"/>
          <w:szCs w:val="16"/>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Hagedorn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37" w:right="35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1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Executive Retirement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her true and lawful attorneys-in-fact and agents with full power of substitution and resubstitution, for her and in her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Katherine Hagedorn Littlefield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for the registration of certain of its common shares for offering and sale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w:t>
      </w:r>
      <w:r>
        <w:rPr>
          <w:rFonts w:ascii="Arial" w:cs="Arial" w:eastAsia="Arial" w:hAnsi="Arial"/>
          <w:sz w:val="17"/>
          <w:szCs w:val="17"/>
          <w:b w:val="1"/>
          <w:bCs w:val="1"/>
          <w:color w:val="auto"/>
        </w:rPr>
        <w:t>The Scotts Company LLC Executive Retirement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and </w:t>
      </w:r>
      <w:r>
        <w:rPr>
          <w:rFonts w:ascii="Arial" w:cs="Arial" w:eastAsia="Arial" w:hAnsi="Arial"/>
          <w:sz w:val="17"/>
          <w:szCs w:val="17"/>
          <w:b w:val="1"/>
          <w:bCs w:val="1"/>
          <w:color w:val="auto"/>
        </w:rPr>
        <w:t>David M. Aronowitz</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6th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 Nagel</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1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Executive Retirement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his true and lawful attorneys-in-fact and agents with full power of substitution and resubstitution, for him and in his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Patrick J. Norton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1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Executive Retirement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her true and lawful attorneys-in-fact and agents with full power of substitution and resubstitution, for her and in her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Stephanie M. Shern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1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Company LLC Executive Retirement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w:t>
      </w:r>
      <w:r>
        <w:rPr>
          <w:rFonts w:ascii="Arial" w:cs="Arial" w:eastAsia="Arial" w:hAnsi="Arial"/>
          <w:sz w:val="16"/>
          <w:szCs w:val="16"/>
          <w:color w:val="auto"/>
        </w:rPr>
        <w:t xml:space="preserve"> </w:t>
      </w:r>
      <w:r>
        <w:rPr>
          <w:rFonts w:ascii="Arial" w:cs="Arial" w:eastAsia="Arial" w:hAnsi="Arial"/>
          <w:sz w:val="16"/>
          <w:szCs w:val="16"/>
          <w:b w:val="1"/>
          <w:bCs w:val="1"/>
          <w:color w:val="auto"/>
        </w:rPr>
        <w:t>Nagel</w:t>
      </w:r>
      <w:r>
        <w:rPr>
          <w:rFonts w:ascii="Arial" w:cs="Arial" w:eastAsia="Arial" w:hAnsi="Arial"/>
          <w:sz w:val="16"/>
          <w:szCs w:val="16"/>
          <w:color w:val="auto"/>
        </w:rPr>
        <w:t>, and each of them, as his true and lawful attorneys-in-fact and agents with full power of substitution and resubstitution, for him and in his name,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M. Sullivan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sectPr>
      <w:pgSz w:w="11900" w:h="16838" w:orient="portrait"/>
      <w:cols w:equalWidth="0" w:num="1">
        <w:col w:w="11400"/>
      </w:cols>
      <w:pgMar w:left="240" w:top="1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upperLetter"/>
      <w:start w:val="1"/>
    </w:lvl>
  </w:abstractNum>
  <w:abstractNum w:abstractNumId="2">
    <w:nsid w:val="216231B"/>
    <w:multiLevelType w:val="hybridMultilevel"/>
    <w:lvl w:ilvl="0">
      <w:lvlJc w:val="left"/>
      <w:lvlText w:val="(%1)"/>
      <w:numFmt w:val="upperLetter"/>
      <w:start w:val="1"/>
    </w:lvl>
  </w:abstractNum>
  <w:abstractNum w:abstractNumId="3">
    <w:nsid w:val="1F16E9E8"/>
    <w:multiLevelType w:val="hybridMultilevel"/>
    <w:lvl w:ilvl="0">
      <w:lvlJc w:val="left"/>
      <w:lvlText w:val="(%1)"/>
      <w:numFmt w:val="upperLetter"/>
      <w:start w:val="2"/>
    </w:lvl>
  </w:abstractNum>
  <w:abstractNum w:abstractNumId="4">
    <w:nsid w:val="1190CDE7"/>
    <w:multiLevelType w:val="hybridMultilevel"/>
    <w:lvl w:ilvl="0">
      <w:lvlJc w:val="left"/>
      <w:lvlText w:val="(%1)"/>
      <w:numFmt w:val="upperLetter"/>
      <w:start w:val="1"/>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Roman"/>
      <w:start w:val="1"/>
    </w:lvl>
  </w:abstractNum>
  <w:abstractNum w:abstractNumId="10">
    <w:nsid w:val="7FDCC233"/>
    <w:multiLevelType w:val="hybridMultilevel"/>
    <w:lvl w:ilvl="0">
      <w:lvlJc w:val="left"/>
      <w:lvlText w:val="(%1)"/>
      <w:numFmt w:val="lowerLetter"/>
      <w:start w:val="2"/>
    </w:lvl>
  </w:abstractNum>
  <w:abstractNum w:abstractNumId="11">
    <w:nsid w:val="1BEFD79F"/>
    <w:multiLevelType w:val="hybridMultilevel"/>
    <w:lvl w:ilvl="0">
      <w:lvlJc w:val="left"/>
      <w:lvlText w:val="(%1)"/>
      <w:numFmt w:val="decimal"/>
      <w:start w:val="6"/>
    </w:lvl>
  </w:abstractNum>
  <w:abstractNum w:abstractNumId="12">
    <w:nsid w:val="41A7C4C9"/>
    <w:multiLevelType w:val="hybridMultilevel"/>
    <w:lvl w:ilvl="0">
      <w:lvlJc w:val="left"/>
      <w:lvlText w:val="%1."/>
      <w:numFmt w:val="upperLetter"/>
      <w:start w:val="1"/>
    </w:lvl>
    <w:lvl w:ilvl="1">
      <w:lvlJc w:val="left"/>
      <w:lvlText w:val="(%2)"/>
      <w:numFmt w:val="lowerLetter"/>
      <w:start w:val="12"/>
    </w:lvl>
    <w:lvl w:ilvl="2">
      <w:lvlJc w:val="left"/>
      <w:lvlText w:val="(%3)"/>
      <w:numFmt w:val="lowerRoman"/>
      <w:start w:val="1"/>
    </w:lvl>
  </w:abstractNum>
  <w:abstractNum w:abstractNumId="13">
    <w:nsid w:val="6B68079A"/>
    <w:multiLevelType w:val="hybridMultilevel"/>
    <w:lvl w:ilvl="0">
      <w:lvlJc w:val="left"/>
      <w:lvlText w:val="%1"/>
      <w:numFmt w:val="upperLetter"/>
      <w:start w:val="1"/>
    </w:lvl>
    <w:lvl w:ilvl="1">
      <w:lvlJc w:val="left"/>
      <w:lvlText w:val="(%2)"/>
      <w:numFmt w:val="decimal"/>
      <w:start w:val="2"/>
    </w:lvl>
  </w:abstractNum>
  <w:abstractNum w:abstractNumId="14">
    <w:nsid w:val="4E6AFB66"/>
    <w:multiLevelType w:val="hybridMultilevel"/>
    <w:lvl w:ilvl="0">
      <w:lvlJc w:val="left"/>
      <w:lvlText w:val="%1."/>
      <w:numFmt w:val="upperLetter"/>
      <w:start w:val="2"/>
    </w:lvl>
    <w:lvl w:ilvl="1">
      <w:lvlJc w:val="left"/>
      <w:lvlText w:val="%2"/>
      <w:numFmt w:val="decimal"/>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2019-12-11T21:41:44Z</dcterms:created>
  <dcterms:modified xsi:type="dcterms:W3CDTF">2019-12-11T21:41:44Z</dcterms:modified>
</cp:coreProperties>
</file>