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 C. 20549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quarterly period ended January 3, 1998</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 ] TRANSITION REPORT PURSUANT TO SECTION 13 OR 15(d)</w:t>
      </w:r>
    </w:p>
    <w:p>
      <w:pPr>
        <w:spacing w:after="0" w:line="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5"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Commission file number 1-11593</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sectPr>
      </w:pPr>
    </w:p>
    <w:p>
      <w:pPr>
        <w:spacing w:after="0" w:line="19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Ohio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31-1199481</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2" w:lineRule="exact"/>
        <w:rPr>
          <w:sz w:val="24"/>
          <w:szCs w:val="24"/>
          <w:color w:val="auto"/>
        </w:rPr>
      </w:pPr>
    </w:p>
    <w:p>
      <w:pPr>
        <w:sectPr>
          <w:pgSz w:w="11900" w:h="16838" w:orient="portrait"/>
          <w:cols w:equalWidth="0" w:num="2">
            <w:col w:w="3580" w:space="720"/>
            <w:col w:w="5919"/>
          </w:cols>
          <w:pgMar w:left="240" w:top="242"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6"/>
          <w:szCs w:val="16"/>
          <w:color w:val="auto"/>
        </w:rPr>
        <w:t>14111 Scottslawn Road</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Marysville, Ohio 43041</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7"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(Zip Code)</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(937) 644-0011</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No change</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if changed since last report.)</w:t>
      </w:r>
    </w:p>
    <w:p>
      <w:pPr>
        <w:spacing w:after="0" w:line="195" w:lineRule="exact"/>
        <w:rPr>
          <w:sz w:val="24"/>
          <w:szCs w:val="24"/>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2" w:right="1440" w:bottom="1440" w:gutter="0" w:footer="0" w:header="0"/>
          <w:type w:val="continuous"/>
        </w:sectPr>
      </w:pPr>
    </w:p>
    <w:p>
      <w:pPr>
        <w:spacing w:after="0" w:line="187" w:lineRule="exact"/>
        <w:rPr>
          <w:sz w:val="24"/>
          <w:szCs w:val="24"/>
          <w:color w:val="auto"/>
        </w:rPr>
      </w:pPr>
    </w:p>
    <w:p>
      <w:pPr>
        <w:ind w:left="47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7" w:lineRule="exact"/>
        <w:rPr>
          <w:sz w:val="24"/>
          <w:szCs w:val="24"/>
          <w:color w:val="auto"/>
        </w:rPr>
      </w:pPr>
    </w:p>
    <w:p>
      <w:pPr>
        <w:sectPr>
          <w:pgSz w:w="11900" w:h="16838" w:orient="portrait"/>
          <w:cols w:equalWidth="0" w:num="3">
            <w:col w:w="4980" w:space="300"/>
            <w:col w:w="100" w:space="580"/>
            <w:col w:w="4259"/>
          </w:cols>
          <w:pgMar w:left="240" w:top="242" w:right="1440" w:bottom="1440" w:gutter="0" w:footer="0" w:header="0"/>
          <w:type w:val="continuous"/>
        </w:sectPr>
      </w:pPr>
    </w:p>
    <w:p>
      <w:pPr>
        <w:ind w:left="5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4"/>
          <w:szCs w:val="24"/>
          <w:color w:val="auto"/>
        </w:rPr>
      </w:pPr>
    </w:p>
    <w:p>
      <w:pPr>
        <w:sectPr>
          <w:pgSz w:w="11900" w:h="16838" w:orient="portrait"/>
          <w:cols w:equalWidth="0" w:num="2">
            <w:col w:w="5540" w:space="720"/>
            <w:col w:w="3959"/>
          </w:cols>
          <w:pgMar w:left="240" w:top="242" w:right="1440" w:bottom="1440" w:gutter="0" w:footer="0" w:header="0"/>
          <w:type w:val="continuous"/>
        </w:sectPr>
      </w:pPr>
    </w:p>
    <w:p>
      <w:pPr>
        <w:ind w:right="2799"/>
        <w:spacing w:after="0" w:line="25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42" w:right="1440" w:bottom="1440" w:gutter="0" w:footer="0" w:header="0"/>
          <w:type w:val="continuous"/>
        </w:sectPr>
      </w:pPr>
    </w:p>
    <w:p>
      <w:pPr>
        <w:spacing w:after="0" w:line="18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18,678,146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right="2199"/>
        <w:spacing w:after="0" w:line="252" w:lineRule="auto"/>
        <w:rPr>
          <w:sz w:val="20"/>
          <w:szCs w:val="20"/>
          <w:color w:val="auto"/>
        </w:rPr>
      </w:pPr>
      <w:r>
        <w:rPr>
          <w:rFonts w:ascii="Courier New" w:cs="Courier New" w:eastAsia="Courier New" w:hAnsi="Courier New"/>
          <w:sz w:val="16"/>
          <w:szCs w:val="16"/>
          <w:color w:val="auto"/>
        </w:rPr>
        <w:t>Outstanding at February 6, 1998 -----------------------------------</w:t>
      </w:r>
    </w:p>
    <w:p>
      <w:pPr>
        <w:spacing w:after="0" w:line="376" w:lineRule="exact"/>
        <w:rPr>
          <w:sz w:val="24"/>
          <w:szCs w:val="24"/>
          <w:color w:val="auto"/>
        </w:rPr>
      </w:pPr>
    </w:p>
    <w:p>
      <w:pPr>
        <w:sectPr>
          <w:pgSz w:w="11900" w:h="16838" w:orient="portrait"/>
          <w:cols w:equalWidth="0" w:num="2">
            <w:col w:w="4200" w:space="400"/>
            <w:col w:w="5619"/>
          </w:cols>
          <w:pgMar w:left="240" w:top="242" w:right="1440" w:bottom="1440" w:gutter="0" w:footer="0" w:header="0"/>
          <w:type w:val="continuous"/>
        </w:sectPr>
      </w:pPr>
    </w:p>
    <w:p>
      <w:pPr>
        <w:spacing w:after="0" w:line="200" w:lineRule="exact"/>
        <w:rPr>
          <w:sz w:val="24"/>
          <w:szCs w:val="24"/>
          <w:color w:val="auto"/>
        </w:rPr>
      </w:pPr>
    </w:p>
    <w:p>
      <w:pPr>
        <w:spacing w:after="0" w:line="359"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Page 1 of 20 pages</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Exhibit Index at page 20</w:t>
      </w:r>
    </w:p>
    <w:p>
      <w:pPr>
        <w:sectPr>
          <w:pgSz w:w="11900" w:h="16838" w:orient="portrait"/>
          <w:cols w:equalWidth="0" w:num="1">
            <w:col w:w="10219"/>
          </w:cols>
          <w:pgMar w:left="2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8"/>
        </w:trPr>
        <w:tc>
          <w:tcPr>
            <w:tcW w:w="98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04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460" w:type="dxa"/>
            <w:vAlign w:val="bottom"/>
          </w:tcPr>
          <w:p>
            <w:pPr>
              <w:spacing w:after="0"/>
              <w:rPr>
                <w:sz w:val="24"/>
                <w:szCs w:val="24"/>
                <w:color w:val="auto"/>
              </w:rPr>
            </w:pPr>
          </w:p>
        </w:tc>
      </w:tr>
      <w:tr>
        <w:trPr>
          <w:trHeight w:val="37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704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1460" w:type="dxa"/>
            <w:vAlign w:val="bottom"/>
          </w:tcPr>
          <w:p>
            <w:pPr>
              <w:spacing w:after="0"/>
              <w:rPr>
                <w:sz w:val="24"/>
                <w:szCs w:val="24"/>
                <w:color w:val="auto"/>
              </w:rPr>
            </w:pPr>
          </w:p>
        </w:tc>
      </w:tr>
      <w:tr>
        <w:trPr>
          <w:trHeight w:val="376"/>
        </w:trPr>
        <w:tc>
          <w:tcPr>
            <w:tcW w:w="98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Consolidated Statements of Operations - Three month periods ended</w:t>
            </w:r>
          </w:p>
        </w:tc>
        <w:tc>
          <w:tcPr>
            <w:tcW w:w="1460" w:type="dxa"/>
            <w:vAlign w:val="bottom"/>
          </w:tcPr>
          <w:p>
            <w:pPr>
              <w:spacing w:after="0"/>
              <w:rPr>
                <w:sz w:val="24"/>
                <w:szCs w:val="24"/>
                <w:color w:val="auto"/>
              </w:rPr>
            </w:pPr>
          </w:p>
        </w:tc>
      </w:tr>
      <w:tr>
        <w:trPr>
          <w:trHeight w:val="188"/>
        </w:trPr>
        <w:tc>
          <w:tcPr>
            <w:tcW w:w="98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January 3, 1998 and December 28, 1996</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w:t>
            </w:r>
          </w:p>
        </w:tc>
      </w:tr>
      <w:tr>
        <w:trPr>
          <w:trHeight w:val="376"/>
        </w:trPr>
        <w:tc>
          <w:tcPr>
            <w:tcW w:w="98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Consolidated Statements of Cash Flows - Three month periods</w:t>
            </w:r>
          </w:p>
        </w:tc>
        <w:tc>
          <w:tcPr>
            <w:tcW w:w="1460" w:type="dxa"/>
            <w:vAlign w:val="bottom"/>
          </w:tcPr>
          <w:p>
            <w:pPr>
              <w:spacing w:after="0"/>
              <w:rPr>
                <w:sz w:val="24"/>
                <w:szCs w:val="24"/>
                <w:color w:val="auto"/>
              </w:rPr>
            </w:pPr>
          </w:p>
        </w:tc>
      </w:tr>
      <w:tr>
        <w:trPr>
          <w:trHeight w:val="188"/>
        </w:trPr>
        <w:tc>
          <w:tcPr>
            <w:tcW w:w="98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ended January 3, 1998 and December 28, 1996</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w:t>
            </w:r>
          </w:p>
        </w:tc>
      </w:tr>
      <w:tr>
        <w:trPr>
          <w:trHeight w:val="376"/>
        </w:trPr>
        <w:tc>
          <w:tcPr>
            <w:tcW w:w="98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Consolidated Balance Sheets -</w:t>
            </w:r>
          </w:p>
        </w:tc>
        <w:tc>
          <w:tcPr>
            <w:tcW w:w="1460" w:type="dxa"/>
            <w:vAlign w:val="bottom"/>
          </w:tcPr>
          <w:p>
            <w:pPr>
              <w:spacing w:after="0"/>
              <w:rPr>
                <w:sz w:val="24"/>
                <w:szCs w:val="24"/>
                <w:color w:val="auto"/>
              </w:rPr>
            </w:pPr>
          </w:p>
        </w:tc>
      </w:tr>
      <w:tr>
        <w:trPr>
          <w:trHeight w:val="188"/>
        </w:trPr>
        <w:tc>
          <w:tcPr>
            <w:tcW w:w="98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January 3, 1998, December 28, 1996, and September 30, 1997</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w:t>
            </w:r>
          </w:p>
        </w:tc>
      </w:tr>
      <w:tr>
        <w:trPr>
          <w:trHeight w:val="376"/>
        </w:trPr>
        <w:tc>
          <w:tcPr>
            <w:tcW w:w="98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6-11</w:t>
            </w:r>
          </w:p>
        </w:tc>
      </w:tr>
      <w:tr>
        <w:trPr>
          <w:trHeight w:val="37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2.</w:t>
            </w:r>
          </w:p>
        </w:tc>
        <w:tc>
          <w:tcPr>
            <w:tcW w:w="704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w:t>
            </w:r>
          </w:p>
        </w:tc>
        <w:tc>
          <w:tcPr>
            <w:tcW w:w="1460" w:type="dxa"/>
            <w:vAlign w:val="bottom"/>
          </w:tcPr>
          <w:p>
            <w:pPr>
              <w:spacing w:after="0"/>
              <w:rPr>
                <w:sz w:val="24"/>
                <w:szCs w:val="24"/>
                <w:color w:val="auto"/>
              </w:rPr>
            </w:pPr>
          </w:p>
        </w:tc>
      </w:tr>
      <w:tr>
        <w:trPr>
          <w:trHeight w:val="188"/>
        </w:trPr>
        <w:tc>
          <w:tcPr>
            <w:tcW w:w="98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12-17</w:t>
            </w:r>
          </w:p>
        </w:tc>
      </w:tr>
      <w:tr>
        <w:trPr>
          <w:trHeight w:val="564"/>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04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1460" w:type="dxa"/>
            <w:vAlign w:val="bottom"/>
          </w:tcPr>
          <w:p>
            <w:pPr>
              <w:spacing w:after="0"/>
              <w:rPr>
                <w:sz w:val="24"/>
                <w:szCs w:val="24"/>
                <w:color w:val="auto"/>
              </w:rPr>
            </w:pPr>
          </w:p>
        </w:tc>
      </w:tr>
      <w:tr>
        <w:trPr>
          <w:trHeight w:val="37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704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w:t>
            </w:r>
          </w:p>
        </w:tc>
      </w:tr>
      <w:tr>
        <w:trPr>
          <w:trHeight w:val="37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6.</w:t>
            </w:r>
          </w:p>
        </w:tc>
        <w:tc>
          <w:tcPr>
            <w:tcW w:w="7040" w:type="dxa"/>
            <w:vAlign w:val="bottom"/>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w:t>
            </w:r>
          </w:p>
        </w:tc>
      </w:tr>
      <w:tr>
        <w:trPr>
          <w:trHeight w:val="564"/>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Signatures</w:t>
            </w:r>
          </w:p>
        </w:tc>
        <w:tc>
          <w:tcPr>
            <w:tcW w:w="7040" w:type="dxa"/>
            <w:vAlign w:val="bottom"/>
          </w:tcPr>
          <w:p>
            <w:pPr>
              <w:spacing w:after="0"/>
              <w:rPr>
                <w:sz w:val="24"/>
                <w:szCs w:val="24"/>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w:t>
            </w:r>
          </w:p>
        </w:tc>
      </w:tr>
      <w:tr>
        <w:trPr>
          <w:trHeight w:val="564"/>
        </w:trPr>
        <w:tc>
          <w:tcPr>
            <w:tcW w:w="802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PART I - FINANCIAL INFORMATION</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ITEM 1. FINANCIAL STATEMENTS</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(Unaudited)</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January 3,</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28,</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5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125.1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100.2</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83.5</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540" w:type="dxa"/>
            <w:vAlign w:val="bottom"/>
          </w:tcPr>
          <w:p>
            <w:pPr>
              <w:spacing w:after="0"/>
              <w:rPr>
                <w:sz w:val="24"/>
                <w:szCs w:val="24"/>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41.6</w:t>
            </w:r>
          </w:p>
        </w:tc>
        <w:tc>
          <w:tcPr>
            <w:tcW w:w="6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540" w:type="dxa"/>
            <w:vAlign w:val="bottom"/>
          </w:tcPr>
          <w:p>
            <w:pPr>
              <w:spacing w:after="0"/>
              <w:rPr>
                <w:sz w:val="24"/>
                <w:szCs w:val="24"/>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10.3</w:t>
            </w:r>
          </w:p>
        </w:tc>
        <w:tc>
          <w:tcPr>
            <w:tcW w:w="6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31.9</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25.3</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w:t>
            </w: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2.7</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intangibles</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Other expense (income), net</w:t>
            </w:r>
          </w:p>
        </w:tc>
        <w:tc>
          <w:tcPr>
            <w:tcW w:w="540" w:type="dxa"/>
            <w:vAlign w:val="bottom"/>
          </w:tcPr>
          <w:p>
            <w:pPr>
              <w:spacing w:after="0"/>
              <w:rPr>
                <w:sz w:val="16"/>
                <w:szCs w:val="16"/>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(0.3)</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54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w:t>
            </w:r>
          </w:p>
        </w:tc>
        <w:tc>
          <w:tcPr>
            <w:tcW w:w="6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40" w:type="dxa"/>
            <w:vAlign w:val="bottom"/>
          </w:tcPr>
          <w:p>
            <w:pPr>
              <w:spacing w:after="0"/>
              <w:rPr>
                <w:sz w:val="24"/>
                <w:szCs w:val="24"/>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w:t>
            </w:r>
          </w:p>
        </w:tc>
        <w:tc>
          <w:tcPr>
            <w:tcW w:w="6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Loss before income taxes</w:t>
            </w:r>
          </w:p>
        </w:tc>
        <w:tc>
          <w:tcPr>
            <w:tcW w:w="54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(9.7)</w:t>
            </w:r>
          </w:p>
        </w:tc>
        <w:tc>
          <w:tcPr>
            <w:tcW w:w="6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54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(4.2)</w:t>
            </w:r>
          </w:p>
        </w:tc>
        <w:tc>
          <w:tcPr>
            <w:tcW w:w="6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54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(5.5)</w:t>
            </w:r>
          </w:p>
        </w:tc>
        <w:tc>
          <w:tcPr>
            <w:tcW w:w="6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540" w:type="dxa"/>
            <w:vAlign w:val="bottom"/>
          </w:tcPr>
          <w:p>
            <w:pPr>
              <w:spacing w:after="0"/>
              <w:rPr>
                <w:sz w:val="24"/>
                <w:szCs w:val="24"/>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w:t>
            </w:r>
          </w:p>
        </w:tc>
        <w:tc>
          <w:tcPr>
            <w:tcW w:w="6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Loss applicable to common shareholders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5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Loss per common share:</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4160" w:type="dxa"/>
            <w:vAlign w:val="bottom"/>
          </w:tcPr>
          <w:p>
            <w:pPr>
              <w:ind w:left="400"/>
              <w:spacing w:after="0"/>
              <w:rPr>
                <w:sz w:val="20"/>
                <w:szCs w:val="20"/>
                <w:color w:val="auto"/>
              </w:rPr>
            </w:pPr>
            <w:r>
              <w:rPr>
                <w:rFonts w:ascii="Courier New" w:cs="Courier New" w:eastAsia="Courier New" w:hAnsi="Courier New"/>
                <w:sz w:val="16"/>
                <w:szCs w:val="16"/>
                <w:color w:val="auto"/>
              </w:rPr>
              <w:t>Basic</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ind w:left="400"/>
              <w:spacing w:after="0"/>
              <w:rPr>
                <w:sz w:val="20"/>
                <w:szCs w:val="20"/>
                <w:color w:val="auto"/>
              </w:rPr>
            </w:pPr>
            <w:r>
              <w:rPr>
                <w:rFonts w:ascii="Courier New" w:cs="Courier New" w:eastAsia="Courier New" w:hAnsi="Courier New"/>
                <w:sz w:val="16"/>
                <w:szCs w:val="16"/>
                <w:color w:val="auto"/>
              </w:rPr>
              <w:t>Diluted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Common shares used in loss per</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4160" w:type="dxa"/>
            <w:vAlign w:val="bottom"/>
          </w:tcPr>
          <w:p>
            <w:pPr>
              <w:ind w:left="580"/>
              <w:spacing w:after="0"/>
              <w:rPr>
                <w:sz w:val="20"/>
                <w:szCs w:val="20"/>
                <w:color w:val="auto"/>
              </w:rPr>
            </w:pPr>
            <w:r>
              <w:rPr>
                <w:rFonts w:ascii="Courier New" w:cs="Courier New" w:eastAsia="Courier New" w:hAnsi="Courier New"/>
                <w:sz w:val="16"/>
                <w:szCs w:val="16"/>
                <w:color w:val="auto"/>
              </w:rPr>
              <w:t>common share computation</w:t>
            </w: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18.7</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18.6</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305" w:right="1440" w:bottom="751"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(Unaudited)</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29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6060" w:type="dxa"/>
            <w:vAlign w:val="bottom"/>
          </w:tcPr>
          <w:p>
            <w:pPr>
              <w:spacing w:after="0"/>
              <w:rPr>
                <w:sz w:val="16"/>
                <w:szCs w:val="16"/>
                <w:color w:val="auto"/>
              </w:rPr>
            </w:pPr>
          </w:p>
        </w:tc>
        <w:tc>
          <w:tcPr>
            <w:tcW w:w="2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January 3,</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December 28,</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Net loss</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(6.0)</w:t>
            </w: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used in operating activities:</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8.1</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7.4</w:t>
            </w:r>
          </w:p>
        </w:tc>
      </w:tr>
      <w:tr>
        <w:trPr>
          <w:trHeight w:val="188"/>
        </w:trPr>
        <w:tc>
          <w:tcPr>
            <w:tcW w:w="6060" w:type="dxa"/>
            <w:vAlign w:val="bottom"/>
          </w:tcPr>
          <w:p>
            <w:pPr>
              <w:ind w:left="880"/>
              <w:spacing w:after="0"/>
              <w:rPr>
                <w:sz w:val="20"/>
                <w:szCs w:val="20"/>
                <w:color w:val="auto"/>
              </w:rPr>
            </w:pPr>
            <w:r>
              <w:rPr>
                <w:rFonts w:ascii="Courier New" w:cs="Courier New" w:eastAsia="Courier New" w:hAnsi="Courier New"/>
                <w:sz w:val="16"/>
                <w:szCs w:val="16"/>
                <w:color w:val="auto"/>
              </w:rPr>
              <w:t>Net change in certain components of</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1280"/>
              <w:spacing w:after="0"/>
              <w:rPr>
                <w:sz w:val="20"/>
                <w:szCs w:val="20"/>
                <w:color w:val="auto"/>
              </w:rPr>
            </w:pPr>
            <w:r>
              <w:rPr>
                <w:rFonts w:ascii="Courier New" w:cs="Courier New" w:eastAsia="Courier New" w:hAnsi="Courier New"/>
                <w:sz w:val="16"/>
                <w:szCs w:val="16"/>
                <w:color w:val="auto"/>
              </w:rPr>
              <w:t>working capital</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(89.2)</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(64.6)</w:t>
            </w:r>
          </w:p>
        </w:tc>
      </w:tr>
      <w:tr>
        <w:trPr>
          <w:trHeight w:val="188"/>
        </w:trPr>
        <w:tc>
          <w:tcPr>
            <w:tcW w:w="6060" w:type="dxa"/>
            <w:vAlign w:val="bottom"/>
          </w:tcPr>
          <w:p>
            <w:pPr>
              <w:ind w:left="880"/>
              <w:spacing w:after="0"/>
              <w:rPr>
                <w:sz w:val="20"/>
                <w:szCs w:val="20"/>
                <w:color w:val="auto"/>
              </w:rPr>
            </w:pPr>
            <w:r>
              <w:rPr>
                <w:rFonts w:ascii="Courier New" w:cs="Courier New" w:eastAsia="Courier New" w:hAnsi="Courier New"/>
                <w:sz w:val="16"/>
                <w:szCs w:val="16"/>
                <w:color w:val="auto"/>
              </w:rPr>
              <w:t>Net change in other assets and</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1280"/>
              <w:spacing w:after="0"/>
              <w:rPr>
                <w:sz w:val="20"/>
                <w:szCs w:val="20"/>
                <w:color w:val="auto"/>
              </w:rPr>
            </w:pPr>
            <w:r>
              <w:rPr>
                <w:rFonts w:ascii="Courier New" w:cs="Courier New" w:eastAsia="Courier New" w:hAnsi="Courier New"/>
                <w:sz w:val="16"/>
                <w:szCs w:val="16"/>
                <w:color w:val="auto"/>
              </w:rPr>
              <w:t>liabilities and other adjustments</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(0.7)</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ind w:left="1760"/>
              <w:spacing w:after="0"/>
              <w:rPr>
                <w:sz w:val="20"/>
                <w:szCs w:val="20"/>
                <w:color w:val="auto"/>
              </w:rPr>
            </w:pPr>
            <w:r>
              <w:rPr>
                <w:rFonts w:ascii="Courier New" w:cs="Courier New" w:eastAsia="Courier New" w:hAnsi="Courier New"/>
                <w:sz w:val="16"/>
                <w:szCs w:val="16"/>
                <w:color w:val="auto"/>
              </w:rPr>
              <w:t>Net cash used in operating activities</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(88.5)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(63.9)</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Investment in property, plant and equipment, net</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Acquisitions, net of cash acquired</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(88.8)</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ind w:left="1760"/>
              <w:spacing w:after="0"/>
              <w:rPr>
                <w:sz w:val="20"/>
                <w:szCs w:val="20"/>
                <w:color w:val="auto"/>
              </w:rPr>
            </w:pPr>
            <w:r>
              <w:rPr>
                <w:rFonts w:ascii="Courier New" w:cs="Courier New" w:eastAsia="Courier New" w:hAnsi="Courier New"/>
                <w:sz w:val="16"/>
                <w:szCs w:val="16"/>
                <w:color w:val="auto"/>
              </w:rPr>
              <w:t>Net cash used in investing activities</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(96.4)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Revolving lines of credit and bank line of credit, net</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194.4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62.9</w:t>
            </w: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Dividends on preferred stock</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Other, net</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ind w:left="176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192.4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60.3</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0.1</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13.0</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10.6</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$ 20.4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5.9</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8"/>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Businesses Acquired:</w:t>
            </w: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Fair value of assets acquired</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$137.4</w:t>
            </w:r>
          </w:p>
        </w:tc>
        <w:tc>
          <w:tcPr>
            <w:tcW w:w="1380" w:type="dxa"/>
            <w:vAlign w:val="bottom"/>
          </w:tcPr>
          <w:p>
            <w:pPr>
              <w:spacing w:after="0"/>
              <w:rPr>
                <w:sz w:val="16"/>
                <w:szCs w:val="16"/>
                <w:color w:val="auto"/>
              </w:rPr>
            </w:pPr>
          </w:p>
        </w:tc>
      </w:tr>
      <w:tr>
        <w:trPr>
          <w:trHeight w:val="188"/>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Liabilities assumed</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(27.5)</w:t>
            </w:r>
          </w:p>
        </w:tc>
        <w:tc>
          <w:tcPr>
            <w:tcW w:w="1380" w:type="dxa"/>
            <w:vAlign w:val="bottom"/>
          </w:tcPr>
          <w:p>
            <w:pPr>
              <w:spacing w:after="0"/>
              <w:rPr>
                <w:sz w:val="16"/>
                <w:szCs w:val="16"/>
                <w:color w:val="auto"/>
              </w:rPr>
            </w:pPr>
          </w:p>
        </w:tc>
      </w:tr>
      <w:tr>
        <w:trPr>
          <w:trHeight w:val="188"/>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Debt issued</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106.9</w:t>
            </w:r>
          </w:p>
        </w:tc>
        <w:tc>
          <w:tcPr>
            <w:tcW w:w="13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219"/>
          </w:cols>
          <w:pgMar w:left="240" w:top="3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940"/>
        </w:trPr>
        <w:tc>
          <w:tcPr>
            <w:tcW w:w="6300" w:type="dxa"/>
            <w:vAlign w:val="bottom"/>
          </w:tcPr>
          <w:p>
            <w:pPr>
              <w:jc w:val="center"/>
              <w:ind w:left="1519"/>
              <w:spacing w:after="0"/>
              <w:rPr>
                <w:sz w:val="20"/>
                <w:szCs w:val="20"/>
                <w:color w:val="auto"/>
              </w:rPr>
            </w:pPr>
            <w:r>
              <w:rPr>
                <w:rFonts w:ascii="Courier New" w:cs="Courier New" w:eastAsia="Courier New" w:hAnsi="Courier New"/>
                <w:sz w:val="16"/>
                <w:szCs w:val="16"/>
                <w:color w:val="auto"/>
              </w:rPr>
              <w:t>THE SCOTTS COMPANY AND SUBSIDIARIES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jc w:val="center"/>
              <w:ind w:left="1539"/>
              <w:spacing w:after="0"/>
              <w:rPr>
                <w:sz w:val="20"/>
                <w:szCs w:val="20"/>
                <w:color w:val="auto"/>
              </w:rPr>
            </w:pPr>
            <w:r>
              <w:rPr>
                <w:rFonts w:ascii="Courier New" w:cs="Courier New" w:eastAsia="Courier New" w:hAnsi="Courier New"/>
                <w:sz w:val="16"/>
                <w:szCs w:val="16"/>
                <w:color w:val="auto"/>
              </w:rPr>
              <w:t>CONSOLIDATED BALANCE SHEETS</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jc w:val="center"/>
              <w:ind w:left="1539"/>
              <w:spacing w:after="0"/>
              <w:rPr>
                <w:sz w:val="20"/>
                <w:szCs w:val="20"/>
                <w:color w:val="auto"/>
              </w:rPr>
            </w:pPr>
            <w:r>
              <w:rPr>
                <w:rFonts w:ascii="Courier New" w:cs="Courier New" w:eastAsia="Courier New" w:hAnsi="Courier New"/>
                <w:sz w:val="16"/>
                <w:szCs w:val="16"/>
                <w:color w:val="auto"/>
              </w:rPr>
              <w:t>(Unaudited)</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jc w:val="center"/>
              <w:ind w:left="1539"/>
              <w:spacing w:after="0"/>
              <w:rPr>
                <w:sz w:val="20"/>
                <w:szCs w:val="20"/>
                <w:color w:val="auto"/>
              </w:rPr>
            </w:pPr>
            <w:r>
              <w:rPr>
                <w:rFonts w:ascii="Courier New" w:cs="Courier New" w:eastAsia="Courier New" w:hAnsi="Courier New"/>
                <w:sz w:val="16"/>
                <w:szCs w:val="16"/>
                <w:color w:val="auto"/>
              </w:rPr>
              <w:t>(in millions)</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6"/>
        </w:trPr>
        <w:tc>
          <w:tcPr>
            <w:tcW w:w="6300" w:type="dxa"/>
            <w:vAlign w:val="bottom"/>
          </w:tcPr>
          <w:p>
            <w:pPr>
              <w:ind w:left="3620"/>
              <w:spacing w:after="0"/>
              <w:rPr>
                <w:sz w:val="20"/>
                <w:szCs w:val="20"/>
                <w:color w:val="auto"/>
              </w:rPr>
            </w:pPr>
            <w:r>
              <w:rPr>
                <w:rFonts w:ascii="Courier New" w:cs="Courier New" w:eastAsia="Courier New" w:hAnsi="Courier New"/>
                <w:sz w:val="16"/>
                <w:szCs w:val="16"/>
                <w:color w:val="auto"/>
              </w:rPr>
              <w:t>ASSETS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52"/>
        </w:trPr>
        <w:tc>
          <w:tcPr>
            <w:tcW w:w="6300" w:type="dxa"/>
            <w:vAlign w:val="bottom"/>
          </w:tcPr>
          <w:p>
            <w:pPr>
              <w:spacing w:after="0"/>
              <w:rPr>
                <w:sz w:val="24"/>
                <w:szCs w:val="24"/>
                <w:color w:val="auto"/>
              </w:rPr>
            </w:pPr>
          </w:p>
        </w:tc>
        <w:tc>
          <w:tcPr>
            <w:tcW w:w="18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January 3,</w:t>
            </w:r>
          </w:p>
        </w:tc>
        <w:tc>
          <w:tcPr>
            <w:tcW w:w="18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December 28,</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1996</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r>
      <w:tr>
        <w:trPr>
          <w:trHeight w:val="188"/>
        </w:trPr>
        <w:tc>
          <w:tcPr>
            <w:tcW w:w="6300" w:type="dxa"/>
            <w:vAlign w:val="bottom"/>
          </w:tcPr>
          <w:p>
            <w:pPr>
              <w:spacing w:after="0"/>
              <w:rPr>
                <w:sz w:val="16"/>
                <w:szCs w:val="16"/>
                <w:color w:val="auto"/>
              </w:rPr>
            </w:pPr>
          </w:p>
        </w:tc>
        <w:tc>
          <w:tcPr>
            <w:tcW w:w="18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w:t>
            </w:r>
          </w:p>
        </w:tc>
      </w:tr>
      <w:tr>
        <w:trPr>
          <w:trHeight w:val="752"/>
        </w:trPr>
        <w:tc>
          <w:tcPr>
            <w:tcW w:w="63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20.4</w:t>
            </w:r>
          </w:p>
        </w:tc>
        <w:tc>
          <w:tcPr>
            <w:tcW w:w="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5.9</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13.0</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allowances</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of $6.5, $4.2 and $5.7, respectively</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148.0</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121.6</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104.3</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210.4</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195.5</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146.1</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Prepaid and other assets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22.7</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22.3</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22.4</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401.5</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345.3</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285.8</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40" w:type="dxa"/>
            <w:vAlign w:val="bottom"/>
          </w:tcPr>
          <w:p>
            <w:pPr>
              <w:spacing w:after="0"/>
              <w:rPr>
                <w:sz w:val="24"/>
                <w:szCs w:val="24"/>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168.7</w:t>
            </w:r>
          </w:p>
        </w:tc>
        <w:tc>
          <w:tcPr>
            <w:tcW w:w="620" w:type="dxa"/>
            <w:vAlign w:val="bottom"/>
          </w:tcPr>
          <w:p>
            <w:pPr>
              <w:spacing w:after="0"/>
              <w:rPr>
                <w:sz w:val="24"/>
                <w:szCs w:val="24"/>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136.1</w:t>
            </w:r>
          </w:p>
        </w:tc>
        <w:tc>
          <w:tcPr>
            <w:tcW w:w="540" w:type="dxa"/>
            <w:vAlign w:val="bottom"/>
          </w:tcPr>
          <w:p>
            <w:pPr>
              <w:spacing w:after="0"/>
              <w:rPr>
                <w:sz w:val="24"/>
                <w:szCs w:val="24"/>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146.1</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278.8</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178.9</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215.6</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intangibles, net</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135.3</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104.8</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136.6</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13.6</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8"/>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988.3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778.7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787.6</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ind w:left="2340"/>
              <w:spacing w:after="0"/>
              <w:rPr>
                <w:sz w:val="20"/>
                <w:szCs w:val="20"/>
                <w:color w:val="auto"/>
              </w:rPr>
            </w:pPr>
            <w:r>
              <w:rPr>
                <w:rFonts w:ascii="Courier New" w:cs="Courier New" w:eastAsia="Courier New" w:hAnsi="Courier New"/>
                <w:sz w:val="16"/>
                <w:szCs w:val="16"/>
                <w:color w:val="auto"/>
              </w:rPr>
              <w:t>LIABILITIES AND SHAREHOLDERS' EQUITY</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Revolving credit line and other short-term debt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93.7</w:t>
            </w:r>
          </w:p>
        </w:tc>
        <w:tc>
          <w:tcPr>
            <w:tcW w:w="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62.2</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44.9</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54.1</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Accrued liabilities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65.7</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44.1</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57.8</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Accrued taxes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21.9</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13.0</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25.9</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243.5</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103.9</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139.3</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Term debt, less current portion</w:t>
            </w:r>
          </w:p>
        </w:tc>
        <w:tc>
          <w:tcPr>
            <w:tcW w:w="640" w:type="dxa"/>
            <w:vAlign w:val="bottom"/>
          </w:tcPr>
          <w:p>
            <w:pPr>
              <w:spacing w:after="0"/>
              <w:rPr>
                <w:sz w:val="24"/>
                <w:szCs w:val="24"/>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324.5</w:t>
            </w:r>
          </w:p>
        </w:tc>
        <w:tc>
          <w:tcPr>
            <w:tcW w:w="620" w:type="dxa"/>
            <w:vAlign w:val="bottom"/>
          </w:tcPr>
          <w:p>
            <w:pPr>
              <w:spacing w:after="0"/>
              <w:rPr>
                <w:sz w:val="24"/>
                <w:szCs w:val="24"/>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286.4</w:t>
            </w:r>
          </w:p>
        </w:tc>
        <w:tc>
          <w:tcPr>
            <w:tcW w:w="540" w:type="dxa"/>
            <w:vAlign w:val="bottom"/>
          </w:tcPr>
          <w:p>
            <w:pPr>
              <w:spacing w:after="0"/>
              <w:rPr>
                <w:sz w:val="24"/>
                <w:szCs w:val="24"/>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219.8</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39.8</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33.3</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39.3</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640" w:type="dxa"/>
            <w:vAlign w:val="bottom"/>
          </w:tcPr>
          <w:p>
            <w:pPr>
              <w:spacing w:after="0"/>
              <w:rPr>
                <w:sz w:val="24"/>
                <w:szCs w:val="24"/>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607.8</w:t>
            </w:r>
          </w:p>
        </w:tc>
        <w:tc>
          <w:tcPr>
            <w:tcW w:w="620" w:type="dxa"/>
            <w:vAlign w:val="bottom"/>
          </w:tcPr>
          <w:p>
            <w:pPr>
              <w:spacing w:after="0"/>
              <w:rPr>
                <w:sz w:val="24"/>
                <w:szCs w:val="24"/>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423.6</w:t>
            </w:r>
          </w:p>
        </w:tc>
        <w:tc>
          <w:tcPr>
            <w:tcW w:w="540" w:type="dxa"/>
            <w:vAlign w:val="bottom"/>
          </w:tcPr>
          <w:p>
            <w:pPr>
              <w:spacing w:after="0"/>
              <w:rPr>
                <w:sz w:val="24"/>
                <w:szCs w:val="24"/>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398.4</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177.3</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177.3</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177.3</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Common shares, no par value per share, $.01 stated</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value per share, issued 21.1 shares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0.2</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0.2</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0.2</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Capital in excess of par value</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207.9</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207.6</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207.8</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42.2</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11.9</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50.1</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Cumulative foreign currency translation account</w:t>
            </w:r>
          </w:p>
        </w:tc>
        <w:tc>
          <w:tcPr>
            <w:tcW w:w="6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w:t>
            </w:r>
          </w:p>
        </w:tc>
        <w:tc>
          <w:tcPr>
            <w:tcW w:w="5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w:t>
            </w: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Treasury stock, 2.4, 2.5, and 2.4 shares,</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300"/>
              <w:spacing w:after="0"/>
              <w:rPr>
                <w:sz w:val="20"/>
                <w:szCs w:val="20"/>
                <w:color w:val="auto"/>
              </w:rPr>
            </w:pPr>
            <w:r>
              <w:rPr>
                <w:rFonts w:ascii="Courier New" w:cs="Courier New" w:eastAsia="Courier New" w:hAnsi="Courier New"/>
                <w:sz w:val="16"/>
                <w:szCs w:val="16"/>
                <w:color w:val="auto"/>
              </w:rPr>
              <w:t>respectively, at cost</w:t>
            </w:r>
          </w:p>
        </w:tc>
        <w:tc>
          <w:tcPr>
            <w:tcW w:w="6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(41.6)</w:t>
            </w:r>
          </w:p>
        </w:tc>
        <w:tc>
          <w:tcPr>
            <w:tcW w:w="62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(43.4)</w:t>
            </w:r>
          </w:p>
        </w:tc>
        <w:tc>
          <w:tcPr>
            <w:tcW w:w="5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(41.9)</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Shareholders' Equity</w:t>
            </w: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380.5</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355.1</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389.2</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988.3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778.7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787.6</w:t>
            </w:r>
          </w:p>
        </w:tc>
      </w:tr>
      <w:tr>
        <w:trPr>
          <w:trHeight w:val="188"/>
        </w:trPr>
        <w:tc>
          <w:tcPr>
            <w:tcW w:w="6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1520"/>
          </w:cols>
          <w:pgMar w:left="240" w:top="305" w:right="139" w:bottom="751"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ind w:left="1180" w:right="3379" w:hanging="97"/>
        <w:spacing w:after="0" w:line="252" w:lineRule="auto"/>
        <w:rPr>
          <w:sz w:val="20"/>
          <w:szCs w:val="20"/>
          <w:color w:val="auto"/>
        </w:rPr>
      </w:pPr>
      <w:r>
        <w:rPr>
          <w:rFonts w:ascii="Courier New" w:cs="Courier New" w:eastAsia="Courier New" w:hAnsi="Courier New"/>
          <w:sz w:val="16"/>
          <w:szCs w:val="16"/>
          <w:color w:val="auto"/>
        </w:rPr>
        <w:t>Notes to Consolidated Financial Statements (all amounts are in millions except per share data or as otherwise noted)</w:t>
      </w:r>
    </w:p>
    <w:p>
      <w:pPr>
        <w:spacing w:after="0" w:line="371" w:lineRule="exact"/>
        <w:rPr>
          <w:sz w:val="20"/>
          <w:szCs w:val="20"/>
          <w:color w:val="auto"/>
        </w:rPr>
      </w:pPr>
    </w:p>
    <w:p>
      <w:pPr>
        <w:ind w:left="580" w:hanging="580"/>
        <w:spacing w:after="0"/>
        <w:tabs>
          <w:tab w:leader="none" w:pos="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Operations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87"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Republic Tool and Manufacturing Corp. ("Republic"), Scotts-Sierra Horticultural Products Company ("Sierra"), Scotts' Miracle-Gro Products, Inc. ("Miracle-Gro"), Miracle Holdings Limited ("Miracle Holdings"), and Levington Group Limited ("Levington"), (collectively, the "Company"). All material intercompany transactions have been eliminated.</w:t>
      </w:r>
    </w:p>
    <w:p>
      <w:pPr>
        <w:spacing w:after="0" w:line="375"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sheets as of January 3, 1998 and December 28, 1996, and the related consolidated statements of operations and cash flows for the three month periods ended January 3, 1998 and December 28, 1996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1997 Annual Report on Form 10-K.</w:t>
      </w:r>
    </w:p>
    <w:p>
      <w:pPr>
        <w:spacing w:after="0" w:line="374"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8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Costs for these advertising and promotional programs are generally expensed ratably over the year in relation to revenues or related performance measures.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305" w:right="1440" w:bottom="939" w:gutter="0" w:footer="0" w:header="0"/>
        </w:sectPr>
      </w:pPr>
    </w:p>
    <w:bookmarkStart w:id="6" w:name="page7"/>
    <w:bookmarkEnd w:id="6"/>
    <w:p>
      <w:pPr>
        <w:spacing w:after="0" w:line="1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ind w:left="1180" w:right="3379" w:hanging="97"/>
        <w:spacing w:after="0" w:line="252" w:lineRule="auto"/>
        <w:rPr>
          <w:sz w:val="20"/>
          <w:szCs w:val="20"/>
          <w:color w:val="auto"/>
        </w:rPr>
      </w:pPr>
      <w:r>
        <w:rPr>
          <w:rFonts w:ascii="Courier New" w:cs="Courier New" w:eastAsia="Courier New" w:hAnsi="Courier New"/>
          <w:sz w:val="16"/>
          <w:szCs w:val="16"/>
          <w:color w:val="auto"/>
        </w:rPr>
        <w:t>Notes to Consolidated Financial Statements (all amounts are in millions except per share data or as otherwise noted)</w:t>
      </w:r>
    </w:p>
    <w:p>
      <w:pPr>
        <w:spacing w:after="0" w:line="183"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In the quarter ended March 29, 1997, the Company changed its method of accounting for advertising expenses in interim periods. The newly adopted method assigns anticipated advertising costs to interim periods based on projected sales of advertised product categories and was applied retroactive to the beginning of fiscal 1997 (October 1, 1996). The change impacts interim periods only; all advertising costs are to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87" w:lineRule="exact"/>
        <w:rPr>
          <w:sz w:val="20"/>
          <w:szCs w:val="20"/>
          <w:color w:val="auto"/>
        </w:rPr>
      </w:pPr>
    </w:p>
    <w:p>
      <w:pPr>
        <w:ind w:left="580" w:right="2399"/>
        <w:spacing w:after="0" w:line="250" w:lineRule="auto"/>
        <w:rPr>
          <w:sz w:val="20"/>
          <w:szCs w:val="20"/>
          <w:color w:val="auto"/>
        </w:rPr>
      </w:pPr>
      <w:r>
        <w:rPr>
          <w:rFonts w:ascii="Courier New" w:cs="Courier New" w:eastAsia="Courier New" w:hAnsi="Courier New"/>
          <w:sz w:val="16"/>
          <w:szCs w:val="16"/>
          <w:color w:val="auto"/>
        </w:rPr>
        <w:t>This change in interim accounting had the effect of increasing advertising expense for the first quarter of fiscal 1997 by $3.3. Net income for the first quarter of fiscal 1997 decreased by $1.9 or $0.10 per share.</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Reclassifications</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580" w:right="2979"/>
        <w:spacing w:after="0" w:line="252"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1998 classifications.</w:t>
      </w:r>
    </w:p>
    <w:p>
      <w:pPr>
        <w:spacing w:after="0" w:line="183" w:lineRule="exact"/>
        <w:rPr>
          <w:sz w:val="20"/>
          <w:szCs w:val="20"/>
          <w:color w:val="auto"/>
        </w:rPr>
      </w:pPr>
    </w:p>
    <w:p>
      <w:pPr>
        <w:ind w:left="580" w:hanging="580"/>
        <w:spacing w:after="0"/>
        <w:tabs>
          <w:tab w:leader="none" w:pos="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1997, the Company acquired for $93.7, including deal costs and refinancing of assumed debt, all the shares of Levington, the leading producer of consumer and professional lawn fertilizer and growing media in the U.K. A final allocation of the purchase price to acquired net assets is pending. The excess of the purchase price over the net book value of acquired assets is currently recorded on the balance sheet as goodwill.</w:t>
      </w:r>
    </w:p>
    <w:p>
      <w:pPr>
        <w:spacing w:after="0" w:line="375"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1997, the Company acquired the approximately two-thirds interest in Miracle Holdings which the Company did not already own. Miracle Holdings owns Miracle Garden Care Limited ("MGC"), a manufacturer and distributor of lawn and garden products in the U.K.</w:t>
      </w:r>
    </w:p>
    <w:p>
      <w:pPr>
        <w:spacing w:after="0" w:line="187"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Levington and Miracle Holdings acquisitions were accounted for under the purchase method of accounting. The following pro forma results of operations give effect to the Levington and Miracle Holdings acquisitions as if they had occurred October 1, 1996.</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416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January 3,</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28,</w:t>
            </w:r>
          </w:p>
        </w:tc>
      </w:tr>
      <w:tr>
        <w:trPr>
          <w:trHeight w:val="188"/>
        </w:trPr>
        <w:tc>
          <w:tcPr>
            <w:tcW w:w="4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3"/>
              </w:rPr>
              <w:t>1998</w:t>
            </w:r>
          </w:p>
        </w:tc>
        <w:tc>
          <w:tcPr>
            <w:tcW w:w="5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16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w:t>
            </w:r>
          </w:p>
        </w:tc>
      </w:tr>
      <w:tr>
        <w:trPr>
          <w:trHeight w:val="752"/>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$ 143.1</w:t>
            </w:r>
          </w:p>
        </w:tc>
        <w:tc>
          <w:tcPr>
            <w:tcW w:w="14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$ 136.7</w:t>
            </w:r>
          </w:p>
        </w:tc>
      </w:tr>
      <w:tr>
        <w:trPr>
          <w:trHeight w:val="188"/>
        </w:trPr>
        <w:tc>
          <w:tcPr>
            <w:tcW w:w="416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(4.7)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(4.6)</w:t>
            </w:r>
          </w:p>
        </w:tc>
      </w:tr>
      <w:tr>
        <w:trPr>
          <w:trHeight w:val="188"/>
        </w:trPr>
        <w:tc>
          <w:tcPr>
            <w:tcW w:w="416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Basic and diluted loss per common share</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w:t>
            </w:r>
          </w:p>
        </w:tc>
      </w:tr>
      <w:tr>
        <w:trPr>
          <w:trHeight w:val="188"/>
        </w:trPr>
        <w:tc>
          <w:tcPr>
            <w:tcW w:w="416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580" w:right="2599"/>
        <w:spacing w:after="0" w:line="249" w:lineRule="auto"/>
        <w:rPr>
          <w:sz w:val="20"/>
          <w:szCs w:val="20"/>
          <w:color w:val="auto"/>
        </w:rPr>
      </w:pPr>
      <w:r>
        <w:rPr>
          <w:rFonts w:ascii="Courier New" w:cs="Courier New" w:eastAsia="Courier New" w:hAnsi="Courier New"/>
          <w:sz w:val="16"/>
          <w:szCs w:val="16"/>
          <w:color w:val="auto"/>
        </w:rPr>
        <w:t>The pro forma information does not purport to be indicative of actual results of operations if the Levington and Miracle Holdings acquisitions had occurred as of October 1, 1996, and is not intended to be indicative of future results or trends.</w:t>
      </w:r>
    </w:p>
    <w:p>
      <w:pPr>
        <w:spacing w:after="0" w:line="188" w:lineRule="exact"/>
        <w:rPr>
          <w:sz w:val="20"/>
          <w:szCs w:val="20"/>
          <w:color w:val="auto"/>
        </w:rPr>
      </w:pPr>
    </w:p>
    <w:p>
      <w:pPr>
        <w:ind w:left="580" w:hanging="580"/>
        <w:spacing w:after="0"/>
        <w:tabs>
          <w:tab w:leader="none" w:pos="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4" w:lineRule="exact"/>
        <w:rPr>
          <w:rFonts w:ascii="Courier New" w:cs="Courier New" w:eastAsia="Courier New" w:hAnsi="Courier New"/>
          <w:sz w:val="16"/>
          <w:szCs w:val="16"/>
          <w:color w:val="auto"/>
        </w:rPr>
      </w:pPr>
    </w:p>
    <w:p>
      <w:pPr>
        <w:ind w:left="580" w:right="27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$10.7, $9.9 and $11.8, respectively, consisted of:</w:t>
      </w:r>
    </w:p>
    <w:p>
      <w:pPr>
        <w:spacing w:after="0" w:line="200" w:lineRule="exact"/>
        <w:rPr>
          <w:sz w:val="20"/>
          <w:szCs w:val="20"/>
          <w:color w:val="auto"/>
        </w:rPr>
      </w:pPr>
    </w:p>
    <w:p>
      <w:pPr>
        <w:spacing w:after="0" w:line="359"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1860" w:type="dxa"/>
            <w:vAlign w:val="bottom"/>
          </w:tcPr>
          <w:p>
            <w:pPr>
              <w:spacing w:after="0"/>
              <w:rPr>
                <w:sz w:val="15"/>
                <w:szCs w:val="15"/>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January 3,</w:t>
            </w:r>
          </w:p>
        </w:tc>
        <w:tc>
          <w:tcPr>
            <w:tcW w:w="18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December 28,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1860" w:type="dxa"/>
            <w:vAlign w:val="bottom"/>
          </w:tcPr>
          <w:p>
            <w:pPr>
              <w:spacing w:after="0"/>
              <w:rPr>
                <w:sz w:val="16"/>
                <w:szCs w:val="16"/>
                <w:color w:val="auto"/>
              </w:rPr>
            </w:pPr>
          </w:p>
        </w:tc>
        <w:tc>
          <w:tcPr>
            <w:tcW w:w="18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1998</w:t>
            </w:r>
          </w:p>
        </w:tc>
        <w:tc>
          <w:tcPr>
            <w:tcW w:w="18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1996</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1997</w:t>
            </w:r>
          </w:p>
        </w:tc>
      </w:tr>
      <w:tr>
        <w:trPr>
          <w:trHeight w:val="188"/>
        </w:trPr>
        <w:tc>
          <w:tcPr>
            <w:tcW w:w="1860" w:type="dxa"/>
            <w:vAlign w:val="bottom"/>
          </w:tcPr>
          <w:p>
            <w:pPr>
              <w:spacing w:after="0"/>
              <w:rPr>
                <w:sz w:val="16"/>
                <w:szCs w:val="16"/>
                <w:color w:val="auto"/>
              </w:rPr>
            </w:pPr>
          </w:p>
        </w:tc>
        <w:tc>
          <w:tcPr>
            <w:tcW w:w="186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18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  159.0</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  137.9</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102.8</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51.4</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57.6</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43.3</w:t>
            </w:r>
          </w:p>
        </w:tc>
      </w:tr>
    </w:tbl>
    <w:p>
      <w:pPr>
        <w:sectPr>
          <w:pgSz w:w="11900" w:h="16853" w:orient="portrait"/>
          <w:cols w:equalWidth="0" w:num="1">
            <w:col w:w="10219"/>
          </w:cols>
          <w:pgMar w:left="240" w:top="305" w:right="1440" w:bottom="0" w:gutter="0" w:footer="0" w:header="0"/>
        </w:sectPr>
      </w:pPr>
    </w:p>
    <w:bookmarkStart w:id="7" w:name="page8"/>
    <w:bookmarkEnd w:id="7"/>
    <w:p>
      <w:pPr>
        <w:spacing w:after="0" w:line="1"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w w:val="98"/>
              </w:rPr>
              <w:t>$  210.4</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195.5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146.1</w:t>
            </w:r>
          </w:p>
        </w:tc>
      </w:tr>
      <w:tr>
        <w:trPr>
          <w:trHeight w:val="188"/>
        </w:trPr>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14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Page 7</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9019"/>
          </w:cols>
          <w:pgMar w:left="1440" w:top="142"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5"/>
                <w:szCs w:val="15"/>
                <w:color w:val="auto"/>
              </w:rPr>
            </w:pPr>
          </w:p>
        </w:tc>
        <w:tc>
          <w:tcPr>
            <w:tcW w:w="454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940"/>
        </w:trPr>
        <w:tc>
          <w:tcPr>
            <w:tcW w:w="240" w:type="dxa"/>
            <w:vAlign w:val="bottom"/>
          </w:tcPr>
          <w:p>
            <w:pPr>
              <w:spacing w:after="0"/>
              <w:rPr>
                <w:sz w:val="24"/>
                <w:szCs w:val="24"/>
                <w:color w:val="auto"/>
              </w:rPr>
            </w:pPr>
          </w:p>
        </w:tc>
        <w:tc>
          <w:tcPr>
            <w:tcW w:w="6740" w:type="dxa"/>
            <w:vAlign w:val="bottom"/>
            <w:gridSpan w:val="3"/>
          </w:tcPr>
          <w:p>
            <w:pPr>
              <w:jc w:val="right"/>
              <w:ind w:right="1239"/>
              <w:spacing w:after="0"/>
              <w:rPr>
                <w:sz w:val="20"/>
                <w:szCs w:val="20"/>
                <w:color w:val="auto"/>
              </w:rPr>
            </w:pPr>
            <w:r>
              <w:rPr>
                <w:rFonts w:ascii="Courier New" w:cs="Courier New" w:eastAsia="Courier New" w:hAnsi="Courier New"/>
                <w:sz w:val="16"/>
                <w:szCs w:val="16"/>
                <w:color w:val="auto"/>
              </w:rPr>
              <w:t>THE SCOTTS COMPANY AND SUBSIDIARIES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8"/>
        </w:trPr>
        <w:tc>
          <w:tcPr>
            <w:tcW w:w="240" w:type="dxa"/>
            <w:vAlign w:val="bottom"/>
          </w:tcPr>
          <w:p>
            <w:pPr>
              <w:spacing w:after="0"/>
              <w:rPr>
                <w:sz w:val="16"/>
                <w:szCs w:val="16"/>
                <w:color w:val="auto"/>
              </w:rPr>
            </w:pPr>
          </w:p>
        </w:tc>
        <w:tc>
          <w:tcPr>
            <w:tcW w:w="6740" w:type="dxa"/>
            <w:vAlign w:val="bottom"/>
            <w:gridSpan w:val="3"/>
          </w:tcPr>
          <w:p>
            <w:pPr>
              <w:ind w:left="840"/>
              <w:spacing w:after="0"/>
              <w:rPr>
                <w:sz w:val="20"/>
                <w:szCs w:val="20"/>
                <w:color w:val="auto"/>
              </w:rPr>
            </w:pPr>
            <w:r>
              <w:rPr>
                <w:rFonts w:ascii="Courier New" w:cs="Courier New" w:eastAsia="Courier New" w:hAnsi="Courier New"/>
                <w:sz w:val="16"/>
                <w:szCs w:val="16"/>
                <w:color w:val="auto"/>
              </w:rPr>
              <w:t>Notes to Consolidated Financial Statements (all amounts are</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40" w:type="dxa"/>
            <w:vAlign w:val="bottom"/>
          </w:tcPr>
          <w:p>
            <w:pPr>
              <w:spacing w:after="0"/>
              <w:rPr>
                <w:sz w:val="16"/>
                <w:szCs w:val="16"/>
                <w:color w:val="auto"/>
              </w:rPr>
            </w:pPr>
          </w:p>
        </w:tc>
        <w:tc>
          <w:tcPr>
            <w:tcW w:w="6740" w:type="dxa"/>
            <w:vAlign w:val="bottom"/>
            <w:gridSpan w:val="3"/>
          </w:tcPr>
          <w:p>
            <w:pPr>
              <w:jc w:val="right"/>
              <w:ind w:right="259"/>
              <w:spacing w:after="0"/>
              <w:rPr>
                <w:sz w:val="20"/>
                <w:szCs w:val="20"/>
                <w:color w:val="auto"/>
              </w:rPr>
            </w:pPr>
            <w:r>
              <w:rPr>
                <w:rFonts w:ascii="Courier New" w:cs="Courier New" w:eastAsia="Courier New" w:hAnsi="Courier New"/>
                <w:sz w:val="16"/>
                <w:szCs w:val="16"/>
                <w:color w:val="auto"/>
              </w:rPr>
              <w:t>in millions except per share data or as otherwise noted)</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64"/>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4540" w:type="dxa"/>
            <w:vAlign w:val="bottom"/>
          </w:tcPr>
          <w:p>
            <w:pPr>
              <w:ind w:left="340"/>
              <w:spacing w:after="0"/>
              <w:rPr>
                <w:sz w:val="20"/>
                <w:szCs w:val="20"/>
                <w:color w:val="auto"/>
              </w:rPr>
            </w:pPr>
            <w:r>
              <w:rPr>
                <w:rFonts w:ascii="Courier New" w:cs="Courier New" w:eastAsia="Courier New" w:hAnsi="Courier New"/>
                <w:sz w:val="16"/>
                <w:szCs w:val="16"/>
                <w:color w:val="auto"/>
              </w:rPr>
              <w:t>Long-Term Debt</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8"/>
        </w:trPr>
        <w:tc>
          <w:tcPr>
            <w:tcW w:w="240" w:type="dxa"/>
            <w:vAlign w:val="bottom"/>
          </w:tcPr>
          <w:p>
            <w:pPr>
              <w:spacing w:after="0"/>
              <w:rPr>
                <w:sz w:val="16"/>
                <w:szCs w:val="16"/>
                <w:color w:val="auto"/>
              </w:rPr>
            </w:pPr>
          </w:p>
        </w:tc>
        <w:tc>
          <w:tcPr>
            <w:tcW w:w="4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52"/>
        </w:trPr>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January 3,</w:t>
            </w:r>
          </w:p>
        </w:tc>
        <w:tc>
          <w:tcPr>
            <w:tcW w:w="1320" w:type="dxa"/>
            <w:vAlign w:val="bottom"/>
            <w:gridSpan w:val="2"/>
          </w:tcPr>
          <w:p>
            <w:pPr>
              <w:jc w:val="center"/>
              <w:ind w:left="79"/>
              <w:spacing w:after="0"/>
              <w:rPr>
                <w:sz w:val="20"/>
                <w:szCs w:val="20"/>
                <w:color w:val="auto"/>
              </w:rPr>
            </w:pPr>
            <w:r>
              <w:rPr>
                <w:rFonts w:ascii="Courier New" w:cs="Courier New" w:eastAsia="Courier New" w:hAnsi="Courier New"/>
                <w:sz w:val="16"/>
                <w:szCs w:val="16"/>
                <w:color w:val="auto"/>
              </w:rPr>
              <w:t>December 28,</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6"/>
                <w:szCs w:val="16"/>
                <w:color w:val="auto"/>
              </w:rPr>
            </w:pP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20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564"/>
        </w:trPr>
        <w:tc>
          <w:tcPr>
            <w:tcW w:w="240" w:type="dxa"/>
            <w:vAlign w:val="bottom"/>
          </w:tcPr>
          <w:p>
            <w:pPr>
              <w:spacing w:after="0"/>
              <w:rPr>
                <w:sz w:val="24"/>
                <w:szCs w:val="24"/>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6"/>
                <w:szCs w:val="16"/>
                <w:color w:val="auto"/>
              </w:rPr>
              <w:t>Revolving credit line</w:t>
            </w:r>
          </w:p>
        </w:tc>
        <w:tc>
          <w:tcPr>
            <w:tcW w:w="800" w:type="dxa"/>
            <w:vAlign w:val="bottom"/>
          </w:tcPr>
          <w:p>
            <w:pPr>
              <w:ind w:left="700"/>
              <w:spacing w:after="0"/>
              <w:rPr>
                <w:sz w:val="20"/>
                <w:szCs w:val="20"/>
                <w:color w:val="auto"/>
              </w:rPr>
            </w:pPr>
            <w:r>
              <w:rPr>
                <w:rFonts w:ascii="Courier New" w:cs="Courier New" w:eastAsia="Courier New" w:hAnsi="Courier New"/>
                <w:sz w:val="16"/>
                <w:szCs w:val="16"/>
                <w:color w:val="auto"/>
                <w:w w:val="82"/>
              </w:rPr>
              <w:t>$</w:t>
            </w: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318.6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188.7</w:t>
            </w:r>
          </w:p>
        </w:tc>
      </w:tr>
      <w:tr>
        <w:trPr>
          <w:trHeight w:val="188"/>
        </w:trPr>
        <w:tc>
          <w:tcPr>
            <w:tcW w:w="240" w:type="dxa"/>
            <w:vAlign w:val="bottom"/>
          </w:tcPr>
          <w:p>
            <w:pPr>
              <w:spacing w:after="0"/>
              <w:rPr>
                <w:sz w:val="16"/>
                <w:szCs w:val="16"/>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6"/>
                <w:szCs w:val="16"/>
                <w:color w:val="auto"/>
              </w:rPr>
              <w:t>9 7/8% Senior Subordinated Notes</w:t>
            </w: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40" w:type="dxa"/>
            <w:vAlign w:val="bottom"/>
          </w:tcPr>
          <w:p>
            <w:pPr>
              <w:spacing w:after="0"/>
              <w:rPr>
                <w:sz w:val="16"/>
                <w:szCs w:val="16"/>
                <w:color w:val="auto"/>
              </w:rPr>
            </w:pPr>
          </w:p>
        </w:tc>
        <w:tc>
          <w:tcPr>
            <w:tcW w:w="4540" w:type="dxa"/>
            <w:vAlign w:val="bottom"/>
          </w:tcPr>
          <w:p>
            <w:pPr>
              <w:ind w:left="840"/>
              <w:spacing w:after="0"/>
              <w:rPr>
                <w:sz w:val="20"/>
                <w:szCs w:val="20"/>
                <w:color w:val="auto"/>
              </w:rPr>
            </w:pPr>
            <w:r>
              <w:rPr>
                <w:rFonts w:ascii="Courier New" w:cs="Courier New" w:eastAsia="Courier New" w:hAnsi="Courier New"/>
                <w:sz w:val="16"/>
                <w:szCs w:val="16"/>
                <w:color w:val="auto"/>
              </w:rPr>
              <w:t>$100.0 face amount (net of</w:t>
            </w: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40" w:type="dxa"/>
            <w:vAlign w:val="bottom"/>
          </w:tcPr>
          <w:p>
            <w:pPr>
              <w:spacing w:after="0"/>
              <w:rPr>
                <w:sz w:val="16"/>
                <w:szCs w:val="16"/>
                <w:color w:val="auto"/>
              </w:rPr>
            </w:pPr>
          </w:p>
        </w:tc>
        <w:tc>
          <w:tcPr>
            <w:tcW w:w="4540" w:type="dxa"/>
            <w:vAlign w:val="bottom"/>
          </w:tcPr>
          <w:p>
            <w:pPr>
              <w:ind w:left="840"/>
              <w:spacing w:after="0"/>
              <w:rPr>
                <w:sz w:val="20"/>
                <w:szCs w:val="20"/>
                <w:color w:val="auto"/>
              </w:rPr>
            </w:pPr>
            <w:r>
              <w:rPr>
                <w:rFonts w:ascii="Courier New" w:cs="Courier New" w:eastAsia="Courier New" w:hAnsi="Courier New"/>
                <w:sz w:val="16"/>
                <w:szCs w:val="16"/>
                <w:color w:val="auto"/>
              </w:rPr>
              <w:t>unamortized discount)</w:t>
            </w: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99.5</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99.4</w:t>
            </w:r>
          </w:p>
        </w:tc>
      </w:tr>
      <w:tr>
        <w:trPr>
          <w:trHeight w:val="188"/>
        </w:trPr>
        <w:tc>
          <w:tcPr>
            <w:tcW w:w="240" w:type="dxa"/>
            <w:vAlign w:val="bottom"/>
          </w:tcPr>
          <w:p>
            <w:pPr>
              <w:spacing w:after="0"/>
              <w:rPr>
                <w:sz w:val="16"/>
                <w:szCs w:val="16"/>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6"/>
                <w:szCs w:val="16"/>
                <w:color w:val="auto"/>
              </w:rPr>
              <w:t>Capital lease obligations and other</w:t>
            </w: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0.1</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8"/>
              </w:rPr>
              <w:t>-------</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418.2</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288.3</w:t>
            </w:r>
          </w:p>
        </w:tc>
      </w:tr>
      <w:tr>
        <w:trPr>
          <w:trHeight w:val="188"/>
        </w:trPr>
        <w:tc>
          <w:tcPr>
            <w:tcW w:w="240" w:type="dxa"/>
            <w:vAlign w:val="bottom"/>
          </w:tcPr>
          <w:p>
            <w:pPr>
              <w:spacing w:after="0"/>
              <w:rPr>
                <w:sz w:val="16"/>
                <w:szCs w:val="16"/>
                <w:color w:val="auto"/>
              </w:rPr>
            </w:pPr>
          </w:p>
        </w:tc>
        <w:tc>
          <w:tcPr>
            <w:tcW w:w="4540" w:type="dxa"/>
            <w:vAlign w:val="bottom"/>
          </w:tcPr>
          <w:p>
            <w:pPr>
              <w:ind w:left="440"/>
              <w:spacing w:after="0"/>
              <w:rPr>
                <w:sz w:val="20"/>
                <w:szCs w:val="20"/>
                <w:color w:val="auto"/>
              </w:rPr>
            </w:pPr>
            <w:r>
              <w:rPr>
                <w:rFonts w:ascii="Courier New" w:cs="Courier New" w:eastAsia="Courier New" w:hAnsi="Courier New"/>
                <w:sz w:val="16"/>
                <w:szCs w:val="16"/>
                <w:color w:val="auto"/>
              </w:rPr>
              <w:t>Less current portions</w:t>
            </w: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93.7</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00" w:type="dxa"/>
            <w:vAlign w:val="bottom"/>
          </w:tcPr>
          <w:p>
            <w:pPr>
              <w:ind w:left="700"/>
              <w:spacing w:after="0"/>
              <w:rPr>
                <w:sz w:val="20"/>
                <w:szCs w:val="20"/>
                <w:color w:val="auto"/>
              </w:rPr>
            </w:pPr>
            <w:r>
              <w:rPr>
                <w:rFonts w:ascii="Courier New" w:cs="Courier New" w:eastAsia="Courier New" w:hAnsi="Courier New"/>
                <w:sz w:val="16"/>
                <w:szCs w:val="16"/>
                <w:color w:val="auto"/>
                <w:w w:val="82"/>
              </w:rPr>
              <w:t>$</w:t>
            </w: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324.5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286.4</w:t>
            </w:r>
          </w:p>
        </w:tc>
      </w:tr>
      <w:tr>
        <w:trPr>
          <w:trHeight w:val="188"/>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580" w:right="960"/>
        <w:spacing w:after="0" w:line="252" w:lineRule="auto"/>
        <w:rPr>
          <w:sz w:val="20"/>
          <w:szCs w:val="20"/>
          <w:color w:val="auto"/>
        </w:rPr>
      </w:pPr>
      <w:r>
        <w:rPr>
          <w:rFonts w:ascii="Courier New" w:cs="Courier New" w:eastAsia="Courier New" w:hAnsi="Courier New"/>
          <w:sz w:val="16"/>
          <w:szCs w:val="16"/>
          <w:color w:val="auto"/>
        </w:rPr>
        <w:t>Maturities of term debt and capital leases for the next five calendar years are as follows: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r>
      <w:tr>
        <w:trPr>
          <w:trHeight w:val="188"/>
        </w:trPr>
        <w:tc>
          <w:tcPr>
            <w:tcW w:w="23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8"/>
        </w:trPr>
        <w:tc>
          <w:tcPr>
            <w:tcW w:w="236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8"/>
        </w:trPr>
        <w:tc>
          <w:tcPr>
            <w:tcW w:w="23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225.0</w:t>
            </w:r>
          </w:p>
        </w:tc>
      </w:tr>
      <w:tr>
        <w:trPr>
          <w:trHeight w:val="188"/>
        </w:trPr>
        <w:tc>
          <w:tcPr>
            <w:tcW w:w="23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8"/>
        </w:trPr>
        <w:tc>
          <w:tcPr>
            <w:tcW w:w="23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380" w:lineRule="exact"/>
        <w:rPr>
          <w:sz w:val="20"/>
          <w:szCs w:val="20"/>
          <w:color w:val="auto"/>
        </w:rPr>
      </w:pPr>
    </w:p>
    <w:p>
      <w:pPr>
        <w:ind w:left="580" w:hanging="580"/>
        <w:spacing w:after="0"/>
        <w:tabs>
          <w:tab w:leader="none" w:pos="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Common Share</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58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the first quarter of fiscal 1998, the Company adopted Statement of Financial Accounting Standards No. 128, "Earnings Per Share" ("FAS 128"), which establishes standards for computing and presenting earnings per share ("EPS"). FAS 128 requires the presentation of basic and diluted EPS. Basic EPS is computed by dividing loss applicable to common shareholders by the weighted average number of common shares outstanding during the period.</w:t>
      </w:r>
    </w:p>
    <w:p>
      <w:pPr>
        <w:spacing w:after="0" w:line="187" w:lineRule="exact"/>
        <w:rPr>
          <w:rFonts w:ascii="Courier New" w:cs="Courier New" w:eastAsia="Courier New" w:hAnsi="Courier New"/>
          <w:sz w:val="16"/>
          <w:szCs w:val="16"/>
          <w:color w:val="auto"/>
        </w:rPr>
      </w:pPr>
    </w:p>
    <w:p>
      <w:pPr>
        <w:ind w:left="580" w:right="48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loss per common share. For each period presented, basic and diluted EPS are equal as common share equivalents (stock options, Class A Convertible Preferred Stock and warrants) outstanding for each period were anti-dilutive and thus not considered in the diluted loss per common share calculations.</w:t>
      </w:r>
    </w:p>
    <w:p>
      <w:pPr>
        <w:spacing w:after="0" w:line="200" w:lineRule="exact"/>
        <w:rPr>
          <w:sz w:val="20"/>
          <w:szCs w:val="20"/>
          <w:color w:val="auto"/>
        </w:rPr>
      </w:pPr>
    </w:p>
    <w:p>
      <w:pPr>
        <w:spacing w:after="0" w:line="363"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Three Months Ended</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500"/>
        <w:spacing w:after="0"/>
        <w:tabs>
          <w:tab w:leader="none" w:pos="5840" w:val="left"/>
        </w:tabs>
        <w:rPr>
          <w:sz w:val="20"/>
          <w:szCs w:val="20"/>
          <w:color w:val="auto"/>
        </w:rPr>
      </w:pPr>
      <w:r>
        <w:rPr>
          <w:rFonts w:ascii="Courier New" w:cs="Courier New" w:eastAsia="Courier New" w:hAnsi="Courier New"/>
          <w:sz w:val="16"/>
          <w:szCs w:val="16"/>
          <w:color w:val="auto"/>
        </w:rPr>
        <w:t>January 3,</w:t>
      </w:r>
      <w:r>
        <w:rPr>
          <w:sz w:val="20"/>
          <w:szCs w:val="20"/>
          <w:color w:val="auto"/>
        </w:rPr>
        <w:tab/>
      </w:r>
      <w:r>
        <w:rPr>
          <w:rFonts w:ascii="Courier New" w:cs="Courier New" w:eastAsia="Courier New" w:hAnsi="Courier New"/>
          <w:sz w:val="16"/>
          <w:szCs w:val="16"/>
          <w:color w:val="auto"/>
        </w:rPr>
        <w:t>December 28,</w:t>
      </w:r>
    </w:p>
    <w:p>
      <w:pPr>
        <w:spacing w:after="0" w:line="7" w:lineRule="exact"/>
        <w:rPr>
          <w:sz w:val="20"/>
          <w:szCs w:val="20"/>
          <w:color w:val="auto"/>
        </w:rPr>
      </w:pPr>
    </w:p>
    <w:p>
      <w:pPr>
        <w:ind w:left="4700"/>
        <w:spacing w:after="0"/>
        <w:tabs>
          <w:tab w:leader="none" w:pos="614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1996</w:t>
      </w:r>
    </w:p>
    <w:p>
      <w:pPr>
        <w:spacing w:after="0" w:line="7" w:lineRule="exact"/>
        <w:rPr>
          <w:sz w:val="20"/>
          <w:szCs w:val="20"/>
          <w:color w:val="auto"/>
        </w:rPr>
      </w:pPr>
    </w:p>
    <w:p>
      <w:pPr>
        <w:ind w:left="4500"/>
        <w:spacing w:after="0"/>
        <w:tabs>
          <w:tab w:leader="none" w:pos="5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3" w:lineRule="exact"/>
        <w:rPr>
          <w:sz w:val="20"/>
          <w:szCs w:val="20"/>
          <w:color w:val="auto"/>
        </w:rPr>
      </w:pPr>
    </w:p>
    <w:p>
      <w:pPr>
        <w:spacing w:after="0"/>
        <w:tabs>
          <w:tab w:leader="none" w:pos="4580" w:val="left"/>
          <w:tab w:leader="none" w:pos="6040" w:val="left"/>
        </w:tabs>
        <w:rPr>
          <w:sz w:val="20"/>
          <w:szCs w:val="20"/>
          <w:color w:val="auto"/>
        </w:rPr>
      </w:pPr>
      <w:r>
        <w:rPr>
          <w:rFonts w:ascii="Courier New" w:cs="Courier New" w:eastAsia="Courier New" w:hAnsi="Courier New"/>
          <w:sz w:val="16"/>
          <w:szCs w:val="16"/>
          <w:color w:val="auto"/>
        </w:rPr>
        <w:t>Net loss</w:t>
      </w:r>
      <w:r>
        <w:rPr>
          <w:sz w:val="20"/>
          <w:szCs w:val="20"/>
          <w:color w:val="auto"/>
        </w:rPr>
        <w:tab/>
      </w:r>
      <w:r>
        <w:rPr>
          <w:rFonts w:ascii="Courier New" w:cs="Courier New" w:eastAsia="Courier New" w:hAnsi="Courier New"/>
          <w:sz w:val="16"/>
          <w:szCs w:val="16"/>
          <w:color w:val="auto"/>
        </w:rPr>
        <w:t>$ (5.5)</w:t>
      </w:r>
      <w:r>
        <w:rPr>
          <w:sz w:val="20"/>
          <w:szCs w:val="20"/>
          <w:color w:val="auto"/>
        </w:rPr>
        <w:tab/>
      </w:r>
      <w:r>
        <w:rPr>
          <w:rFonts w:ascii="Courier New" w:cs="Courier New" w:eastAsia="Courier New" w:hAnsi="Courier New"/>
          <w:sz w:val="16"/>
          <w:szCs w:val="16"/>
          <w:color w:val="auto"/>
        </w:rPr>
        <w:t>$ (6.0)</w:t>
      </w:r>
    </w:p>
    <w:p>
      <w:pPr>
        <w:spacing w:after="0" w:line="7" w:lineRule="exact"/>
        <w:rPr>
          <w:sz w:val="20"/>
          <w:szCs w:val="20"/>
          <w:color w:val="auto"/>
        </w:rPr>
      </w:pPr>
    </w:p>
    <w:p>
      <w:pPr>
        <w:spacing w:after="0"/>
        <w:tabs>
          <w:tab w:leader="none" w:pos="4760" w:val="left"/>
          <w:tab w:leader="none" w:pos="6240" w:val="left"/>
        </w:tabs>
        <w:rPr>
          <w:sz w:val="20"/>
          <w:szCs w:val="20"/>
          <w:color w:val="auto"/>
        </w:rPr>
      </w:pPr>
      <w:r>
        <w:rPr>
          <w:rFonts w:ascii="Courier New" w:cs="Courier New" w:eastAsia="Courier New" w:hAnsi="Courier New"/>
          <w:sz w:val="16"/>
          <w:szCs w:val="16"/>
          <w:color w:val="auto"/>
        </w:rPr>
        <w:t>Preferred Stock dividends</w:t>
      </w:r>
      <w:r>
        <w:rPr>
          <w:sz w:val="20"/>
          <w:szCs w:val="20"/>
          <w:color w:val="auto"/>
        </w:rPr>
        <w:tab/>
      </w: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ind w:left="4600"/>
        <w:spacing w:after="0"/>
        <w:tabs>
          <w:tab w:leader="none" w:pos="6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applicable to common</w:t>
      </w:r>
    </w:p>
    <w:p>
      <w:pPr>
        <w:spacing w:after="0" w:line="7" w:lineRule="exact"/>
        <w:rPr>
          <w:sz w:val="20"/>
          <w:szCs w:val="20"/>
          <w:color w:val="auto"/>
        </w:rPr>
      </w:pPr>
    </w:p>
    <w:p>
      <w:pPr>
        <w:ind w:left="400"/>
        <w:spacing w:after="0"/>
        <w:tabs>
          <w:tab w:leader="none" w:pos="4580" w:val="left"/>
          <w:tab w:leader="none" w:pos="6040" w:val="left"/>
        </w:tabs>
        <w:rPr>
          <w:sz w:val="20"/>
          <w:szCs w:val="20"/>
          <w:color w:val="auto"/>
        </w:rPr>
      </w:pPr>
      <w:r>
        <w:rPr>
          <w:rFonts w:ascii="Courier New" w:cs="Courier New" w:eastAsia="Courier New" w:hAnsi="Courier New"/>
          <w:sz w:val="16"/>
          <w:szCs w:val="16"/>
          <w:color w:val="auto"/>
        </w:rPr>
        <w:t>shareholders</w:t>
      </w:r>
      <w:r>
        <w:rPr>
          <w:sz w:val="20"/>
          <w:szCs w:val="20"/>
          <w:color w:val="auto"/>
        </w:rPr>
        <w:tab/>
      </w:r>
      <w:r>
        <w:rPr>
          <w:rFonts w:ascii="Courier New" w:cs="Courier New" w:eastAsia="Courier New" w:hAnsi="Courier New"/>
          <w:sz w:val="16"/>
          <w:szCs w:val="16"/>
          <w:color w:val="auto"/>
        </w:rPr>
        <w:t>$ (7.9)</w:t>
      </w:r>
      <w:r>
        <w:rPr>
          <w:sz w:val="20"/>
          <w:szCs w:val="20"/>
          <w:color w:val="auto"/>
        </w:rPr>
        <w:tab/>
      </w:r>
      <w:r>
        <w:rPr>
          <w:rFonts w:ascii="Courier New" w:cs="Courier New" w:eastAsia="Courier New" w:hAnsi="Courier New"/>
          <w:sz w:val="16"/>
          <w:szCs w:val="16"/>
          <w:color w:val="auto"/>
        </w:rPr>
        <w:t>$ (8.4)</w:t>
      </w:r>
    </w:p>
    <w:p>
      <w:pPr>
        <w:spacing w:after="0" w:line="7" w:lineRule="exact"/>
        <w:rPr>
          <w:sz w:val="20"/>
          <w:szCs w:val="20"/>
          <w:color w:val="auto"/>
        </w:rPr>
      </w:pPr>
    </w:p>
    <w:p>
      <w:pPr>
        <w:ind w:left="4600"/>
        <w:spacing w:after="0"/>
        <w:tabs>
          <w:tab w:leader="none" w:pos="6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 used in loss</w:t>
      </w:r>
    </w:p>
    <w:p>
      <w:pPr>
        <w:spacing w:after="0" w:line="7" w:lineRule="exact"/>
        <w:rPr>
          <w:sz w:val="20"/>
          <w:szCs w:val="20"/>
          <w:color w:val="auto"/>
        </w:rPr>
      </w:pPr>
    </w:p>
    <w:p>
      <w:pPr>
        <w:ind w:left="400"/>
        <w:spacing w:after="0"/>
        <w:tabs>
          <w:tab w:leader="none" w:pos="4760" w:val="left"/>
          <w:tab w:leader="none" w:pos="6240" w:val="left"/>
        </w:tabs>
        <w:rPr>
          <w:sz w:val="20"/>
          <w:szCs w:val="20"/>
          <w:color w:val="auto"/>
        </w:rPr>
      </w:pPr>
      <w:r>
        <w:rPr>
          <w:rFonts w:ascii="Courier New" w:cs="Courier New" w:eastAsia="Courier New" w:hAnsi="Courier New"/>
          <w:sz w:val="16"/>
          <w:szCs w:val="16"/>
          <w:color w:val="auto"/>
        </w:rPr>
        <w:t>per common share computation</w:t>
      </w:r>
      <w:r>
        <w:rPr>
          <w:sz w:val="20"/>
          <w:szCs w:val="20"/>
          <w:color w:val="auto"/>
        </w:rPr>
        <w:tab/>
      </w:r>
      <w:r>
        <w:rPr>
          <w:rFonts w:ascii="Courier New" w:cs="Courier New" w:eastAsia="Courier New" w:hAnsi="Courier New"/>
          <w:sz w:val="16"/>
          <w:szCs w:val="16"/>
          <w:color w:val="auto"/>
        </w:rPr>
        <w:t>18.7</w:t>
      </w:r>
      <w:r>
        <w:rPr>
          <w:sz w:val="20"/>
          <w:szCs w:val="20"/>
          <w:color w:val="auto"/>
        </w:rPr>
        <w:tab/>
      </w:r>
      <w:r>
        <w:rPr>
          <w:rFonts w:ascii="Courier New" w:cs="Courier New" w:eastAsia="Courier New" w:hAnsi="Courier New"/>
          <w:sz w:val="15"/>
          <w:szCs w:val="15"/>
          <w:color w:val="auto"/>
        </w:rPr>
        <w:t>18.6</w:t>
      </w:r>
    </w:p>
    <w:p>
      <w:pPr>
        <w:spacing w:after="0" w:line="7" w:lineRule="exact"/>
        <w:rPr>
          <w:sz w:val="20"/>
          <w:szCs w:val="20"/>
          <w:color w:val="auto"/>
        </w:rPr>
      </w:pPr>
    </w:p>
    <w:p>
      <w:pPr>
        <w:ind w:left="4600"/>
        <w:spacing w:after="0"/>
        <w:tabs>
          <w:tab w:leader="none" w:pos="6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none" w:pos="4580" w:val="left"/>
          <w:tab w:leader="none" w:pos="6040" w:val="left"/>
        </w:tabs>
        <w:rPr>
          <w:sz w:val="20"/>
          <w:szCs w:val="20"/>
          <w:color w:val="auto"/>
        </w:rPr>
      </w:pPr>
      <w:r>
        <w:rPr>
          <w:rFonts w:ascii="Courier New" w:cs="Courier New" w:eastAsia="Courier New" w:hAnsi="Courier New"/>
          <w:sz w:val="16"/>
          <w:szCs w:val="16"/>
          <w:color w:val="auto"/>
        </w:rPr>
        <w:t>Basic and diluted loss per common share</w:t>
      </w:r>
      <w:r>
        <w:rPr>
          <w:sz w:val="20"/>
          <w:szCs w:val="20"/>
          <w:color w:val="auto"/>
        </w:rPr>
        <w:tab/>
      </w:r>
      <w:r>
        <w:rPr>
          <w:rFonts w:ascii="Courier New" w:cs="Courier New" w:eastAsia="Courier New" w:hAnsi="Courier New"/>
          <w:sz w:val="16"/>
          <w:szCs w:val="16"/>
          <w:color w:val="auto"/>
        </w:rPr>
        <w:t>$ (.42)</w:t>
      </w:r>
      <w:r>
        <w:rPr>
          <w:sz w:val="20"/>
          <w:szCs w:val="20"/>
          <w:color w:val="auto"/>
        </w:rPr>
        <w:tab/>
      </w:r>
      <w:r>
        <w:rPr>
          <w:rFonts w:ascii="Courier New" w:cs="Courier New" w:eastAsia="Courier New" w:hAnsi="Courier New"/>
          <w:sz w:val="16"/>
          <w:szCs w:val="16"/>
          <w:color w:val="auto"/>
        </w:rPr>
        <w:t>$ (.45)</w:t>
      </w:r>
    </w:p>
    <w:p>
      <w:pPr>
        <w:spacing w:after="0" w:line="7" w:lineRule="exact"/>
        <w:rPr>
          <w:sz w:val="20"/>
          <w:szCs w:val="20"/>
          <w:color w:val="auto"/>
        </w:rPr>
      </w:pPr>
    </w:p>
    <w:p>
      <w:pPr>
        <w:ind w:left="4600"/>
        <w:spacing w:after="0"/>
        <w:tabs>
          <w:tab w:leader="none" w:pos="6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September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80" w:hanging="290"/>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121.8</w:t>
      </w:r>
    </w:p>
    <w:p>
      <w:pPr>
        <w:spacing w:after="0" w:line="383"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6"/>
          <w:szCs w:val="16"/>
          <w:color w:val="auto"/>
        </w:rPr>
        <w:t>99.4</w:t>
      </w:r>
    </w:p>
    <w:p>
      <w:pPr>
        <w:spacing w:after="0" w:line="7"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6"/>
          <w:szCs w:val="16"/>
          <w:color w:val="auto"/>
        </w:rPr>
        <w:t>0.1</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6"/>
          <w:szCs w:val="16"/>
          <w:color w:val="auto"/>
        </w:rPr>
        <w:t>221.3</w:t>
      </w:r>
    </w:p>
    <w:p>
      <w:pPr>
        <w:spacing w:after="0" w:line="7"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6"/>
          <w:szCs w:val="16"/>
          <w:color w:val="auto"/>
        </w:rPr>
        <w:t>1.5</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hanging="290"/>
        <w:spacing w:after="0"/>
        <w:tabs>
          <w:tab w:leader="none" w:pos="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219.8</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8300" w:space="600"/>
            <w:col w:w="1319"/>
          </w:cols>
          <w:pgMar w:left="240" w:top="305" w:right="1440" w:bottom="0" w:gutter="0" w:footer="0" w:header="0"/>
        </w:sectPr>
      </w:pPr>
    </w:p>
    <w:bookmarkStart w:id="9" w:name="page10"/>
    <w:bookmarkEnd w:id="9"/>
    <w:p>
      <w:pPr>
        <w:ind w:left="2620"/>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9019"/>
          </w:cols>
          <w:pgMar w:left="1440" w:top="330"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ind w:left="1180" w:right="3379" w:hanging="97"/>
        <w:spacing w:after="0" w:line="252" w:lineRule="auto"/>
        <w:rPr>
          <w:sz w:val="20"/>
          <w:szCs w:val="20"/>
          <w:color w:val="auto"/>
        </w:rPr>
      </w:pPr>
      <w:r>
        <w:rPr>
          <w:rFonts w:ascii="Courier New" w:cs="Courier New" w:eastAsia="Courier New" w:hAnsi="Courier New"/>
          <w:sz w:val="16"/>
          <w:szCs w:val="16"/>
          <w:color w:val="auto"/>
        </w:rPr>
        <w:t>Notes to Consolidated Financial Statements (all amounts are in millions except per share data or as otherwise noted)</w:t>
      </w:r>
    </w:p>
    <w:p>
      <w:pPr>
        <w:spacing w:after="0" w:line="371" w:lineRule="exact"/>
        <w:rPr>
          <w:sz w:val="20"/>
          <w:szCs w:val="20"/>
          <w:color w:val="auto"/>
        </w:rPr>
      </w:pPr>
    </w:p>
    <w:p>
      <w:pPr>
        <w:ind w:left="580" w:hanging="580"/>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87"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assessing and, as required, addressing certain environmental issues regarding the wastewater treatment plants currently operating at the Marysville facility. After considering whether to upgrade the existing treatment plants or to undertake to connect the facility's wastewater system with the City of Marysville's municipal treatment system, the Company is proceeding with plans to connect to the City's system, subject to successful completion of pending annexation proceedings. Additionally, the Company has been assessing, under Ohio's new Voluntary Action Program ("VAP"), the possible remediation of several discontinued on-site waste disposal areas dating back to the early operations of its Marysville facility.</w:t>
      </w:r>
    </w:p>
    <w:p>
      <w:pPr>
        <w:spacing w:after="0" w:line="186"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subsequently met on several occasions, and continue to meet, to discuss these issues.</w:t>
      </w:r>
    </w:p>
    <w:p>
      <w:pPr>
        <w:spacing w:after="0" w:line="187"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186"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w:t>
      </w:r>
    </w:p>
    <w:p>
      <w:pPr>
        <w:spacing w:after="0" w:line="37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30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ind w:left="880" w:right="3379" w:hanging="97"/>
        <w:spacing w:after="0" w:line="252" w:lineRule="auto"/>
        <w:rPr>
          <w:sz w:val="20"/>
          <w:szCs w:val="20"/>
          <w:color w:val="auto"/>
        </w:rPr>
      </w:pPr>
      <w:r>
        <w:rPr>
          <w:rFonts w:ascii="Courier New" w:cs="Courier New" w:eastAsia="Courier New" w:hAnsi="Courier New"/>
          <w:sz w:val="16"/>
          <w:szCs w:val="16"/>
          <w:color w:val="auto"/>
        </w:rPr>
        <w:t>Notes to Consolidated Financial Statements (all amounts are in millions except per share data or as otherwise noted)</w:t>
      </w:r>
    </w:p>
    <w:p>
      <w:pPr>
        <w:spacing w:after="0" w:line="371" w:lineRule="exact"/>
        <w:rPr>
          <w:sz w:val="20"/>
          <w:szCs w:val="20"/>
          <w:color w:val="auto"/>
        </w:rPr>
      </w:pPr>
    </w:p>
    <w:p>
      <w:pPr>
        <w:ind w:left="280" w:right="2399"/>
        <w:spacing w:after="0" w:line="249" w:lineRule="auto"/>
        <w:rPr>
          <w:sz w:val="20"/>
          <w:szCs w:val="20"/>
          <w:color w:val="auto"/>
        </w:rPr>
      </w:pPr>
      <w:r>
        <w:rPr>
          <w:rFonts w:ascii="Courier New" w:cs="Courier New" w:eastAsia="Courier New" w:hAnsi="Courier New"/>
          <w:sz w:val="16"/>
          <w:szCs w:val="16"/>
          <w:color w:val="auto"/>
        </w:rPr>
        <w:t>The Company does not believe the ultimate outcome of any proceedings which may result from the OEPA's referral of these matters to the OAG will have a material adverse effect on the business or the financial condition of the Company but is unable, at this stage, to predict the outcome of the issues. Many of the issues raised by the State are already being investigated and addressed by the Company during the normal course of conducting business.</w:t>
      </w:r>
    </w:p>
    <w:p>
      <w:pPr>
        <w:spacing w:after="0" w:line="37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LAFAYETTE</w:t>
      </w:r>
    </w:p>
    <w:p>
      <w:pPr>
        <w:spacing w:after="0" w:line="195" w:lineRule="exact"/>
        <w:rPr>
          <w:sz w:val="20"/>
          <w:szCs w:val="20"/>
          <w:color w:val="auto"/>
        </w:rPr>
      </w:pPr>
    </w:p>
    <w:p>
      <w:pPr>
        <w:ind w:left="280" w:right="2499"/>
        <w:spacing w:after="0" w:line="249"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HERSHBERGER</w:t>
      </w:r>
    </w:p>
    <w:p>
      <w:pPr>
        <w:spacing w:after="0" w:line="195" w:lineRule="exact"/>
        <w:rPr>
          <w:sz w:val="20"/>
          <w:szCs w:val="20"/>
          <w:color w:val="auto"/>
        </w:rPr>
      </w:pPr>
    </w:p>
    <w:p>
      <w:pPr>
        <w:ind w:left="280" w:right="2399"/>
        <w:spacing w:after="0" w:line="249" w:lineRule="auto"/>
        <w:rPr>
          <w:sz w:val="20"/>
          <w:szCs w:val="20"/>
          <w:color w:val="auto"/>
        </w:rPr>
      </w:pPr>
      <w:r>
        <w:rPr>
          <w:rFonts w:ascii="Courier New" w:cs="Courier New" w:eastAsia="Courier New" w:hAnsi="Courier New"/>
          <w:sz w:val="16"/>
          <w:szCs w:val="16"/>
          <w:color w:val="auto"/>
        </w:rPr>
        <w:t>In September 1991, the Company was identified by the OEPA as a Potentially Responsible Party ("PRP") with respect to a site in Union County, Ohio (the "Hershberger site") that has allegedly contained waste which included hazardous substances whose transportation, treatment or disposal the Company allegedly arranged. Pursuant to an Administrative Order with the OEPA, the Company, together with four other PRPs identified to date, investigated the extent of contamination in the Hershberger site. The investigation confirmed that the site presents a low degree of risk and that the hazardous substances identified are not compounds generally used by the Company. However, due to the fact that the Company was originally named as a PRP, and due to the potential joint and several liability of PRPs, the Company has chosen to participate in an agreed voluntary remedial action at the site. The workplan for the remedial action has been approved by the OEPA. Such action is to consist of leachate collection and treatment/disposal, landfill cap repair, landfill gas management, ground water monitoring and institutional and engineering site controls. It is expected that in fiscal 1998, the Company and the four other named PRPs will execute an Administrative Order on Consent with the OEPA, by which the named PRPs will fund the referenced remedial action. Management does not believe that such obligations will have a material adverse effect on the Company's results of operations or financial condition.</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FIFRA</w:t>
      </w:r>
    </w:p>
    <w:p>
      <w:pPr>
        <w:spacing w:after="0" w:line="195" w:lineRule="exact"/>
        <w:rPr>
          <w:sz w:val="20"/>
          <w:szCs w:val="20"/>
          <w:color w:val="auto"/>
        </w:rPr>
      </w:pPr>
    </w:p>
    <w:p>
      <w:pPr>
        <w:ind w:left="280" w:right="2599"/>
        <w:spacing w:after="0" w:line="249" w:lineRule="auto"/>
        <w:rPr>
          <w:sz w:val="20"/>
          <w:szCs w:val="20"/>
          <w:color w:val="auto"/>
        </w:rPr>
      </w:pPr>
      <w:r>
        <w:rPr>
          <w:rFonts w:ascii="Courier New" w:cs="Courier New" w:eastAsia="Courier New" w:hAnsi="Courier New"/>
          <w:sz w:val="16"/>
          <w:szCs w:val="16"/>
          <w:color w:val="auto"/>
        </w:rPr>
        <w:t>In January 1996, the United States EPA served a Complaint and Notice of Opportunity for Hearing upon Sierra's wholly-owned subsidiary, Scotts-Sierra Crop Protection Company ("Crop Protection"). The Complaint alleged labeling violations under the Federal Insecticide, Fungicide and Rodenticide Act ("FIFRA") during fiscal 1992 and 1993 and proposed</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9919"/>
          </w:cols>
          <w:pgMar w:left="540" w:top="305" w:right="1440" w:bottom="1440" w:gutter="0" w:footer="0" w:header="0"/>
        </w:sectPr>
      </w:pPr>
    </w:p>
    <w:bookmarkStart w:id="12" w:name="page13"/>
    <w:bookmarkEnd w:id="12"/>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7" w:lineRule="exact"/>
        <w:rPr>
          <w:sz w:val="20"/>
          <w:szCs w:val="20"/>
          <w:color w:val="auto"/>
        </w:rPr>
      </w:pPr>
    </w:p>
    <w:p>
      <w:pPr>
        <w:ind w:left="1180" w:right="3379" w:hanging="97"/>
        <w:spacing w:after="0" w:line="252" w:lineRule="auto"/>
        <w:rPr>
          <w:sz w:val="20"/>
          <w:szCs w:val="20"/>
          <w:color w:val="auto"/>
        </w:rPr>
      </w:pPr>
      <w:r>
        <w:rPr>
          <w:rFonts w:ascii="Courier New" w:cs="Courier New" w:eastAsia="Courier New" w:hAnsi="Courier New"/>
          <w:sz w:val="16"/>
          <w:szCs w:val="16"/>
          <w:color w:val="auto"/>
        </w:rPr>
        <w:t>Notes to Consolidated Financial Statements (all amounts are in millions except per share data or as otherwise noted)</w:t>
      </w:r>
    </w:p>
    <w:p>
      <w:pPr>
        <w:spacing w:after="0" w:line="371"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penalties totaling $0.8, the maximum allowable under FIFRA according to management's calculations. In February 1997, the United States EPA's Motion for Accelerated Decision was granted on the issue of liability, with the amount of the civil penalty to be resolved at hearing. The hearing is scheduled for February 1998. Based upon Crop Protection's good faith compliance actions and the United States EPA's position regarding penalty reductions, management believes Crop Protection's liability in this action is substantially less than the maximum. The Company does not believe that the outcome of this proceeding will have a material adverse effect on its financial condition or results of operations.</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YEAR 2000</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The Company has developed a long-term information systems strategy, one aspect of which is to address exposures related to the impact on its computer systems of the Year 2000 issues. Key financial information and operational systems have been assessed and plans developed in order to mitigate the Year 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The Company has also engaged an outside consultant to review the Company's plans for addressing the Year 2000 issues and to assist in implementation. Management believes its plans will adequately address the Year 2000 issues and does not currently anticipate a material impact on the Company as a result of addressing these issues. However, if such conversions and upgrades are not made, or are not timely completed, the Year 2000 issues could have a material impact on the operations of the Company.</w:t>
      </w:r>
    </w:p>
    <w:p>
      <w:pPr>
        <w:spacing w:after="0" w:line="186" w:lineRule="exact"/>
        <w:rPr>
          <w:sz w:val="20"/>
          <w:szCs w:val="20"/>
          <w:color w:val="auto"/>
        </w:rPr>
      </w:pPr>
    </w:p>
    <w:p>
      <w:pPr>
        <w:ind w:left="580" w:hanging="580"/>
        <w:spacing w:after="0"/>
        <w:tabs>
          <w:tab w:leader="none" w:pos="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Each standard is effective for financial statements for fiscal years beginning after December 15, 1997.</w:t>
      </w:r>
    </w:p>
    <w:p>
      <w:pPr>
        <w:spacing w:after="0" w:line="187"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is evaluating this pronouncement and has not yet determined the ultimate impact of this pronouncement on its future financial statements.</w:t>
      </w:r>
    </w:p>
    <w:p>
      <w:pPr>
        <w:spacing w:after="0" w:line="186" w:lineRule="exact"/>
        <w:rPr>
          <w:rFonts w:ascii="Courier New" w:cs="Courier New" w:eastAsia="Courier New" w:hAnsi="Courier New"/>
          <w:sz w:val="16"/>
          <w:szCs w:val="16"/>
          <w:color w:val="auto"/>
        </w:rPr>
      </w:pPr>
    </w:p>
    <w:p>
      <w:pPr>
        <w:ind w:left="5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the first quarter of fiscal 1999; however, the Company believes that the business segments identified and set forth in Note 14 to the Scotts' fiscal 1997 Annual Report on Form 10-K are in substantial compliance with SFAS No. 131.</w:t>
      </w:r>
    </w:p>
    <w:p>
      <w:pPr>
        <w:spacing w:after="0" w:line="18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5 for discussion of SFAS No. 128.</w:t>
      </w:r>
    </w:p>
    <w:p>
      <w:pPr>
        <w:spacing w:after="0" w:line="194"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5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13, 1998, the Company completed its acquisition of all of the outstanding shares of Earthgro, Inc. for approximately $47.0, including assumption of debt and estimated deal costs. Earthgro is a regional organics company headquartered in Glastonbury, Connecticut, with production facilities located in Maine, New Jersey, Pennsylvania, Connecticut, Virginia and North Carolina.</w:t>
      </w:r>
    </w:p>
    <w:p>
      <w:pPr>
        <w:sectPr>
          <w:pgSz w:w="11900" w:h="16857" w:orient="portrait"/>
          <w:cols w:equalWidth="0" w:num="1">
            <w:col w:w="10219"/>
          </w:cols>
          <w:pgMar w:left="240" w:top="305" w:right="1440" w:bottom="0" w:gutter="0" w:footer="0" w:header="0"/>
        </w:sectPr>
      </w:pPr>
    </w:p>
    <w:bookmarkStart w:id="13" w:name="page14"/>
    <w:bookmarkEnd w:id="13"/>
    <w:p>
      <w:pPr>
        <w:ind w:left="2420"/>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9019"/>
          </w:cols>
          <w:pgMar w:left="1440" w:top="70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40"/>
        <w:spacing w:after="0" w:line="250"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373" w:lineRule="exact"/>
        <w:rPr>
          <w:sz w:val="20"/>
          <w:szCs w:val="20"/>
          <w:color w:val="auto"/>
        </w:rPr>
      </w:pPr>
    </w:p>
    <w:p>
      <w:pPr>
        <w:ind w:right="2540"/>
        <w:spacing w:after="0" w:line="249"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Consolidated Financial Statements of the Company included elsewhere in this report. Scott's Annual Report on Form 10-K for the fiscal year ended September 30, 1997 includes additional information about the Company, its operations, and its financial position,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840"/>
        <w:spacing w:after="0" w:line="252" w:lineRule="auto"/>
        <w:rPr>
          <w:sz w:val="20"/>
          <w:szCs w:val="20"/>
          <w:color w:val="auto"/>
        </w:rPr>
      </w:pPr>
      <w:r>
        <w:rPr>
          <w:rFonts w:ascii="Courier New" w:cs="Courier New" w:eastAsia="Courier New" w:hAnsi="Courier New"/>
          <w:sz w:val="16"/>
          <w:szCs w:val="16"/>
          <w:color w:val="auto"/>
        </w:rPr>
        <w:t>The following table sets forth sales for the first quarter of fiscal 1998 and 1997:</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8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rPr>
              <w:t>For the Three Months Ended</w:t>
            </w:r>
          </w:p>
        </w:tc>
        <w:tc>
          <w:tcPr>
            <w:tcW w:w="1220" w:type="dxa"/>
            <w:vAlign w:val="bottom"/>
          </w:tcPr>
          <w:p>
            <w:pPr>
              <w:spacing w:after="0"/>
              <w:rPr>
                <w:sz w:val="15"/>
                <w:szCs w:val="15"/>
                <w:color w:val="auto"/>
              </w:rPr>
            </w:pPr>
          </w:p>
        </w:tc>
      </w:tr>
      <w:tr>
        <w:trPr>
          <w:trHeight w:val="188"/>
        </w:trPr>
        <w:tc>
          <w:tcPr>
            <w:tcW w:w="3860" w:type="dxa"/>
            <w:vAlign w:val="bottom"/>
          </w:tcPr>
          <w:p>
            <w:pPr>
              <w:spacing w:after="0"/>
              <w:rPr>
                <w:sz w:val="16"/>
                <w:szCs w:val="16"/>
                <w:color w:val="auto"/>
              </w:rPr>
            </w:pPr>
          </w:p>
        </w:tc>
        <w:tc>
          <w:tcPr>
            <w:tcW w:w="3280" w:type="dxa"/>
            <w:vAlign w:val="bottom"/>
            <w:gridSpan w:val="2"/>
          </w:tcPr>
          <w:p>
            <w:pPr>
              <w:ind w:left="1900"/>
              <w:spacing w:after="0"/>
              <w:rPr>
                <w:sz w:val="20"/>
                <w:szCs w:val="20"/>
                <w:color w:val="auto"/>
              </w:rPr>
            </w:pPr>
            <w:r>
              <w:rPr>
                <w:rFonts w:ascii="Courier New" w:cs="Courier New" w:eastAsia="Courier New" w:hAnsi="Courier New"/>
                <w:sz w:val="10"/>
                <w:szCs w:val="10"/>
                <w:color w:val="auto"/>
                <w:w w:val="73"/>
              </w:rPr>
              <w:t>-------------------------------</w:t>
            </w:r>
          </w:p>
        </w:tc>
        <w:tc>
          <w:tcPr>
            <w:tcW w:w="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w w:val="99"/>
              </w:rPr>
              <w:t>Period to</w:t>
            </w:r>
          </w:p>
        </w:tc>
      </w:tr>
      <w:tr>
        <w:trPr>
          <w:trHeight w:val="188"/>
        </w:trPr>
        <w:tc>
          <w:tcPr>
            <w:tcW w:w="3860" w:type="dxa"/>
            <w:vAlign w:val="bottom"/>
          </w:tcPr>
          <w:p>
            <w:pPr>
              <w:spacing w:after="0"/>
              <w:rPr>
                <w:sz w:val="16"/>
                <w:szCs w:val="16"/>
                <w:color w:val="auto"/>
              </w:rPr>
            </w:pPr>
          </w:p>
        </w:tc>
        <w:tc>
          <w:tcPr>
            <w:tcW w:w="32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January 3,</w:t>
            </w:r>
          </w:p>
        </w:tc>
        <w:tc>
          <w:tcPr>
            <w:tcW w:w="20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December 28,</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Period</w:t>
            </w:r>
          </w:p>
        </w:tc>
      </w:tr>
      <w:tr>
        <w:trPr>
          <w:trHeight w:val="188"/>
        </w:trPr>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1998</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1996</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 Change</w:t>
            </w:r>
          </w:p>
        </w:tc>
      </w:tr>
      <w:tr>
        <w:trPr>
          <w:trHeight w:val="188"/>
        </w:trPr>
        <w:tc>
          <w:tcPr>
            <w:tcW w:w="3860" w:type="dxa"/>
            <w:vAlign w:val="bottom"/>
          </w:tcPr>
          <w:p>
            <w:pPr>
              <w:spacing w:after="0"/>
              <w:rPr>
                <w:sz w:val="16"/>
                <w:szCs w:val="16"/>
                <w:color w:val="auto"/>
              </w:rPr>
            </w:pPr>
          </w:p>
        </w:tc>
        <w:tc>
          <w:tcPr>
            <w:tcW w:w="32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752"/>
        </w:trPr>
        <w:tc>
          <w:tcPr>
            <w:tcW w:w="3860" w:type="dxa"/>
            <w:vAlign w:val="bottom"/>
          </w:tcPr>
          <w:p>
            <w:pPr>
              <w:spacing w:after="0"/>
              <w:rPr>
                <w:sz w:val="20"/>
                <w:szCs w:val="20"/>
                <w:color w:val="auto"/>
              </w:rPr>
            </w:pPr>
            <w:r>
              <w:rPr>
                <w:rFonts w:ascii="Courier New" w:cs="Courier New" w:eastAsia="Courier New" w:hAnsi="Courier New"/>
                <w:sz w:val="16"/>
                <w:szCs w:val="16"/>
                <w:color w:val="auto"/>
              </w:rPr>
              <w:t>Consumer Lawns</w:t>
            </w:r>
          </w:p>
        </w:tc>
        <w:tc>
          <w:tcPr>
            <w:tcW w:w="2200" w:type="dxa"/>
            <w:vAlign w:val="bottom"/>
          </w:tcPr>
          <w:p>
            <w:pPr>
              <w:jc w:val="right"/>
              <w:ind w:right="223"/>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30.4</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33.8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Consumer Gardens</w:t>
            </w: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12.3</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10.4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18.3</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Consumer Organics</w:t>
            </w: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16.3</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14.4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13.2</w:t>
            </w:r>
          </w:p>
        </w:tc>
      </w:tr>
      <w:tr>
        <w:trPr>
          <w:trHeight w:val="188"/>
        </w:trPr>
        <w:tc>
          <w:tcPr>
            <w:tcW w:w="3860" w:type="dxa"/>
            <w:vAlign w:val="bottom"/>
          </w:tcPr>
          <w:p>
            <w:pPr>
              <w:spacing w:after="0"/>
              <w:rPr>
                <w:sz w:val="16"/>
                <w:szCs w:val="16"/>
                <w:color w:val="auto"/>
              </w:rPr>
            </w:pPr>
          </w:p>
        </w:tc>
        <w:tc>
          <w:tcPr>
            <w:tcW w:w="32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r>
      <w:tr>
        <w:trPr>
          <w:trHeight w:val="188"/>
        </w:trPr>
        <w:tc>
          <w:tcPr>
            <w:tcW w:w="3860" w:type="dxa"/>
            <w:vAlign w:val="bottom"/>
          </w:tcPr>
          <w:p>
            <w:pPr>
              <w:ind w:left="400"/>
              <w:spacing w:after="0"/>
              <w:rPr>
                <w:sz w:val="20"/>
                <w:szCs w:val="20"/>
                <w:color w:val="auto"/>
              </w:rPr>
            </w:pPr>
            <w:r>
              <w:rPr>
                <w:rFonts w:ascii="Courier New" w:cs="Courier New" w:eastAsia="Courier New" w:hAnsi="Courier New"/>
                <w:sz w:val="16"/>
                <w:szCs w:val="16"/>
                <w:color w:val="auto"/>
              </w:rPr>
              <w:t>Domestic Consumer</w:t>
            </w: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59.0</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58.6</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0.7</w:t>
            </w:r>
          </w:p>
        </w:tc>
      </w:tr>
      <w:tr>
        <w:trPr>
          <w:trHeight w:val="376"/>
        </w:trPr>
        <w:tc>
          <w:tcPr>
            <w:tcW w:w="386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2200" w:type="dxa"/>
            <w:vAlign w:val="bottom"/>
          </w:tcPr>
          <w:p>
            <w:pPr>
              <w:spacing w:after="0"/>
              <w:rPr>
                <w:sz w:val="24"/>
                <w:szCs w:val="24"/>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32.4</w:t>
            </w:r>
          </w:p>
        </w:tc>
        <w:tc>
          <w:tcPr>
            <w:tcW w:w="640" w:type="dxa"/>
            <w:vAlign w:val="bottom"/>
          </w:tcPr>
          <w:p>
            <w:pPr>
              <w:spacing w:after="0"/>
              <w:rPr>
                <w:sz w:val="24"/>
                <w:szCs w:val="24"/>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26.6</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21.8</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33.7</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15.0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124.7</w:t>
            </w:r>
          </w:p>
        </w:tc>
      </w:tr>
      <w:tr>
        <w:trPr>
          <w:trHeight w:val="188"/>
        </w:trPr>
        <w:tc>
          <w:tcPr>
            <w:tcW w:w="3860" w:type="dxa"/>
            <w:vAlign w:val="bottom"/>
          </w:tcPr>
          <w:p>
            <w:pPr>
              <w:spacing w:after="0"/>
              <w:rPr>
                <w:sz w:val="16"/>
                <w:szCs w:val="16"/>
                <w:color w:val="auto"/>
              </w:rPr>
            </w:pPr>
          </w:p>
        </w:tc>
        <w:tc>
          <w:tcPr>
            <w:tcW w:w="32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r>
      <w:tr>
        <w:trPr>
          <w:trHeight w:val="188"/>
        </w:trPr>
        <w:tc>
          <w:tcPr>
            <w:tcW w:w="3860" w:type="dxa"/>
            <w:vAlign w:val="bottom"/>
          </w:tcPr>
          <w:p>
            <w:pPr>
              <w:ind w:left="400"/>
              <w:spacing w:after="0"/>
              <w:rPr>
                <w:sz w:val="20"/>
                <w:szCs w:val="20"/>
                <w:color w:val="auto"/>
              </w:rPr>
            </w:pPr>
            <w:r>
              <w:rPr>
                <w:rFonts w:ascii="Courier New" w:cs="Courier New" w:eastAsia="Courier New" w:hAnsi="Courier New"/>
                <w:sz w:val="16"/>
                <w:szCs w:val="16"/>
                <w:color w:val="auto"/>
              </w:rPr>
              <w:t>Consolidated</w:t>
            </w:r>
          </w:p>
        </w:tc>
        <w:tc>
          <w:tcPr>
            <w:tcW w:w="2200" w:type="dxa"/>
            <w:vAlign w:val="bottom"/>
          </w:tcPr>
          <w:p>
            <w:pPr>
              <w:ind w:left="19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5"/>
              </w:rPr>
              <w:t>125.1</w:t>
            </w:r>
          </w:p>
        </w:tc>
        <w:tc>
          <w:tcPr>
            <w:tcW w:w="6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100.2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w:t>
            </w:r>
          </w:p>
        </w:tc>
      </w:tr>
      <w:tr>
        <w:trPr>
          <w:trHeight w:val="188"/>
        </w:trPr>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5"/>
              </w:rPr>
              <w:t>=====</w:t>
            </w:r>
          </w:p>
        </w:tc>
        <w:tc>
          <w:tcPr>
            <w:tcW w:w="64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right="3020"/>
        <w:spacing w:after="0" w:line="252" w:lineRule="auto"/>
        <w:rPr>
          <w:sz w:val="20"/>
          <w:szCs w:val="20"/>
          <w:color w:val="auto"/>
        </w:rPr>
      </w:pPr>
      <w:r>
        <w:rPr>
          <w:rFonts w:ascii="Courier New" w:cs="Courier New" w:eastAsia="Courier New" w:hAnsi="Courier New"/>
          <w:sz w:val="16"/>
          <w:szCs w:val="16"/>
          <w:color w:val="auto"/>
        </w:rPr>
        <w:t>The following table sets forth the components of income and expense for the first quarter of fiscal 1998 and 1997 on a percent-of-sales basis: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38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For the Three Months Ended</w:t>
            </w:r>
          </w:p>
        </w:tc>
        <w:tc>
          <w:tcPr>
            <w:tcW w:w="1180" w:type="dxa"/>
            <w:vAlign w:val="bottom"/>
          </w:tcPr>
          <w:p>
            <w:pPr>
              <w:spacing w:after="0"/>
              <w:rPr>
                <w:sz w:val="15"/>
                <w:szCs w:val="15"/>
                <w:color w:val="auto"/>
              </w:rPr>
            </w:pPr>
          </w:p>
        </w:tc>
      </w:tr>
      <w:tr>
        <w:trPr>
          <w:trHeight w:val="188"/>
        </w:trPr>
        <w:tc>
          <w:tcPr>
            <w:tcW w:w="5280" w:type="dxa"/>
            <w:vAlign w:val="bottom"/>
          </w:tcPr>
          <w:p>
            <w:pPr>
              <w:spacing w:after="0"/>
              <w:rPr>
                <w:sz w:val="16"/>
                <w:szCs w:val="16"/>
                <w:color w:val="auto"/>
              </w:rPr>
            </w:pPr>
          </w:p>
        </w:tc>
        <w:tc>
          <w:tcPr>
            <w:tcW w:w="38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Period to</w:t>
            </w:r>
          </w:p>
        </w:tc>
      </w:tr>
      <w:tr>
        <w:trPr>
          <w:trHeight w:val="188"/>
        </w:trPr>
        <w:tc>
          <w:tcPr>
            <w:tcW w:w="5280" w:type="dxa"/>
            <w:vAlign w:val="bottom"/>
          </w:tcPr>
          <w:p>
            <w:pPr>
              <w:spacing w:after="0"/>
              <w:rPr>
                <w:sz w:val="16"/>
                <w:szCs w:val="16"/>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January 3,</w:t>
            </w:r>
          </w:p>
        </w:tc>
        <w:tc>
          <w:tcPr>
            <w:tcW w:w="19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December 28,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Period</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1998</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Change</w:t>
            </w:r>
          </w:p>
        </w:tc>
      </w:tr>
      <w:tr>
        <w:trPr>
          <w:trHeight w:val="188"/>
        </w:trPr>
        <w:tc>
          <w:tcPr>
            <w:tcW w:w="5280" w:type="dxa"/>
            <w:vAlign w:val="bottom"/>
          </w:tcPr>
          <w:p>
            <w:pPr>
              <w:spacing w:after="0"/>
              <w:rPr>
                <w:sz w:val="16"/>
                <w:szCs w:val="16"/>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24.9%</w:t>
            </w:r>
          </w:p>
        </w:tc>
      </w:tr>
      <w:tr>
        <w:trPr>
          <w:trHeight w:val="188"/>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66.7</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67.5</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188"/>
        </w:trPr>
        <w:tc>
          <w:tcPr>
            <w:tcW w:w="52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33.3</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32.5</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27.6</w:t>
            </w: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8"/>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Advertising and promotion</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8.2</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w:t>
            </w:r>
          </w:p>
        </w:tc>
      </w:tr>
      <w:tr>
        <w:trPr>
          <w:trHeight w:val="188"/>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 administrative</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25.5</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26.1</w:t>
            </w:r>
          </w:p>
        </w:tc>
      </w:tr>
      <w:tr>
        <w:trPr>
          <w:trHeight w:val="188"/>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2.2</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w:t>
            </w:r>
          </w:p>
        </w:tc>
      </w:tr>
      <w:tr>
        <w:trPr>
          <w:trHeight w:val="188"/>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Other expenses (income), net</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(0.2)</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w:t>
            </w: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5.4</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Loss before income taxes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8"/>
        </w:trPr>
        <w:tc>
          <w:tcPr>
            <w:tcW w:w="528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bl>
    <w:p>
      <w:pPr>
        <w:sectPr>
          <w:pgSz w:w="11900" w:h="16838" w:orient="portrait"/>
          <w:cols w:equalWidth="0" w:num="1">
            <w:col w:w="10360"/>
          </w:cols>
          <w:pgMar w:left="240" w:top="305" w:right="1299"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Loss applicable to common shareholders</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nm</w:t>
      </w:r>
    </w:p>
    <w:p>
      <w:pPr>
        <w:spacing w:after="0" w:line="387" w:lineRule="exact"/>
        <w:rPr>
          <w:sz w:val="20"/>
          <w:szCs w:val="20"/>
          <w:color w:val="auto"/>
        </w:rPr>
      </w:pPr>
    </w:p>
    <w:p>
      <w:pPr>
        <w:sectPr>
          <w:pgSz w:w="11900" w:h="16838" w:orient="portrait"/>
          <w:cols w:equalWidth="0" w:num="4">
            <w:col w:w="5140" w:space="720"/>
            <w:col w:w="1140" w:space="720"/>
            <w:col w:w="1520" w:space="720"/>
            <w:col w:w="259"/>
          </w:cols>
          <w:pgMar w:left="240" w:top="142"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219"/>
          </w:cols>
          <w:pgMar w:left="240" w:top="142"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January 3, 1998 versus the Three Months Ended December 28,</w:t>
      </w:r>
    </w:p>
    <w:p>
      <w:pPr>
        <w:spacing w:after="0" w:line="7" w:lineRule="exact"/>
        <w:rPr>
          <w:sz w:val="20"/>
          <w:szCs w:val="20"/>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1996</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for the three months ended January 3, 1998 totaled $125.1, an increase of $24.9 or 24.9% over prior year. On a pro forma basis, assuming Levington and the remaining two-thirds interest in Miracle Holdings were acquired at the beginning of fiscal 1997, sales for the first quarter of fiscal 1998 would have been $143.1, an increase of $6.4 or 4.7% over pro forma sales for the first quarter of fiscal 1997. Excluding the effects of currency translation, pro forma sales would have been 5.7% higher than the first quarter of the prior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Consumer segment sales totaled $59.0, an increase of 0.7% over prior year. The flat results reflect the offsetting of increases in the Consumer Gardens (18.3%) and Consumer Organics (13.2%) operating groups with a decrease in sales for the Consumer Lawns group (10.1%). Growth in sales for the Consumer Gardens group stems from increased demand for both Miracle-Gro(R) and Osmocote(R) products, while the change in the Consumer Organics group reflects increased sales of value-added products carrying the Scotts(R) and Miracle-Gro(R) brand names. The decrease in Consumer Lawns sales was driven by an effort to provide customers with products at times which more closely match their buying needs. This shift in pre-season buying patterns out of the first quarter is expected to benefit sales recorded during the second quarter of fiscal 1998.</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Professional segment sales increased 21.8% to $32.4 in the first quarter of fiscal 1998. The increase in Professional sales was largely driven by an objective similar to that sought by the Consumer Lawns Group. By more closely matching product sales with consumer needs, sales which historically would have been reflected in the fourth quarter of fiscal 1997 were shifted into the first quarter of fiscal 1998.</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International segment sales increased to $33.7, or 124.7%, in the first quarter of fiscal 1998. On a pro forma basis, assuming Levington and the remaining two-thirds interest in Miracle Holdings were acquired at the beginning of fiscal 1997, sales for the first quarter of fiscal 1998 would have been $51.7, an increase of 0.4% over pro forma sales for the first quarter of fiscal 1997. Excluding the effects of currency translation, pro forma sales would have been 3.1% higher than the first quarter of the prior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Gross margin increased to 33.3% of sales in the first quarter of fiscal 1998, a 0.8% improvement compared to 32.5% in the prior year. This increase is primarily due to the International acquisitions. Excluding such acquisitions, gross margin would have decreased 0.6%, primarily due to product mix in European businesses and start-up costs incurred subsequent to the upgrade of certain domestic manufacturing lines.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Advertising and promotion expenses increased by $0.5, or 5.1%, to $10.3 for the first quarter of 1998. The impact of international acquisitions on advertising expense in the first quarter of fiscal 1998 ($3.3) more than offset a decrease in advertising and promotions primarily resulting from the shift in consumer pre-season buying patterns experienced by the Consumer Lawns Group. Overall, the Company is committed to maintain, or somewhat increase, advertising levels for fiscal 1998 in comparison to fiscal 1997, and promotional expense will likely increase due to anticipated higher sales volumes.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Selling, general and administrative expenses increased $6.6, or 26.1%, to $31.9. As a percentage of sales, selling, general and administrative expense increased to 25.5% from 25.2% in the prior year. Excluding the international acquisitions, selling, general and administrative expenses increased approximately $2.6, primarily due to incremental incentives associated with the first quarter of fiscal 1998 sales level, as well as costs associated with Year 2000 issues and other system infrastructure improvements.</w:t>
      </w:r>
    </w:p>
    <w:p>
      <w:pPr>
        <w:spacing w:after="0" w:line="18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Amortization of goodwill and other intangibles increased $0.5, or 22.7%, as a result of the inclusion of Levington and Miracle Holdings in the first quarter of fiscal 1998.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9"/>
          </w:cols>
          <w:pgMar w:left="240" w:top="30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Other expense (income), increased favorably by $0.6 primarily due to royalty agreements in place in the first quarter of fiscal 1998 which did not exist in the prior year.</w:t>
      </w:r>
    </w:p>
    <w:p>
      <w:pPr>
        <w:spacing w:after="0" w:line="18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Primarily as a result of the Levington and Miracle Holdings acquisitions, loss from operations improved to $3.0 in the first quarter of fiscal 1998, compared to $5.0 in the prior year. On a pro forma basis, income from operations would have been a loss of $0.5 in the first quarter of 1998, compared to income of $0.4 in the prior year.</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Interest expense increased $1.1, or 19.6% in the first quarter of 1998. Excluding borrowings associated with the Levington and Miracle Holdings acquisitions, interest expense decreased approximately $1.1, primarily due to a $50.3 reduction in average borrowings for the quarter.</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effective tax rate was 43.2% in both the first quarter of 1998 and 1997. The Company's effective tax rate is slightly higher than statutory rates due to non-tax deductible amortization of goodwill and certain intangibles in the U.S.</w:t>
      </w:r>
    </w:p>
    <w:p>
      <w:pPr>
        <w:spacing w:after="0" w:line="376"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During the first quarter of fiscal 1998, the Company reported a net loss of $5.5, or $.42 per common share, compared with a net loss of $6.0, or $.45 per common share, for the first quarter of fiscal 1997. Had Levington and Miracle Holdings been fully consolidated in both the first quarter of fiscal 1998 and 1997, the net loss on a pro forma basis would have been $4.7 in fiscal 1998 compared to $4.6 for fiscal 1997, with a loss per common share of $.38 in both periods.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Cash used in operating activities totaled $88.5 for the three month period ended January 3, 1998 compared to $63.9 in the prior year. The seasonal nature of the Company's operations results in a significant increase in certain components of working capital (primarily inventory and accounts receivable) during the first and second quarters. The third fiscal quarter is a significant period for collecting accounts receivable. The higher level of cash used in operating activities for the first quarter of fiscal 1998 is attributable to the increased build of inventory levels needed to cover expected sales, as well as cash required for operations acquired subsequent to December 1996.</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Cash used in investing activities totaled $96.4 compared to $1.2 in the prior year. This increase is primarily attributable to cash used for the acquisition of Levington of approximately $88.8, net of cash acquired. Capital investments were $7.6 in the first quarter of fiscal 1998, a $6.4 increase in comparison to the prior year. This increase is primarily attributable to the completion of the warehouse facility and the installation of new packaging lines, both in Marysville, as well as the acquisition of additional warehousing space in the Netherlands.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Financing activities provided $192.4 for the first quarter of fiscal 1998 compared to $60.3 in the prior year. Financing activities are principally supported by the Company's Credit Agreement. Approximately $106.1 of the increase from the prior year relates to financing the Levington acquisition. On a net basis, approximately $88.8 of the borrowings were used to purchase the shares of Levington and refinance Levington's existing debt instruments. The remainder of the Levington-related borrowings were used to satisfy certain escrow arrangements which management believes will be eliminated in the second quarter, as well as working capital requirements. Other borrowings of $86.3 were primarily a result of working capital requirements.</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Total debt was $418.2 as of January 3, 1998, an increase of $196.9 compared with debt at September 30, 1997 and an increase of $129.9 compared with debt levels at December 28, 1996. Borrowings associated with the Levington acquisition were approximately $106.1 at January 3, 1998. The remaining increase compared to September 30, 1997 is primarily due to higher working capital requirements as well as capital expenditures. Borrowings associated with Miracle Holdings (acquisition funding net of subsequent cash flow) were approximately $68.8 at January 3, 1998. The remaining $45.0 decrease compared to December 28, 1996 is attributable to the Company's strong fiscal 1997 operating cash flows.</w:t>
      </w:r>
    </w:p>
    <w:p>
      <w:pPr>
        <w:spacing w:after="0" w:line="200" w:lineRule="exact"/>
        <w:rPr>
          <w:sz w:val="20"/>
          <w:szCs w:val="20"/>
          <w:color w:val="auto"/>
        </w:rPr>
      </w:pPr>
    </w:p>
    <w:p>
      <w:pPr>
        <w:spacing w:after="0" w:line="36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305" w:right="1440" w:bottom="563"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Shareholders' equity as of January 3, 1998 was $380.5 representing a $8.7 decrease compared to September 30, 1997 and a $25.4 increase compared to December 28, 1996. The decrease compared to September 30, 1997 is attributable to a net loss of $5.5, Convertible Preferred Stock dividends of $2.4, an unfavorable change in cumulative foreign currency translation of $1.2 and favorable treasury stock activity of $0.4. The increase compared to December 28, 1996 is attributable to net income for the twelve month period ended January 3, 1998 of $40.0, Convertible preferred stock dividends of $9.8, unfavorable changes in cumulative foreign currency translation of $6.9 and favorable treasury stock activity of $2.1.</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has foreign exchange risk related to international operations and cash flows. The Company has historically entered into forward foreign exchange contracts and purchased currency options to hedge its exposure to fluctuations in foreign currency exchange rates. The Company is currently in the process of reassessing its foreign exchange policy in light of actions taken internally to reduce such exposures.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of January 3, 1998, the Company's European operations had foreign exchange risk in various European currencies tied to the Dutch Guilder. These currencies include the Belgian Franc, Spanish Peseta, French Franc, British Pound, Italian Lire, Australian Dollar and the U.S. Dollar. The Company's U.S. operations had foreign exchange rate risk in the Canadian Dollar, Dutch Guilder and the British Pound which are tied to the U.S. Dollar.</w:t>
      </w:r>
    </w:p>
    <w:p>
      <w:pPr>
        <w:spacing w:after="0" w:line="18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fiscal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6 to the Company's Consolidated Financial Statements and in the Annual Report on Form 10-K to the Securities and Exchange Commission for the year ended September 30, 1997 under the "Business - Environmental and Regulatory Considerations" section.</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developed a long-term information systems strategy, one aspect of which is to address exposures related to the impact on its computer systems of the Year 2000 issues. Key financial, information and operational systems have been assessed and plans developed in order to mitigate the Year 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The Company has also engaged an outside consultant to review the Company's plans for addressing the Year 2000 issues and to assist in implementation. Management believes its plans will adequately address the Year 2000 issues and does not currently anticipate a material impact on the Company as a result of addressing these issues. However, if such conversions and upgrades are not made, or are not timely completed, the Year 2000 issues could have a material impact on the operations of the Company.</w:t>
      </w:r>
    </w:p>
    <w:p>
      <w:pPr>
        <w:spacing w:after="0" w:line="200" w:lineRule="exact"/>
        <w:rPr>
          <w:sz w:val="20"/>
          <w:szCs w:val="20"/>
          <w:color w:val="auto"/>
        </w:rPr>
      </w:pPr>
    </w:p>
    <w:p>
      <w:pPr>
        <w:spacing w:after="0" w:line="36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305" w:right="1440" w:bottom="1440" w:gutter="0" w:footer="0" w:header="0"/>
        </w:sectPr>
      </w:pPr>
    </w:p>
    <w:bookmarkStart w:id="19" w:name="page20"/>
    <w:bookmarkEnd w:id="19"/>
    <w:p>
      <w:pPr>
        <w:spacing w:after="0" w:line="2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On February 13, 1998, the Company completed its acquisition of all of the outstanding shares of Earthgro, Inc. for approximately $47.0 including assumption of debt and estimated deal costs. Earthgro is a regional organics company headquartered in Glastonbury, Connecticut, with production facilities located in Maine, New Jersey, Pennsylvania, Connecticut, Virginia and North Carolina.</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On February 2, 1998, the Company acquired an 80% interest in Sanford Scientific, Inc. ("SSI") a leading research company in the rapidly advancing field of genetic engineering of plants. SSI holds the exclusive license to use biolistic ("gene gun") technology in the commercial development of genetically transformed grasses, flowers and plants.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 FOR THE REMAINDER OF 1998</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strong financial results of fiscal 1997 represent the base year in the Company's long-term strategy for profitable growth. Although still relatively early in fiscal 1998, management believes the Company is on course towards fulfilling the following tenets which it established as part of its strategic plan:</w:t>
      </w:r>
    </w:p>
    <w:p>
      <w:pPr>
        <w:spacing w:after="0" w:line="187" w:lineRule="exact"/>
        <w:rPr>
          <w:sz w:val="20"/>
          <w:szCs w:val="20"/>
          <w:color w:val="auto"/>
        </w:rPr>
      </w:pPr>
    </w:p>
    <w:p>
      <w:pPr>
        <w:ind w:left="480" w:right="2599" w:hanging="480"/>
        <w:spacing w:after="0" w:line="248"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and Hyponex(R) industry-leading brands. This involves a commitment to our investors and retail partners that we will support these brands through advertising and promotion unequaled in the lawn and garden consumables market. In the Professional categories of our business, it signifies a commitment to our customers to provide value and an integral element in their long-term success;</w:t>
      </w:r>
    </w:p>
    <w:p>
      <w:pPr>
        <w:spacing w:after="0" w:line="4" w:lineRule="exact"/>
        <w:rPr>
          <w:rFonts w:ascii="Courier New" w:cs="Courier New" w:eastAsia="Courier New" w:hAnsi="Courier New"/>
          <w:sz w:val="16"/>
          <w:szCs w:val="16"/>
          <w:color w:val="auto"/>
        </w:rPr>
      </w:pPr>
    </w:p>
    <w:p>
      <w:pPr>
        <w:ind w:left="480" w:right="2399" w:hanging="480"/>
        <w:spacing w:after="0" w:line="252"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commitment to continuously study and improve our knowledge of the market, the consumer and the competition;</w:t>
      </w:r>
    </w:p>
    <w:p>
      <w:pPr>
        <w:spacing w:after="0" w:line="183" w:lineRule="exact"/>
        <w:rPr>
          <w:rFonts w:ascii="Courier New" w:cs="Courier New" w:eastAsia="Courier New" w:hAnsi="Courier New"/>
          <w:sz w:val="16"/>
          <w:szCs w:val="16"/>
          <w:color w:val="auto"/>
        </w:rPr>
      </w:pPr>
    </w:p>
    <w:p>
      <w:pPr>
        <w:ind w:left="480" w:right="2599" w:hanging="480"/>
        <w:spacing w:after="0" w:line="248"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Simplification of our product lines and business processes, to focus on those that deliver value, evaluate marginal ones and eliminate those that lack future prospects; and</w:t>
      </w:r>
    </w:p>
    <w:p>
      <w:pPr>
        <w:spacing w:after="0" w:line="1" w:lineRule="exact"/>
        <w:rPr>
          <w:rFonts w:ascii="Courier New" w:cs="Courier New" w:eastAsia="Courier New" w:hAnsi="Courier New"/>
          <w:sz w:val="16"/>
          <w:szCs w:val="16"/>
          <w:color w:val="auto"/>
        </w:rPr>
      </w:pPr>
    </w:p>
    <w:p>
      <w:pPr>
        <w:ind w:left="480" w:right="2499" w:hanging="480"/>
        <w:spacing w:after="0" w:line="252"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acquisitions of Levington, Earthgro and SSI are symbolic of the Company's intention to consider acquisition opportunities in related or new markets. Within the Company's four-year strategic plan, management has established challenging, but realistic, financial goals, including:</w:t>
      </w:r>
    </w:p>
    <w:p>
      <w:pPr>
        <w:spacing w:after="0" w:line="188" w:lineRule="exact"/>
        <w:rPr>
          <w:sz w:val="20"/>
          <w:szCs w:val="20"/>
          <w:color w:val="auto"/>
        </w:rPr>
      </w:pPr>
    </w:p>
    <w:p>
      <w:pPr>
        <w:ind w:left="580" w:hanging="580"/>
        <w:spacing w:after="0"/>
        <w:tabs>
          <w:tab w:leader="none" w:pos="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6% to 8% in core businesses;</w:t>
      </w:r>
    </w:p>
    <w:p>
      <w:pPr>
        <w:spacing w:after="0" w:line="6" w:lineRule="exact"/>
        <w:rPr>
          <w:rFonts w:ascii="Courier New" w:cs="Courier New" w:eastAsia="Courier New" w:hAnsi="Courier New"/>
          <w:sz w:val="16"/>
          <w:szCs w:val="16"/>
          <w:color w:val="auto"/>
        </w:rPr>
      </w:pPr>
    </w:p>
    <w:p>
      <w:pPr>
        <w:ind w:left="580" w:right="2799" w:hanging="580"/>
        <w:spacing w:after="0" w:line="248" w:lineRule="auto"/>
        <w:tabs>
          <w:tab w:leader="none" w:pos="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at least 2% over the next four years; and</w:t>
      </w:r>
    </w:p>
    <w:p>
      <w:pPr>
        <w:spacing w:after="0" w:line="1"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EPS growth of 15%.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made and will make certain forward-looking statements in its Annual Report, Form 10-Q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These forward-looking statements represent challenging goals for the Company, and the achievement thereof is subject to a variety of risks and assumptions.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187" w:lineRule="exact"/>
        <w:rPr>
          <w:sz w:val="20"/>
          <w:szCs w:val="20"/>
          <w:color w:val="auto"/>
        </w:rPr>
      </w:pPr>
    </w:p>
    <w:p>
      <w:pPr>
        <w:ind w:left="1360" w:right="2699" w:hanging="382"/>
        <w:spacing w:after="0" w:line="250"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which have a significant impact on the timing of sales in the Spring selling season and overall annual sales;</w:t>
      </w:r>
    </w:p>
    <w:p>
      <w:pPr>
        <w:spacing w:after="0" w:line="185" w:lineRule="exact"/>
        <w:rPr>
          <w:rFonts w:ascii="Courier New" w:cs="Courier New" w:eastAsia="Courier New" w:hAnsi="Courier New"/>
          <w:sz w:val="16"/>
          <w:szCs w:val="16"/>
          <w:color w:val="auto"/>
        </w:rPr>
      </w:pPr>
    </w:p>
    <w:p>
      <w:pPr>
        <w:ind w:left="1360" w:right="2599" w:hanging="382"/>
        <w:spacing w:after="0" w:line="250"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marketplace acceptance of the Company's Consumer Lawns and Consumer Gardens groups' "pull" advertising marketing strategies, particularly in the Consumer Lawns group which</w:t>
      </w:r>
    </w:p>
    <w:p>
      <w:pPr>
        <w:sectPr>
          <w:pgSz w:w="11900" w:h="16859" w:orient="portrait"/>
          <w:cols w:equalWidth="0" w:num="1">
            <w:col w:w="10219"/>
          </w:cols>
          <w:pgMar w:left="240" w:top="305" w:right="1440" w:bottom="0" w:gutter="0" w:footer="0" w:header="0"/>
        </w:sectPr>
      </w:pPr>
    </w:p>
    <w:bookmarkStart w:id="20" w:name="page21"/>
    <w:bookmarkEnd w:id="20"/>
    <w:p>
      <w:pPr>
        <w:ind w:left="160"/>
        <w:spacing w:after="0"/>
        <w:rPr>
          <w:sz w:val="20"/>
          <w:szCs w:val="20"/>
          <w:color w:val="auto"/>
        </w:rPr>
      </w:pPr>
      <w:r>
        <w:rPr>
          <w:rFonts w:ascii="Courier New" w:cs="Courier New" w:eastAsia="Courier New" w:hAnsi="Courier New"/>
          <w:sz w:val="16"/>
          <w:szCs w:val="16"/>
          <w:color w:val="auto"/>
        </w:rPr>
        <w:t>refocused its general marketing strategy beginning in fiscal 1996;</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9019"/>
          </w:cols>
          <w:pgMar w:left="1440" w:top="142"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60" w:right="2499" w:hanging="382"/>
        <w:spacing w:after="0" w:line="24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profit margins on its products, to produce its products on a timely basis, and to maintain and develop additional production capacity as necessary to meet demand;</w:t>
      </w:r>
    </w:p>
    <w:p>
      <w:pPr>
        <w:spacing w:after="0" w:line="187" w:lineRule="exact"/>
        <w:rPr>
          <w:rFonts w:ascii="Courier New" w:cs="Courier New" w:eastAsia="Courier New" w:hAnsi="Courier New"/>
          <w:sz w:val="16"/>
          <w:szCs w:val="16"/>
          <w:color w:val="auto"/>
        </w:rPr>
      </w:pPr>
    </w:p>
    <w:p>
      <w:pPr>
        <w:ind w:left="1060" w:right="2399" w:hanging="382"/>
        <w:spacing w:after="0" w:line="250"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among lawn and garden care product producers supplying the consumer and professional markets, both in North America and Europe;</w:t>
      </w:r>
    </w:p>
    <w:p>
      <w:pPr>
        <w:spacing w:after="0" w:line="185" w:lineRule="exact"/>
        <w:rPr>
          <w:rFonts w:ascii="Courier New" w:cs="Courier New" w:eastAsia="Courier New" w:hAnsi="Courier New"/>
          <w:sz w:val="16"/>
          <w:szCs w:val="16"/>
          <w:color w:val="auto"/>
        </w:rPr>
      </w:pPr>
    </w:p>
    <w:p>
      <w:pPr>
        <w:ind w:left="1060" w:right="2399" w:hanging="382"/>
        <w:spacing w:after="0" w:line="250"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between and the recent consolidation within the retail outlets selling lawn and garden care products produced by the Company;</w:t>
      </w:r>
    </w:p>
    <w:p>
      <w:pPr>
        <w:spacing w:after="0" w:line="185" w:lineRule="exact"/>
        <w:rPr>
          <w:rFonts w:ascii="Courier New" w:cs="Courier New" w:eastAsia="Courier New" w:hAnsi="Courier New"/>
          <w:sz w:val="16"/>
          <w:szCs w:val="16"/>
          <w:color w:val="auto"/>
        </w:rPr>
      </w:pPr>
    </w:p>
    <w:p>
      <w:pPr>
        <w:ind w:left="1060" w:right="2599" w:hanging="382"/>
        <w:spacing w:after="0" w:line="252"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regarding the safety of the products produced and marketed by the Company;</w:t>
      </w:r>
    </w:p>
    <w:p>
      <w:pPr>
        <w:spacing w:after="0" w:line="183" w:lineRule="exact"/>
        <w:rPr>
          <w:rFonts w:ascii="Courier New" w:cs="Courier New" w:eastAsia="Courier New" w:hAnsi="Courier New"/>
          <w:sz w:val="16"/>
          <w:szCs w:val="16"/>
          <w:color w:val="auto"/>
        </w:rPr>
      </w:pPr>
    </w:p>
    <w:p>
      <w:pPr>
        <w:jc w:val="both"/>
        <w:ind w:left="1060" w:right="2699" w:hanging="382"/>
        <w:spacing w:after="0" w:line="24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Inherent risks of international development, including currency exchange rates, economic conditions and regulatory and cultural difficulties or delays in the Company's development outside the United States;</w:t>
      </w:r>
    </w:p>
    <w:p>
      <w:pPr>
        <w:spacing w:after="0" w:line="187" w:lineRule="exact"/>
        <w:rPr>
          <w:rFonts w:ascii="Courier New" w:cs="Courier New" w:eastAsia="Courier New" w:hAnsi="Courier New"/>
          <w:sz w:val="16"/>
          <w:szCs w:val="16"/>
          <w:color w:val="auto"/>
        </w:rPr>
      </w:pPr>
    </w:p>
    <w:p>
      <w:pPr>
        <w:ind w:left="1060" w:right="2399" w:hanging="382"/>
        <w:spacing w:after="0" w:line="252"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economic conditions in the United States and the impact of changes in interest rates; and</w:t>
      </w:r>
    </w:p>
    <w:p>
      <w:pPr>
        <w:spacing w:after="0" w:line="183" w:lineRule="exact"/>
        <w:rPr>
          <w:rFonts w:ascii="Courier New" w:cs="Courier New" w:eastAsia="Courier New" w:hAnsi="Courier New"/>
          <w:sz w:val="16"/>
          <w:szCs w:val="16"/>
          <w:color w:val="auto"/>
        </w:rPr>
      </w:pPr>
    </w:p>
    <w:p>
      <w:pPr>
        <w:ind w:left="1060" w:right="2599" w:hanging="382"/>
        <w:spacing w:after="0" w:line="24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Company to improve its processes and business practices to keep pace with the economic, competitive and technological environment, including successfully addressing the Year 2000 issues.</w:t>
      </w:r>
    </w:p>
    <w:p>
      <w:pPr>
        <w:spacing w:after="0" w:line="187" w:lineRule="exact"/>
        <w:rPr>
          <w:rFonts w:ascii="Courier New" w:cs="Courier New" w:eastAsia="Courier New" w:hAnsi="Courier New"/>
          <w:sz w:val="16"/>
          <w:szCs w:val="16"/>
          <w:color w:val="auto"/>
        </w:rPr>
      </w:pPr>
    </w:p>
    <w:p>
      <w:pPr>
        <w:ind w:left="1060" w:right="2599" w:hanging="382"/>
        <w:spacing w:after="0" w:line="252"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successfully integrate the operations of acquired companies.</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9919"/>
          </w:cols>
          <w:pgMar w:left="5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Part II - OTHER INFORMATION</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See Footnote 6 to the Consolidated Financial Statements.</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1280" w:right="2699" w:hanging="400"/>
        <w:spacing w:after="0" w:line="252"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20 for a list of the exhibits included herewith.</w:t>
      </w:r>
    </w:p>
    <w:p>
      <w:pPr>
        <w:spacing w:after="0" w:line="183" w:lineRule="exact"/>
        <w:rPr>
          <w:rFonts w:ascii="Courier New" w:cs="Courier New" w:eastAsia="Courier New" w:hAnsi="Courier New"/>
          <w:sz w:val="16"/>
          <w:szCs w:val="16"/>
          <w:color w:val="auto"/>
        </w:rPr>
      </w:pPr>
    </w:p>
    <w:p>
      <w:pPr>
        <w:ind w:left="1280" w:right="2399" w:hanging="400"/>
        <w:spacing w:after="0" w:line="249"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on December 29, 1997 relating to the acquisition of Levington Group Limited on December 12, 1997. No financial statements or pro forma financial information was required to be filed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305"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7" w:lineRule="exact"/>
        <w:rPr>
          <w:sz w:val="20"/>
          <w:szCs w:val="20"/>
          <w:color w:val="auto"/>
        </w:rPr>
      </w:pPr>
    </w:p>
    <w:p>
      <w:pPr>
        <w:ind w:left="580"/>
        <w:spacing w:after="0"/>
        <w:tabs>
          <w:tab w:leader="none" w:pos="4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Jean H. Mordo</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Chief Financial Officer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/s/Jean H. Mordo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400" w:space="80"/>
            <w:col w:w="3100" w:space="720"/>
            <w:col w:w="5919"/>
          </w:cols>
          <w:pgMar w:left="240" w:top="3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305"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SCOTTS COMPANY</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QUARTERLY REPORT ON FORM 10-Q FOR</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FISCAL QUARTER ENDED JANUARY 3, 1998</w:t>
      </w:r>
    </w:p>
    <w:p>
      <w:pPr>
        <w:spacing w:after="0" w:line="200" w:lineRule="exact"/>
        <w:rPr>
          <w:sz w:val="20"/>
          <w:szCs w:val="20"/>
          <w:color w:val="auto"/>
        </w:rPr>
      </w:pPr>
    </w:p>
    <w:p>
      <w:pPr>
        <w:spacing w:after="0" w:line="37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ind w:left="300"/>
        <w:spacing w:after="0"/>
        <w:tabs>
          <w:tab w:leader="none" w:pos="33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300"/>
        <w:spacing w:after="0"/>
        <w:tabs>
          <w:tab w:leader="none" w:pos="3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3" w:lineRule="exact"/>
        <w:rPr>
          <w:sz w:val="20"/>
          <w:szCs w:val="20"/>
          <w:color w:val="auto"/>
        </w:rPr>
      </w:pPr>
    </w:p>
    <w:p>
      <w:pPr>
        <w:ind w:left="1360" w:right="260" w:hanging="871"/>
        <w:spacing w:after="0" w:line="249" w:lineRule="auto"/>
        <w:tabs>
          <w:tab w:leader="none" w:pos="13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for the Sale and Purchase of Levington Group Limited, dated December 12, 1997, between Scotts Holdings Limited, as Purchaser, and Prudential Nominees Limited PAC Account; Prudential Nominees Limited PSPS Account; Prudential Nominees Limited USV Account; Prudential Nominees Limited BMV Account; Prudential Nominees Limited Holborn Account; Prutec Limited; The Sears Pension Plan by The Chase Manhattan Bank NA; HSBC Equity Limited; Candover Investments plc; Candover Trustees Limited; Candover Partners Limited as General Partner of Candover 1991 Lead Investors Limited Partner; Candover Partners Limited as General Partner of Candover 1991 UK Limited Partnership; Candover Partners Limited as General Partner of Candover 1991 US Limited Partnership; 3i Group plc; NatWest Ventures Investments Limited; Philip Parry; Mrs. L. Parry; Philip Parry and Lynne Parry as trustees of the Parry Trust; N. W. Gibbs; Mrs. A. Gibbs; N. W. Gibbs and A. Gibbs as trustees of the Gibbs Trusts; P. J. Elsdon; Mrs. B. Elsdon; P. J. Elsdon and B. Elsdon as trustees of the Elsdon Trust; and Fairmount Trustee Services Limited as trustee for the time being of the Levington Unapproved Pension Fund, as Sellers</w:t>
      </w:r>
    </w:p>
    <w:p>
      <w:pPr>
        <w:spacing w:after="0" w:line="200" w:lineRule="exact"/>
        <w:rPr>
          <w:sz w:val="20"/>
          <w:szCs w:val="20"/>
          <w:color w:val="auto"/>
        </w:rPr>
      </w:pPr>
    </w:p>
    <w:p>
      <w:pPr>
        <w:spacing w:after="0" w:line="361" w:lineRule="exact"/>
        <w:rPr>
          <w:sz w:val="20"/>
          <w:szCs w:val="20"/>
          <w:color w:val="auto"/>
        </w:rPr>
      </w:pPr>
    </w:p>
    <w:p>
      <w:pPr>
        <w:ind w:left="1360" w:right="760" w:hanging="871"/>
        <w:spacing w:after="0" w:line="252" w:lineRule="auto"/>
        <w:tabs>
          <w:tab w:leader="none" w:pos="13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1996 Stock Option Plan (as amended through December 11, 1997)*</w:t>
      </w:r>
    </w:p>
    <w:p>
      <w:pPr>
        <w:spacing w:after="0" w:line="371" w:lineRule="exact"/>
        <w:rPr>
          <w:sz w:val="20"/>
          <w:szCs w:val="20"/>
          <w:color w:val="auto"/>
        </w:rPr>
      </w:pPr>
    </w:p>
    <w:p>
      <w:pPr>
        <w:ind w:left="480"/>
        <w:spacing w:after="0"/>
        <w:tabs>
          <w:tab w:leader="none" w:pos="13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Page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339"/>
        <w:spacing w:after="0" w:line="249" w:lineRule="auto"/>
        <w:rPr>
          <w:sz w:val="20"/>
          <w:szCs w:val="20"/>
          <w:color w:val="auto"/>
        </w:rPr>
      </w:pPr>
      <w:r>
        <w:rPr>
          <w:rFonts w:ascii="Courier New" w:cs="Courier New" w:eastAsia="Courier New" w:hAnsi="Courier New"/>
          <w:sz w:val="16"/>
          <w:szCs w:val="16"/>
          <w:color w:val="auto"/>
        </w:rPr>
        <w:t>Incorporated herein by reference to the registrant's Current Report on Form 8-K dated December 29, 1997 (File No. 1-11593) [Exhibit 2]</w:t>
      </w:r>
    </w:p>
    <w:p>
      <w:pPr>
        <w:sectPr>
          <w:pgSz w:w="11900" w:h="16838" w:orient="portrait"/>
          <w:cols w:equalWidth="0" w:num="2">
            <w:col w:w="6520" w:space="720"/>
            <w:col w:w="2979"/>
          </w:cols>
          <w:pgMar w:left="240" w:top="30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1996 STOCK OPTION PLAN</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(REFLECTS AMENDMENTS THROUGH DECEMBER 11, 1997)</w:t>
      </w:r>
    </w:p>
    <w:p>
      <w:pPr>
        <w:sectPr>
          <w:pgSz w:w="11900" w:h="16838" w:orient="portrait"/>
          <w:cols w:equalWidth="0" w:num="1">
            <w:col w:w="9919"/>
          </w:cols>
          <w:pgMar w:left="540" w:top="142"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1996 STOCK OPTION PLAN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(REFLECTS AMENDMENTS THROUGH DECEMBER 11, 1997)</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l.</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PURPOSE</w:t>
      </w:r>
    </w:p>
    <w:p>
      <w:pPr>
        <w:spacing w:after="0" w:line="195" w:lineRule="exact"/>
        <w:rPr>
          <w:sz w:val="20"/>
          <w:szCs w:val="20"/>
          <w:color w:val="auto"/>
        </w:rPr>
      </w:pPr>
    </w:p>
    <w:p>
      <w:pPr>
        <w:ind w:right="2699" w:firstLine="880"/>
        <w:spacing w:after="0" w:line="248" w:lineRule="auto"/>
        <w:rPr>
          <w:sz w:val="20"/>
          <w:szCs w:val="20"/>
          <w:color w:val="auto"/>
        </w:rPr>
      </w:pPr>
      <w:r>
        <w:rPr>
          <w:rFonts w:ascii="Courier New" w:cs="Courier New" w:eastAsia="Courier New" w:hAnsi="Courier New"/>
          <w:sz w:val="16"/>
          <w:szCs w:val="16"/>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2399"/>
        <w:spacing w:after="0" w:line="249" w:lineRule="auto"/>
        <w:tabs>
          <w:tab w:leader="none" w:pos="3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2.</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spacing w:after="0" w:line="183" w:lineRule="exact"/>
        <w:rPr>
          <w:sz w:val="20"/>
          <w:szCs w:val="20"/>
          <w:color w:val="auto"/>
        </w:rPr>
      </w:pPr>
    </w:p>
    <w:p>
      <w:pPr>
        <w:ind w:left="1280" w:hanging="400"/>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94"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94"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4" w:lineRule="exact"/>
        <w:rPr>
          <w:rFonts w:ascii="Courier New" w:cs="Courier New" w:eastAsia="Courier New" w:hAnsi="Courier New"/>
          <w:sz w:val="16"/>
          <w:szCs w:val="16"/>
          <w:color w:val="auto"/>
        </w:rPr>
      </w:pPr>
    </w:p>
    <w:p>
      <w:pPr>
        <w:ind w:right="2399" w:firstLine="880"/>
        <w:spacing w:after="0" w:line="249" w:lineRule="auto"/>
        <w:tabs>
          <w:tab w:leader="none" w:pos="127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 following</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94" w:lineRule="exact"/>
        <w:rPr>
          <w:rFonts w:ascii="Courier New" w:cs="Courier New" w:eastAsia="Courier New" w:hAnsi="Courier New"/>
          <w:sz w:val="16"/>
          <w:szCs w:val="16"/>
          <w:color w:val="auto"/>
        </w:rPr>
      </w:pPr>
    </w:p>
    <w:p>
      <w:pPr>
        <w:ind w:left="880" w:right="2399" w:firstLine="879"/>
        <w:spacing w:after="0" w:line="249" w:lineRule="auto"/>
        <w:tabs>
          <w:tab w:leader="none" w:pos="215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24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87" w:lineRule="exact"/>
        <w:rPr>
          <w:rFonts w:ascii="Courier New" w:cs="Courier New" w:eastAsia="Courier New" w:hAnsi="Courier New"/>
          <w:sz w:val="16"/>
          <w:szCs w:val="16"/>
          <w:color w:val="auto"/>
        </w:rPr>
      </w:pPr>
    </w:p>
    <w:p>
      <w:pPr>
        <w:ind w:left="880" w:right="2499" w:firstLine="879"/>
        <w:spacing w:after="0" w:line="249" w:lineRule="auto"/>
        <w:tabs>
          <w:tab w:leader="none" w:pos="234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ectPr>
          <w:pgSz w:w="11900" w:h="16838" w:orient="portrait"/>
          <w:cols w:equalWidth="0" w:num="1">
            <w:col w:w="10219"/>
          </w:cols>
          <w:pgMar w:left="240" w:top="30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1" w:lineRule="exact"/>
        <w:rPr>
          <w:sz w:val="20"/>
          <w:szCs w:val="20"/>
          <w:color w:val="auto"/>
        </w:rPr>
      </w:pPr>
    </w:p>
    <w:p>
      <w:pPr>
        <w:ind w:left="580" w:right="2399" w:firstLine="879"/>
        <w:spacing w:after="0" w:line="249" w:lineRule="auto"/>
        <w:tabs>
          <w:tab w:leader="none" w:pos="194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187" w:lineRule="exact"/>
        <w:rPr>
          <w:rFonts w:ascii="Courier New" w:cs="Courier New" w:eastAsia="Courier New" w:hAnsi="Courier New"/>
          <w:sz w:val="16"/>
          <w:szCs w:val="16"/>
          <w:color w:val="auto"/>
        </w:rPr>
      </w:pPr>
    </w:p>
    <w:p>
      <w:pPr>
        <w:ind w:left="-300" w:right="23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87" w:lineRule="exact"/>
        <w:rPr>
          <w:rFonts w:ascii="Courier New" w:cs="Courier New" w:eastAsia="Courier New" w:hAnsi="Courier New"/>
          <w:sz w:val="16"/>
          <w:szCs w:val="16"/>
          <w:color w:val="auto"/>
        </w:rPr>
      </w:pPr>
    </w:p>
    <w:p>
      <w:pPr>
        <w:ind w:left="980" w:hanging="400"/>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4" w:lineRule="exact"/>
        <w:rPr>
          <w:rFonts w:ascii="Courier New" w:cs="Courier New" w:eastAsia="Courier New" w:hAnsi="Courier New"/>
          <w:sz w:val="16"/>
          <w:szCs w:val="16"/>
          <w:color w:val="auto"/>
        </w:rPr>
      </w:pPr>
    </w:p>
    <w:p>
      <w:pPr>
        <w:ind w:left="-300" w:right="23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87" w:lineRule="exact"/>
        <w:rPr>
          <w:rFonts w:ascii="Courier New" w:cs="Courier New" w:eastAsia="Courier New" w:hAnsi="Courier New"/>
          <w:sz w:val="16"/>
          <w:szCs w:val="16"/>
          <w:color w:val="auto"/>
        </w:rPr>
      </w:pPr>
    </w:p>
    <w:p>
      <w:pPr>
        <w:ind w:left="-300" w:right="2699" w:firstLine="880"/>
        <w:spacing w:after="0" w:line="252"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spacing w:after="0" w:line="183" w:lineRule="exact"/>
        <w:rPr>
          <w:rFonts w:ascii="Courier New" w:cs="Courier New" w:eastAsia="Courier New" w:hAnsi="Courier New"/>
          <w:sz w:val="16"/>
          <w:szCs w:val="16"/>
          <w:color w:val="auto"/>
        </w:rPr>
      </w:pPr>
    </w:p>
    <w:p>
      <w:pPr>
        <w:jc w:val="both"/>
        <w:ind w:left="-300" w:right="2399" w:firstLine="880"/>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granted to each Eligible Director pursuant to Section 6.6 without any action by the Board or the Committee.</w:t>
      </w:r>
    </w:p>
    <w:p>
      <w:pPr>
        <w:spacing w:after="0" w:line="185" w:lineRule="exact"/>
        <w:rPr>
          <w:rFonts w:ascii="Courier New" w:cs="Courier New" w:eastAsia="Courier New" w:hAnsi="Courier New"/>
          <w:sz w:val="16"/>
          <w:szCs w:val="16"/>
          <w:color w:val="auto"/>
        </w:rPr>
      </w:pPr>
    </w:p>
    <w:p>
      <w:pPr>
        <w:ind w:left="-300" w:right="24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87" w:lineRule="exact"/>
        <w:rPr>
          <w:rFonts w:ascii="Courier New" w:cs="Courier New" w:eastAsia="Courier New" w:hAnsi="Courier New"/>
          <w:sz w:val="16"/>
          <w:szCs w:val="16"/>
          <w:color w:val="auto"/>
        </w:rPr>
      </w:pPr>
    </w:p>
    <w:p>
      <w:pPr>
        <w:ind w:left="-300" w:right="2499" w:firstLine="880"/>
        <w:spacing w:after="0" w:line="252"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spacing w:after="0" w:line="183" w:lineRule="exact"/>
        <w:rPr>
          <w:rFonts w:ascii="Courier New" w:cs="Courier New" w:eastAsia="Courier New" w:hAnsi="Courier New"/>
          <w:sz w:val="16"/>
          <w:szCs w:val="16"/>
          <w:color w:val="auto"/>
        </w:rPr>
      </w:pPr>
    </w:p>
    <w:p>
      <w:pPr>
        <w:ind w:left="-300" w:right="2499" w:firstLine="880"/>
        <w:spacing w:after="0" w:line="252"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183" w:lineRule="exact"/>
        <w:rPr>
          <w:rFonts w:ascii="Courier New" w:cs="Courier New" w:eastAsia="Courier New" w:hAnsi="Courier New"/>
          <w:sz w:val="16"/>
          <w:szCs w:val="16"/>
          <w:color w:val="auto"/>
        </w:rPr>
      </w:pPr>
    </w:p>
    <w:p>
      <w:pPr>
        <w:ind w:left="-300" w:right="23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87" w:lineRule="exact"/>
        <w:rPr>
          <w:rFonts w:ascii="Courier New" w:cs="Courier New" w:eastAsia="Courier New" w:hAnsi="Courier New"/>
          <w:sz w:val="16"/>
          <w:szCs w:val="16"/>
          <w:color w:val="auto"/>
        </w:rPr>
      </w:pPr>
    </w:p>
    <w:p>
      <w:pPr>
        <w:ind w:left="-300" w:right="23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 (i) an "Incentive Stock Option" (ISO) within the meaning of Section 422 of the Code or (ii) a "Nonstatutory Stock Option" (NSO) which does not qualify for treatment as an "Incentive Stock Option."</w:t>
      </w:r>
    </w:p>
    <w:p>
      <w:pPr>
        <w:spacing w:after="0" w:line="187" w:lineRule="exact"/>
        <w:rPr>
          <w:rFonts w:ascii="Courier New" w:cs="Courier New" w:eastAsia="Courier New" w:hAnsi="Courier New"/>
          <w:sz w:val="16"/>
          <w:szCs w:val="16"/>
          <w:color w:val="auto"/>
        </w:rPr>
      </w:pPr>
    </w:p>
    <w:p>
      <w:pPr>
        <w:ind w:left="-300" w:right="2799" w:firstLine="880"/>
        <w:spacing w:after="0" w:line="252"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spacing w:after="0" w:line="183" w:lineRule="exact"/>
        <w:rPr>
          <w:rFonts w:ascii="Courier New" w:cs="Courier New" w:eastAsia="Courier New" w:hAnsi="Courier New"/>
          <w:sz w:val="16"/>
          <w:szCs w:val="16"/>
          <w:color w:val="auto"/>
        </w:rPr>
      </w:pPr>
    </w:p>
    <w:p>
      <w:pPr>
        <w:ind w:left="-300" w:right="2979" w:firstLine="880"/>
        <w:spacing w:after="0" w:line="252"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spacing w:after="0" w:line="183" w:lineRule="exact"/>
        <w:rPr>
          <w:rFonts w:ascii="Courier New" w:cs="Courier New" w:eastAsia="Courier New" w:hAnsi="Courier New"/>
          <w:sz w:val="16"/>
          <w:szCs w:val="16"/>
          <w:color w:val="auto"/>
        </w:rPr>
      </w:pPr>
    </w:p>
    <w:p>
      <w:pPr>
        <w:jc w:val="both"/>
        <w:ind w:left="-300" w:right="2499" w:firstLine="880"/>
        <w:spacing w:after="0" w:line="249"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ectPr>
          <w:pgSz w:w="11900" w:h="16838" w:orient="portrait"/>
          <w:cols w:equalWidth="0" w:num="1">
            <w:col w:w="9919"/>
          </w:cols>
          <w:pgMar w:left="540" w:top="305"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1" w:lineRule="exact"/>
        <w:rPr>
          <w:sz w:val="20"/>
          <w:szCs w:val="20"/>
          <w:color w:val="auto"/>
        </w:rPr>
      </w:pPr>
    </w:p>
    <w:p>
      <w:pPr>
        <w:ind w:left="1280" w:hanging="400"/>
        <w:spacing w:after="0"/>
        <w:tabs>
          <w:tab w:leader="none" w:pos="12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Shares, without par value, of the Company.</w:t>
      </w:r>
    </w:p>
    <w:p>
      <w:pPr>
        <w:spacing w:after="0" w:line="194" w:lineRule="exact"/>
        <w:rPr>
          <w:rFonts w:ascii="Courier New" w:cs="Courier New" w:eastAsia="Courier New" w:hAnsi="Courier New"/>
          <w:sz w:val="16"/>
          <w:szCs w:val="16"/>
          <w:color w:val="auto"/>
        </w:rPr>
      </w:pPr>
    </w:p>
    <w:p>
      <w:pPr>
        <w:ind w:right="2499" w:firstLine="880"/>
        <w:spacing w:after="0" w:line="249" w:lineRule="auto"/>
        <w:tabs>
          <w:tab w:leader="none" w:pos="12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88"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8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3.</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ELIGIBILITY AND PARTICIPATION</w:t>
      </w:r>
    </w:p>
    <w:p>
      <w:pPr>
        <w:spacing w:after="0" w:line="383" w:lineRule="exact"/>
        <w:rPr>
          <w:sz w:val="20"/>
          <w:szCs w:val="20"/>
          <w:color w:val="auto"/>
        </w:rPr>
      </w:pPr>
    </w:p>
    <w:p>
      <w:pPr>
        <w:jc w:val="both"/>
        <w:ind w:right="2399" w:firstLine="880"/>
        <w:spacing w:after="0" w:line="250" w:lineRule="auto"/>
        <w:rPr>
          <w:sz w:val="20"/>
          <w:szCs w:val="20"/>
          <w:color w:val="auto"/>
        </w:rPr>
      </w:pPr>
      <w:r>
        <w:rPr>
          <w:rFonts w:ascii="Courier New" w:cs="Courier New" w:eastAsia="Courier New" w:hAnsi="Courier New"/>
          <w:sz w:val="16"/>
          <w:szCs w:val="16"/>
          <w:color w:val="auto"/>
        </w:rPr>
        <w:t>Except as otherwise provided in Section 6.6, the only persons eligible to participate in the Plan shall be those Employees selected by the Committee as Participants.</w:t>
      </w:r>
    </w:p>
    <w:p>
      <w:pPr>
        <w:spacing w:after="0" w:line="37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4.</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POWERS OF THE COMMITTEE</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5.</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STOCK SUBJECT TO PLAN</w:t>
      </w:r>
    </w:p>
    <w:p>
      <w:pPr>
        <w:spacing w:after="0" w:line="195"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5.1 NUMBER. Subject to the provisions of Section 5.3, the number of shares of Stock subject to Awards under the Plan may not exceed 3,000,000 shares of Stock. Subject to the provisions of Section 5.3, no Employee shall receive Awards for more than 150,000 shares of Stock over any one-year period. For this purpose, to the extent that any Award is cancelled (as described in Section</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376"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w:t>
      </w:r>
    </w:p>
    <w:p>
      <w:pPr>
        <w:sectPr>
          <w:pgSz w:w="11900" w:h="16838" w:orient="portrait"/>
          <w:cols w:equalWidth="0" w:num="1">
            <w:col w:w="10219"/>
          </w:cols>
          <w:pgMar w:left="240" w:top="305" w:right="1440" w:bottom="932"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37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6.</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OPTIONS</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6.2 OPTION PRICE. Nonstatutory Stock Options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86"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w:t>
      </w:r>
    </w:p>
    <w:p>
      <w:pPr>
        <w:sectPr>
          <w:pgSz w:w="11900" w:h="16838" w:orient="portrait"/>
          <w:cols w:equalWidth="0" w:num="1">
            <w:col w:w="10219"/>
          </w:cols>
          <w:pgMar w:left="240" w:top="30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(under all option plans of the Company and all Subsidiaries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not exceed $100,000.</w:t>
      </w:r>
    </w:p>
    <w:p>
      <w:pPr>
        <w:spacing w:after="0" w:line="3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6.6 DIRECTOR OPTIONS. Notwithstanding anything else contained herein to the contrary, on the first business day following the date of each annual meeting of shareholders during the 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6,000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6.3.</w:t>
      </w:r>
    </w:p>
    <w:p>
      <w:pPr>
        <w:spacing w:after="0" w:line="37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7.</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TERMINATION OF EMPLOYMENT</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86"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ectPr>
          <w:pgSz w:w="11900" w:h="16838" w:orient="portrait"/>
          <w:cols w:equalWidth="0" w:num="1">
            <w:col w:w="10219"/>
          </w:cols>
          <w:pgMar w:left="240" w:top="305"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8.</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CHANGE IN CONTROL</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87" w:lineRule="exact"/>
        <w:rPr>
          <w:sz w:val="20"/>
          <w:szCs w:val="20"/>
          <w:color w:val="auto"/>
        </w:rPr>
      </w:pPr>
    </w:p>
    <w:p>
      <w:pPr>
        <w:jc w:val="both"/>
        <w:ind w:right="2879" w:firstLine="880"/>
        <w:spacing w:after="0" w:line="252" w:lineRule="auto"/>
        <w:tabs>
          <w:tab w:leader="none" w:pos="12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based on stock which is traded on an established securities market, or which will be so traded within 60 days of the Change in Control;</w:t>
      </w:r>
    </w:p>
    <w:p>
      <w:pPr>
        <w:spacing w:after="0" w:line="183"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87" w:lineRule="exact"/>
        <w:rPr>
          <w:rFonts w:ascii="Courier New" w:cs="Courier New" w:eastAsia="Courier New" w:hAnsi="Courier New"/>
          <w:sz w:val="16"/>
          <w:szCs w:val="16"/>
          <w:color w:val="auto"/>
        </w:rPr>
      </w:pPr>
    </w:p>
    <w:p>
      <w:pPr>
        <w:ind w:right="3079" w:firstLine="880"/>
        <w:spacing w:after="0" w:line="252" w:lineRule="auto"/>
        <w:tabs>
          <w:tab w:leader="none" w:pos="146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spacing w:after="0" w:line="183"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9.</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w:t>
      </w:r>
    </w:p>
    <w:p>
      <w:pPr>
        <w:sectPr>
          <w:pgSz w:w="11900" w:h="16838" w:orient="portrait"/>
          <w:cols w:equalWidth="0" w:num="1">
            <w:col w:w="10219"/>
          </w:cols>
          <w:pgMar w:left="240" w:top="305"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1" w:lineRule="exact"/>
        <w:rPr>
          <w:sz w:val="20"/>
          <w:szCs w:val="20"/>
          <w:color w:val="auto"/>
        </w:rPr>
      </w:pPr>
    </w:p>
    <w:p>
      <w:pPr>
        <w:ind w:right="2399"/>
        <w:spacing w:after="0" w:line="249" w:lineRule="auto"/>
        <w:tabs>
          <w:tab w:leader="none" w:pos="3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SECTION 10</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ectPr>
          <w:pgSz w:w="11900" w:h="16838" w:orient="portrait"/>
          <w:cols w:equalWidth="0" w:num="1">
            <w:col w:w="10219"/>
          </w:cols>
          <w:pgMar w:left="240" w:top="305" w:right="1440" w:bottom="932"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87"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10.9 GOVERNING LAW. The Plan, and all agreements hereunder, shall be construed in accordance with and governed by the laws of the State of Ohio.</w:t>
      </w:r>
    </w:p>
    <w:p>
      <w:pPr>
        <w:spacing w:after="0" w:line="183"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10.10 NO IMPACT ON BENEFITS. Plan Awards are not compensation for purposes of calculating an Employee's rights under any employee benefit plan.</w:t>
      </w:r>
    </w:p>
    <w:p>
      <w:pPr>
        <w:sectPr>
          <w:pgSz w:w="11900" w:h="16838" w:orient="portrait"/>
          <w:cols w:equalWidth="0" w:num="1">
            <w:col w:w="10219"/>
          </w:cols>
          <w:pgMar w:left="240" w:top="305"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659"/>
        <w:spacing w:after="0" w:line="24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JANUARY 3, 1998.</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3-MOS</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SEP-30-1998</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OCT-01-1997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JAN-03-1998</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20,400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154,000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6,500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210,400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401,500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276,700</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(108,000)</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988,300</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243,500</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177,300</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200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203,000</w:t>
      </w:r>
    </w:p>
    <w:p>
      <w:pPr>
        <w:spacing w:after="0" w:line="7"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988,300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125,100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125,100</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83,500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44,900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(300)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6,700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(9,700)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(4,200)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(5,500)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(5,500)</w:t>
      </w:r>
    </w:p>
    <w:p>
      <w:pPr>
        <w:spacing w:after="0" w:line="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(.42)</w:t>
      </w:r>
    </w:p>
    <w:p>
      <w:pPr>
        <w:spacing w:after="0" w:line="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(.42)</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2"/>
      <w:numFmt w:val="bullet"/>
      <w:start w:val="1"/>
    </w:lvl>
  </w:abstractNum>
  <w:abstractNum w:abstractNumId="15">
    <w:nsid w:val="257130A3"/>
    <w:multiLevelType w:val="hybridMultilevel"/>
    <w:lvl w:ilvl="0">
      <w:lvlJc w:val="left"/>
      <w:lvlText w:val="%1"/>
      <w:numFmt w:val="decimal"/>
      <w:start w:val="10"/>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lvl w:ilvl="1">
      <w:lvlJc w:val="left"/>
      <w:lvlText w:val="(%2)"/>
      <w:numFmt w:val="lowerRoman"/>
      <w:start w:val="1"/>
    </w:lvl>
  </w:abstractNum>
  <w:abstractNum w:abstractNumId="18">
    <w:nsid w:val="628C895D"/>
    <w:multiLevelType w:val="hybridMultilevel"/>
    <w:lvl w:ilvl="0">
      <w:lvlJc w:val="left"/>
      <w:lvlText w:val="%1"/>
      <w:numFmt w:val="lowerLetter"/>
      <w:start w:val="1"/>
    </w:lvl>
    <w:lvl w:ilvl="1">
      <w:lvlJc w:val="left"/>
      <w:lvlText w:val="(%2)"/>
      <w:numFmt w:val="lowerRoman"/>
      <w:start w:val="4"/>
    </w:lvl>
  </w:abstractNum>
  <w:abstractNum w:abstractNumId="19">
    <w:nsid w:val="333AB105"/>
    <w:multiLevelType w:val="hybridMultilevel"/>
    <w:lvl w:ilvl="0">
      <w:lvlJc w:val="left"/>
      <w:lvlText w:val="(%1)"/>
      <w:numFmt w:val="lowerLetter"/>
      <w:start w:val="6"/>
    </w:lvl>
    <w:lvl w:ilvl="1">
      <w:lvlJc w:val="left"/>
      <w:lvlText w:val="%2"/>
      <w:numFmt w:val="lowerRoman"/>
      <w:start w:val="1"/>
    </w:lvl>
  </w:abstractNum>
  <w:abstractNum w:abstractNumId="20">
    <w:nsid w:val="721DA317"/>
    <w:multiLevelType w:val="hybridMultilevel"/>
    <w:lvl w:ilvl="0">
      <w:lvlJc w:val="left"/>
      <w:lvlText w:val="(%1)"/>
      <w:numFmt w:val="lowerLetter"/>
      <w:start w:val="19"/>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2019-12-20T06:42:37Z</dcterms:created>
  <dcterms:modified xsi:type="dcterms:W3CDTF">2019-12-20T06:42:37Z</dcterms:modified>
</cp:coreProperties>
</file>