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December 14, 2011</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SEE TABLE OF ADDITIONAL REGISTRANTS BELOW</w:t>
      </w:r>
    </w:p>
    <w:p>
      <w:pPr>
        <w:spacing w:after="0" w:line="84"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92"/>
              </w:rPr>
              <w:t>Ohio</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2875</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31-1414921</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14111 Scottslawn Road, Marysville, Ohio 43041, (937) 644-0011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Vincent C. Brockman, Esq.</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Vice President, General Counsel and Corporate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14111 Scottslawn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(937) 644-0011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 Steven Patterson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Hunton &amp; Williams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20006-1109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(202) 995-1500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exchange offer: </w:t>
      </w:r>
      <w:r>
        <w:rPr>
          <w:rFonts w:ascii="Arial" w:cs="Arial" w:eastAsia="Arial" w:hAnsi="Arial"/>
          <w:sz w:val="16"/>
          <w:szCs w:val="16"/>
          <w:color w:val="auto"/>
        </w:rPr>
        <w:t>As soon as practicable after this Registration Statement is declared effective.</w:t>
      </w:r>
    </w:p>
    <w:p>
      <w:pPr>
        <w:spacing w:after="0" w:line="119" w:lineRule="exact"/>
        <w:rPr>
          <w:sz w:val="24"/>
          <w:szCs w:val="24"/>
          <w:color w:val="auto"/>
        </w:rPr>
      </w:pPr>
    </w:p>
    <w:p>
      <w:pPr>
        <w:ind w:right="40" w:firstLine="342"/>
        <w:spacing w:after="0" w:line="229"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38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68" w:orient="portrait"/>
          <w:cols w:equalWidth="0" w:num="1">
            <w:col w:w="11420"/>
          </w:cols>
          <w:pgMar w:left="240" w:top="230" w:right="239" w:bottom="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68" w:orient="portrait"/>
          <w:cols w:equalWidth="0" w:num="4">
            <w:col w:w="1580" w:space="220"/>
            <w:col w:w="6580" w:space="720"/>
            <w:col w:w="1440" w:space="72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68" w:orient="portrait"/>
          <w:cols w:equalWidth="0" w:num="5">
            <w:col w:w="1500" w:space="300"/>
            <w:col w:w="160" w:space="100"/>
            <w:col w:w="6320" w:space="720"/>
            <w:col w:w="1920" w:space="240"/>
            <w:col w:w="160"/>
          </w:cols>
          <w:pgMar w:left="240" w:top="230" w:right="239" w:bottom="0" w:gutter="0" w:footer="0" w:header="0"/>
          <w:type w:val="continuous"/>
        </w:sectPr>
      </w:pPr>
    </w:p>
    <w:p>
      <w:pPr>
        <w:ind w:left="36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5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90"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27"/>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7"/>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aggregate</w:t>
            </w:r>
          </w:p>
        </w:tc>
        <w:tc>
          <w:tcPr>
            <w:tcW w:w="156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0"/>
              </w:rPr>
              <w:t>per unit(1)</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8"/>
              </w:rPr>
              <w:t>offering price(1)</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86"/>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6.625% Senior Notes due 2020</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7"/>
              </w:rPr>
              <w:t>$200,000,000</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6"/>
              </w:rPr>
              <w:t>100%</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7"/>
              </w:rPr>
              <w:t>$200,000,000</w:t>
            </w: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color w:val="auto"/>
              </w:rPr>
              <w:t>$22,920</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Guarantees of 6.625% Senior Notes due 2020(2)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8"/>
                <w:szCs w:val="18"/>
                <w:color w:val="auto"/>
                <w:w w:val="99"/>
              </w:rPr>
              <w:t>N/A</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96"/>
              </w:rPr>
              <w:t>N/A(3)</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registration fee pursuant to Rule 457(f) under the Securities Act of 1933, as amended (the “Securities Act”).</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inside facing page for table of registrants.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under the Securities Act, no separate filing fee is required for the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ectPr>
          <w:pgSz w:w="11900" w:h="16868" w:orient="portrait"/>
          <w:cols w:equalWidth="0" w:num="1">
            <w:col w:w="11420"/>
          </w:cols>
          <w:pgMar w:left="240" w:top="230" w:right="239" w:bottom="0" w:gutter="0" w:footer="0" w:header="0"/>
          <w:type w:val="continuous"/>
        </w:sectPr>
      </w:pPr>
    </w:p>
    <w:bookmarkStart w:id="1" w:name="page2"/>
    <w:bookmarkEnd w:id="1"/>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132080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ADDITIONAL REGISTRANTS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480" w:type="dxa"/>
            <w:vAlign w:val="bottom"/>
          </w:tcPr>
          <w:p>
            <w:pPr>
              <w:jc w:val="center"/>
              <w:ind w:left="1815"/>
              <w:spacing w:after="0"/>
              <w:rPr>
                <w:sz w:val="20"/>
                <w:szCs w:val="20"/>
                <w:color w:val="auto"/>
              </w:rPr>
            </w:pPr>
            <w:r>
              <w:rPr>
                <w:rFonts w:ascii="Arial" w:cs="Arial" w:eastAsia="Arial" w:hAnsi="Arial"/>
                <w:sz w:val="14"/>
                <w:szCs w:val="14"/>
                <w:b w:val="1"/>
                <w:bCs w:val="1"/>
                <w:color w:val="auto"/>
                <w:w w:val="87"/>
              </w:rPr>
              <w:t>State or Other Jurisdiction</w:t>
            </w:r>
          </w:p>
        </w:tc>
        <w:tc>
          <w:tcPr>
            <w:tcW w:w="1820" w:type="dxa"/>
            <w:vAlign w:val="bottom"/>
          </w:tcPr>
          <w:p>
            <w:pPr>
              <w:spacing w:after="0"/>
              <w:rPr>
                <w:sz w:val="14"/>
                <w:szCs w:val="14"/>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Exact Name of Additional Registrant as</w:t>
            </w:r>
          </w:p>
        </w:tc>
        <w:tc>
          <w:tcPr>
            <w:tcW w:w="4480" w:type="dxa"/>
            <w:vAlign w:val="bottom"/>
          </w:tcPr>
          <w:p>
            <w:pPr>
              <w:jc w:val="center"/>
              <w:ind w:left="1835"/>
              <w:spacing w:after="0" w:line="149" w:lineRule="exact"/>
              <w:rPr>
                <w:sz w:val="20"/>
                <w:szCs w:val="20"/>
                <w:color w:val="auto"/>
              </w:rPr>
            </w:pPr>
            <w:r>
              <w:rPr>
                <w:rFonts w:ascii="Arial" w:cs="Arial" w:eastAsia="Arial" w:hAnsi="Arial"/>
                <w:sz w:val="14"/>
                <w:szCs w:val="14"/>
                <w:b w:val="1"/>
                <w:bCs w:val="1"/>
                <w:color w:val="auto"/>
                <w:w w:val="89"/>
              </w:rPr>
              <w:t>of Incorporation or</w:t>
            </w:r>
          </w:p>
        </w:tc>
        <w:tc>
          <w:tcPr>
            <w:tcW w:w="18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66"/>
        </w:trPr>
        <w:tc>
          <w:tcPr>
            <w:tcW w:w="5020" w:type="dxa"/>
            <w:vAlign w:val="bottom"/>
          </w:tcPr>
          <w:p>
            <w:pPr>
              <w:spacing w:after="0"/>
              <w:rPr>
                <w:sz w:val="20"/>
                <w:szCs w:val="20"/>
                <w:color w:val="auto"/>
              </w:rPr>
            </w:pPr>
            <w:r>
              <w:rPr>
                <w:rFonts w:ascii="Arial" w:cs="Arial" w:eastAsia="Arial" w:hAnsi="Arial"/>
                <w:sz w:val="14"/>
                <w:szCs w:val="14"/>
                <w:b w:val="1"/>
                <w:bCs w:val="1"/>
                <w:color w:val="auto"/>
              </w:rPr>
              <w:t>Specified in its Charter</w:t>
            </w:r>
          </w:p>
        </w:tc>
        <w:tc>
          <w:tcPr>
            <w:tcW w:w="4480" w:type="dxa"/>
            <w:vAlign w:val="bottom"/>
          </w:tcPr>
          <w:p>
            <w:pPr>
              <w:jc w:val="center"/>
              <w:ind w:left="1815"/>
              <w:spacing w:after="0"/>
              <w:rPr>
                <w:sz w:val="20"/>
                <w:szCs w:val="20"/>
                <w:color w:val="auto"/>
              </w:rPr>
            </w:pPr>
            <w:r>
              <w:rPr>
                <w:rFonts w:ascii="Arial" w:cs="Arial" w:eastAsia="Arial" w:hAnsi="Arial"/>
                <w:sz w:val="14"/>
                <w:szCs w:val="14"/>
                <w:b w:val="1"/>
                <w:bCs w:val="1"/>
                <w:color w:val="auto"/>
                <w:w w:val="91"/>
              </w:rPr>
              <w:t>Organization</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Identification Number</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EG Systems, Inc.(1)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91"/>
              </w:rPr>
              <w:t>Indiana</w:t>
            </w:r>
          </w:p>
        </w:tc>
        <w:tc>
          <w:tcPr>
            <w:tcW w:w="1820" w:type="dxa"/>
            <w:vAlign w:val="bottom"/>
          </w:tcPr>
          <w:p>
            <w:pPr>
              <w:jc w:val="right"/>
              <w:spacing w:after="0"/>
              <w:rPr>
                <w:sz w:val="20"/>
                <w:szCs w:val="20"/>
                <w:color w:val="auto"/>
              </w:rPr>
            </w:pPr>
            <w:r>
              <w:rPr>
                <w:rFonts w:ascii="Arial" w:cs="Arial" w:eastAsia="Arial" w:hAnsi="Arial"/>
                <w:sz w:val="18"/>
                <w:szCs w:val="18"/>
                <w:color w:val="auto"/>
              </w:rPr>
              <w:t>35-1937875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Gutwein &amp; Co., Inc.(1)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91"/>
              </w:rPr>
              <w:t>Indiana</w:t>
            </w:r>
          </w:p>
        </w:tc>
        <w:tc>
          <w:tcPr>
            <w:tcW w:w="1820" w:type="dxa"/>
            <w:vAlign w:val="bottom"/>
          </w:tcPr>
          <w:p>
            <w:pPr>
              <w:jc w:val="right"/>
              <w:spacing w:after="0"/>
              <w:rPr>
                <w:sz w:val="20"/>
                <w:szCs w:val="20"/>
                <w:color w:val="auto"/>
              </w:rPr>
            </w:pPr>
            <w:r>
              <w:rPr>
                <w:rFonts w:ascii="Arial" w:cs="Arial" w:eastAsia="Arial" w:hAnsi="Arial"/>
                <w:sz w:val="18"/>
                <w:szCs w:val="18"/>
                <w:color w:val="auto"/>
              </w:rPr>
              <w:t>35-0864689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SMG Brands, Inc. (2)</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6"/>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20-2964892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Hyponex Corporation(1)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6"/>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31-1254519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Miracle-Gro Lawn Products, Inc.(1)</w:t>
            </w:r>
          </w:p>
        </w:tc>
        <w:tc>
          <w:tcPr>
            <w:tcW w:w="4480" w:type="dxa"/>
            <w:vAlign w:val="bottom"/>
          </w:tcPr>
          <w:p>
            <w:pPr>
              <w:jc w:val="center"/>
              <w:ind w:left="1835"/>
              <w:spacing w:after="0"/>
              <w:rPr>
                <w:sz w:val="20"/>
                <w:szCs w:val="20"/>
                <w:color w:val="auto"/>
              </w:rPr>
            </w:pPr>
            <w:r>
              <w:rPr>
                <w:rFonts w:ascii="Arial" w:cs="Arial" w:eastAsia="Arial" w:hAnsi="Arial"/>
                <w:sz w:val="18"/>
                <w:szCs w:val="18"/>
                <w:color w:val="auto"/>
                <w:w w:val="92"/>
              </w:rPr>
              <w:t>New York</w:t>
            </w:r>
          </w:p>
        </w:tc>
        <w:tc>
          <w:tcPr>
            <w:tcW w:w="1820" w:type="dxa"/>
            <w:vAlign w:val="bottom"/>
          </w:tcPr>
          <w:p>
            <w:pPr>
              <w:jc w:val="right"/>
              <w:spacing w:after="0"/>
              <w:rPr>
                <w:sz w:val="20"/>
                <w:szCs w:val="20"/>
                <w:color w:val="auto"/>
              </w:rPr>
            </w:pPr>
            <w:r>
              <w:rPr>
                <w:rFonts w:ascii="Arial" w:cs="Arial" w:eastAsia="Arial" w:hAnsi="Arial"/>
                <w:sz w:val="18"/>
                <w:szCs w:val="18"/>
                <w:color w:val="auto"/>
              </w:rPr>
              <w:t>11-3186421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OMS Investments, Inc.(3)</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6"/>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51-0357374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Rod McLellan Company(1)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92"/>
              </w:rPr>
              <w:t>California</w:t>
            </w:r>
          </w:p>
        </w:tc>
        <w:tc>
          <w:tcPr>
            <w:tcW w:w="1820" w:type="dxa"/>
            <w:vAlign w:val="bottom"/>
          </w:tcPr>
          <w:p>
            <w:pPr>
              <w:jc w:val="right"/>
              <w:spacing w:after="0"/>
              <w:rPr>
                <w:sz w:val="20"/>
                <w:szCs w:val="20"/>
                <w:color w:val="auto"/>
              </w:rPr>
            </w:pPr>
            <w:r>
              <w:rPr>
                <w:rFonts w:ascii="Arial" w:cs="Arial" w:eastAsia="Arial" w:hAnsi="Arial"/>
                <w:sz w:val="18"/>
                <w:szCs w:val="18"/>
                <w:color w:val="auto"/>
              </w:rPr>
              <w:t>94-1439564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Sanford Scientific, Inc.(1)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9"/>
              </w:rPr>
              <w:t>New York</w:t>
            </w:r>
          </w:p>
        </w:tc>
        <w:tc>
          <w:tcPr>
            <w:tcW w:w="1820" w:type="dxa"/>
            <w:vAlign w:val="bottom"/>
          </w:tcPr>
          <w:p>
            <w:pPr>
              <w:jc w:val="right"/>
              <w:spacing w:after="0"/>
              <w:rPr>
                <w:sz w:val="20"/>
                <w:szCs w:val="20"/>
                <w:color w:val="auto"/>
              </w:rPr>
            </w:pPr>
            <w:r>
              <w:rPr>
                <w:rFonts w:ascii="Arial" w:cs="Arial" w:eastAsia="Arial" w:hAnsi="Arial"/>
                <w:sz w:val="18"/>
                <w:szCs w:val="18"/>
                <w:color w:val="auto"/>
              </w:rPr>
              <w:t>16-1279959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Scotts Manufacturing Company(1)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6"/>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42-1508875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Scotts Products Co.(1)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9"/>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31-1269080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Scotts Professional Products Co.(1)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9"/>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31-1269066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Scotts-Sierra Investments, Inc.(2)</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6"/>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51-0371209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Scotts Temecula Operations, LLC(1)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6"/>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33-0978312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SMG Growing Media, Inc.(1)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9"/>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20-3544126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Swiss Farms Products, Inc.(4)</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6"/>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88-0407223</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The Scotts Company LLC(1)</w:t>
            </w:r>
          </w:p>
        </w:tc>
        <w:tc>
          <w:tcPr>
            <w:tcW w:w="4480" w:type="dxa"/>
            <w:vAlign w:val="bottom"/>
          </w:tcPr>
          <w:p>
            <w:pPr>
              <w:jc w:val="center"/>
              <w:ind w:left="1815"/>
              <w:spacing w:after="0"/>
              <w:rPr>
                <w:sz w:val="20"/>
                <w:szCs w:val="20"/>
                <w:color w:val="auto"/>
              </w:rPr>
            </w:pPr>
            <w:r>
              <w:rPr>
                <w:rFonts w:ascii="Arial" w:cs="Arial" w:eastAsia="Arial" w:hAnsi="Arial"/>
                <w:sz w:val="18"/>
                <w:szCs w:val="18"/>
                <w:color w:val="auto"/>
                <w:w w:val="89"/>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31-1414921</w:t>
            </w:r>
          </w:p>
        </w:tc>
      </w:tr>
    </w:tbl>
    <w:p>
      <w:pPr>
        <w:spacing w:after="0" w:line="75" w:lineRule="exact"/>
        <w:rPr>
          <w:sz w:val="20"/>
          <w:szCs w:val="20"/>
          <w:color w:val="auto"/>
        </w:rPr>
      </w:pPr>
    </w:p>
    <w:p>
      <w:pPr>
        <w:ind w:left="460" w:right="22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address, including zip code, of the principal executive offices for this additional obligor is 1105 North Market Street Wilmington, Delaware 19899.</w:t>
      </w:r>
    </w:p>
    <w:p>
      <w:pPr>
        <w:spacing w:after="0" w:line="3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Place, Suite 2800, Los Angeles, California 90067.</w:t>
      </w:r>
    </w:p>
    <w:p>
      <w:pPr>
        <w:ind w:left="460" w:right="40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DECEMBER 14,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109855</wp:posOffset>
            </wp:positionV>
            <wp:extent cx="208407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40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Offer to Exchange all outstanding $200,000,000 6.625% Senior Notes due 2020 (the “outstanding notes”) for an equal amount of 6.625% Senior Notes due 2020, which have been registered under the Securities Act of 1933, as amended (the “exchange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96" w:lineRule="exact"/>
        <w:rPr>
          <w:sz w:val="20"/>
          <w:szCs w:val="20"/>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exchange all outstanding notes that are validly tendered and not validly withdrawn for $200,000,000 principal amount of exchange notes that are freely tradable.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may withdraw tenders of outstanding notes at any time prior to the expiration date of the exchange offer.</w:t>
      </w:r>
    </w:p>
    <w:p>
      <w:pPr>
        <w:sectPr>
          <w:pgSz w:w="11900" w:h="16838" w:orient="portrait"/>
          <w:cols w:equalWidth="0" w:num="1">
            <w:col w:w="11420"/>
          </w:cols>
          <w:pgMar w:left="240" w:top="459" w:right="239" w:bottom="1440" w:gutter="0" w:footer="0" w:header="0"/>
        </w:sectPr>
      </w:pP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exchange offer expires at 5:00 p.m., New York City time, on expiration date.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 2012, unless extended. We do not currently intend to extend the</w:t>
      </w:r>
    </w:p>
    <w:p>
      <w:pPr>
        <w:spacing w:after="0" w:line="340" w:lineRule="exact"/>
        <w:rPr>
          <w:sz w:val="20"/>
          <w:szCs w:val="20"/>
          <w:color w:val="auto"/>
        </w:rPr>
      </w:pPr>
    </w:p>
    <w:p>
      <w:pPr>
        <w:sectPr>
          <w:pgSz w:w="11900" w:h="16838" w:orient="portrait"/>
          <w:cols w:equalWidth="0" w:num="3">
            <w:col w:w="640" w:space="260"/>
            <w:col w:w="4760" w:space="720"/>
            <w:col w:w="5040"/>
          </w:cols>
          <w:pgMar w:left="240" w:top="459" w:right="239" w:bottom="1440" w:gutter="0" w:footer="0" w:header="0"/>
          <w:type w:val="continuous"/>
        </w:sect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exchange of outstanding notes for exchange notes in the exchange offer will not constitute a taxable event for United States federal income tax purposes.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Broker-dealers who receive exchange notes pursuant to the exchange offer acknowledge that they will deliver a prospectus in connection with any resale of such exchange notes.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Broker-dealers who acquired the original notes as a result of market-making or other trading activities may use the prospectus for the exchange offer, as supplemented or amended, in connection with resales of the exchange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Notes</w:t>
      </w:r>
    </w:p>
    <w:p>
      <w:pPr>
        <w:spacing w:after="0" w:line="96" w:lineRule="exact"/>
        <w:rPr>
          <w:sz w:val="20"/>
          <w:szCs w:val="20"/>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exchange notes are being offered in order to satisfy certain of our obligations under the registration rights agreement entered into in connection with the placement of the outstanding notes.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the exchange notes to be issued in the exchange offer are substantially identical to the outstanding notes, except that the exchange notes will be freely tradable.</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our domestic subsidiaries that guarantee our 7.25% Senior Notes due 2018 (the “2018 notes”) and our credit facility have guaranteed the outstanding notes and such subsidiaries will guarantee the exchange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Exchange Notes</w:t>
      </w:r>
    </w:p>
    <w:p>
      <w:pPr>
        <w:spacing w:after="0" w:line="96" w:lineRule="exact"/>
        <w:rPr>
          <w:sz w:val="20"/>
          <w:szCs w:val="20"/>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notes may be sold in the over-the-counter market, in negotiated transactions or through a combination of such methods. We do not plan to list the exchange notes on a national market.</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All untendered outstanding notes will continue to be subject to the restrictions on transfer set forth in the outstanding notes and in the indenture. In general, the outstanding notes may not be offered or sold, unless registered under the Securities Act of 1933, as amended, except pursuant to an exemption from, or in a transaction not subject to, the Securities Act of 1933, as amended, and applicable state securities laws. Other than in connection with the exchange offer, we do not currently anticipate that we will register the outstanding notes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 should consider carefully the </w:t>
      </w:r>
      <w:hyperlink w:anchor="page23">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beginning on page 15 of this prospectus before participating in the exchange offer.</w:t>
      </w:r>
    </w:p>
    <w:p>
      <w:pPr>
        <w:spacing w:after="0" w:line="194" w:lineRule="exact"/>
        <w:rPr>
          <w:sz w:val="20"/>
          <w:szCs w:val="20"/>
          <w:color w:val="auto"/>
        </w:rPr>
      </w:pPr>
    </w:p>
    <w:p>
      <w:pPr>
        <w:ind w:right="200" w:firstLine="456"/>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exchange notes to be distributed in the exchange offer or passed upon the adequacy or accuracy of this prospectus. Any representation to the contrary is a criminal offense.</w:t>
      </w:r>
    </w:p>
    <w:p>
      <w:pPr>
        <w:spacing w:after="0" w:line="51"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2011.</w:t>
            </w:r>
          </w:p>
        </w:tc>
      </w:tr>
    </w:tbl>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760" w:type="dxa"/>
            <w:vAlign w:val="bottom"/>
          </w:tcPr>
          <w:p>
            <w:pPr>
              <w:ind w:left="360"/>
              <w:spacing w:after="0"/>
              <w:rPr>
                <w:sz w:val="20"/>
                <w:szCs w:val="20"/>
                <w:color w:val="auto"/>
              </w:rPr>
            </w:pPr>
            <w:r>
              <w:rPr>
                <w:rFonts w:ascii="Arial" w:cs="Arial" w:eastAsia="Arial" w:hAnsi="Arial"/>
                <w:sz w:val="18"/>
                <w:szCs w:val="18"/>
                <w:b w:val="1"/>
                <w:bCs w:val="1"/>
                <w:color w:val="auto"/>
              </w:rPr>
              <w:t>TABLE OF CONTENTS</w:t>
            </w:r>
          </w:p>
        </w:tc>
        <w:tc>
          <w:tcPr>
            <w:tcW w:w="3240" w:type="dxa"/>
            <w:vAlign w:val="bottom"/>
          </w:tcPr>
          <w:p>
            <w:pPr>
              <w:spacing w:after="0"/>
              <w:rPr>
                <w:sz w:val="19"/>
                <w:szCs w:val="19"/>
                <w:color w:val="auto"/>
              </w:rPr>
            </w:pPr>
          </w:p>
        </w:tc>
      </w:tr>
      <w:tr>
        <w:trPr>
          <w:trHeight w:val="339"/>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40" w:type="dxa"/>
            <w:vAlign w:val="bottom"/>
            <w:tcBorders>
              <w:bottom w:val="single" w:sz="8" w:color="0000EE"/>
            </w:tcBorders>
            <w:gridSpan w:val="2"/>
          </w:tcPr>
          <w:p>
            <w:pPr>
              <w:spacing w:after="0" w:line="190" w:lineRule="exact"/>
              <w:rPr>
                <w:rFonts w:ascii="Arial" w:cs="Arial" w:eastAsia="Arial" w:hAnsi="Arial"/>
                <w:sz w:val="18"/>
                <w:szCs w:val="18"/>
                <w:b w:val="1"/>
                <w:bCs w:val="1"/>
                <w:color w:val="0000EE"/>
                <w:w w:val="98"/>
              </w:rPr>
            </w:pPr>
            <w:hyperlink w:anchor="page9">
              <w:r>
                <w:rPr>
                  <w:rFonts w:ascii="Arial" w:cs="Arial" w:eastAsia="Arial" w:hAnsi="Arial"/>
                  <w:sz w:val="18"/>
                  <w:szCs w:val="18"/>
                  <w:b w:val="1"/>
                  <w:bCs w:val="1"/>
                  <w:color w:val="0000EE"/>
                  <w:w w:val="98"/>
                </w:rPr>
                <w:t>SUMMARY</w:t>
              </w:r>
            </w:hyperlink>
          </w:p>
        </w:tc>
        <w:tc>
          <w:tcPr>
            <w:tcW w:w="7240" w:type="dxa"/>
            <w:vAlign w:val="bottom"/>
            <w:gridSpan w:val="9"/>
          </w:tcPr>
          <w:p>
            <w:pPr>
              <w:spacing w:after="0"/>
              <w:rPr>
                <w:sz w:val="16"/>
                <w:szCs w:val="16"/>
                <w:color w:val="auto"/>
              </w:rPr>
            </w:pPr>
          </w:p>
        </w:tc>
        <w:tc>
          <w:tcPr>
            <w:tcW w:w="3240" w:type="dxa"/>
            <w:vAlign w:val="bottom"/>
          </w:tcPr>
          <w:p>
            <w:pPr>
              <w:jc w:val="right"/>
              <w:ind w:right="14"/>
              <w:spacing w:after="0" w:line="190" w:lineRule="exact"/>
              <w:rPr>
                <w:sz w:val="20"/>
                <w:szCs w:val="20"/>
                <w:color w:val="auto"/>
              </w:rPr>
            </w:pPr>
            <w:r>
              <w:rPr>
                <w:rFonts w:ascii="Arial" w:cs="Arial" w:eastAsia="Arial" w:hAnsi="Arial"/>
                <w:sz w:val="18"/>
                <w:szCs w:val="18"/>
                <w:b w:val="1"/>
                <w:bCs w:val="1"/>
                <w:color w:val="auto"/>
              </w:rPr>
              <w:t>1</w:t>
            </w:r>
          </w:p>
        </w:tc>
      </w:tr>
      <w:tr>
        <w:trPr>
          <w:trHeight w:val="304"/>
        </w:trPr>
        <w:tc>
          <w:tcPr>
            <w:tcW w:w="8180" w:type="dxa"/>
            <w:vAlign w:val="bottom"/>
            <w:gridSpan w:val="11"/>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RISK FACTORS</w:t>
              </w:r>
            </w:hyperlink>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15</w:t>
            </w:r>
          </w:p>
        </w:tc>
      </w:tr>
      <w:tr>
        <w:trPr>
          <w:trHeight w:val="20"/>
        </w:trPr>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04"/>
        </w:trPr>
        <w:tc>
          <w:tcPr>
            <w:tcW w:w="1640" w:type="dxa"/>
            <w:vAlign w:val="bottom"/>
            <w:tcBorders>
              <w:bottom w:val="single" w:sz="8" w:color="0000EE"/>
            </w:tcBorders>
            <w:gridSpan w:val="5"/>
          </w:tcPr>
          <w:p>
            <w:pPr>
              <w:spacing w:after="0"/>
              <w:rPr>
                <w:rFonts w:ascii="Arial" w:cs="Arial" w:eastAsia="Arial" w:hAnsi="Arial"/>
                <w:sz w:val="18"/>
                <w:szCs w:val="18"/>
                <w:b w:val="1"/>
                <w:bCs w:val="1"/>
                <w:color w:val="0000EE"/>
                <w:w w:val="93"/>
              </w:rPr>
            </w:pPr>
            <w:hyperlink w:anchor="page29">
              <w:r>
                <w:rPr>
                  <w:rFonts w:ascii="Arial" w:cs="Arial" w:eastAsia="Arial" w:hAnsi="Arial"/>
                  <w:sz w:val="18"/>
                  <w:szCs w:val="18"/>
                  <w:b w:val="1"/>
                  <w:bCs w:val="1"/>
                  <w:color w:val="0000EE"/>
                  <w:w w:val="93"/>
                </w:rPr>
                <w:t>USE OF PROCEEDS</w:t>
              </w:r>
            </w:hyperlink>
          </w:p>
        </w:tc>
        <w:tc>
          <w:tcPr>
            <w:tcW w:w="6540" w:type="dxa"/>
            <w:vAlign w:val="bottom"/>
            <w:gridSpan w:val="6"/>
          </w:tcPr>
          <w:p>
            <w:pPr>
              <w:spacing w:after="0"/>
              <w:rPr>
                <w:sz w:val="24"/>
                <w:szCs w:val="24"/>
                <w:color w:val="auto"/>
              </w:rPr>
            </w:pPr>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21</w:t>
            </w:r>
          </w:p>
        </w:tc>
      </w:tr>
      <w:tr>
        <w:trPr>
          <w:trHeight w:val="304"/>
        </w:trPr>
        <w:tc>
          <w:tcPr>
            <w:tcW w:w="8180" w:type="dxa"/>
            <w:vAlign w:val="bottom"/>
            <w:gridSpan w:val="11"/>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CERTAIN OTHER INDEBTEDNESS</w:t>
              </w:r>
            </w:hyperlink>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22</w:t>
            </w:r>
          </w:p>
        </w:tc>
      </w:tr>
      <w:tr>
        <w:trPr>
          <w:trHeight w:val="304"/>
        </w:trPr>
        <w:tc>
          <w:tcPr>
            <w:tcW w:w="44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RATIO OF EARNINGS TO FIXED CHARGES</w:t>
              </w:r>
            </w:hyperlink>
          </w:p>
        </w:tc>
        <w:tc>
          <w:tcPr>
            <w:tcW w:w="3760" w:type="dxa"/>
            <w:vAlign w:val="bottom"/>
          </w:tcPr>
          <w:p>
            <w:pPr>
              <w:spacing w:after="0"/>
              <w:rPr>
                <w:sz w:val="24"/>
                <w:szCs w:val="24"/>
                <w:color w:val="auto"/>
              </w:rPr>
            </w:pPr>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25</w:t>
            </w:r>
          </w:p>
        </w:tc>
      </w:tr>
      <w:tr>
        <w:trPr>
          <w:trHeight w:val="304"/>
        </w:trPr>
        <w:tc>
          <w:tcPr>
            <w:tcW w:w="20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THE EXCHANGE OFFER</w:t>
              </w:r>
            </w:hyperlink>
          </w:p>
        </w:tc>
        <w:tc>
          <w:tcPr>
            <w:tcW w:w="1540" w:type="dxa"/>
            <w:vAlign w:val="bottom"/>
            <w:tcBorders>
              <w:top w:val="single" w:sz="8" w:color="0000EE"/>
            </w:tcBorders>
            <w:gridSpan w:val="3"/>
          </w:tcPr>
          <w:p>
            <w:pPr>
              <w:spacing w:after="0"/>
              <w:rPr>
                <w:sz w:val="24"/>
                <w:szCs w:val="24"/>
                <w:color w:val="auto"/>
              </w:rPr>
            </w:pPr>
          </w:p>
        </w:tc>
        <w:tc>
          <w:tcPr>
            <w:tcW w:w="4560" w:type="dxa"/>
            <w:vAlign w:val="bottom"/>
            <w:gridSpan w:val="2"/>
          </w:tcPr>
          <w:p>
            <w:pPr>
              <w:spacing w:after="0"/>
              <w:rPr>
                <w:sz w:val="24"/>
                <w:szCs w:val="24"/>
                <w:color w:val="auto"/>
              </w:rPr>
            </w:pPr>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26</w:t>
            </w:r>
          </w:p>
        </w:tc>
      </w:tr>
      <w:tr>
        <w:trPr>
          <w:trHeight w:val="304"/>
        </w:trPr>
        <w:tc>
          <w:tcPr>
            <w:tcW w:w="8180" w:type="dxa"/>
            <w:vAlign w:val="bottom"/>
            <w:gridSpan w:val="11"/>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DESCRIPTION OF THE EXCHANGE NOTES</w:t>
              </w:r>
            </w:hyperlink>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36</w:t>
            </w:r>
          </w:p>
        </w:tc>
      </w:tr>
      <w:tr>
        <w:trPr>
          <w:trHeight w:val="304"/>
        </w:trPr>
        <w:tc>
          <w:tcPr>
            <w:tcW w:w="320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8"/>
              </w:rPr>
            </w:pPr>
            <w:hyperlink w:anchor="page86">
              <w:r>
                <w:rPr>
                  <w:rFonts w:ascii="Arial" w:cs="Arial" w:eastAsia="Arial" w:hAnsi="Arial"/>
                  <w:sz w:val="18"/>
                  <w:szCs w:val="18"/>
                  <w:b w:val="1"/>
                  <w:bCs w:val="1"/>
                  <w:color w:val="0000EE"/>
                  <w:w w:val="98"/>
                </w:rPr>
                <w:t>BOOK-ENTRY, DELIVERY AND FORM</w:t>
              </w:r>
            </w:hyperlink>
          </w:p>
        </w:tc>
        <w:tc>
          <w:tcPr>
            <w:tcW w:w="420" w:type="dxa"/>
            <w:vAlign w:val="bottom"/>
            <w:tcBorders>
              <w:top w:val="single" w:sz="8" w:color="0000EE"/>
            </w:tcBorders>
          </w:tcPr>
          <w:p>
            <w:pPr>
              <w:spacing w:after="0"/>
              <w:rPr>
                <w:sz w:val="24"/>
                <w:szCs w:val="24"/>
                <w:color w:val="auto"/>
              </w:rPr>
            </w:pPr>
          </w:p>
        </w:tc>
        <w:tc>
          <w:tcPr>
            <w:tcW w:w="4560" w:type="dxa"/>
            <w:vAlign w:val="bottom"/>
            <w:gridSpan w:val="2"/>
          </w:tcPr>
          <w:p>
            <w:pPr>
              <w:spacing w:after="0"/>
              <w:rPr>
                <w:sz w:val="24"/>
                <w:szCs w:val="24"/>
                <w:color w:val="auto"/>
              </w:rPr>
            </w:pPr>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78</w:t>
            </w:r>
          </w:p>
        </w:tc>
      </w:tr>
      <w:tr>
        <w:trPr>
          <w:trHeight w:val="304"/>
        </w:trPr>
        <w:tc>
          <w:tcPr>
            <w:tcW w:w="8180" w:type="dxa"/>
            <w:vAlign w:val="bottom"/>
            <w:tcBorders>
              <w:bottom w:val="single" w:sz="8" w:color="0000EE"/>
            </w:tcBorders>
            <w:gridSpan w:val="11"/>
          </w:tcPr>
          <w:p>
            <w:pPr>
              <w:spacing w:after="0"/>
              <w:rPr>
                <w:rFonts w:ascii="Arial" w:cs="Arial" w:eastAsia="Arial" w:hAnsi="Arial"/>
                <w:sz w:val="18"/>
                <w:szCs w:val="18"/>
                <w:b w:val="1"/>
                <w:bCs w:val="1"/>
                <w:color w:val="0000EE"/>
                <w:w w:val="97"/>
              </w:rPr>
            </w:pPr>
            <w:hyperlink w:anchor="page89">
              <w:r>
                <w:rPr>
                  <w:rFonts w:ascii="Arial" w:cs="Arial" w:eastAsia="Arial" w:hAnsi="Arial"/>
                  <w:sz w:val="18"/>
                  <w:szCs w:val="18"/>
                  <w:b w:val="1"/>
                  <w:bCs w:val="1"/>
                  <w:color w:val="0000EE"/>
                  <w:w w:val="97"/>
                </w:rPr>
                <w:t>CERTAIN UNITED STATES FEDERAL INCOME TAX CONSEQUENCES OF THE EXCHANGE OFFER</w:t>
              </w:r>
            </w:hyperlink>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81</w:t>
            </w:r>
          </w:p>
        </w:tc>
      </w:tr>
      <w:tr>
        <w:trPr>
          <w:trHeight w:val="304"/>
        </w:trPr>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92">
              <w:r>
                <w:rPr>
                  <w:rFonts w:ascii="Arial" w:cs="Arial" w:eastAsia="Arial" w:hAnsi="Arial"/>
                  <w:sz w:val="18"/>
                  <w:szCs w:val="18"/>
                  <w:b w:val="1"/>
                  <w:bCs w:val="1"/>
                  <w:color w:val="0000EE"/>
                  <w:w w:val="99"/>
                </w:rPr>
                <w:t>PLAN OF DISTRIBUTION</w:t>
              </w:r>
            </w:hyperlink>
          </w:p>
        </w:tc>
        <w:tc>
          <w:tcPr>
            <w:tcW w:w="6060" w:type="dxa"/>
            <w:vAlign w:val="bottom"/>
            <w:gridSpan w:val="4"/>
          </w:tcPr>
          <w:p>
            <w:pPr>
              <w:spacing w:after="0"/>
              <w:rPr>
                <w:sz w:val="24"/>
                <w:szCs w:val="24"/>
                <w:color w:val="auto"/>
              </w:rPr>
            </w:pPr>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84</w:t>
            </w:r>
          </w:p>
        </w:tc>
      </w:tr>
      <w:tr>
        <w:trPr>
          <w:trHeight w:val="304"/>
        </w:trPr>
        <w:tc>
          <w:tcPr>
            <w:tcW w:w="8180" w:type="dxa"/>
            <w:vAlign w:val="bottom"/>
            <w:gridSpan w:val="11"/>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LEGAL MATTERS</w:t>
              </w:r>
            </w:hyperlink>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85</w:t>
            </w:r>
          </w:p>
        </w:tc>
      </w:tr>
      <w:tr>
        <w:trPr>
          <w:trHeight w:val="304"/>
        </w:trPr>
        <w:tc>
          <w:tcPr>
            <w:tcW w:w="82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5"/>
              </w:rPr>
            </w:pPr>
            <w:hyperlink w:anchor="page93">
              <w:r>
                <w:rPr>
                  <w:rFonts w:ascii="Arial" w:cs="Arial" w:eastAsia="Arial" w:hAnsi="Arial"/>
                  <w:sz w:val="18"/>
                  <w:szCs w:val="18"/>
                  <w:b w:val="1"/>
                  <w:bCs w:val="1"/>
                  <w:color w:val="0000EE"/>
                  <w:w w:val="95"/>
                </w:rPr>
                <w:t>EXPERTS</w:t>
              </w:r>
            </w:hyperlink>
          </w:p>
        </w:tc>
        <w:tc>
          <w:tcPr>
            <w:tcW w:w="700" w:type="dxa"/>
            <w:vAlign w:val="bottom"/>
            <w:tcBorders>
              <w:top w:val="single" w:sz="8" w:color="0000EE"/>
            </w:tcBorders>
            <w:gridSpan w:val="3"/>
          </w:tcPr>
          <w:p>
            <w:pPr>
              <w:spacing w:after="0"/>
              <w:rPr>
                <w:sz w:val="24"/>
                <w:szCs w:val="24"/>
                <w:color w:val="auto"/>
              </w:rPr>
            </w:pPr>
          </w:p>
        </w:tc>
        <w:tc>
          <w:tcPr>
            <w:tcW w:w="6660" w:type="dxa"/>
            <w:vAlign w:val="bottom"/>
            <w:gridSpan w:val="7"/>
          </w:tcPr>
          <w:p>
            <w:pPr>
              <w:spacing w:after="0"/>
              <w:rPr>
                <w:sz w:val="24"/>
                <w:szCs w:val="24"/>
                <w:color w:val="auto"/>
              </w:rPr>
            </w:pPr>
          </w:p>
        </w:tc>
        <w:tc>
          <w:tcPr>
            <w:tcW w:w="3240" w:type="dxa"/>
            <w:vAlign w:val="bottom"/>
          </w:tcPr>
          <w:p>
            <w:pPr>
              <w:jc w:val="right"/>
              <w:ind w:right="14"/>
              <w:spacing w:after="0"/>
              <w:rPr>
                <w:sz w:val="20"/>
                <w:szCs w:val="20"/>
                <w:color w:val="auto"/>
              </w:rPr>
            </w:pPr>
            <w:r>
              <w:rPr>
                <w:rFonts w:ascii="Arial" w:cs="Arial" w:eastAsia="Arial" w:hAnsi="Arial"/>
                <w:sz w:val="18"/>
                <w:szCs w:val="18"/>
                <w:b w:val="1"/>
                <w:bCs w:val="1"/>
                <w:color w:val="auto"/>
              </w:rPr>
              <w:t>85</w:t>
            </w:r>
          </w:p>
        </w:tc>
      </w:tr>
    </w:tbl>
    <w:p>
      <w:pPr>
        <w:spacing w:after="0" w:line="17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in this prospectus. We have not authorized anyone to provide you with other information. If you receive any other information, you should not rely on it. We are not making an offer of these notes in any state where the offer is not permitted. You should assume that the information appearing in this prospectus is accurate as of the date on the front cover of this prospectus only. Our business, financial condition, results of operations and prospects may have changed since that date. The delivery of this prospectus shall under no circumstances imply that the information herein is correct as of any date subsequent to the date on the cover of this prospectus.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INFORMATION</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this prospectus, unless the context otherwise requires or as otherwise indicated, references to “Scotts,” the “Company,” “we,” “our” and “us” and similar terms mean The Scotts Miracle-Gro Company, a company incorporated in Ohio, and its consolidated subsidiaries.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AccuGreen</w:t>
      </w:r>
      <w:r>
        <w:rPr>
          <w:rFonts w:ascii="Arial" w:cs="Arial" w:eastAsia="Arial" w:hAnsi="Arial"/>
          <w:sz w:val="10"/>
          <w:szCs w:val="10"/>
          <w:i w:val="1"/>
          <w:iCs w:val="1"/>
          <w:color w:val="auto"/>
        </w:rPr>
        <w:t>®</w:t>
      </w:r>
      <w:r>
        <w:rPr>
          <w:rFonts w:ascii="Arial" w:cs="Arial" w:eastAsia="Arial" w:hAnsi="Arial"/>
          <w:sz w:val="16"/>
          <w:szCs w:val="16"/>
          <w:i w:val="1"/>
          <w:iCs w:val="1"/>
          <w:color w:val="auto"/>
        </w:rPr>
        <w:t>, ASEF</w:t>
      </w:r>
      <w:r>
        <w:rPr>
          <w:rFonts w:ascii="Arial" w:cs="Arial" w:eastAsia="Arial" w:hAnsi="Arial"/>
          <w:sz w:val="10"/>
          <w:szCs w:val="10"/>
          <w:i w:val="1"/>
          <w:iCs w:val="1"/>
          <w:color w:val="auto"/>
        </w:rPr>
        <w:t>®</w:t>
      </w:r>
      <w:r>
        <w:rPr>
          <w:rFonts w:ascii="Arial" w:cs="Arial" w:eastAsia="Arial" w:hAnsi="Arial"/>
          <w:sz w:val="16"/>
          <w:szCs w:val="16"/>
          <w:i w:val="1"/>
          <w:iCs w:val="1"/>
          <w:color w:val="auto"/>
        </w:rPr>
        <w:t>, Bug-B-Gon Max</w:t>
      </w:r>
      <w:r>
        <w:rPr>
          <w:rFonts w:ascii="Arial" w:cs="Arial" w:eastAsia="Arial" w:hAnsi="Arial"/>
          <w:sz w:val="10"/>
          <w:szCs w:val="10"/>
          <w:i w:val="1"/>
          <w:iCs w:val="1"/>
          <w:color w:val="auto"/>
        </w:rPr>
        <w:t>®</w:t>
      </w:r>
      <w:r>
        <w:rPr>
          <w:rFonts w:ascii="Arial" w:cs="Arial" w:eastAsia="Arial" w:hAnsi="Arial"/>
          <w:sz w:val="16"/>
          <w:szCs w:val="16"/>
          <w:i w:val="1"/>
          <w:iCs w:val="1"/>
          <w:color w:val="auto"/>
        </w:rPr>
        <w:t>, Carre Vert</w:t>
      </w:r>
      <w:r>
        <w:rPr>
          <w:rFonts w:ascii="Arial" w:cs="Arial" w:eastAsia="Arial" w:hAnsi="Arial"/>
          <w:sz w:val="10"/>
          <w:szCs w:val="10"/>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Celaflor</w:t>
      </w:r>
      <w:r>
        <w:rPr>
          <w:rFonts w:ascii="Arial" w:cs="Arial" w:eastAsia="Arial" w:hAnsi="Arial"/>
          <w:sz w:val="10"/>
          <w:szCs w:val="10"/>
          <w:i w:val="1"/>
          <w:iCs w:val="1"/>
          <w:color w:val="auto"/>
        </w:rPr>
        <w:t>®</w:t>
      </w:r>
      <w:r>
        <w:rPr>
          <w:rFonts w:ascii="Arial" w:cs="Arial" w:eastAsia="Arial" w:hAnsi="Arial"/>
          <w:sz w:val="16"/>
          <w:szCs w:val="16"/>
          <w:i w:val="1"/>
          <w:iCs w:val="1"/>
          <w:color w:val="auto"/>
        </w:rPr>
        <w:t>, Country Pride</w:t>
      </w:r>
      <w:r>
        <w:rPr>
          <w:rFonts w:ascii="Arial" w:cs="Arial" w:eastAsia="Arial" w:hAnsi="Arial"/>
          <w:sz w:val="10"/>
          <w:szCs w:val="10"/>
          <w:i w:val="1"/>
          <w:iCs w:val="1"/>
          <w:color w:val="auto"/>
        </w:rPr>
        <w:t>®</w:t>
      </w:r>
      <w:r>
        <w:rPr>
          <w:rFonts w:ascii="Arial" w:cs="Arial" w:eastAsia="Arial" w:hAnsi="Arial"/>
          <w:sz w:val="16"/>
          <w:szCs w:val="16"/>
          <w:i w:val="1"/>
          <w:iCs w:val="1"/>
          <w:color w:val="auto"/>
        </w:rPr>
        <w:t>, Earthgro</w:t>
      </w:r>
      <w:r>
        <w:rPr>
          <w:rFonts w:ascii="Arial" w:cs="Arial" w:eastAsia="Arial" w:hAnsi="Arial"/>
          <w:sz w:val="10"/>
          <w:szCs w:val="10"/>
          <w:i w:val="1"/>
          <w:iCs w:val="1"/>
          <w:color w:val="auto"/>
        </w:rPr>
        <w:t>®</w:t>
      </w:r>
      <w:r>
        <w:rPr>
          <w:rFonts w:ascii="Arial" w:cs="Arial" w:eastAsia="Arial" w:hAnsi="Arial"/>
          <w:sz w:val="16"/>
          <w:szCs w:val="16"/>
          <w:i w:val="1"/>
          <w:iCs w:val="1"/>
          <w:color w:val="auto"/>
        </w:rPr>
        <w:t>, EZ Seed</w:t>
      </w:r>
      <w:r>
        <w:rPr>
          <w:rFonts w:ascii="Arial" w:cs="Arial" w:eastAsia="Arial" w:hAnsi="Arial"/>
          <w:sz w:val="10"/>
          <w:szCs w:val="10"/>
          <w:i w:val="1"/>
          <w:iCs w:val="1"/>
          <w:color w:val="auto"/>
        </w:rPr>
        <w:t>®</w:t>
      </w:r>
      <w:r>
        <w:rPr>
          <w:rFonts w:ascii="Arial" w:cs="Arial" w:eastAsia="Arial" w:hAnsi="Arial"/>
          <w:sz w:val="16"/>
          <w:szCs w:val="16"/>
          <w:i w:val="1"/>
          <w:iCs w:val="1"/>
          <w:color w:val="auto"/>
        </w:rPr>
        <w:t>, Fertiligène</w:t>
      </w:r>
      <w:r>
        <w:rPr>
          <w:rFonts w:ascii="Arial" w:cs="Arial" w:eastAsia="Arial" w:hAnsi="Arial"/>
          <w:sz w:val="10"/>
          <w:szCs w:val="10"/>
          <w:i w:val="1"/>
          <w:iCs w:val="1"/>
          <w:color w:val="auto"/>
        </w:rPr>
        <w:t>®</w:t>
      </w:r>
      <w:r>
        <w:rPr>
          <w:rFonts w:ascii="Arial" w:cs="Arial" w:eastAsia="Arial" w:hAnsi="Arial"/>
          <w:sz w:val="16"/>
          <w:szCs w:val="16"/>
          <w:i w:val="1"/>
          <w:iCs w:val="1"/>
          <w:color w:val="auto"/>
        </w:rPr>
        <w:t>, GrubEx</w:t>
      </w:r>
      <w:r>
        <w:rPr>
          <w:rFonts w:ascii="Arial" w:cs="Arial" w:eastAsia="Arial" w:hAnsi="Arial"/>
          <w:sz w:val="10"/>
          <w:szCs w:val="10"/>
          <w:i w:val="1"/>
          <w:iCs w:val="1"/>
          <w:color w:val="auto"/>
        </w:rPr>
        <w:t>®</w:t>
      </w:r>
      <w:r>
        <w:rPr>
          <w:rFonts w:ascii="Arial" w:cs="Arial" w:eastAsia="Arial" w:hAnsi="Arial"/>
          <w:sz w:val="16"/>
          <w:szCs w:val="16"/>
          <w:i w:val="1"/>
          <w:iCs w:val="1"/>
          <w:color w:val="auto"/>
        </w:rPr>
        <w:t>, Home Defense Max</w:t>
      </w:r>
      <w:r>
        <w:rPr>
          <w:rFonts w:ascii="Arial" w:cs="Arial" w:eastAsia="Arial" w:hAnsi="Arial"/>
          <w:sz w:val="10"/>
          <w:szCs w:val="10"/>
          <w:i w:val="1"/>
          <w:iCs w:val="1"/>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Handy Green</w:t>
      </w:r>
      <w:r>
        <w:rPr>
          <w:rFonts w:ascii="Arial" w:cs="Arial" w:eastAsia="Arial" w:hAnsi="Arial"/>
          <w:sz w:val="10"/>
          <w:szCs w:val="10"/>
          <w:i w:val="1"/>
          <w:iCs w:val="1"/>
          <w:color w:val="auto"/>
        </w:rPr>
        <w:t>®</w:t>
      </w:r>
      <w:r>
        <w:rPr>
          <w:rFonts w:ascii="Arial" w:cs="Arial" w:eastAsia="Arial" w:hAnsi="Arial"/>
          <w:sz w:val="16"/>
          <w:szCs w:val="16"/>
          <w:i w:val="1"/>
          <w:iCs w:val="1"/>
          <w:color w:val="auto"/>
        </w:rPr>
        <w:t>, Hyponex</w:t>
      </w:r>
      <w:r>
        <w:rPr>
          <w:rFonts w:ascii="Arial" w:cs="Arial" w:eastAsia="Arial" w:hAnsi="Arial"/>
          <w:sz w:val="10"/>
          <w:szCs w:val="10"/>
          <w:i w:val="1"/>
          <w:iCs w:val="1"/>
          <w:color w:val="auto"/>
        </w:rPr>
        <w:t>®</w:t>
      </w:r>
      <w:r>
        <w:rPr>
          <w:rFonts w:ascii="Arial" w:cs="Arial" w:eastAsia="Arial" w:hAnsi="Arial"/>
          <w:sz w:val="16"/>
          <w:szCs w:val="16"/>
          <w:i w:val="1"/>
          <w:iCs w:val="1"/>
          <w:color w:val="auto"/>
        </w:rPr>
        <w:t>, KB</w:t>
      </w:r>
      <w:r>
        <w:rPr>
          <w:rFonts w:ascii="Arial" w:cs="Arial" w:eastAsia="Arial" w:hAnsi="Arial"/>
          <w:sz w:val="10"/>
          <w:szCs w:val="10"/>
          <w:i w:val="1"/>
          <w:iCs w:val="1"/>
          <w:color w:val="auto"/>
        </w:rPr>
        <w:t>®</w:t>
      </w:r>
      <w:r>
        <w:rPr>
          <w:rFonts w:ascii="Arial" w:cs="Arial" w:eastAsia="Arial" w:hAnsi="Arial"/>
          <w:sz w:val="16"/>
          <w:szCs w:val="16"/>
          <w:i w:val="1"/>
          <w:iCs w:val="1"/>
          <w:color w:val="auto"/>
        </w:rPr>
        <w:t>, Lawn Pro</w:t>
      </w:r>
      <w:r>
        <w:rPr>
          <w:rFonts w:ascii="Arial" w:cs="Arial" w:eastAsia="Arial" w:hAnsi="Arial"/>
          <w:sz w:val="10"/>
          <w:szCs w:val="10"/>
          <w:i w:val="1"/>
          <w:iCs w:val="1"/>
          <w:color w:val="auto"/>
        </w:rPr>
        <w:t>®</w:t>
      </w:r>
      <w:r>
        <w:rPr>
          <w:rFonts w:ascii="Arial" w:cs="Arial" w:eastAsia="Arial" w:hAnsi="Arial"/>
          <w:sz w:val="16"/>
          <w:szCs w:val="16"/>
          <w:i w:val="1"/>
          <w:iCs w:val="1"/>
          <w:color w:val="auto"/>
        </w:rPr>
        <w:t>, Levington</w:t>
      </w:r>
      <w:r>
        <w:rPr>
          <w:rFonts w:ascii="Arial" w:cs="Arial" w:eastAsia="Arial" w:hAnsi="Arial"/>
          <w:sz w:val="10"/>
          <w:szCs w:val="10"/>
          <w:i w:val="1"/>
          <w:iCs w:val="1"/>
          <w:color w:val="auto"/>
        </w:rPr>
        <w:t>®</w:t>
      </w:r>
      <w:r>
        <w:rPr>
          <w:rFonts w:ascii="Arial" w:cs="Arial" w:eastAsia="Arial" w:hAnsi="Arial"/>
          <w:sz w:val="16"/>
          <w:szCs w:val="16"/>
          <w:i w:val="1"/>
          <w:iCs w:val="1"/>
          <w:color w:val="auto"/>
        </w:rPr>
        <w:t>, LiquaFeed</w:t>
      </w:r>
      <w:r>
        <w:rPr>
          <w:rFonts w:ascii="Arial" w:cs="Arial" w:eastAsia="Arial" w:hAnsi="Arial"/>
          <w:sz w:val="10"/>
          <w:szCs w:val="10"/>
          <w:i w:val="1"/>
          <w:iCs w:val="1"/>
          <w:color w:val="auto"/>
        </w:rPr>
        <w:t>®</w:t>
      </w:r>
      <w:r>
        <w:rPr>
          <w:rFonts w:ascii="Arial" w:cs="Arial" w:eastAsia="Arial" w:hAnsi="Arial"/>
          <w:sz w:val="16"/>
          <w:szCs w:val="16"/>
          <w:i w:val="1"/>
          <w:iCs w:val="1"/>
          <w:color w:val="auto"/>
        </w:rPr>
        <w:t>, Miracle-Gro</w:t>
      </w:r>
      <w:r>
        <w:rPr>
          <w:rFonts w:ascii="Arial" w:cs="Arial" w:eastAsia="Arial" w:hAnsi="Arial"/>
          <w:sz w:val="10"/>
          <w:szCs w:val="10"/>
          <w:i w:val="1"/>
          <w:iCs w:val="1"/>
          <w:color w:val="auto"/>
        </w:rPr>
        <w:t>®</w:t>
      </w:r>
      <w:r>
        <w:rPr>
          <w:rFonts w:ascii="Arial" w:cs="Arial" w:eastAsia="Arial" w:hAnsi="Arial"/>
          <w:sz w:val="16"/>
          <w:szCs w:val="16"/>
          <w:i w:val="1"/>
          <w:iCs w:val="1"/>
          <w:color w:val="auto"/>
        </w:rPr>
        <w:t>, Miracle-Gro Patch Magic</w:t>
      </w:r>
      <w:r>
        <w:rPr>
          <w:rFonts w:ascii="Arial" w:cs="Arial" w:eastAsia="Arial" w:hAnsi="Arial"/>
          <w:sz w:val="10"/>
          <w:szCs w:val="10"/>
          <w:i w:val="1"/>
          <w:iCs w:val="1"/>
          <w:color w:val="auto"/>
        </w:rPr>
        <w:t>®</w:t>
      </w:r>
      <w:r>
        <w:rPr>
          <w:rFonts w:ascii="Arial" w:cs="Arial" w:eastAsia="Arial" w:hAnsi="Arial"/>
          <w:sz w:val="16"/>
          <w:szCs w:val="16"/>
          <w:i w:val="1"/>
          <w:iCs w:val="1"/>
          <w:color w:val="auto"/>
        </w:rPr>
        <w:t>, Morning Melodies</w:t>
      </w:r>
      <w:r>
        <w:rPr>
          <w:rFonts w:ascii="Arial" w:cs="Arial" w:eastAsia="Arial" w:hAnsi="Arial"/>
          <w:sz w:val="10"/>
          <w:szCs w:val="10"/>
          <w:i w:val="1"/>
          <w:iCs w:val="1"/>
          <w:color w:val="auto"/>
        </w:rPr>
        <w:t>®</w:t>
      </w:r>
      <w:r>
        <w:rPr>
          <w:rFonts w:ascii="Arial" w:cs="Arial" w:eastAsia="Arial" w:hAnsi="Arial"/>
          <w:sz w:val="16"/>
          <w:szCs w:val="16"/>
          <w:i w:val="1"/>
          <w:iCs w:val="1"/>
          <w:color w:val="auto"/>
        </w:rPr>
        <w:t>, Morning Song</w:t>
      </w:r>
      <w:r>
        <w:rPr>
          <w:rFonts w:ascii="Arial" w:cs="Arial" w:eastAsia="Arial" w:hAnsi="Arial"/>
          <w:sz w:val="10"/>
          <w:szCs w:val="10"/>
          <w:i w:val="1"/>
          <w:iCs w:val="1"/>
          <w:color w:val="auto"/>
        </w:rPr>
        <w:t>®</w:t>
      </w:r>
      <w:r>
        <w:rPr>
          <w:rFonts w:ascii="Arial" w:cs="Arial" w:eastAsia="Arial" w:hAnsi="Arial"/>
          <w:sz w:val="16"/>
          <w:szCs w:val="16"/>
          <w:i w:val="1"/>
          <w:iCs w:val="1"/>
          <w:color w:val="auto"/>
        </w:rPr>
        <w:t>, Naturen</w:t>
      </w:r>
      <w:r>
        <w:rPr>
          <w:rFonts w:ascii="Arial" w:cs="Arial" w:eastAsia="Arial" w:hAnsi="Arial"/>
          <w:sz w:val="10"/>
          <w:szCs w:val="10"/>
          <w:i w:val="1"/>
          <w:iCs w:val="1"/>
          <w:color w:val="auto"/>
        </w:rPr>
        <w:t>®</w:t>
      </w:r>
      <w:r>
        <w:rPr>
          <w:rFonts w:ascii="Arial" w:cs="Arial" w:eastAsia="Arial" w:hAnsi="Arial"/>
          <w:sz w:val="16"/>
          <w:szCs w:val="16"/>
          <w:i w:val="1"/>
          <w:iCs w:val="1"/>
          <w:color w:val="auto"/>
        </w:rPr>
        <w:t>, Nature Scapes</w:t>
      </w:r>
      <w:r>
        <w:rPr>
          <w:rFonts w:ascii="Arial" w:cs="Arial" w:eastAsia="Arial" w:hAnsi="Arial"/>
          <w:sz w:val="10"/>
          <w:szCs w:val="10"/>
          <w:i w:val="1"/>
          <w:iCs w:val="1"/>
          <w:color w:val="auto"/>
        </w:rPr>
        <w:t>®</w:t>
      </w:r>
      <w:r>
        <w:rPr>
          <w:rFonts w:ascii="Arial" w:cs="Arial" w:eastAsia="Arial" w:hAnsi="Arial"/>
          <w:sz w:val="16"/>
          <w:szCs w:val="16"/>
          <w:i w:val="1"/>
          <w:iCs w:val="1"/>
          <w:color w:val="auto"/>
        </w:rPr>
        <w:t>, Nexa Lotte</w:t>
      </w:r>
      <w:r>
        <w:rPr>
          <w:rFonts w:ascii="Arial" w:cs="Arial" w:eastAsia="Arial" w:hAnsi="Arial"/>
          <w:sz w:val="10"/>
          <w:szCs w:val="10"/>
          <w:i w:val="1"/>
          <w:iCs w:val="1"/>
          <w:color w:val="auto"/>
        </w:rPr>
        <w:t>®</w:t>
      </w:r>
      <w:r>
        <w:rPr>
          <w:rFonts w:ascii="Arial" w:cs="Arial" w:eastAsia="Arial" w:hAnsi="Arial"/>
          <w:sz w:val="16"/>
          <w:szCs w:val="16"/>
          <w:i w:val="1"/>
          <w:iCs w:val="1"/>
          <w:color w:val="auto"/>
        </w:rPr>
        <w:t>, Organic Choice</w:t>
      </w:r>
      <w:r>
        <w:rPr>
          <w:rFonts w:ascii="Arial" w:cs="Arial" w:eastAsia="Arial" w:hAnsi="Arial"/>
          <w:sz w:val="10"/>
          <w:szCs w:val="10"/>
          <w:i w:val="1"/>
          <w:iCs w:val="1"/>
          <w:color w:val="auto"/>
        </w:rPr>
        <w:t>®</w:t>
      </w:r>
      <w:r>
        <w:rPr>
          <w:rFonts w:ascii="Arial" w:cs="Arial" w:eastAsia="Arial" w:hAnsi="Arial"/>
          <w:sz w:val="16"/>
          <w:szCs w:val="16"/>
          <w:i w:val="1"/>
          <w:iCs w:val="1"/>
          <w:color w:val="auto"/>
        </w:rPr>
        <w:t>, Ortho</w:t>
      </w:r>
      <w:r>
        <w:rPr>
          <w:rFonts w:ascii="Arial" w:cs="Arial" w:eastAsia="Arial" w:hAnsi="Arial"/>
          <w:sz w:val="10"/>
          <w:szCs w:val="10"/>
          <w:i w:val="1"/>
          <w:iCs w:val="1"/>
          <w:color w:val="auto"/>
        </w:rPr>
        <w:t>®</w:t>
      </w:r>
      <w:r>
        <w:rPr>
          <w:rFonts w:ascii="Arial" w:cs="Arial" w:eastAsia="Arial" w:hAnsi="Arial"/>
          <w:sz w:val="16"/>
          <w:szCs w:val="16"/>
          <w:i w:val="1"/>
          <w:iCs w:val="1"/>
          <w:color w:val="auto"/>
        </w:rPr>
        <w:t>, Pathclear</w:t>
      </w:r>
      <w:r>
        <w:rPr>
          <w:rFonts w:ascii="Arial" w:cs="Arial" w:eastAsia="Arial" w:hAnsi="Arial"/>
          <w:sz w:val="10"/>
          <w:szCs w:val="10"/>
          <w:i w:val="1"/>
          <w:iCs w:val="1"/>
          <w:color w:val="auto"/>
        </w:rPr>
        <w:t>®</w:t>
      </w:r>
      <w:r>
        <w:rPr>
          <w:rFonts w:ascii="Arial" w:cs="Arial" w:eastAsia="Arial" w:hAnsi="Arial"/>
          <w:sz w:val="16"/>
          <w:szCs w:val="16"/>
          <w:i w:val="1"/>
          <w:iCs w:val="1"/>
          <w:color w:val="auto"/>
        </w:rPr>
        <w:t>, PatchMaster</w:t>
      </w:r>
      <w:r>
        <w:rPr>
          <w:rFonts w:ascii="Arial" w:cs="Arial" w:eastAsia="Arial" w:hAnsi="Arial"/>
          <w:sz w:val="10"/>
          <w:szCs w:val="10"/>
          <w:i w:val="1"/>
          <w:iCs w:val="1"/>
          <w:color w:val="auto"/>
        </w:rPr>
        <w:t>®</w:t>
      </w:r>
      <w:r>
        <w:rPr>
          <w:rFonts w:ascii="Arial" w:cs="Arial" w:eastAsia="Arial" w:hAnsi="Arial"/>
          <w:sz w:val="16"/>
          <w:szCs w:val="16"/>
          <w:i w:val="1"/>
          <w:iCs w:val="1"/>
          <w:color w:val="auto"/>
        </w:rPr>
        <w:t>, Scotts</w:t>
      </w:r>
      <w:r>
        <w:rPr>
          <w:rFonts w:ascii="Arial" w:cs="Arial" w:eastAsia="Arial" w:hAnsi="Arial"/>
          <w:sz w:val="10"/>
          <w:szCs w:val="10"/>
          <w:i w:val="1"/>
          <w:iCs w:val="1"/>
          <w:color w:val="auto"/>
        </w:rPr>
        <w:t>®</w:t>
      </w:r>
      <w:r>
        <w:rPr>
          <w:rFonts w:ascii="Arial" w:cs="Arial" w:eastAsia="Arial" w:hAnsi="Arial"/>
          <w:sz w:val="16"/>
          <w:szCs w:val="16"/>
          <w:i w:val="1"/>
          <w:iCs w:val="1"/>
          <w:color w:val="auto"/>
        </w:rPr>
        <w:t>, Scotts EcoSense</w:t>
      </w:r>
      <w:r>
        <w:rPr>
          <w:rFonts w:ascii="Arial" w:cs="Arial" w:eastAsia="Arial" w:hAnsi="Arial"/>
          <w:sz w:val="10"/>
          <w:szCs w:val="10"/>
          <w:i w:val="1"/>
          <w:iCs w:val="1"/>
          <w:color w:val="auto"/>
        </w:rPr>
        <w:t>®</w:t>
      </w:r>
      <w:r>
        <w:rPr>
          <w:rFonts w:ascii="Arial" w:cs="Arial" w:eastAsia="Arial" w:hAnsi="Arial"/>
          <w:sz w:val="16"/>
          <w:szCs w:val="16"/>
          <w:i w:val="1"/>
          <w:iCs w:val="1"/>
          <w:color w:val="auto"/>
        </w:rPr>
        <w:t>, Shake N’ Feed</w:t>
      </w:r>
      <w:r>
        <w:rPr>
          <w:rFonts w:ascii="Arial" w:cs="Arial" w:eastAsia="Arial" w:hAnsi="Arial"/>
          <w:sz w:val="10"/>
          <w:szCs w:val="10"/>
          <w:i w:val="1"/>
          <w:iCs w:val="1"/>
          <w:color w:val="auto"/>
        </w:rPr>
        <w:t>®</w:t>
      </w:r>
      <w:r>
        <w:rPr>
          <w:rFonts w:ascii="Arial" w:cs="Arial" w:eastAsia="Arial" w:hAnsi="Arial"/>
          <w:sz w:val="16"/>
          <w:szCs w:val="16"/>
          <w:i w:val="1"/>
          <w:iCs w:val="1"/>
          <w:color w:val="auto"/>
        </w:rPr>
        <w:t>, Scotts LawnService</w:t>
      </w:r>
      <w:r>
        <w:rPr>
          <w:rFonts w:ascii="Arial" w:cs="Arial" w:eastAsia="Arial" w:hAnsi="Arial"/>
          <w:sz w:val="10"/>
          <w:szCs w:val="10"/>
          <w:i w:val="1"/>
          <w:iCs w:val="1"/>
          <w:color w:val="auto"/>
        </w:rPr>
        <w:t>®</w:t>
      </w:r>
      <w:r>
        <w:rPr>
          <w:rFonts w:ascii="Arial" w:cs="Arial" w:eastAsia="Arial" w:hAnsi="Arial"/>
          <w:sz w:val="16"/>
          <w:szCs w:val="16"/>
          <w:i w:val="1"/>
          <w:iCs w:val="1"/>
          <w:color w:val="auto"/>
        </w:rPr>
        <w:t>, Scotts Songbird Selections</w:t>
      </w:r>
      <w:r>
        <w:rPr>
          <w:rFonts w:ascii="Arial" w:cs="Arial" w:eastAsia="Arial" w:hAnsi="Arial"/>
          <w:sz w:val="10"/>
          <w:szCs w:val="10"/>
          <w:i w:val="1"/>
          <w:iCs w:val="1"/>
          <w:color w:val="auto"/>
        </w:rPr>
        <w:t>®</w:t>
      </w:r>
      <w:r>
        <w:rPr>
          <w:rFonts w:ascii="Arial" w:cs="Arial" w:eastAsia="Arial" w:hAnsi="Arial"/>
          <w:sz w:val="16"/>
          <w:szCs w:val="16"/>
          <w:i w:val="1"/>
          <w:iCs w:val="1"/>
          <w:color w:val="auto"/>
        </w:rPr>
        <w:t>, EverGreen</w:t>
      </w:r>
      <w:r>
        <w:rPr>
          <w:rFonts w:ascii="Arial" w:cs="Arial" w:eastAsia="Arial" w:hAnsi="Arial"/>
          <w:sz w:val="10"/>
          <w:szCs w:val="10"/>
          <w:i w:val="1"/>
          <w:iCs w:val="1"/>
          <w:color w:val="auto"/>
        </w:rPr>
        <w:t>®</w:t>
      </w:r>
      <w:r>
        <w:rPr>
          <w:rFonts w:ascii="Arial" w:cs="Arial" w:eastAsia="Arial" w:hAnsi="Arial"/>
          <w:sz w:val="16"/>
          <w:szCs w:val="16"/>
          <w:i w:val="1"/>
          <w:iCs w:val="1"/>
          <w:color w:val="auto"/>
        </w:rPr>
        <w:t>, Substral</w:t>
      </w:r>
      <w:r>
        <w:rPr>
          <w:rFonts w:ascii="Arial" w:cs="Arial" w:eastAsia="Arial" w:hAnsi="Arial"/>
          <w:sz w:val="10"/>
          <w:szCs w:val="10"/>
          <w:i w:val="1"/>
          <w:iCs w:val="1"/>
          <w:color w:val="auto"/>
        </w:rPr>
        <w:t>®</w:t>
      </w:r>
      <w:r>
        <w:rPr>
          <w:rFonts w:ascii="Arial" w:cs="Arial" w:eastAsia="Arial" w:hAnsi="Arial"/>
          <w:sz w:val="16"/>
          <w:szCs w:val="16"/>
          <w:i w:val="1"/>
          <w:iCs w:val="1"/>
          <w:color w:val="auto"/>
        </w:rPr>
        <w:t>, SuperSoil</w:t>
      </w:r>
      <w:r>
        <w:rPr>
          <w:rFonts w:ascii="Arial" w:cs="Arial" w:eastAsia="Arial" w:hAnsi="Arial"/>
          <w:sz w:val="10"/>
          <w:szCs w:val="10"/>
          <w:i w:val="1"/>
          <w:iCs w:val="1"/>
          <w:color w:val="auto"/>
        </w:rPr>
        <w:t>®</w:t>
      </w:r>
      <w:r>
        <w:rPr>
          <w:rFonts w:ascii="Arial" w:cs="Arial" w:eastAsia="Arial" w:hAnsi="Arial"/>
          <w:sz w:val="16"/>
          <w:szCs w:val="16"/>
          <w:i w:val="1"/>
          <w:iCs w:val="1"/>
          <w:color w:val="auto"/>
        </w:rPr>
        <w:t>, Turf Builder</w:t>
      </w:r>
      <w:r>
        <w:rPr>
          <w:rFonts w:ascii="Arial" w:cs="Arial" w:eastAsia="Arial" w:hAnsi="Arial"/>
          <w:sz w:val="10"/>
          <w:szCs w:val="10"/>
          <w:i w:val="1"/>
          <w:iCs w:val="1"/>
          <w:color w:val="auto"/>
        </w:rPr>
        <w:t>®</w:t>
      </w:r>
      <w:r>
        <w:rPr>
          <w:rFonts w:ascii="Arial" w:cs="Arial" w:eastAsia="Arial" w:hAnsi="Arial"/>
          <w:sz w:val="16"/>
          <w:szCs w:val="16"/>
          <w:i w:val="1"/>
          <w:iCs w:val="1"/>
          <w:color w:val="auto"/>
        </w:rPr>
        <w:t>, Turf Builder EdgeGuard</w:t>
      </w:r>
      <w:r>
        <w:rPr>
          <w:rFonts w:ascii="Arial" w:cs="Arial" w:eastAsia="Arial" w:hAnsi="Arial"/>
          <w:sz w:val="10"/>
          <w:szCs w:val="10"/>
          <w:i w:val="1"/>
          <w:iCs w:val="1"/>
          <w:color w:val="auto"/>
        </w:rPr>
        <w:t>®</w:t>
      </w:r>
      <w:r>
        <w:rPr>
          <w:rFonts w:ascii="Arial" w:cs="Arial" w:eastAsia="Arial" w:hAnsi="Arial"/>
          <w:sz w:val="16"/>
          <w:szCs w:val="16"/>
          <w:i w:val="1"/>
          <w:iCs w:val="1"/>
          <w:color w:val="auto"/>
        </w:rPr>
        <w:t>, Water Smart</w:t>
      </w:r>
      <w:r>
        <w:rPr>
          <w:rFonts w:ascii="Arial" w:cs="Arial" w:eastAsia="Arial" w:hAnsi="Arial"/>
          <w:sz w:val="10"/>
          <w:szCs w:val="10"/>
          <w:i w:val="1"/>
          <w:iCs w:val="1"/>
          <w:color w:val="auto"/>
        </w:rPr>
        <w:t>®</w:t>
      </w:r>
      <w:r>
        <w:rPr>
          <w:rFonts w:ascii="Arial" w:cs="Arial" w:eastAsia="Arial" w:hAnsi="Arial"/>
          <w:sz w:val="16"/>
          <w:szCs w:val="16"/>
          <w:i w:val="1"/>
          <w:iCs w:val="1"/>
          <w:color w:val="auto"/>
        </w:rPr>
        <w:t>, Weed-B-Gon</w:t>
      </w:r>
      <w:r>
        <w:rPr>
          <w:rFonts w:ascii="Arial" w:cs="Arial" w:eastAsia="Arial" w:hAnsi="Arial"/>
          <w:sz w:val="10"/>
          <w:szCs w:val="10"/>
          <w:i w:val="1"/>
          <w:iCs w:val="1"/>
          <w:color w:val="auto"/>
        </w:rPr>
        <w:t>®</w:t>
      </w:r>
      <w:r>
        <w:rPr>
          <w:rFonts w:ascii="Arial" w:cs="Arial" w:eastAsia="Arial" w:hAnsi="Arial"/>
          <w:sz w:val="16"/>
          <w:szCs w:val="16"/>
          <w:i w:val="1"/>
          <w:iCs w:val="1"/>
          <w:color w:val="auto"/>
        </w:rPr>
        <w:t>, Weedol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and Whitney Farms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trademarks and related logos referenced in this prospectus are registered trademarks or trademarks of The Scotts Miracle-Gro Company or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United States and/or certain other countries. </w:t>
      </w:r>
      <w:r>
        <w:rPr>
          <w:rFonts w:ascii="Arial" w:cs="Arial" w:eastAsia="Arial" w:hAnsi="Arial"/>
          <w:sz w:val="16"/>
          <w:szCs w:val="16"/>
          <w:i w:val="1"/>
          <w:iCs w:val="1"/>
          <w:color w:val="auto"/>
        </w:rPr>
        <w:t>Roundup</w:t>
      </w:r>
      <w:r>
        <w:rPr>
          <w:rFonts w:ascii="Arial" w:cs="Arial" w:eastAsia="Arial" w:hAnsi="Arial"/>
          <w:sz w:val="16"/>
          <w:szCs w:val="16"/>
          <w:color w:val="auto"/>
        </w:rPr>
        <w:t xml:space="preserve"> is a registered trademark of Monsanto Technology LLC, an affiliate of Monsanto Company. </w:t>
      </w:r>
      <w:r>
        <w:rPr>
          <w:rFonts w:ascii="Arial" w:cs="Arial" w:eastAsia="Arial" w:hAnsi="Arial"/>
          <w:sz w:val="16"/>
          <w:szCs w:val="16"/>
          <w:i w:val="1"/>
          <w:iCs w:val="1"/>
          <w:color w:val="auto"/>
        </w:rPr>
        <w:t xml:space="preserve">Osmocote </w:t>
      </w:r>
      <w:r>
        <w:rPr>
          <w:rFonts w:ascii="Arial" w:cs="Arial" w:eastAsia="Arial" w:hAnsi="Arial"/>
          <w:sz w:val="16"/>
          <w:szCs w:val="16"/>
          <w:color w:val="auto"/>
        </w:rPr>
        <w:t>is a registered trademark of Everris International B.V., a subsidiary of Israel Chemicals Ltd.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this prospectus, we rely on and refer to information regarding industry data obtained from internal surveys, market research, publicly available information and industry publications. Although we believe the information is reliable, we cannot guarantee the accuracy or completeness of the information and have not independently verified it.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These SEC filings are available to the public at the SEC’s Internet website at http://www.sec.gov. You may also read and copy any of these SEC filings at the SEC’s Public Reference Room located at 100 F Street, N.E., Washington, D.C. 20549. Please call 1-800-SEC-0330 for further information on the operation of the Public Reference Room. Our SEC filings are also available on our website at http://www.scotts.com. The information on our website is not a part of this prospectus.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SEC allows us to “incorporate by reference” the information that we file with the SEC. This means that we can disclose important information to you by referring you to those documents. The information we incorporate by reference is considered part of this offering memorandum, except that if information in this offering memorandum updates information in a document incorporated by reference that has already been filed with the SEC, the information in this offering memorandum will supersede such information in such document incorporated by reference. Information that we file later with the SEC will automatically update and supersede information included or previously incorporated by reference into this offering memorandum from the date we file the document containing such information.</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Except to the extent furnished and not filed with the SEC pursuant to Item 2.02 or Item 7.01 of Form 8-K or as otherwise permitted by the SEC rules (unless otherwise noted below), we incorporate by reference the following documents that we have filed with the SEC and any future filings we will make with the SEC under Sections 13(a), 13(c), 14 or 15(d) of the Securities Exchange Act of 1934, as amended (the “Exchange Act”), from the date of this offering memorandum until the completion of the offering of the notes or this offering is terminated:</w:t>
      </w:r>
    </w:p>
    <w:p>
      <w:pPr>
        <w:spacing w:after="0" w:line="62" w:lineRule="exact"/>
        <w:rPr>
          <w:sz w:val="20"/>
          <w:szCs w:val="20"/>
          <w:color w:val="auto"/>
        </w:rPr>
      </w:pPr>
    </w:p>
    <w:p>
      <w:pPr>
        <w:ind w:left="5660" w:right="3880" w:hanging="5085"/>
        <w:spacing w:after="0" w:line="440" w:lineRule="auto"/>
        <w:tabs>
          <w:tab w:leader="none" w:pos="89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September 30, 2011 (the “2011 10-K”). 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will provide without charge, upon written or oral request, a copy of any or all of the documents that are incorporated by reference into this offering memorandum (other than exhibits, unless they are specifically incorporated by reference in the documents). Requests should be directed to: The Scotts Miracle-Gro Company, 14111 Scottslawn Road, Marysville, Ohio 43041, Attention: Treasurer, telephone number (937) 644-0011.</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the documents incorporated by reference herein may contain “forward-looking statements” within the meaning of the Private Securities Litigation Reform Act of 1995 with respect to our financial condition, results of operations, cash flows, plans, objectives, strategies, targets, prospects and business. Forward-looking statements reflect our current expectations, estimates or projections concerning future results or events. These statements are generally identified by the use of forward-looking words or phrases such as “believe,” “strategy,” “expect,” “anticipate,” “may,” “could,” “intend,” “intent,” “belief,” “estimate,” “plan,” “foresee,” “likely,” “will,” “should” or other similar words or phrases. Forward-looking statements are not guarantees of performance and are inherently subject to known and unknown risks, uncertainties and assumptions that are difficult to predict and could cause our actual results and future events to differ materially from those expressed in or implied by the forward-looking statements. We cannot assure you that any of our expectations, estimates or projections will be achieved and you should not place undue reliance on forward-looking statements.</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forward-looking statements included or incorporated by reference in this prospectus are only made as of the date of this prospectus or the respective document incorporated by reference herein, as applicable. Except as required by law, we undertake no obligation to publicly update any forward-looking statement to reflect subsequent events or circumstances.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Numerous factors could cause our actual results and events to differ materially from those expressed or implied by forward-looking statements, including, without limitation:</w:t>
      </w:r>
    </w:p>
    <w:p>
      <w:pPr>
        <w:spacing w:after="0" w:line="51" w:lineRule="exact"/>
        <w:rPr>
          <w:sz w:val="20"/>
          <w:szCs w:val="20"/>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governmental investigations regarding our compliance with the Federal Insecticide, Fungicide, and Rodenticide Act of 1947, as amended (“FIFRA”);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marketing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availability or increases in the prices of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hedging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highly competitive nature of our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develop new products or improve existing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concentration of our sales to a small number of retail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third-party manufacturers and a limited base of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interruption in the operation of our or our suppliers’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our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post-retirement related costs and funding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international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key information technology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adequately protect our intellectual property and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of the Marketing Agreement with Monsanto Company for consumer Roundup products (the “Marketing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Hagedorn Partnership, L.P. beneficially owns approximately 30% of our outstanding common shares on a fully diluted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pursuit of acquisitions, dispositions, investments, dividends, share repurchases or other corporate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risk factors set forth below under the heading “Risk Factors” or in our reports filed with the SEC under the Exchange Act.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list of factors above is illustrative, but by no means exhaustive. All forward-looking statements should be evaluated with the understanding of their inherent uncertainty. All subsequent written and oral forward-looking statements concerning the matters addressed in this prospectus and attributable to us or any person acting on our behalf are qualified by these cautionary statements.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i w:val="1"/>
          <w:iCs w:val="1"/>
          <w:color w:val="auto"/>
        </w:rPr>
        <w:t>This summary contains a general overview of the information contained or incorporated by reference in this prospectus. This summary may not contain all of the information that is important to you, and it is qualified in its entirety by the more detailed information and historical consolidated financial statements, including the notes to those financial statements, that are part of our Annual Report on Form 10-K for the year ended September 30, 2011 (our “2011 10-K”), which are incorporated by reference in this prospectus. You should carefully consider the information contained in or incorporated by reference in this prospectus, including the information set forth under the captions “Risk Factors” and “Forward-Looking Statements” in this prospectus and “Item 1A. Risk Factors” in our 2011 10-K.</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left="200" w:right="200" w:firstLine="443"/>
        <w:spacing w:after="0" w:line="288" w:lineRule="auto"/>
        <w:rPr>
          <w:sz w:val="20"/>
          <w:szCs w:val="20"/>
          <w:color w:val="auto"/>
        </w:rPr>
      </w:pPr>
      <w:r>
        <w:rPr>
          <w:rFonts w:ascii="Arial" w:cs="Arial" w:eastAsia="Arial" w:hAnsi="Arial"/>
          <w:sz w:val="16"/>
          <w:szCs w:val="16"/>
          <w:color w:val="auto"/>
        </w:rPr>
        <w:t>We are a leading manufacturer and marketer of branded consumer lawn and garden products. We own or market the leading brands in nearly every category of the non-durable consumer lawn and garden industry in the United States and have a significant presence in Europe and Canada, where we own several important brands. We also have the second largest market share position in the fragmented U.S. lawn care service industry and are expanding our presence in this segment through our Scotts LawnService business. We believe that our market leadership position is driven by our leading brands, innovative products, consumer-focused marketing, superior product performance, supply chain competence, highly knowledgeable field sales and merchandising organization and extensive relationships with major U.S. retailers. During fiscal 2011, we generated net sales of $2,835.7 million and Adjusted EBITDA of $393 million. We provide a reconciliation of Adjusted EBITDA to net income in “—Summary Consolidated Historical Financial Data.” Our common shares are traded on the New York Stock Exchange under the symbol “SMG” and as of December 9, 2011, we had an equity market capitalization of approximately $2.7 billion.</w:t>
      </w:r>
    </w:p>
    <w:p>
      <w:pPr>
        <w:spacing w:after="0" w:line="120"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The Scotts Miracle-Gro Company traces its heritage back to a company founded by O.M. Scott in Marysville, Ohio in 1868. In the mid 1900s, we became widely known for the development of quality lawn fertilizers and grass seeds that led to the creation of a new industry—consumer lawn care. In the 1990s, we significantly expanded our product offering with three powerful leading brands in the U.S. home lawn and garden industry. First, in fiscal 1995, through a merger with Stern’s Miracle-Gro Products, Inc., we acquired the Miracle-Gro brand, the industry leader in water-soluble garden plant foods. Second, in fiscal 1999, we acquired the Ortho brand in the United States and obtained exclusive rights to market the consumer Roundup brand within the United States and other specified countries, thereby adding industry-leading weed, pest and disease control products to our portfolio. Today, we believe the Scotts, Turf Builder, Miracle-Gro, Ortho and Roundup brands make us the most widely recognized company in the consumer lawn and garden industry in the United States.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company is organized around two reportable segments:</w:t>
      </w:r>
    </w:p>
    <w:p>
      <w:pPr>
        <w:spacing w:after="0" w:line="90"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i w:val="1"/>
          <w:iCs w:val="1"/>
          <w:color w:val="auto"/>
        </w:rPr>
        <w:t>Global Consumer (</w:t>
      </w:r>
      <w:r>
        <w:rPr>
          <w:rFonts w:ascii="Arial" w:cs="Arial" w:eastAsia="Arial" w:hAnsi="Arial"/>
          <w:sz w:val="18"/>
          <w:szCs w:val="18"/>
          <w:color w:val="auto"/>
        </w:rPr>
        <w:t>89.3</w:t>
      </w:r>
      <w:r>
        <w:rPr>
          <w:rFonts w:ascii="Arial" w:cs="Arial" w:eastAsia="Arial" w:hAnsi="Arial"/>
          <w:sz w:val="18"/>
          <w:szCs w:val="18"/>
          <w:i w:val="1"/>
          <w:iCs w:val="1"/>
          <w:color w:val="auto"/>
        </w:rPr>
        <w:t xml:space="preserve">% of net sales for fiscal 2011). </w:t>
      </w:r>
      <w:r>
        <w:rPr>
          <w:rFonts w:ascii="Arial" w:cs="Arial" w:eastAsia="Arial" w:hAnsi="Arial"/>
          <w:sz w:val="18"/>
          <w:szCs w:val="18"/>
          <w:color w:val="auto"/>
        </w:rPr>
        <w:t>In our Global Consumer segment, we manufacture and market products that provide easy,</w:t>
      </w:r>
      <w:r>
        <w:rPr>
          <w:rFonts w:ascii="Arial" w:cs="Arial" w:eastAsia="Arial" w:hAnsi="Arial"/>
          <w:sz w:val="18"/>
          <w:szCs w:val="18"/>
          <w:i w:val="1"/>
          <w:iCs w:val="1"/>
          <w:color w:val="auto"/>
        </w:rPr>
        <w:t xml:space="preserve"> </w:t>
      </w:r>
      <w:r>
        <w:rPr>
          <w:rFonts w:ascii="Arial" w:cs="Arial" w:eastAsia="Arial" w:hAnsi="Arial"/>
          <w:sz w:val="18"/>
          <w:szCs w:val="18"/>
          <w:color w:val="auto"/>
        </w:rPr>
        <w:t>reliable and effective solutions to homeowners who seek healthy, weed-free and pest-free lawns, gardens and indoor plants. Products are marketed to mass merchandisers, home centers, large hardware chains, warehouse clubs, distributors, garden centers and grocers. The Global Consumer segment sells products in the United States, Canada, Europe and Australia in the following categories:</w:t>
      </w:r>
    </w:p>
    <w:p>
      <w:pPr>
        <w:spacing w:after="0" w:line="62" w:lineRule="exact"/>
        <w:rPr>
          <w:sz w:val="20"/>
          <w:szCs w:val="20"/>
          <w:color w:val="auto"/>
        </w:rPr>
      </w:pPr>
    </w:p>
    <w:p>
      <w:pPr>
        <w:ind w:left="1060" w:right="20" w:hanging="323"/>
        <w:spacing w:after="0" w:line="255"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Lawn Care: </w:t>
      </w:r>
      <w:r>
        <w:rPr>
          <w:rFonts w:ascii="Arial" w:cs="Arial" w:eastAsia="Arial" w:hAnsi="Arial"/>
          <w:sz w:val="18"/>
          <w:szCs w:val="18"/>
          <w:color w:val="auto"/>
        </w:rPr>
        <w:t>The lawn care category is designed to help consumers obtain and enjoy the lawn they want. In the United States, products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this category include fertilizer products under the Scotts and Turf Builder brand names, grass seed products under the Scotts, Turf Builder, EZ Seed, Water Smart and PatchMaster brand names and lawn-related weed, pest and disease control products primarily under the Ortho, Scotts and Lawn Pro brand names, including sub-brands such as Weed B Gon and GrubEx. A similar range of products is marketed in Europe under a variety of brands such as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0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49009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color w:val="auto"/>
        </w:rPr>
        <w:t>EverGreen, Fertiligène, Substral, Miracle-Gro Patch Magic, Weedol, Pathclear, KB and Celaflor. The lawn care category also includes spreaders and other durables under the Scotts brand name, including Turf Builder EdgeGuard spreaders, Snap spreaders, AccuGreen drop spreaders and Handy Green II handheld spreaders.</w:t>
      </w:r>
    </w:p>
    <w:p>
      <w:pPr>
        <w:spacing w:after="0" w:line="59" w:lineRule="exact"/>
        <w:rPr>
          <w:sz w:val="20"/>
          <w:szCs w:val="20"/>
          <w:color w:val="auto"/>
        </w:rPr>
      </w:pPr>
    </w:p>
    <w:p>
      <w:pPr>
        <w:ind w:left="1060" w:right="100" w:hanging="323"/>
        <w:spacing w:after="0" w:line="287"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Gardening and Landscape: </w:t>
      </w:r>
      <w:r>
        <w:rPr>
          <w:rFonts w:ascii="Arial" w:cs="Arial" w:eastAsia="Arial" w:hAnsi="Arial"/>
          <w:sz w:val="16"/>
          <w:szCs w:val="16"/>
          <w:color w:val="auto"/>
        </w:rPr>
        <w:t>The gardening and landscape category is designed to help consumers grow and enjoy flower and vegetable gardens</w:t>
      </w:r>
      <w:r>
        <w:rPr>
          <w:rFonts w:ascii="Arial" w:cs="Arial" w:eastAsia="Arial" w:hAnsi="Arial"/>
          <w:sz w:val="16"/>
          <w:szCs w:val="16"/>
          <w:i w:val="1"/>
          <w:iCs w:val="1"/>
          <w:color w:val="auto"/>
        </w:rPr>
        <w:t xml:space="preserve"> </w:t>
      </w:r>
      <w:r>
        <w:rPr>
          <w:rFonts w:ascii="Arial" w:cs="Arial" w:eastAsia="Arial" w:hAnsi="Arial"/>
          <w:sz w:val="16"/>
          <w:szCs w:val="16"/>
          <w:color w:val="auto"/>
        </w:rPr>
        <w:t>and beautify landscaped areas. In the United States, products within this category include a complete line of water soluble plant foods under the Miracle-Gro brand and sub-brands such as LiquaFeed, continuous-release plant foods under the Osmocote and Shake ‘N Feed brand names, potting mixes and garden soils under the Miracle-Gro, Scotts, Hyponex, Earthgro and SuperSoil brand names, mulch and decorative groundcover products under the Scotts brand, including the Nature Scapes sub-brand, landscape weed prevention products under the Ortho brand, plant-related pest and disease control products under the Ortho brand, wild bird food and bird feeder products under the Scotts Songbird Selections, Morning Song and Country Pride brand names, and organic garden products under the Miracle-Gro Organic Choice, Scotts and Whitney Farms brand names. Internationally, similar products are marketed under the Miracle-Gro, Fertiligène, Substral, KB, Celaflor, ASEF, Scotts, Morning Melodies, Scotts EcoSense, Fertiligène Naturen, Substral Naturen, KB Naturen, Carre Vert and Miracle-Gro Organic Choice brand names.</w:t>
      </w:r>
    </w:p>
    <w:p>
      <w:pPr>
        <w:spacing w:after="0" w:line="41" w:lineRule="exact"/>
        <w:rPr>
          <w:rFonts w:ascii="Arial" w:cs="Arial" w:eastAsia="Arial" w:hAnsi="Arial"/>
          <w:sz w:val="16"/>
          <w:szCs w:val="16"/>
          <w:color w:val="auto"/>
        </w:rPr>
      </w:pPr>
    </w:p>
    <w:p>
      <w:pPr>
        <w:ind w:left="1060" w:right="20" w:hanging="323"/>
        <w:spacing w:after="0" w:line="291"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Home Protection: </w:t>
      </w:r>
      <w:r>
        <w:rPr>
          <w:rFonts w:ascii="Arial" w:cs="Arial" w:eastAsia="Arial" w:hAnsi="Arial"/>
          <w:sz w:val="16"/>
          <w:szCs w:val="16"/>
          <w:color w:val="auto"/>
        </w:rPr>
        <w:t>The home protection category is designed to help consumers protect their homes from pests and maintain external home areas.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United States, insect control and rodenticide products are marketed under the Ortho brand name, including insect control products under the Ortho Max and Bug B Gon Max sub-brands and rodenticide products under the Home Defense Max sub-brand, weed control products for hard surfaces (such as patios, sidewalks and driveways) are marketed under the Ortho brand name, while non-selective weed control products are marketed under the Roundup brand name. Internationally, products within this category are marketed under the Nexa Lotte, Fertiligène, KB, Home Defence, Weedol, Pathclear and Roundup brands.</w:t>
      </w:r>
    </w:p>
    <w:p>
      <w:pPr>
        <w:spacing w:after="0" w:line="120" w:lineRule="exact"/>
        <w:rPr>
          <w:sz w:val="20"/>
          <w:szCs w:val="20"/>
          <w:color w:val="auto"/>
        </w:rPr>
      </w:pPr>
    </w:p>
    <w:p>
      <w:pPr>
        <w:ind w:left="200" w:right="60" w:firstLine="443"/>
        <w:spacing w:after="0" w:line="314" w:lineRule="auto"/>
        <w:rPr>
          <w:sz w:val="20"/>
          <w:szCs w:val="20"/>
          <w:color w:val="auto"/>
        </w:rPr>
      </w:pPr>
      <w:r>
        <w:rPr>
          <w:rFonts w:ascii="Arial" w:cs="Arial" w:eastAsia="Arial" w:hAnsi="Arial"/>
          <w:sz w:val="15"/>
          <w:szCs w:val="15"/>
          <w:color w:val="auto"/>
        </w:rPr>
        <w:t>Since 1999, we have served as Monsanto’s exclusive agent for the marketing and distribution of consumer Roundup products in the consumer lawn and garden market within the United States and other specified countries, including Australia, Austria, Belgium, Canada, France, Germany, the Netherlands and the United Kingdom. Under the terms of the Amended and Restated Exclusive Agency and Marketing Agreement between the Company and Monsanto, we are jointly responsible with Monsanto for developing global consumer and trade marketing programs for consumer Roundup. We have responsibility for manufacturing conversion, distribution and logistics, and selling and marketing support for consumer Roundup. Monsanto continues to own the consumer Roundup business and provides significant oversight of the brand. In addition, Monsanto continues to own and operate the agricultural Roundup business.</w:t>
      </w:r>
    </w:p>
    <w:p>
      <w:pPr>
        <w:spacing w:after="0" w:line="105"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i w:val="1"/>
          <w:iCs w:val="1"/>
          <w:color w:val="auto"/>
        </w:rPr>
        <w:t>Scotts LawnService (</w:t>
      </w:r>
      <w:r>
        <w:rPr>
          <w:rFonts w:ascii="Arial" w:cs="Arial" w:eastAsia="Arial" w:hAnsi="Arial"/>
          <w:sz w:val="16"/>
          <w:szCs w:val="16"/>
          <w:color w:val="auto"/>
        </w:rPr>
        <w:t>8.3</w:t>
      </w:r>
      <w:r>
        <w:rPr>
          <w:rFonts w:ascii="Arial" w:cs="Arial" w:eastAsia="Arial" w:hAnsi="Arial"/>
          <w:sz w:val="16"/>
          <w:szCs w:val="16"/>
          <w:i w:val="1"/>
          <w:iCs w:val="1"/>
          <w:color w:val="auto"/>
        </w:rPr>
        <w:t xml:space="preserve">% of net sales for fiscal 2011). </w:t>
      </w:r>
      <w:r>
        <w:rPr>
          <w:rFonts w:ascii="Arial" w:cs="Arial" w:eastAsia="Arial" w:hAnsi="Arial"/>
          <w:sz w:val="16"/>
          <w:szCs w:val="16"/>
          <w:color w:val="auto"/>
        </w:rPr>
        <w:t>The Scotts LawnService segment provides residential and commercial lawn care, tree and shrub</w:t>
      </w:r>
      <w:r>
        <w:rPr>
          <w:rFonts w:ascii="Arial" w:cs="Arial" w:eastAsia="Arial" w:hAnsi="Arial"/>
          <w:sz w:val="16"/>
          <w:szCs w:val="16"/>
          <w:i w:val="1"/>
          <w:iCs w:val="1"/>
          <w:color w:val="auto"/>
        </w:rPr>
        <w:t xml:space="preserve"> </w:t>
      </w:r>
      <w:r>
        <w:rPr>
          <w:rFonts w:ascii="Arial" w:cs="Arial" w:eastAsia="Arial" w:hAnsi="Arial"/>
          <w:sz w:val="16"/>
          <w:szCs w:val="16"/>
          <w:color w:val="auto"/>
        </w:rPr>
        <w:t>care and limited pest control services in the United States through periodic applications of fertilizer and control products. As of September 30, 2011, Scotts LawnService had 83 Company-operated locations as well as 88 locations operated by independent franchisees.</w:t>
      </w:r>
    </w:p>
    <w:p>
      <w:pPr>
        <w:spacing w:after="0" w:line="107" w:lineRule="exact"/>
        <w:rPr>
          <w:sz w:val="20"/>
          <w:szCs w:val="20"/>
          <w:color w:val="auto"/>
        </w:rPr>
      </w:pPr>
    </w:p>
    <w:p>
      <w:pPr>
        <w:ind w:left="200" w:right="480" w:firstLine="443"/>
        <w:spacing w:after="0" w:line="306" w:lineRule="auto"/>
        <w:rPr>
          <w:sz w:val="20"/>
          <w:szCs w:val="20"/>
          <w:color w:val="auto"/>
        </w:rPr>
      </w:pPr>
      <w:r>
        <w:rPr>
          <w:rFonts w:ascii="Arial" w:cs="Arial" w:eastAsia="Arial" w:hAnsi="Arial"/>
          <w:sz w:val="16"/>
          <w:szCs w:val="16"/>
          <w:i w:val="1"/>
          <w:iCs w:val="1"/>
          <w:color w:val="auto"/>
        </w:rPr>
        <w:t>Discontinued Operations</w:t>
      </w:r>
      <w:r>
        <w:rPr>
          <w:rFonts w:ascii="Arial" w:cs="Arial" w:eastAsia="Arial" w:hAnsi="Arial"/>
          <w:sz w:val="16"/>
          <w:szCs w:val="16"/>
          <w:color w:val="auto"/>
        </w:rPr>
        <w:t>. During our second quarter of fiscal 2011 we completed the sale of a significant majority of the assets of our Global</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business (excluding the non-European professional seed business, “Global Pro”) to Israel Chemicals Ltd. (“ICL”). As a result of the then-pending sale, effective in our first quarter of fiscal 2011 we classified Global Pro as discontinued operations.</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Competitive Strengths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following competitive strengths differentiate us from our competitors and contribute to our continued success:</w:t>
      </w:r>
    </w:p>
    <w:p>
      <w:pPr>
        <w:spacing w:after="0" w:line="90" w:lineRule="exact"/>
        <w:rPr>
          <w:sz w:val="20"/>
          <w:szCs w:val="20"/>
          <w:color w:val="auto"/>
        </w:rPr>
      </w:pPr>
    </w:p>
    <w:p>
      <w:pPr>
        <w:ind w:left="200" w:right="320" w:firstLine="443"/>
        <w:spacing w:after="0" w:line="294" w:lineRule="auto"/>
        <w:rPr>
          <w:sz w:val="20"/>
          <w:szCs w:val="20"/>
          <w:color w:val="auto"/>
        </w:rPr>
      </w:pPr>
      <w:r>
        <w:rPr>
          <w:rFonts w:ascii="Arial" w:cs="Arial" w:eastAsia="Arial" w:hAnsi="Arial"/>
          <w:sz w:val="16"/>
          <w:szCs w:val="16"/>
          <w:i w:val="1"/>
          <w:iCs w:val="1"/>
          <w:color w:val="auto"/>
        </w:rPr>
        <w:t xml:space="preserve">Strong Portfolio of Brands. </w:t>
      </w:r>
      <w:r>
        <w:rPr>
          <w:rFonts w:ascii="Arial" w:cs="Arial" w:eastAsia="Arial" w:hAnsi="Arial"/>
          <w:sz w:val="16"/>
          <w:szCs w:val="16"/>
          <w:color w:val="auto"/>
        </w:rPr>
        <w:t>We consider our industry-leading brands to be our most important competitive advantage. We believe the Scotts, Turf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Builder, Miracle-Gro, Ortho and Roundup brands make us the most widely recognized company in the consumer lawn and garden industry in the United States. The strength of the Scotts brand has been a critical aspect of the success of Scotts LawnService. We also own many of the leading brands in the Canadian and European marketplaces, including </w:t>
      </w:r>
      <w:r>
        <w:rPr>
          <w:rFonts w:ascii="Arial" w:cs="Arial" w:eastAsia="Arial" w:hAnsi="Arial"/>
          <w:sz w:val="16"/>
          <w:szCs w:val="16"/>
          <w:i w:val="1"/>
          <w:iCs w:val="1"/>
          <w:color w:val="auto"/>
        </w:rPr>
        <w:t>Celaflor</w:t>
      </w:r>
      <w:r>
        <w:rPr>
          <w:rFonts w:ascii="Arial" w:cs="Arial" w:eastAsia="Arial" w:hAnsi="Arial"/>
          <w:sz w:val="16"/>
          <w:szCs w:val="16"/>
          <w:color w:val="auto"/>
        </w:rPr>
        <w:t xml:space="preserve">, </w:t>
      </w:r>
      <w:r>
        <w:rPr>
          <w:rFonts w:ascii="Arial" w:cs="Arial" w:eastAsia="Arial" w:hAnsi="Arial"/>
          <w:sz w:val="16"/>
          <w:szCs w:val="16"/>
          <w:i w:val="1"/>
          <w:iCs w:val="1"/>
          <w:color w:val="auto"/>
        </w:rPr>
        <w:t>Evergreen</w:t>
      </w:r>
      <w:r>
        <w:rPr>
          <w:rFonts w:ascii="Arial" w:cs="Arial" w:eastAsia="Arial" w:hAnsi="Arial"/>
          <w:sz w:val="16"/>
          <w:szCs w:val="16"/>
          <w:color w:val="auto"/>
        </w:rPr>
        <w:t xml:space="preserve">, </w:t>
      </w:r>
      <w:r>
        <w:rPr>
          <w:rFonts w:ascii="Arial" w:cs="Arial" w:eastAsia="Arial" w:hAnsi="Arial"/>
          <w:sz w:val="16"/>
          <w:szCs w:val="16"/>
          <w:i w:val="1"/>
          <w:iCs w:val="1"/>
          <w:color w:val="auto"/>
        </w:rPr>
        <w:t>Fertiligène</w:t>
      </w:r>
      <w:r>
        <w:rPr>
          <w:rFonts w:ascii="Arial" w:cs="Arial" w:eastAsia="Arial" w:hAnsi="Arial"/>
          <w:sz w:val="16"/>
          <w:szCs w:val="16"/>
          <w:color w:val="auto"/>
        </w:rPr>
        <w:t xml:space="preserve">, </w:t>
      </w:r>
      <w:r>
        <w:rPr>
          <w:rFonts w:ascii="Arial" w:cs="Arial" w:eastAsia="Arial" w:hAnsi="Arial"/>
          <w:sz w:val="16"/>
          <w:szCs w:val="16"/>
          <w:i w:val="1"/>
          <w:iCs w:val="1"/>
          <w:color w:val="auto"/>
        </w:rPr>
        <w:t>Home Defence</w:t>
      </w:r>
      <w:r>
        <w:rPr>
          <w:rFonts w:ascii="Arial" w:cs="Arial" w:eastAsia="Arial" w:hAnsi="Arial"/>
          <w:sz w:val="16"/>
          <w:szCs w:val="16"/>
          <w:color w:val="auto"/>
        </w:rPr>
        <w:t xml:space="preserve">, </w:t>
      </w:r>
      <w:r>
        <w:rPr>
          <w:rFonts w:ascii="Arial" w:cs="Arial" w:eastAsia="Arial" w:hAnsi="Arial"/>
          <w:sz w:val="16"/>
          <w:szCs w:val="16"/>
          <w:i w:val="1"/>
          <w:iCs w:val="1"/>
          <w:color w:val="auto"/>
        </w:rPr>
        <w:t>KB</w:t>
      </w:r>
      <w:r>
        <w:rPr>
          <w:rFonts w:ascii="Arial" w:cs="Arial" w:eastAsia="Arial" w:hAnsi="Arial"/>
          <w:sz w:val="16"/>
          <w:szCs w:val="16"/>
          <w:color w:val="auto"/>
        </w:rPr>
        <w:t xml:space="preserve">, </w:t>
      </w:r>
      <w:r>
        <w:rPr>
          <w:rFonts w:ascii="Arial" w:cs="Arial" w:eastAsia="Arial" w:hAnsi="Arial"/>
          <w:sz w:val="16"/>
          <w:szCs w:val="16"/>
          <w:i w:val="1"/>
          <w:iCs w:val="1"/>
          <w:color w:val="auto"/>
        </w:rPr>
        <w:t>Levington</w:t>
      </w:r>
      <w:r>
        <w:rPr>
          <w:rFonts w:ascii="Arial" w:cs="Arial" w:eastAsia="Arial" w:hAnsi="Arial"/>
          <w:sz w:val="16"/>
          <w:szCs w:val="16"/>
          <w:color w:val="auto"/>
        </w:rPr>
        <w:t xml:space="preserve">, </w:t>
      </w:r>
      <w:r>
        <w:rPr>
          <w:rFonts w:ascii="Arial" w:cs="Arial" w:eastAsia="Arial" w:hAnsi="Arial"/>
          <w:sz w:val="16"/>
          <w:szCs w:val="16"/>
          <w:i w:val="1"/>
          <w:iCs w:val="1"/>
          <w:color w:val="auto"/>
        </w:rPr>
        <w:t>Miracle-Gro</w:t>
      </w:r>
      <w:r>
        <w:rPr>
          <w:rFonts w:ascii="Arial" w:cs="Arial" w:eastAsia="Arial" w:hAnsi="Arial"/>
          <w:sz w:val="16"/>
          <w:szCs w:val="16"/>
          <w:color w:val="auto"/>
        </w:rPr>
        <w:t xml:space="preserve">, </w:t>
      </w:r>
      <w:r>
        <w:rPr>
          <w:rFonts w:ascii="Arial" w:cs="Arial" w:eastAsia="Arial" w:hAnsi="Arial"/>
          <w:sz w:val="16"/>
          <w:szCs w:val="16"/>
          <w:i w:val="1"/>
          <w:iCs w:val="1"/>
          <w:color w:val="auto"/>
        </w:rPr>
        <w:t>Nexa Lotte</w:t>
      </w:r>
      <w:r>
        <w:rPr>
          <w:rFonts w:ascii="Arial" w:cs="Arial" w:eastAsia="Arial" w:hAnsi="Arial"/>
          <w:sz w:val="16"/>
          <w:szCs w:val="16"/>
          <w:color w:val="auto"/>
        </w:rPr>
        <w:t xml:space="preserve">, </w:t>
      </w:r>
      <w:r>
        <w:rPr>
          <w:rFonts w:ascii="Arial" w:cs="Arial" w:eastAsia="Arial" w:hAnsi="Arial"/>
          <w:sz w:val="16"/>
          <w:szCs w:val="16"/>
          <w:i w:val="1"/>
          <w:iCs w:val="1"/>
          <w:color w:val="auto"/>
        </w:rPr>
        <w:t>Organice</w:t>
      </w:r>
      <w:r>
        <w:rPr>
          <w:rFonts w:ascii="Arial" w:cs="Arial" w:eastAsia="Arial" w:hAnsi="Arial"/>
          <w:sz w:val="16"/>
          <w:szCs w:val="16"/>
          <w:color w:val="auto"/>
        </w:rPr>
        <w:t xml:space="preserve"> </w:t>
      </w:r>
      <w:r>
        <w:rPr>
          <w:rFonts w:ascii="Arial" w:cs="Arial" w:eastAsia="Arial" w:hAnsi="Arial"/>
          <w:sz w:val="16"/>
          <w:szCs w:val="16"/>
          <w:i w:val="1"/>
          <w:iCs w:val="1"/>
          <w:color w:val="auto"/>
        </w:rPr>
        <w:t>Choice</w:t>
      </w:r>
      <w:r>
        <w:rPr>
          <w:rFonts w:ascii="Arial" w:cs="Arial" w:eastAsia="Arial" w:hAnsi="Arial"/>
          <w:sz w:val="16"/>
          <w:szCs w:val="16"/>
          <w:color w:val="auto"/>
        </w:rPr>
        <w:t>,</w:t>
      </w:r>
      <w:r>
        <w:rPr>
          <w:rFonts w:ascii="Arial" w:cs="Arial" w:eastAsia="Arial" w:hAnsi="Arial"/>
          <w:sz w:val="16"/>
          <w:szCs w:val="16"/>
          <w:i w:val="1"/>
          <w:iCs w:val="1"/>
          <w:color w:val="auto"/>
        </w:rPr>
        <w:t xml:space="preserve"> Scotts EcoSense</w:t>
      </w:r>
      <w:r>
        <w:rPr>
          <w:rFonts w:ascii="Arial" w:cs="Arial" w:eastAsia="Arial" w:hAnsi="Arial"/>
          <w:sz w:val="16"/>
          <w:szCs w:val="16"/>
          <w:color w:val="auto"/>
        </w:rPr>
        <w:t>,</w:t>
      </w:r>
      <w:r>
        <w:rPr>
          <w:rFonts w:ascii="Arial" w:cs="Arial" w:eastAsia="Arial" w:hAnsi="Arial"/>
          <w:sz w:val="16"/>
          <w:szCs w:val="16"/>
          <w:i w:val="1"/>
          <w:iCs w:val="1"/>
          <w:color w:val="auto"/>
        </w:rPr>
        <w:t xml:space="preserve"> Scotts Morning Melodies</w:t>
      </w:r>
      <w:r>
        <w:rPr>
          <w:rFonts w:ascii="Arial" w:cs="Arial" w:eastAsia="Arial" w:hAnsi="Arial"/>
          <w:sz w:val="16"/>
          <w:szCs w:val="16"/>
          <w:color w:val="auto"/>
        </w:rPr>
        <w:t>,</w:t>
      </w:r>
      <w:r>
        <w:rPr>
          <w:rFonts w:ascii="Arial" w:cs="Arial" w:eastAsia="Arial" w:hAnsi="Arial"/>
          <w:sz w:val="16"/>
          <w:szCs w:val="16"/>
          <w:i w:val="1"/>
          <w:iCs w:val="1"/>
          <w:color w:val="auto"/>
        </w:rPr>
        <w:t xml:space="preserve"> Substral </w:t>
      </w:r>
      <w:r>
        <w:rPr>
          <w:rFonts w:ascii="Arial" w:cs="Arial" w:eastAsia="Arial" w:hAnsi="Arial"/>
          <w:sz w:val="16"/>
          <w:szCs w:val="16"/>
          <w:color w:val="auto"/>
        </w:rPr>
        <w:t>and</w:t>
      </w:r>
      <w:r>
        <w:rPr>
          <w:rFonts w:ascii="Arial" w:cs="Arial" w:eastAsia="Arial" w:hAnsi="Arial"/>
          <w:sz w:val="16"/>
          <w:szCs w:val="16"/>
          <w:i w:val="1"/>
          <w:iCs w:val="1"/>
          <w:color w:val="auto"/>
        </w:rPr>
        <w:t xml:space="preserve"> Weedol</w:t>
      </w:r>
      <w:r>
        <w:rPr>
          <w:rFonts w:ascii="Arial" w:cs="Arial" w:eastAsia="Arial" w:hAnsi="Arial"/>
          <w:sz w:val="16"/>
          <w:szCs w:val="16"/>
          <w:color w:val="auto"/>
        </w:rPr>
        <w:t>.</w:t>
      </w:r>
    </w:p>
    <w:p>
      <w:pPr>
        <w:spacing w:after="0" w:line="11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helped to build awareness of our brands through consistently investing in advertising and marketing. We are the major media advertiser in the U.S. consumer lawn and garden industry. During fiscal 2011, we spent $141 million advertising our portfolio of brands globally utilizing various media outlets. Due to regional differences in the start and duration of the lawn and garden season, we believe tailoring the timing and delivery of our marketing efforts should help us capture increased market share across all regions. In addition, we continue to utilize weather-triggered media vehicles, such as radio, television and digital, to maintain flexibility and improve effectiveness of our advertising expenditures.</w:t>
      </w:r>
    </w:p>
    <w:p>
      <w:pPr>
        <w:spacing w:after="0" w:line="116"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i w:val="1"/>
          <w:iCs w:val="1"/>
          <w:color w:val="auto"/>
        </w:rPr>
        <w:t xml:space="preserve">Market Leadership in a Stable and Growing Industry. </w:t>
      </w:r>
      <w:r>
        <w:rPr>
          <w:rFonts w:ascii="Arial" w:cs="Arial" w:eastAsia="Arial" w:hAnsi="Arial"/>
          <w:sz w:val="18"/>
          <w:szCs w:val="18"/>
          <w:color w:val="auto"/>
        </w:rPr>
        <w:t>We believe we have the leading market share in nearly every major U.S. category in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We have been able to achieve this market leading position through a combination of internal growth driven by product line extensions and innovative new product launches, award-winning marketing campaigns and acquisitions.</w:t>
      </w:r>
    </w:p>
    <w:p>
      <w:pPr>
        <w:spacing w:after="0" w:line="140" w:lineRule="exact"/>
        <w:rPr>
          <w:sz w:val="20"/>
          <w:szCs w:val="20"/>
          <w:color w:val="auto"/>
        </w:rPr>
      </w:pPr>
    </w:p>
    <w:p>
      <w:pPr>
        <w:ind w:left="200" w:right="160" w:firstLine="443"/>
        <w:spacing w:after="0" w:line="254" w:lineRule="auto"/>
        <w:rPr>
          <w:sz w:val="20"/>
          <w:szCs w:val="20"/>
          <w:color w:val="auto"/>
        </w:rPr>
      </w:pPr>
      <w:r>
        <w:rPr>
          <w:rFonts w:ascii="Arial" w:cs="Arial" w:eastAsia="Arial" w:hAnsi="Arial"/>
          <w:sz w:val="18"/>
          <w:szCs w:val="18"/>
          <w:color w:val="auto"/>
        </w:rPr>
        <w:t>Because of the strength of our brands and our market share, we believe we are well positioned to benefit from the favorable trends in the consumer lawn and garden industry. The lawn and garden categories we participate in constitute a market in the United States of approximately $6 billion. Analysts expect the industry to grow at a low-single digit growth rate. The drivers of this growth include: (i) the aging of the U.S. population, as gardening is a top leisure activity; (ii) the above-average population growth in the southern regions of the United States with longer lawn and garden seasons; (iii) the current focus on health and wellness and the increased interest in vegetable gardening; and (iv) homeowners seeking to protect the value of their homes through attractive landscaping.</w:t>
      </w:r>
    </w:p>
    <w:p>
      <w:pPr>
        <w:spacing w:after="0" w:line="144"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i w:val="1"/>
          <w:iCs w:val="1"/>
          <w:color w:val="auto"/>
        </w:rPr>
        <w:t xml:space="preserve">Focus on Product Innovation. </w:t>
      </w:r>
      <w:r>
        <w:rPr>
          <w:rFonts w:ascii="Arial" w:cs="Arial" w:eastAsia="Arial" w:hAnsi="Arial"/>
          <w:sz w:val="16"/>
          <w:szCs w:val="16"/>
          <w:color w:val="auto"/>
        </w:rPr>
        <w:t>We view our commitment to innovation as a competitive advantage and continually invest in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to improve our products and develop new products. Over the past three years, we have invested $148 million in research and development which has contributed to our worldwide portfolio of patents and exclusive licenses to proprietary technologies. Scotts EZ Seed, first introduced in the United States in 2009 and subsequently launched throughout Canada and Europe as Patch Magic, is an example of our ongoing innovation. This lawn repair product combines Scotts grass seed with granular fertilizer in a proprietary growing material having superior water absorbency qualities. By retaining moisture, the growing material allows for better seed germination and supports less frequent watering, resulting in a higher level of consumer success. Similarly, our proprietary Water Smart grass seed allows consumers to successfully grow turf with less frequent watering.</w:t>
      </w:r>
    </w:p>
    <w:p>
      <w:pPr>
        <w:spacing w:after="0" w:line="118"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i w:val="1"/>
          <w:iCs w:val="1"/>
          <w:color w:val="auto"/>
        </w:rPr>
        <w:t xml:space="preserve">Strong Relationships with Key Retailers. </w:t>
      </w:r>
      <w:r>
        <w:rPr>
          <w:rFonts w:ascii="Arial" w:cs="Arial" w:eastAsia="Arial" w:hAnsi="Arial"/>
          <w:sz w:val="18"/>
          <w:szCs w:val="18"/>
          <w:color w:val="auto"/>
        </w:rPr>
        <w:t>We believe our retail partners continue to view the lawn and garden category, as well as Scotts,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component of their success. We believe that our leading brands and significant investment in advertising make our products “traffic builders” at retail locations and, together with our position as the leading nationwide supplier of a full line of consumer lawn and garden products, give us an advantage in selling to retailers, who value the efficiency of dealing with a limited number of</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color w:val="auto"/>
        </w:rPr>
        <w:t>suppliers. We are the largest vendor to the lawn and garden departments at Home Depot, Lowe’s and Walmart, and we have sales teams dedicated to each of these retailers year-round to work with their associates to help maximize store shelf productivity, drive consumer traffic, improve merchandising and support new products. Our strategic plan continues to focus on further assisting our retail partners in order to improve their sales and the productivity of their lawn and garden departments. We believe this strategy makes us a critical component to their success and helps to ensure our continued growth.</w:t>
      </w:r>
    </w:p>
    <w:p>
      <w:pPr>
        <w:spacing w:after="0" w:line="113"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view our U.S. sales force as a major competitive advantage that helps us strengthen our relationship with our retail partners. By increasing the size of our sales force over several years, we have taken a more proactive role in helping our retail partners merchandise their lawn and garden departments and maximize the productivity of this space. In addition to working closely with retailers, our nearly 2,800 person full-time and seasonal U.S. in-store sales force also provides us with an opportunity to interact face-to-face with and educate consumers at-the-shelf. By helping consumers answer their lawn and garden questions, we believe we can drive higher sales of our products.</w:t>
      </w:r>
    </w:p>
    <w:p>
      <w:pPr>
        <w:spacing w:after="0" w:line="116" w:lineRule="exact"/>
        <w:rPr>
          <w:sz w:val="20"/>
          <w:szCs w:val="20"/>
          <w:color w:val="auto"/>
        </w:rPr>
      </w:pPr>
    </w:p>
    <w:p>
      <w:pPr>
        <w:ind w:left="200" w:right="220" w:firstLine="443"/>
        <w:spacing w:after="0" w:line="294" w:lineRule="auto"/>
        <w:rPr>
          <w:sz w:val="20"/>
          <w:szCs w:val="20"/>
          <w:color w:val="auto"/>
        </w:rPr>
      </w:pPr>
      <w:r>
        <w:rPr>
          <w:rFonts w:ascii="Arial" w:cs="Arial" w:eastAsia="Arial" w:hAnsi="Arial"/>
          <w:sz w:val="16"/>
          <w:szCs w:val="16"/>
          <w:i w:val="1"/>
          <w:iCs w:val="1"/>
          <w:color w:val="auto"/>
        </w:rPr>
        <w:t xml:space="preserve">A World Class Supply Chain. </w:t>
      </w:r>
      <w:r>
        <w:rPr>
          <w:rFonts w:ascii="Arial" w:cs="Arial" w:eastAsia="Arial" w:hAnsi="Arial"/>
          <w:sz w:val="16"/>
          <w:szCs w:val="16"/>
          <w:color w:val="auto"/>
        </w:rPr>
        <w:t>We believe our supply chain is another major competitive advantage. Our manufacturing and distribution network is</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strategically located around North America and Europe to efficiently supply our key retail partners. We consider our order fill rate—which measures the accuracy of shipments—to be an important measure of customer service. In fiscal 2011, we achieved a global order fill rate of 98.8%. Fiscal 2011 marked year three of a multi-year plan to regionalize our supply chain through various distribution and manufacturing initiatives. We have also made substantial investments to lower the cost structure of our supply chain operations in Europe while simultaneously improving customer service levels.</w:t>
      </w:r>
    </w:p>
    <w:p>
      <w:pPr>
        <w:spacing w:after="0" w:line="116" w:lineRule="exact"/>
        <w:rPr>
          <w:sz w:val="20"/>
          <w:szCs w:val="20"/>
          <w:color w:val="auto"/>
        </w:rPr>
      </w:pPr>
    </w:p>
    <w:p>
      <w:pPr>
        <w:ind w:left="200" w:right="100" w:firstLine="443"/>
        <w:spacing w:after="0" w:line="291" w:lineRule="auto"/>
        <w:rPr>
          <w:sz w:val="20"/>
          <w:szCs w:val="20"/>
          <w:color w:val="auto"/>
        </w:rPr>
      </w:pPr>
      <w:r>
        <w:rPr>
          <w:rFonts w:ascii="Arial" w:cs="Arial" w:eastAsia="Arial" w:hAnsi="Arial"/>
          <w:sz w:val="16"/>
          <w:szCs w:val="16"/>
          <w:i w:val="1"/>
          <w:iCs w:val="1"/>
          <w:color w:val="auto"/>
        </w:rPr>
        <w:t xml:space="preserve">Stable Financial Performance and Strong Cash Flow Generation. </w:t>
      </w:r>
      <w:r>
        <w:rPr>
          <w:rFonts w:ascii="Arial" w:cs="Arial" w:eastAsia="Arial" w:hAnsi="Arial"/>
          <w:sz w:val="16"/>
          <w:szCs w:val="16"/>
          <w:color w:val="auto"/>
        </w:rPr>
        <w:t>Despite difficult economic conditions, we have grown our net sales from $2,552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fiscal 2008 to $2,835.7 million in fiscal 2011, representing a compound annual growth rate of approximately 3.5%. During the same time period, Adjusted EBITDA has grown from $318.4 million to $393 million, a compound annual growth rate of approximately 7%. We believe that our operating model, which includes low capital expenditure requirements and efficient working capital management, generates strong cash flow. During the last three fiscal years, we had average operating cash flows of $227.5 million, which represents 8.1% of average net sales. As a result, we have reduced our total debt (net of cash and cash equivalents) position from $915.8 million at September 30, 2008 to $664.1 million at September 30, 2011.</w:t>
      </w:r>
    </w:p>
    <w:p>
      <w:pPr>
        <w:spacing w:after="0" w:line="12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i w:val="1"/>
          <w:iCs w:val="1"/>
          <w:color w:val="auto"/>
        </w:rPr>
        <w:t xml:space="preserve">Experienced and Incentivized Management Team. </w:t>
      </w:r>
      <w:r>
        <w:rPr>
          <w:rFonts w:ascii="Arial" w:cs="Arial" w:eastAsia="Arial" w:hAnsi="Arial"/>
          <w:sz w:val="16"/>
          <w:szCs w:val="16"/>
          <w:color w:val="auto"/>
        </w:rPr>
        <w:t>Our senior management team has significant experience in the lawn and garden industry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of 12 years in the industry. James Hagedorn has been with our Company for 24 years and has served as the Chief Executive Officer since May 2001. Our management team has demonstrated its ability to grow the business through effective brand building and financial discipline. Additionally, we believe our management team is committed and incentivized. As of September 30, 2011, our board of directors and executive officers collectively owned, individually or in partnership with members of their families, approximately 33% of our common shares.</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00" w:right="40" w:firstLine="443"/>
        <w:spacing w:after="0" w:line="306" w:lineRule="auto"/>
        <w:rPr>
          <w:sz w:val="20"/>
          <w:szCs w:val="20"/>
          <w:color w:val="auto"/>
        </w:rPr>
      </w:pPr>
      <w:r>
        <w:rPr>
          <w:rFonts w:ascii="Arial" w:cs="Arial" w:eastAsia="Arial" w:hAnsi="Arial"/>
          <w:sz w:val="16"/>
          <w:szCs w:val="16"/>
          <w:color w:val="auto"/>
        </w:rPr>
        <w:t>We are dedicated to delivering strong, long-term financial results and outstanding shareholder returns by providing products of superior quality and value to enhance consumers’ outdoor lawn and garden environments. We are focused on several key initiatives designed to further strengthen our consumer-facing businesses, bring us closer to the consumer and support our long-term growth objectives.</w:t>
      </w:r>
    </w:p>
    <w:p>
      <w:pPr>
        <w:spacing w:after="0" w:line="10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 xml:space="preserve">Continue to Drive Growth and Profitability from the Core Global Consumer Business. </w:t>
      </w:r>
      <w:r>
        <w:rPr>
          <w:rFonts w:ascii="Arial" w:cs="Arial" w:eastAsia="Arial" w:hAnsi="Arial"/>
          <w:sz w:val="18"/>
          <w:szCs w:val="18"/>
          <w:color w:val="auto"/>
        </w:rPr>
        <w:t>We seek to raise household penetration of our products,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the frequency with which existing consumers use our products, and enhance the profitability of our business. We believe this can be accomplished by (i) increasing our</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700"/>
        <w:spacing w:after="0" w:line="268" w:lineRule="auto"/>
        <w:rPr>
          <w:sz w:val="20"/>
          <w:szCs w:val="20"/>
          <w:color w:val="auto"/>
        </w:rPr>
      </w:pPr>
      <w:r>
        <w:rPr>
          <w:rFonts w:ascii="Arial" w:cs="Arial" w:eastAsia="Arial" w:hAnsi="Arial"/>
          <w:sz w:val="18"/>
          <w:szCs w:val="18"/>
          <w:color w:val="auto"/>
        </w:rPr>
        <w:t>familiarity with our consumers and customers at a localized level, (ii) building our portfolio of simple, significant and sustainable products through innovation and (iii) leveraging our strong retailer relationships. Our initiatives around this strategy are as follows:</w:t>
      </w:r>
    </w:p>
    <w:p>
      <w:pPr>
        <w:spacing w:after="0" w:line="51" w:lineRule="exact"/>
        <w:rPr>
          <w:sz w:val="20"/>
          <w:szCs w:val="20"/>
          <w:color w:val="auto"/>
        </w:rPr>
      </w:pPr>
    </w:p>
    <w:p>
      <w:pPr>
        <w:ind w:left="1060" w:right="180" w:hanging="323"/>
        <w:spacing w:after="0" w:line="294"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Streamlining our portfolio of businesses to focus on core branded consumer lawn and garden products</w:t>
      </w:r>
      <w:r>
        <w:rPr>
          <w:rFonts w:ascii="Arial" w:cs="Arial" w:eastAsia="Arial" w:hAnsi="Arial"/>
          <w:sz w:val="16"/>
          <w:szCs w:val="16"/>
          <w:color w:val="auto"/>
        </w:rPr>
        <w:t>. We continued to focus our business on</w:t>
      </w:r>
      <w:r>
        <w:rPr>
          <w:rFonts w:ascii="Arial" w:cs="Arial" w:eastAsia="Arial" w:hAnsi="Arial"/>
          <w:sz w:val="16"/>
          <w:szCs w:val="16"/>
          <w:i w:val="1"/>
          <w:iCs w:val="1"/>
          <w:color w:val="auto"/>
        </w:rPr>
        <w:t xml:space="preserve"> </w:t>
      </w:r>
      <w:r>
        <w:rPr>
          <w:rFonts w:ascii="Arial" w:cs="Arial" w:eastAsia="Arial" w:hAnsi="Arial"/>
          <w:sz w:val="16"/>
          <w:szCs w:val="16"/>
          <w:color w:val="auto"/>
        </w:rPr>
        <w:t>our core branded consumer lawn and garden products by completing the sale of our Global Professional business during our second quarter of fiscal 2011. The sale of the Global Professional business followed the wind-down of our Smith &amp; Hawken business during our first quarter of the fiscal year ended September 30, 2010. In addition, we are in the process of winding down the remaining portion of our professional seed business, leaving a portfolio exclusively comprised of consumer-facing businesses.</w:t>
      </w:r>
    </w:p>
    <w:p>
      <w:pPr>
        <w:spacing w:after="0" w:line="34" w:lineRule="exact"/>
        <w:rPr>
          <w:rFonts w:ascii="Arial" w:cs="Arial" w:eastAsia="Arial" w:hAnsi="Arial"/>
          <w:sz w:val="16"/>
          <w:szCs w:val="16"/>
          <w:color w:val="auto"/>
        </w:rPr>
      </w:pPr>
    </w:p>
    <w:p>
      <w:pPr>
        <w:ind w:left="1060" w:right="180" w:hanging="323"/>
        <w:spacing w:after="0" w:line="306"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Continuing to regionalize both our sales and marketing models in order to get closer to the consumer and accelerate category growth and our manufacturing and distribution networks to further reduce costs</w:t>
      </w:r>
      <w:r>
        <w:rPr>
          <w:rFonts w:ascii="Arial" w:cs="Arial" w:eastAsia="Arial" w:hAnsi="Arial"/>
          <w:sz w:val="16"/>
          <w:szCs w:val="16"/>
          <w:color w:val="auto"/>
        </w:rPr>
        <w:t>. During fiscal 2011, we continued to invest in the regional sales,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distribution initiatives that were launched during the fiscal year ended September 30, 2009:</w:t>
      </w:r>
    </w:p>
    <w:p>
      <w:pPr>
        <w:spacing w:after="0" w:line="25" w:lineRule="exact"/>
        <w:rPr>
          <w:rFonts w:ascii="Arial" w:cs="Arial" w:eastAsia="Arial" w:hAnsi="Arial"/>
          <w:sz w:val="16"/>
          <w:szCs w:val="16"/>
          <w:color w:val="auto"/>
        </w:rPr>
      </w:pPr>
    </w:p>
    <w:p>
      <w:pPr>
        <w:ind w:left="1620" w:hanging="437"/>
        <w:spacing w:after="0" w:line="254"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Within the U.S., we operate regional sales and marketing offices in the North, the Southeast, the Southwest and the West. The regional offices are focused on better understanding and meeting the needs of consumers at the local level, thereby increasing both the overall participation rate in lawn and garden activities and our market share. Our headquarters in Marysville, Ohio continues to support the regional offices with programs and services designed to attract more consumers, enhance support to retailers, and drive innovation in our products, services, programs and operations in order to keep consumers engaged in lawn and garden activities and accelerate category growth.</w:t>
      </w:r>
    </w:p>
    <w:p>
      <w:pPr>
        <w:spacing w:after="0" w:line="63" w:lineRule="exact"/>
        <w:rPr>
          <w:rFonts w:ascii="Arial" w:cs="Arial" w:eastAsia="Arial" w:hAnsi="Arial"/>
          <w:sz w:val="18"/>
          <w:szCs w:val="18"/>
          <w:color w:val="auto"/>
        </w:rPr>
      </w:pPr>
    </w:p>
    <w:p>
      <w:pPr>
        <w:ind w:left="1620" w:right="60" w:hanging="437"/>
        <w:spacing w:after="0" w:line="306" w:lineRule="auto"/>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Fiscal 2011 marked year three of a multi-year supply chain initiative to co-join distribution networks for our lawn fertilizer and growing media products at a number of our growing media facilities, which are then shipped directly to our retail customers. To date this initiative has helped eliminate the need for approximately 25% of our third-party warehouse space.</w:t>
      </w:r>
    </w:p>
    <w:p>
      <w:pPr>
        <w:spacing w:after="0" w:line="25" w:lineRule="exact"/>
        <w:rPr>
          <w:rFonts w:ascii="Arial" w:cs="Arial" w:eastAsia="Arial" w:hAnsi="Arial"/>
          <w:sz w:val="16"/>
          <w:szCs w:val="16"/>
          <w:color w:val="auto"/>
        </w:rPr>
      </w:pPr>
    </w:p>
    <w:p>
      <w:pPr>
        <w:ind w:left="1620" w:right="140" w:hanging="437"/>
        <w:spacing w:after="0" w:line="256"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continued to regionalize our manufacturing capabilities through the acquisition of an additional growing media business in Florida, which we anticipate will help further drive cost savings through a combination of reduced freight and inventory investments. We also completed our first full year of operations at our second U.S. liquids manufacturing facility, enabling us to better serve southern U.S. markets.</w:t>
      </w:r>
    </w:p>
    <w:p>
      <w:pPr>
        <w:spacing w:after="0" w:line="62" w:lineRule="exact"/>
        <w:rPr>
          <w:rFonts w:ascii="Arial" w:cs="Arial" w:eastAsia="Arial" w:hAnsi="Arial"/>
          <w:sz w:val="18"/>
          <w:szCs w:val="18"/>
          <w:color w:val="auto"/>
        </w:rPr>
      </w:pPr>
    </w:p>
    <w:p>
      <w:pPr>
        <w:ind w:left="1060" w:hanging="323"/>
        <w:spacing w:after="0" w:line="318" w:lineRule="auto"/>
        <w:tabs>
          <w:tab w:leader="none" w:pos="106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Focusing on innovation. </w:t>
      </w:r>
      <w:r>
        <w:rPr>
          <w:rFonts w:ascii="Arial" w:cs="Arial" w:eastAsia="Arial" w:hAnsi="Arial"/>
          <w:sz w:val="15"/>
          <w:szCs w:val="15"/>
          <w:color w:val="auto"/>
        </w:rPr>
        <w:t>We continue to focus on driving innovation, which we believe is necessary to achieve higher sales and profits.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Throughout our history, innovation has been the foundation of our consumer business. We continually invest in research and development, in the laboratory and at the consumer level, to improve our products, manufacturing processes, packaging and delivery systems. Our long-standing commitment to innovation is evidenced by our worldwide portfolio of patents. In addition to the benefits of our own research and development, we actively seek ways to leverage the processes and systems as well as research and development activities of selected partners.</w:t>
      </w:r>
    </w:p>
    <w:p>
      <w:pPr>
        <w:spacing w:after="0" w:line="18" w:lineRule="exact"/>
        <w:rPr>
          <w:rFonts w:ascii="Arial" w:cs="Arial" w:eastAsia="Arial" w:hAnsi="Arial"/>
          <w:sz w:val="15"/>
          <w:szCs w:val="15"/>
          <w:color w:val="auto"/>
        </w:rPr>
      </w:pPr>
    </w:p>
    <w:p>
      <w:pPr>
        <w:ind w:left="1060" w:right="18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Restructuring our business to improve operational efficiencies and reposition our cost structure</w:t>
      </w:r>
      <w:r>
        <w:rPr>
          <w:rFonts w:ascii="Arial" w:cs="Arial" w:eastAsia="Arial" w:hAnsi="Arial"/>
          <w:sz w:val="18"/>
          <w:szCs w:val="18"/>
          <w:color w:val="auto"/>
        </w:rPr>
        <w:t>. This initiative is focused on ensuring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organizational model and cost structure are designed to best help us achieve long-term growth:</w:t>
      </w:r>
    </w:p>
    <w:p>
      <w:pPr>
        <w:spacing w:after="0" w:line="50" w:lineRule="exact"/>
        <w:rPr>
          <w:rFonts w:ascii="Arial" w:cs="Arial" w:eastAsia="Arial" w:hAnsi="Arial"/>
          <w:sz w:val="18"/>
          <w:szCs w:val="18"/>
          <w:color w:val="auto"/>
        </w:rPr>
      </w:pPr>
    </w:p>
    <w:p>
      <w:pPr>
        <w:ind w:left="1620" w:hanging="437"/>
        <w:spacing w:after="0" w:line="256"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During the second half of fiscal 2011, we undertook a restructuring effort designed to improve operational efficiencies and the speed with which key decisions are made. This effort centered on eliminating unnecessary management layers and ensuring that key decision makers have spans of control appropriate for their roles. We anticipate that the resulting reduction in force will ultimately produce $20— $25 million in annualized savings.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17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31172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20" w:right="120" w:hanging="437"/>
        <w:spacing w:after="0" w:line="298"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Another piece of this initiative involves reducing the amount we spend on indirect purchasing and other non-revenue generating administrative matters. This multi-year effort involves better leveraging our scale to competitively bid out the products and services we buy and ultimately reduce the number of vendors we use across a variety of spending areas. We expect that, over time, this effort will generate cost savings similar to those realized from the organizational restructuring.</w:t>
      </w:r>
    </w:p>
    <w:p>
      <w:pPr>
        <w:spacing w:after="0" w:line="31" w:lineRule="exact"/>
        <w:rPr>
          <w:rFonts w:ascii="Arial" w:cs="Arial" w:eastAsia="Arial" w:hAnsi="Arial"/>
          <w:sz w:val="16"/>
          <w:szCs w:val="16"/>
          <w:color w:val="auto"/>
        </w:rPr>
      </w:pPr>
    </w:p>
    <w:p>
      <w:pPr>
        <w:ind w:left="1620" w:right="160" w:hanging="437"/>
        <w:spacing w:after="0" w:line="306"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final step in repositioning our cost structure involves re-investing the savings generated by the organizational restructuring and indirect purchasing efforts back into our business. Through this initiative, we intend to increase the amount we spend in those areas we believe will help drive the long-term growth of our consumer business, such as advertising and innovation.</w:t>
      </w:r>
    </w:p>
    <w:p>
      <w:pPr>
        <w:spacing w:after="0" w:line="10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 xml:space="preserve">Expand Scotts LawnService. </w:t>
      </w:r>
      <w:r>
        <w:rPr>
          <w:rFonts w:ascii="Arial" w:cs="Arial" w:eastAsia="Arial" w:hAnsi="Arial"/>
          <w:sz w:val="16"/>
          <w:szCs w:val="16"/>
          <w:color w:val="auto"/>
        </w:rPr>
        <w:t>The number of homeowners who want to maintain their lawns and gardens but do not want to do the work themselves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significant portion of the total lawn and garden market. We believe that our portfolio of well-known brands provides us with a unique ability to extend our business into lawn and garden services and that the strength of our brands provides us with a competitive advantage in acquiring new customers. We have spent the past several years developing our Scotts LawnService business model and the business has grown significantly, from revenues of $41.2 million in fiscal 2001 to revenues of $235.6 million in fiscal 2011. This growth has come from geographic expansion, acquisitions and organic growth fueled by our direct marketing programs. We acquired two small lawn care businesses during fiscal 2011 and we will continue to evaluate selective acquisitions as opportunities arise. We will also continue to invest in the Scotts LawnService business infrastructure in order to continually improve customer service throughout the organization and leverage economies of scale as we continue to grow.</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Scotts is an Ohio corporation. Our executive offices are located at 14111 Scottslawn Road, Marysville, Ohio 43041, and our telephone number is</w:t>
      </w:r>
    </w:p>
    <w:p>
      <w:pPr>
        <w:spacing w:after="0" w:line="38" w:lineRule="exact"/>
        <w:rPr>
          <w:sz w:val="20"/>
          <w:szCs w:val="20"/>
          <w:color w:val="auto"/>
        </w:rPr>
      </w:pPr>
    </w:p>
    <w:p>
      <w:pPr>
        <w:ind w:left="5680" w:right="4060" w:hanging="5483"/>
        <w:spacing w:after="0" w:line="636" w:lineRule="auto"/>
        <w:tabs>
          <w:tab w:leader="none" w:pos="6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644-0011. Our website address is www.scotts.com. Our website is not part of this prospectus. 6</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58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The Exchange Offer</w:t>
            </w:r>
          </w:p>
        </w:tc>
      </w:tr>
      <w:tr>
        <w:trPr>
          <w:trHeight w:val="412"/>
        </w:trPr>
        <w:tc>
          <w:tcPr>
            <w:tcW w:w="35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Background</w:t>
            </w: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3"/>
              </w:rPr>
              <w:t>On December 16, 2010, we issued $200 million aggregate principal amount of the outstanding</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1"/>
              </w:rPr>
              <w:t>notes in an unregistered offering. In connection with that offering, we and the guarantors entered</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1"/>
              </w:rPr>
              <w:t>into a registration rights agreement on December 16, 2010 (the “Registration Rights Agreement”)</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1"/>
              </w:rPr>
              <w:t>in which we agreed, among other things, to complete this exchange offer. Under the terms of the</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7"/>
              </w:rPr>
              <w:t>exchange offer, you are entitled to exchange the outstanding notes for the exchange notes</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5"/>
              </w:rPr>
              <w:t>evidencing the same indebtedness and with substantially similar terms. You should read the</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9"/>
              </w:rPr>
              <w:t>discussion under the heading “Description of the Exchange Notes” for further information</w:t>
            </w:r>
          </w:p>
        </w:tc>
      </w:tr>
      <w:tr>
        <w:trPr>
          <w:trHeight w:val="222"/>
        </w:trPr>
        <w:tc>
          <w:tcPr>
            <w:tcW w:w="3580" w:type="dxa"/>
            <w:vAlign w:val="bottom"/>
            <w:tcBorders>
              <w:left w:val="single" w:sz="8" w:color="auto"/>
            </w:tcBorders>
          </w:tcPr>
          <w:p>
            <w:pPr>
              <w:spacing w:after="0"/>
              <w:rPr>
                <w:sz w:val="19"/>
                <w:szCs w:val="19"/>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regarding the exchange notes.</w:t>
            </w:r>
          </w:p>
        </w:tc>
      </w:tr>
      <w:tr>
        <w:trPr>
          <w:trHeight w:val="412"/>
        </w:trPr>
        <w:tc>
          <w:tcPr>
            <w:tcW w:w="35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The Exchange Offer</w:t>
            </w: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5"/>
              </w:rPr>
              <w:t>We are offering to exchange, for each $1,000 aggregate principal amount of our outstanding</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0"/>
              </w:rPr>
              <w:t>notes validly tendered and accepted, $1,000 aggregate principal amount of our exchange notes in</w:t>
            </w:r>
          </w:p>
        </w:tc>
      </w:tr>
      <w:tr>
        <w:trPr>
          <w:trHeight w:val="222"/>
        </w:trPr>
        <w:tc>
          <w:tcPr>
            <w:tcW w:w="3580" w:type="dxa"/>
            <w:vAlign w:val="bottom"/>
            <w:tcBorders>
              <w:left w:val="single" w:sz="8" w:color="auto"/>
            </w:tcBorders>
          </w:tcPr>
          <w:p>
            <w:pPr>
              <w:spacing w:after="0"/>
              <w:rPr>
                <w:sz w:val="19"/>
                <w:szCs w:val="19"/>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authorized denominations.</w:t>
            </w:r>
          </w:p>
        </w:tc>
      </w:tr>
      <w:tr>
        <w:trPr>
          <w:trHeight w:val="291"/>
        </w:trPr>
        <w:tc>
          <w:tcPr>
            <w:tcW w:w="358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2"/>
              </w:rPr>
              <w:t>We will not pay any accrued and unpaid interest on the outstanding notes that we acquire in the</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0"/>
              </w:rPr>
              <w:t>exchange offer. Instead, interest on the exchange notes will accrue (a) from the later of (i) the last</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9"/>
              </w:rPr>
              <w:t>interest payment date on which interest was paid on the outstanding note surrendered in</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3"/>
              </w:rPr>
              <w:t>exchange for the exchange note or (ii) if the outstanding note is surrendered for exchange on a</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0"/>
              </w:rPr>
              <w:t>date in a period that includes the record date for an interest payment date to occur on or after the</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4"/>
              </w:rPr>
              <w:t>date of such exchange and as to which interest will be paid, the date of such interest payment</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0"/>
              </w:rPr>
              <w:t>date, or (b) if no interest has been paid, from and including December 16, 2010, the original issue</w:t>
            </w:r>
          </w:p>
        </w:tc>
      </w:tr>
      <w:tr>
        <w:trPr>
          <w:trHeight w:val="222"/>
        </w:trPr>
        <w:tc>
          <w:tcPr>
            <w:tcW w:w="3580" w:type="dxa"/>
            <w:vAlign w:val="bottom"/>
            <w:tcBorders>
              <w:left w:val="single" w:sz="8" w:color="auto"/>
            </w:tcBorders>
          </w:tcPr>
          <w:p>
            <w:pPr>
              <w:spacing w:after="0"/>
              <w:rPr>
                <w:sz w:val="19"/>
                <w:szCs w:val="19"/>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date of the outstanding notes.</w:t>
            </w:r>
          </w:p>
        </w:tc>
      </w:tr>
      <w:tr>
        <w:trPr>
          <w:trHeight w:val="291"/>
        </w:trPr>
        <w:tc>
          <w:tcPr>
            <w:tcW w:w="358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5"/>
              </w:rPr>
              <w:t>As of the date of this prospectus, $200 million aggregate principal amount of the outstanding</w:t>
            </w:r>
          </w:p>
        </w:tc>
      </w:tr>
      <w:tr>
        <w:trPr>
          <w:trHeight w:val="222"/>
        </w:trPr>
        <w:tc>
          <w:tcPr>
            <w:tcW w:w="3580" w:type="dxa"/>
            <w:vAlign w:val="bottom"/>
            <w:tcBorders>
              <w:left w:val="single" w:sz="8" w:color="auto"/>
            </w:tcBorders>
          </w:tcPr>
          <w:p>
            <w:pPr>
              <w:spacing w:after="0"/>
              <w:rPr>
                <w:sz w:val="19"/>
                <w:szCs w:val="19"/>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notes are outstanding.</w:t>
            </w:r>
          </w:p>
        </w:tc>
      </w:tr>
      <w:tr>
        <w:trPr>
          <w:trHeight w:val="412"/>
        </w:trPr>
        <w:tc>
          <w:tcPr>
            <w:tcW w:w="35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Denominations of Exchange Notes</w:t>
            </w: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7"/>
              </w:rPr>
              <w:t>Tendering holders of the outstanding notes must tender the outstanding notes in minimum</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1"/>
              </w:rPr>
              <w:t>denominations of $2,000 and integral multiples of $1,000 in excess thereof. The exchange notes</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4"/>
              </w:rPr>
              <w:t>will be issued in minimum denominations of $2,000 and integral multiples of $1,000 in excess</w:t>
            </w:r>
          </w:p>
        </w:tc>
      </w:tr>
      <w:tr>
        <w:trPr>
          <w:trHeight w:val="222"/>
        </w:trPr>
        <w:tc>
          <w:tcPr>
            <w:tcW w:w="3580" w:type="dxa"/>
            <w:vAlign w:val="bottom"/>
            <w:tcBorders>
              <w:left w:val="single" w:sz="8" w:color="auto"/>
            </w:tcBorders>
          </w:tcPr>
          <w:p>
            <w:pPr>
              <w:spacing w:after="0"/>
              <w:rPr>
                <w:sz w:val="19"/>
                <w:szCs w:val="19"/>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thereof.</w:t>
            </w:r>
          </w:p>
        </w:tc>
      </w:tr>
      <w:tr>
        <w:trPr>
          <w:trHeight w:val="412"/>
        </w:trPr>
        <w:tc>
          <w:tcPr>
            <w:tcW w:w="35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Expiration Date</w:t>
            </w: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2"/>
              </w:rPr>
              <w:t>The exchange offer will expire at 5:00 p.m., New York City time, on , 2012, unless we extend or</w:t>
            </w:r>
          </w:p>
        </w:tc>
      </w:tr>
      <w:tr>
        <w:trPr>
          <w:trHeight w:val="216"/>
        </w:trPr>
        <w:tc>
          <w:tcPr>
            <w:tcW w:w="358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4"/>
              </w:rPr>
              <w:t>terminate the exchange offer in which case the “Expiration Date” will mean the latest date and</w:t>
            </w:r>
          </w:p>
        </w:tc>
      </w:tr>
      <w:tr>
        <w:trPr>
          <w:trHeight w:val="222"/>
        </w:trPr>
        <w:tc>
          <w:tcPr>
            <w:tcW w:w="3580" w:type="dxa"/>
            <w:vAlign w:val="bottom"/>
            <w:tcBorders>
              <w:left w:val="single" w:sz="8" w:color="auto"/>
            </w:tcBorders>
          </w:tcPr>
          <w:p>
            <w:pPr>
              <w:spacing w:after="0"/>
              <w:rPr>
                <w:sz w:val="19"/>
                <w:szCs w:val="19"/>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time to which we extend the exchange offer.</w:t>
            </w:r>
          </w:p>
        </w:tc>
      </w:tr>
      <w:tr>
        <w:trPr>
          <w:trHeight w:val="412"/>
        </w:trPr>
        <w:tc>
          <w:tcPr>
            <w:tcW w:w="35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Settlement Date</w:t>
            </w: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0"/>
              </w:rPr>
              <w:t>The settlement date of the exchange offer will be as soon as practicable after the Expiration Date</w:t>
            </w:r>
          </w:p>
        </w:tc>
      </w:tr>
      <w:tr>
        <w:trPr>
          <w:trHeight w:val="222"/>
        </w:trPr>
        <w:tc>
          <w:tcPr>
            <w:tcW w:w="3580" w:type="dxa"/>
            <w:vAlign w:val="bottom"/>
            <w:tcBorders>
              <w:left w:val="single" w:sz="8" w:color="auto"/>
            </w:tcBorders>
          </w:tcPr>
          <w:p>
            <w:pPr>
              <w:spacing w:after="0"/>
              <w:rPr>
                <w:sz w:val="19"/>
                <w:szCs w:val="19"/>
                <w:color w:val="auto"/>
              </w:rPr>
            </w:pP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of the exchange offer.</w:t>
            </w:r>
          </w:p>
        </w:tc>
      </w:tr>
      <w:tr>
        <w:trPr>
          <w:trHeight w:val="419"/>
        </w:trPr>
        <w:tc>
          <w:tcPr>
            <w:tcW w:w="35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Withdrawal of Tenders</w:t>
            </w:r>
          </w:p>
        </w:tc>
        <w:tc>
          <w:tcPr>
            <w:tcW w:w="78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6"/>
              </w:rPr>
              <w:t>Tenders of the outstanding notes may be withdrawn at any time prior to the Expiration Date.</w:t>
            </w:r>
          </w:p>
        </w:tc>
      </w:tr>
      <w:tr>
        <w:trPr>
          <w:trHeight w:val="174"/>
        </w:trPr>
        <w:tc>
          <w:tcPr>
            <w:tcW w:w="3580" w:type="dxa"/>
            <w:vAlign w:val="bottom"/>
            <w:tcBorders>
              <w:left w:val="single" w:sz="8" w:color="auto"/>
              <w:bottom w:val="single" w:sz="8" w:color="auto"/>
            </w:tcBorders>
          </w:tcPr>
          <w:p>
            <w:pPr>
              <w:spacing w:after="0"/>
              <w:rPr>
                <w:sz w:val="15"/>
                <w:szCs w:val="15"/>
                <w:color w:val="auto"/>
              </w:rPr>
            </w:pPr>
          </w:p>
        </w:tc>
        <w:tc>
          <w:tcPr>
            <w:tcW w:w="7880" w:type="dxa"/>
            <w:vAlign w:val="bottom"/>
            <w:tcBorders>
              <w:bottom w:val="single" w:sz="8" w:color="auto"/>
              <w:right w:val="single" w:sz="8" w:color="auto"/>
            </w:tcBorders>
          </w:tcPr>
          <w:p>
            <w:pPr>
              <w:spacing w:after="0"/>
              <w:rPr>
                <w:sz w:val="15"/>
                <w:szCs w:val="15"/>
                <w:color w:val="auto"/>
              </w:rPr>
            </w:pPr>
          </w:p>
        </w:tc>
      </w:tr>
      <w:tr>
        <w:trPr>
          <w:trHeight w:val="359"/>
        </w:trPr>
        <w:tc>
          <w:tcPr>
            <w:tcW w:w="3580" w:type="dxa"/>
            <w:vAlign w:val="bottom"/>
          </w:tcPr>
          <w:p>
            <w:pPr>
              <w:spacing w:after="0"/>
              <w:rPr>
                <w:sz w:val="24"/>
                <w:szCs w:val="24"/>
                <w:color w:val="auto"/>
              </w:rPr>
            </w:pPr>
          </w:p>
        </w:tc>
        <w:tc>
          <w:tcPr>
            <w:tcW w:w="7880" w:type="dxa"/>
            <w:vAlign w:val="bottom"/>
          </w:tcPr>
          <w:p>
            <w:pPr>
              <w:ind w:left="21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09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4909185"/>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Conditions to the Exchange Offer</w:t>
      </w: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Tendering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Our obligation to consummate the exchange offer is subject to certain customary conditions, which we may assert or waive. See “The Exchange Offer—Conditions to the Exchange Offer.”</w:t>
      </w:r>
    </w:p>
    <w:p>
      <w:pPr>
        <w:spacing w:after="0" w:line="126"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To participate in the exchange offer, you must follow the automatic tender offer program (“ATOP”) procedures established by The Depository Trust Company (“DTC”) for tendering the outstanding notes held in book-entry form. The ATOP procedures require that the exchange agent receive, prior to the Expiration Date of the exchange offer, a computer-generated message known as an “agent’s message” that is transmitted through ATOP and that DTC confirm that:</w:t>
      </w:r>
    </w:p>
    <w:p>
      <w:pPr>
        <w:spacing w:after="0" w:line="19"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940" w:hanging="327"/>
        <w:spacing w:after="0"/>
        <w:tabs>
          <w:tab w:leader="none" w:pos="4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has received instructions to exchange your outstanding notes; and</w:t>
      </w:r>
    </w:p>
    <w:p>
      <w:pPr>
        <w:spacing w:after="0" w:line="90" w:lineRule="exact"/>
        <w:rPr>
          <w:rFonts w:ascii="Arial" w:cs="Arial" w:eastAsia="Arial" w:hAnsi="Arial"/>
          <w:sz w:val="18"/>
          <w:szCs w:val="18"/>
          <w:color w:val="auto"/>
        </w:rPr>
      </w:pPr>
    </w:p>
    <w:p>
      <w:pPr>
        <w:ind w:left="4940" w:hanging="327"/>
        <w:spacing w:after="0"/>
        <w:tabs>
          <w:tab w:leader="none" w:pos="4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agree to be bound by the terms of the letter of transmittal.</w:t>
      </w:r>
    </w:p>
    <w:p>
      <w:pPr>
        <w:spacing w:after="0" w:line="90" w:lineRule="exact"/>
        <w:rPr>
          <w:sz w:val="20"/>
          <w:szCs w:val="20"/>
          <w:color w:val="auto"/>
        </w:rPr>
      </w:pPr>
    </w:p>
    <w:p>
      <w:pPr>
        <w:ind w:left="4400" w:right="220"/>
        <w:spacing w:after="0" w:line="291" w:lineRule="auto"/>
        <w:rPr>
          <w:sz w:val="20"/>
          <w:szCs w:val="20"/>
          <w:color w:val="auto"/>
        </w:rPr>
      </w:pPr>
      <w:r>
        <w:rPr>
          <w:rFonts w:ascii="Arial" w:cs="Arial" w:eastAsia="Arial" w:hAnsi="Arial"/>
          <w:sz w:val="16"/>
          <w:szCs w:val="16"/>
          <w:color w:val="auto"/>
        </w:rPr>
        <w:t>For more details, please read “The Exchange Offer—Terms of the Exchange Offer” and “The Exchange Offer—Procedures for Tendering.” If you elect to have the outstanding notes exchanged pursuant to this exchange offer, you must properly tender your outstanding notes prior to the Expiration Date. All outstanding notes validly tendered and not properly withdrawn will be accepted for exchange. The outstanding notes may be exchanged only in minimum denominations of $2,000 and integral multiples of $1,000 in excess thereof.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Consequences of Failure to Exchange</w:t>
            </w:r>
          </w:p>
        </w:tc>
        <w:tc>
          <w:tcPr>
            <w:tcW w:w="7760" w:type="dxa"/>
            <w:vAlign w:val="bottom"/>
          </w:tcPr>
          <w:p>
            <w:pPr>
              <w:ind w:left="700"/>
              <w:spacing w:after="0"/>
              <w:rPr>
                <w:sz w:val="20"/>
                <w:szCs w:val="20"/>
                <w:color w:val="auto"/>
              </w:rPr>
            </w:pPr>
            <w:r>
              <w:rPr>
                <w:rFonts w:ascii="Arial" w:cs="Arial" w:eastAsia="Arial" w:hAnsi="Arial"/>
                <w:sz w:val="18"/>
                <w:szCs w:val="18"/>
                <w:color w:val="auto"/>
              </w:rPr>
              <w:t>If we complete the exchange offer and you do not participate in it, then:</w:t>
            </w:r>
          </w:p>
        </w:tc>
      </w:tr>
      <w:tr>
        <w:trPr>
          <w:trHeight w:val="304"/>
        </w:trPr>
        <w:tc>
          <w:tcPr>
            <w:tcW w:w="3700" w:type="dxa"/>
            <w:vAlign w:val="bottom"/>
          </w:tcPr>
          <w:p>
            <w:pPr>
              <w:spacing w:after="0"/>
              <w:rPr>
                <w:sz w:val="24"/>
                <w:szCs w:val="24"/>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w w:val="96"/>
              </w:rPr>
              <w:t>•   your outstanding notes will continue to be subject to the existing restrictions upon their</w:t>
            </w:r>
          </w:p>
        </w:tc>
      </w:tr>
      <w:tr>
        <w:trPr>
          <w:trHeight w:val="222"/>
        </w:trPr>
        <w:tc>
          <w:tcPr>
            <w:tcW w:w="3700" w:type="dxa"/>
            <w:vAlign w:val="bottom"/>
          </w:tcPr>
          <w:p>
            <w:pPr>
              <w:spacing w:after="0"/>
              <w:rPr>
                <w:sz w:val="19"/>
                <w:szCs w:val="19"/>
                <w:color w:val="auto"/>
              </w:rPr>
            </w:pPr>
          </w:p>
        </w:tc>
        <w:tc>
          <w:tcPr>
            <w:tcW w:w="7760" w:type="dxa"/>
            <w:vAlign w:val="bottom"/>
          </w:tcPr>
          <w:p>
            <w:pPr>
              <w:ind w:left="1240"/>
              <w:spacing w:after="0"/>
              <w:rPr>
                <w:sz w:val="20"/>
                <w:szCs w:val="20"/>
                <w:color w:val="auto"/>
              </w:rPr>
            </w:pPr>
            <w:r>
              <w:rPr>
                <w:rFonts w:ascii="Arial" w:cs="Arial" w:eastAsia="Arial" w:hAnsi="Arial"/>
                <w:sz w:val="18"/>
                <w:szCs w:val="18"/>
                <w:color w:val="auto"/>
              </w:rPr>
              <w:t>transfer;</w:t>
            </w:r>
          </w:p>
        </w:tc>
      </w:tr>
      <w:tr>
        <w:trPr>
          <w:trHeight w:val="291"/>
        </w:trPr>
        <w:tc>
          <w:tcPr>
            <w:tcW w:w="3700" w:type="dxa"/>
            <w:vAlign w:val="bottom"/>
          </w:tcPr>
          <w:p>
            <w:pPr>
              <w:spacing w:after="0"/>
              <w:rPr>
                <w:sz w:val="24"/>
                <w:szCs w:val="24"/>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w w:val="95"/>
              </w:rPr>
              <w:t>•   we will have no further obligation to provide for the registration under the Securities Act</w:t>
            </w:r>
          </w:p>
        </w:tc>
      </w:tr>
      <w:tr>
        <w:trPr>
          <w:trHeight w:val="222"/>
        </w:trPr>
        <w:tc>
          <w:tcPr>
            <w:tcW w:w="3700" w:type="dxa"/>
            <w:vAlign w:val="bottom"/>
          </w:tcPr>
          <w:p>
            <w:pPr>
              <w:spacing w:after="0"/>
              <w:rPr>
                <w:sz w:val="19"/>
                <w:szCs w:val="19"/>
                <w:color w:val="auto"/>
              </w:rPr>
            </w:pPr>
          </w:p>
        </w:tc>
        <w:tc>
          <w:tcPr>
            <w:tcW w:w="7760" w:type="dxa"/>
            <w:vAlign w:val="bottom"/>
          </w:tcPr>
          <w:p>
            <w:pPr>
              <w:ind w:left="1240"/>
              <w:spacing w:after="0"/>
              <w:rPr>
                <w:sz w:val="20"/>
                <w:szCs w:val="20"/>
                <w:color w:val="auto"/>
              </w:rPr>
            </w:pPr>
            <w:r>
              <w:rPr>
                <w:rFonts w:ascii="Arial" w:cs="Arial" w:eastAsia="Arial" w:hAnsi="Arial"/>
                <w:sz w:val="18"/>
                <w:szCs w:val="18"/>
                <w:color w:val="auto"/>
              </w:rPr>
              <w:t>of those outstanding notes except under certain limited circumstances; and</w:t>
            </w:r>
          </w:p>
        </w:tc>
      </w:tr>
      <w:tr>
        <w:trPr>
          <w:trHeight w:val="297"/>
        </w:trPr>
        <w:tc>
          <w:tcPr>
            <w:tcW w:w="3700" w:type="dxa"/>
            <w:vAlign w:val="bottom"/>
          </w:tcPr>
          <w:p>
            <w:pPr>
              <w:spacing w:after="0"/>
              <w:rPr>
                <w:sz w:val="24"/>
                <w:szCs w:val="24"/>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   the liquidity of the market for your outstanding notes could be adversely affected.</w:t>
            </w:r>
          </w:p>
        </w:tc>
      </w:tr>
      <w:tr>
        <w:trPr>
          <w:trHeight w:val="412"/>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Certain Income Tax Consequences</w:t>
            </w:r>
          </w:p>
        </w:tc>
        <w:tc>
          <w:tcPr>
            <w:tcW w:w="7760" w:type="dxa"/>
            <w:vAlign w:val="bottom"/>
          </w:tcPr>
          <w:p>
            <w:pPr>
              <w:ind w:left="700"/>
              <w:spacing w:after="0"/>
              <w:rPr>
                <w:sz w:val="20"/>
                <w:szCs w:val="20"/>
                <w:color w:val="auto"/>
              </w:rPr>
            </w:pPr>
            <w:r>
              <w:rPr>
                <w:rFonts w:ascii="Arial" w:cs="Arial" w:eastAsia="Arial" w:hAnsi="Arial"/>
                <w:sz w:val="18"/>
                <w:szCs w:val="18"/>
                <w:color w:val="auto"/>
                <w:w w:val="92"/>
              </w:rPr>
              <w:t>The exchange pursuant to the exchange offer will not be a taxable event for U.S. federal income</w:t>
            </w:r>
          </w:p>
        </w:tc>
      </w:tr>
      <w:tr>
        <w:trPr>
          <w:trHeight w:val="216"/>
        </w:trPr>
        <w:tc>
          <w:tcPr>
            <w:tcW w:w="370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w w:val="93"/>
              </w:rPr>
              <w:t>tax purposes. See “Certain United States Federal Income Tax Consequences of the Exchange</w:t>
            </w:r>
          </w:p>
        </w:tc>
      </w:tr>
      <w:tr>
        <w:trPr>
          <w:trHeight w:val="222"/>
        </w:trPr>
        <w:tc>
          <w:tcPr>
            <w:tcW w:w="3700" w:type="dxa"/>
            <w:vAlign w:val="bottom"/>
          </w:tcPr>
          <w:p>
            <w:pPr>
              <w:spacing w:after="0"/>
              <w:rPr>
                <w:sz w:val="19"/>
                <w:szCs w:val="19"/>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Offer” in this prospectus.</w:t>
            </w:r>
          </w:p>
        </w:tc>
      </w:tr>
      <w:tr>
        <w:trPr>
          <w:trHeight w:val="412"/>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7760" w:type="dxa"/>
            <w:vAlign w:val="bottom"/>
          </w:tcPr>
          <w:p>
            <w:pPr>
              <w:ind w:left="700"/>
              <w:spacing w:after="0"/>
              <w:rPr>
                <w:sz w:val="20"/>
                <w:szCs w:val="20"/>
                <w:color w:val="auto"/>
              </w:rPr>
            </w:pPr>
            <w:r>
              <w:rPr>
                <w:rFonts w:ascii="Arial" w:cs="Arial" w:eastAsia="Arial" w:hAnsi="Arial"/>
                <w:sz w:val="18"/>
                <w:szCs w:val="18"/>
                <w:color w:val="auto"/>
                <w:w w:val="91"/>
              </w:rPr>
              <w:t>We will not receive any cash proceeds from the issuance of the exchange notes in this exchange</w:t>
            </w:r>
          </w:p>
        </w:tc>
      </w:tr>
      <w:tr>
        <w:trPr>
          <w:trHeight w:val="222"/>
        </w:trPr>
        <w:tc>
          <w:tcPr>
            <w:tcW w:w="3700" w:type="dxa"/>
            <w:vAlign w:val="bottom"/>
          </w:tcPr>
          <w:p>
            <w:pPr>
              <w:spacing w:after="0"/>
              <w:rPr>
                <w:sz w:val="19"/>
                <w:szCs w:val="19"/>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offer.</w:t>
            </w:r>
          </w:p>
        </w:tc>
      </w:tr>
      <w:tr>
        <w:trPr>
          <w:trHeight w:val="419"/>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Exchange Agent</w:t>
            </w:r>
          </w:p>
        </w:tc>
        <w:tc>
          <w:tcPr>
            <w:tcW w:w="7760" w:type="dxa"/>
            <w:vAlign w:val="bottom"/>
          </w:tcPr>
          <w:p>
            <w:pPr>
              <w:ind w:left="700"/>
              <w:spacing w:after="0"/>
              <w:rPr>
                <w:sz w:val="20"/>
                <w:szCs w:val="20"/>
                <w:color w:val="auto"/>
              </w:rPr>
            </w:pPr>
            <w:r>
              <w:rPr>
                <w:rFonts w:ascii="Arial" w:cs="Arial" w:eastAsia="Arial" w:hAnsi="Arial"/>
                <w:sz w:val="18"/>
                <w:szCs w:val="18"/>
                <w:color w:val="auto"/>
              </w:rPr>
              <w:t>U.S. Bank National Association is the exchange agent for the exchange offer.</w:t>
            </w:r>
          </w:p>
        </w:tc>
      </w:tr>
      <w:tr>
        <w:trPr>
          <w:trHeight w:val="174"/>
        </w:trPr>
        <w:tc>
          <w:tcPr>
            <w:tcW w:w="370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tcPr>
          <w:p>
            <w:pPr>
              <w:spacing w:after="0"/>
              <w:rPr>
                <w:sz w:val="15"/>
                <w:szCs w:val="15"/>
                <w:color w:val="auto"/>
              </w:rPr>
            </w:pPr>
          </w:p>
        </w:tc>
      </w:tr>
      <w:tr>
        <w:trPr>
          <w:trHeight w:val="359"/>
        </w:trPr>
        <w:tc>
          <w:tcPr>
            <w:tcW w:w="3700" w:type="dxa"/>
            <w:vAlign w:val="bottom"/>
          </w:tcPr>
          <w:p>
            <w:pPr>
              <w:spacing w:after="0"/>
              <w:rPr>
                <w:sz w:val="24"/>
                <w:szCs w:val="24"/>
                <w:color w:val="auto"/>
              </w:rPr>
            </w:pPr>
          </w:p>
        </w:tc>
        <w:tc>
          <w:tcPr>
            <w:tcW w:w="7760" w:type="dxa"/>
            <w:vAlign w:val="bottom"/>
          </w:tcPr>
          <w:p>
            <w:pPr>
              <w:ind w:left="19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92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4927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Notes</w:t>
      </w:r>
    </w:p>
    <w:p>
      <w:pPr>
        <w:spacing w:after="0" w:line="177" w:lineRule="exact"/>
        <w:rPr>
          <w:sz w:val="20"/>
          <w:szCs w:val="20"/>
          <w:color w:val="auto"/>
        </w:rPr>
      </w:pPr>
    </w:p>
    <w:p>
      <w:pPr>
        <w:ind w:left="200" w:right="340" w:firstLine="443"/>
        <w:spacing w:after="0" w:line="370" w:lineRule="auto"/>
        <w:rPr>
          <w:sz w:val="20"/>
          <w:szCs w:val="20"/>
          <w:color w:val="auto"/>
        </w:rPr>
      </w:pPr>
      <w:r>
        <w:rPr>
          <w:rFonts w:ascii="Arial" w:cs="Arial" w:eastAsia="Arial" w:hAnsi="Arial"/>
          <w:sz w:val="15"/>
          <w:szCs w:val="15"/>
          <w:i w:val="1"/>
          <w:iCs w:val="1"/>
          <w:color w:val="auto"/>
        </w:rPr>
        <w:t>The following summary contains basic information about the exchange notes and is not intended to be complete. For a more complete understanding of the outstanding notes and the exchange notes, please refer to the section entitled “Description of the Exchange Notes” in this prospectus.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Issuer</w:t>
            </w:r>
          </w:p>
        </w:tc>
        <w:tc>
          <w:tcPr>
            <w:tcW w:w="8620" w:type="dxa"/>
            <w:vAlign w:val="bottom"/>
          </w:tcPr>
          <w:p>
            <w:pPr>
              <w:ind w:left="156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Securities</w:t>
            </w:r>
          </w:p>
        </w:tc>
        <w:tc>
          <w:tcPr>
            <w:tcW w:w="8620" w:type="dxa"/>
            <w:vAlign w:val="bottom"/>
          </w:tcPr>
          <w:p>
            <w:pPr>
              <w:ind w:left="1560"/>
              <w:spacing w:after="0"/>
              <w:rPr>
                <w:sz w:val="20"/>
                <w:szCs w:val="20"/>
                <w:color w:val="auto"/>
              </w:rPr>
            </w:pPr>
            <w:r>
              <w:rPr>
                <w:rFonts w:ascii="Arial" w:cs="Arial" w:eastAsia="Arial" w:hAnsi="Arial"/>
                <w:sz w:val="18"/>
                <w:szCs w:val="18"/>
                <w:color w:val="auto"/>
              </w:rPr>
              <w:t>$200,000,000 aggregate principal amount of 6.625% Senior Notes due 2020.</w:t>
            </w:r>
          </w:p>
        </w:tc>
      </w:tr>
      <w:tr>
        <w:trPr>
          <w:trHeight w:val="432"/>
        </w:trPr>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Maturity Date</w:t>
            </w:r>
          </w:p>
        </w:tc>
        <w:tc>
          <w:tcPr>
            <w:tcW w:w="8620" w:type="dxa"/>
            <w:vAlign w:val="bottom"/>
          </w:tcPr>
          <w:p>
            <w:pPr>
              <w:ind w:left="1560"/>
              <w:spacing w:after="0"/>
              <w:rPr>
                <w:sz w:val="20"/>
                <w:szCs w:val="20"/>
                <w:color w:val="auto"/>
              </w:rPr>
            </w:pPr>
            <w:r>
              <w:rPr>
                <w:rFonts w:ascii="Arial" w:cs="Arial" w:eastAsia="Arial" w:hAnsi="Arial"/>
                <w:sz w:val="18"/>
                <w:szCs w:val="18"/>
                <w:color w:val="auto"/>
              </w:rPr>
              <w:t>The notes will mature on December 15, 2020.</w:t>
            </w:r>
          </w:p>
        </w:tc>
      </w:tr>
      <w:tr>
        <w:trPr>
          <w:trHeight w:val="426"/>
        </w:trPr>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Interest</w:t>
            </w:r>
          </w:p>
        </w:tc>
        <w:tc>
          <w:tcPr>
            <w:tcW w:w="8620" w:type="dxa"/>
            <w:vAlign w:val="bottom"/>
          </w:tcPr>
          <w:p>
            <w:pPr>
              <w:ind w:left="1560"/>
              <w:spacing w:after="0"/>
              <w:rPr>
                <w:sz w:val="20"/>
                <w:szCs w:val="20"/>
                <w:color w:val="auto"/>
              </w:rPr>
            </w:pPr>
            <w:r>
              <w:rPr>
                <w:rFonts w:ascii="Arial" w:cs="Arial" w:eastAsia="Arial" w:hAnsi="Arial"/>
                <w:sz w:val="18"/>
                <w:szCs w:val="18"/>
                <w:color w:val="auto"/>
                <w:w w:val="91"/>
              </w:rPr>
              <w:t>The notes will bear interest at a rate of 6.625 % per annum. Interest on the notes will be payable</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89"/>
              </w:rPr>
              <w:t>semi-annually in cash in arrears on June 15 and December 15 of each year, commencing June 15,</w:t>
            </w:r>
          </w:p>
        </w:tc>
      </w:tr>
      <w:tr>
        <w:trPr>
          <w:trHeight w:val="222"/>
        </w:trPr>
        <w:tc>
          <w:tcPr>
            <w:tcW w:w="2840" w:type="dxa"/>
            <w:vAlign w:val="bottom"/>
          </w:tcPr>
          <w:p>
            <w:pPr>
              <w:spacing w:after="0"/>
              <w:rPr>
                <w:sz w:val="19"/>
                <w:szCs w:val="19"/>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rPr>
              <w:t>2011.</w:t>
            </w:r>
          </w:p>
        </w:tc>
      </w:tr>
      <w:tr>
        <w:trPr>
          <w:trHeight w:val="412"/>
        </w:trPr>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Guarantees</w:t>
            </w:r>
          </w:p>
        </w:tc>
        <w:tc>
          <w:tcPr>
            <w:tcW w:w="8620" w:type="dxa"/>
            <w:vAlign w:val="bottom"/>
          </w:tcPr>
          <w:p>
            <w:pPr>
              <w:ind w:left="1560"/>
              <w:spacing w:after="0"/>
              <w:rPr>
                <w:sz w:val="20"/>
                <w:szCs w:val="20"/>
                <w:color w:val="auto"/>
              </w:rPr>
            </w:pPr>
            <w:r>
              <w:rPr>
                <w:rFonts w:ascii="Arial" w:cs="Arial" w:eastAsia="Arial" w:hAnsi="Arial"/>
                <w:sz w:val="18"/>
                <w:szCs w:val="18"/>
                <w:color w:val="auto"/>
                <w:w w:val="90"/>
              </w:rPr>
              <w:t>On the closing of the exchange offer, the notes will be guaranteed on a senior unsecured basis by</w:t>
            </w:r>
          </w:p>
        </w:tc>
      </w:tr>
      <w:tr>
        <w:trPr>
          <w:trHeight w:val="222"/>
        </w:trPr>
        <w:tc>
          <w:tcPr>
            <w:tcW w:w="2840" w:type="dxa"/>
            <w:vAlign w:val="bottom"/>
          </w:tcPr>
          <w:p>
            <w:pPr>
              <w:spacing w:after="0"/>
              <w:rPr>
                <w:sz w:val="19"/>
                <w:szCs w:val="19"/>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rPr>
              <w:t>each of our domestic subsidiaries that guarantee the 2018 notes and our credit facility.</w:t>
            </w:r>
          </w:p>
        </w:tc>
      </w:tr>
      <w:tr>
        <w:trPr>
          <w:trHeight w:val="412"/>
        </w:trPr>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Ranking</w:t>
            </w:r>
          </w:p>
        </w:tc>
        <w:tc>
          <w:tcPr>
            <w:tcW w:w="8620" w:type="dxa"/>
            <w:vAlign w:val="bottom"/>
          </w:tcPr>
          <w:p>
            <w:pPr>
              <w:ind w:left="1560"/>
              <w:spacing w:after="0"/>
              <w:rPr>
                <w:sz w:val="20"/>
                <w:szCs w:val="20"/>
                <w:color w:val="auto"/>
              </w:rPr>
            </w:pPr>
            <w:r>
              <w:rPr>
                <w:rFonts w:ascii="Arial" w:cs="Arial" w:eastAsia="Arial" w:hAnsi="Arial"/>
                <w:sz w:val="18"/>
                <w:szCs w:val="18"/>
                <w:color w:val="auto"/>
                <w:w w:val="95"/>
              </w:rPr>
              <w:t>The notes will be senior unsecured obligations of the Company and will rank senior in right of</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3"/>
              </w:rPr>
              <w:t>payment to any of the Company’s future debt that is expressly subordinated in right of payment</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2"/>
              </w:rPr>
              <w:t>to the notes. The notes will rank equal in right of payment with all of the Company’s existing and</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1"/>
              </w:rPr>
              <w:t>future unsecured senior debt, including the 2018 notes, and will be effectively subordinated to all</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1"/>
              </w:rPr>
              <w:t>of the Company’s secured debt to the extent of the value of the collateral securing such debt and</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3"/>
              </w:rPr>
              <w:t>structurally subordinated to all of the liabilities of any of the Company’s subsidiaries that do not</w:t>
            </w:r>
          </w:p>
        </w:tc>
      </w:tr>
      <w:tr>
        <w:trPr>
          <w:trHeight w:val="222"/>
        </w:trPr>
        <w:tc>
          <w:tcPr>
            <w:tcW w:w="2840" w:type="dxa"/>
            <w:vAlign w:val="bottom"/>
          </w:tcPr>
          <w:p>
            <w:pPr>
              <w:spacing w:after="0"/>
              <w:rPr>
                <w:sz w:val="19"/>
                <w:szCs w:val="19"/>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rPr>
              <w:t>guarantee the notes to the extent of the value of the assets held by such subsidiaries.</w:t>
            </w:r>
          </w:p>
        </w:tc>
      </w:tr>
      <w:tr>
        <w:trPr>
          <w:trHeight w:val="291"/>
        </w:trPr>
        <w:tc>
          <w:tcPr>
            <w:tcW w:w="2840" w:type="dxa"/>
            <w:vAlign w:val="bottom"/>
          </w:tcPr>
          <w:p>
            <w:pPr>
              <w:spacing w:after="0"/>
              <w:rPr>
                <w:sz w:val="24"/>
                <w:szCs w:val="24"/>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4"/>
              </w:rPr>
              <w:t>The guarantees will be general unsecured obligations of the guarantors and will rank senior in</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3"/>
              </w:rPr>
              <w:t>right of payment to any of their future debt that is expressly subordinated in right of payment to</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5"/>
              </w:rPr>
              <w:t>the guarantees. The guarantees will rank equal in right of payment with all existing and future</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rPr>
              <w:t>unsecured liabilities of such guarantors, including the 2018 notes, and will be effectively</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2"/>
              </w:rPr>
              <w:t>subordinated to all of such guarantors’ secured debt, including our credit facility, to the extent of</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2"/>
              </w:rPr>
              <w:t>the value of the collateral securing such debt and structurally subordinated to all of the liabilities</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2"/>
              </w:rPr>
              <w:t>of any of our subsidiaries that do not guarantee the notes to the extent of the value of the assets</w:t>
            </w:r>
          </w:p>
        </w:tc>
      </w:tr>
      <w:tr>
        <w:trPr>
          <w:trHeight w:val="222"/>
        </w:trPr>
        <w:tc>
          <w:tcPr>
            <w:tcW w:w="2840" w:type="dxa"/>
            <w:vAlign w:val="bottom"/>
          </w:tcPr>
          <w:p>
            <w:pPr>
              <w:spacing w:after="0"/>
              <w:rPr>
                <w:sz w:val="19"/>
                <w:szCs w:val="19"/>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rPr>
              <w:t>held by such subsidiaries.</w:t>
            </w:r>
          </w:p>
        </w:tc>
      </w:tr>
      <w:tr>
        <w:trPr>
          <w:trHeight w:val="291"/>
        </w:trPr>
        <w:tc>
          <w:tcPr>
            <w:tcW w:w="2840" w:type="dxa"/>
            <w:vAlign w:val="bottom"/>
          </w:tcPr>
          <w:p>
            <w:pPr>
              <w:spacing w:after="0"/>
              <w:rPr>
                <w:sz w:val="24"/>
                <w:szCs w:val="24"/>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4"/>
              </w:rPr>
              <w:t>As of September 30, 2011, the Company and the guarantors had total secured debt of $387.2</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5"/>
              </w:rPr>
              <w:t>million (excluding letters of credit of $30.4 million), and $1,282.4 million of additional secured</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2"/>
              </w:rPr>
              <w:t>debt was available to be borrowed under our credit facility. As of September 30, 2011, the notes</w:t>
            </w:r>
          </w:p>
        </w:tc>
      </w:tr>
      <w:tr>
        <w:trPr>
          <w:trHeight w:val="216"/>
        </w:trPr>
        <w:tc>
          <w:tcPr>
            <w:tcW w:w="2840" w:type="dxa"/>
            <w:vAlign w:val="bottom"/>
          </w:tcPr>
          <w:p>
            <w:pPr>
              <w:spacing w:after="0"/>
              <w:rPr>
                <w:sz w:val="18"/>
                <w:szCs w:val="18"/>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w w:val="92"/>
              </w:rPr>
              <w:t>and the guarantees were structurally subordinated to $130.5 million of indebtedness of the non-</w:t>
            </w:r>
          </w:p>
        </w:tc>
      </w:tr>
      <w:tr>
        <w:trPr>
          <w:trHeight w:val="222"/>
        </w:trPr>
        <w:tc>
          <w:tcPr>
            <w:tcW w:w="2840" w:type="dxa"/>
            <w:vAlign w:val="bottom"/>
          </w:tcPr>
          <w:p>
            <w:pPr>
              <w:spacing w:after="0"/>
              <w:rPr>
                <w:sz w:val="19"/>
                <w:szCs w:val="19"/>
                <w:color w:val="auto"/>
              </w:rPr>
            </w:pPr>
          </w:p>
        </w:tc>
        <w:tc>
          <w:tcPr>
            <w:tcW w:w="8620" w:type="dxa"/>
            <w:vAlign w:val="bottom"/>
          </w:tcPr>
          <w:p>
            <w:pPr>
              <w:ind w:left="1560"/>
              <w:spacing w:after="0"/>
              <w:rPr>
                <w:sz w:val="20"/>
                <w:szCs w:val="20"/>
                <w:color w:val="auto"/>
              </w:rPr>
            </w:pPr>
            <w:r>
              <w:rPr>
                <w:rFonts w:ascii="Arial" w:cs="Arial" w:eastAsia="Arial" w:hAnsi="Arial"/>
                <w:sz w:val="18"/>
                <w:szCs w:val="18"/>
                <w:color w:val="auto"/>
              </w:rPr>
              <w:t>guarantor subsidiaries, all of which was incurred under our credit facility.</w:t>
            </w:r>
          </w:p>
        </w:tc>
      </w:tr>
      <w:tr>
        <w:trPr>
          <w:trHeight w:val="161"/>
        </w:trPr>
        <w:tc>
          <w:tcPr>
            <w:tcW w:w="2840" w:type="dxa"/>
            <w:vAlign w:val="bottom"/>
            <w:tcBorders>
              <w:bottom w:val="single" w:sz="8" w:color="auto"/>
            </w:tcBorders>
          </w:tcPr>
          <w:p>
            <w:pPr>
              <w:spacing w:after="0"/>
              <w:rPr>
                <w:sz w:val="13"/>
                <w:szCs w:val="13"/>
                <w:color w:val="auto"/>
              </w:rPr>
            </w:pPr>
          </w:p>
        </w:tc>
        <w:tc>
          <w:tcPr>
            <w:tcW w:w="8620" w:type="dxa"/>
            <w:vAlign w:val="bottom"/>
            <w:tcBorders>
              <w:bottom w:val="single" w:sz="8" w:color="auto"/>
            </w:tcBorders>
          </w:tcPr>
          <w:p>
            <w:pPr>
              <w:spacing w:after="0"/>
              <w:rPr>
                <w:sz w:val="13"/>
                <w:szCs w:val="13"/>
                <w:color w:val="auto"/>
              </w:rPr>
            </w:pPr>
          </w:p>
        </w:tc>
      </w:tr>
      <w:tr>
        <w:trPr>
          <w:trHeight w:val="359"/>
        </w:trPr>
        <w:tc>
          <w:tcPr>
            <w:tcW w:w="2840" w:type="dxa"/>
            <w:vAlign w:val="bottom"/>
          </w:tcPr>
          <w:p>
            <w:pPr>
              <w:spacing w:after="0"/>
              <w:rPr>
                <w:sz w:val="24"/>
                <w:szCs w:val="24"/>
                <w:color w:val="auto"/>
              </w:rPr>
            </w:pPr>
          </w:p>
        </w:tc>
        <w:tc>
          <w:tcPr>
            <w:tcW w:w="8620" w:type="dxa"/>
            <w:vAlign w:val="bottom"/>
          </w:tcPr>
          <w:p>
            <w:pPr>
              <w:ind w:left="28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Optional Redemption</w:t>
            </w:r>
          </w:p>
        </w:tc>
        <w:tc>
          <w:tcPr>
            <w:tcW w:w="7300" w:type="dxa"/>
            <w:vAlign w:val="bottom"/>
            <w:tcBorders>
              <w:top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At any time prior to December 15, 2013, the Company may redeem up to 35% of the notes with</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the net cash proceeds of certain equity offerings at the redemption price set forth under</w:t>
            </w:r>
          </w:p>
        </w:tc>
      </w:tr>
      <w:tr>
        <w:trPr>
          <w:trHeight w:val="222"/>
        </w:trPr>
        <w:tc>
          <w:tcPr>
            <w:tcW w:w="41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“Description of the Exchange Notes—Optional Redemption.”</w:t>
            </w:r>
          </w:p>
        </w:tc>
      </w:tr>
      <w:tr>
        <w:trPr>
          <w:trHeight w:val="291"/>
        </w:trPr>
        <w:tc>
          <w:tcPr>
            <w:tcW w:w="416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0"/>
              </w:rPr>
              <w:t>At any time prior to December 15, 2015, the Company may redeem the notes, in whole or in part,</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at a “make-whole” redemption price, plus accrued and unpaid interest to the date of redemption</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5"/>
              </w:rPr>
              <w:t>as set forth under “Description of the Exchange Notes—Optional Redemption.” On and after</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December 15, 2015, the Company may redeem the notes, in whole or in part, at the redemption</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prices set forth under “Description of the Exchange Notes—Optional Redemption” plus accrued</w:t>
            </w:r>
          </w:p>
        </w:tc>
      </w:tr>
      <w:tr>
        <w:trPr>
          <w:trHeight w:val="222"/>
        </w:trPr>
        <w:tc>
          <w:tcPr>
            <w:tcW w:w="41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and unpaid interest.</w:t>
            </w:r>
          </w:p>
        </w:tc>
      </w:tr>
      <w:tr>
        <w:trPr>
          <w:trHeight w:val="412"/>
        </w:trPr>
        <w:tc>
          <w:tcPr>
            <w:tcW w:w="41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w w:val="94"/>
              </w:rPr>
              <w:t>Change of Control; Mandatory Offer to Purchase</w:t>
            </w: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4"/>
              </w:rPr>
              <w:t>If specific kinds of changes of control occur and the Company has not previously exercised its</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5"/>
              </w:rPr>
              <w:t>right to redeem all of the outstanding notes as described under “Description of the Exchange</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1"/>
              </w:rPr>
              <w:t>Notes—Optional Redemption,” the Company must offer to purchase the notes at a price equal to</w:t>
            </w:r>
          </w:p>
        </w:tc>
      </w:tr>
      <w:tr>
        <w:trPr>
          <w:trHeight w:val="222"/>
        </w:trPr>
        <w:tc>
          <w:tcPr>
            <w:tcW w:w="41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101% of the principal amount thereof plus any accrued and unpaid interest.</w:t>
            </w:r>
          </w:p>
        </w:tc>
      </w:tr>
      <w:tr>
        <w:trPr>
          <w:trHeight w:val="412"/>
        </w:trPr>
        <w:tc>
          <w:tcPr>
            <w:tcW w:w="41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Certain Covenants</w:t>
            </w: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The indenture governing the notes, among other things, restricts our ability and the ability of our</w:t>
            </w:r>
          </w:p>
        </w:tc>
      </w:tr>
      <w:tr>
        <w:trPr>
          <w:trHeight w:val="222"/>
        </w:trPr>
        <w:tc>
          <w:tcPr>
            <w:tcW w:w="41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restricted subsidiaries to:</w:t>
            </w:r>
          </w:p>
        </w:tc>
      </w:tr>
      <w:tr>
        <w:trPr>
          <w:trHeight w:val="297"/>
        </w:trPr>
        <w:tc>
          <w:tcPr>
            <w:tcW w:w="4160" w:type="dxa"/>
            <w:vAlign w:val="bottom"/>
            <w:tcBorders>
              <w:left w:val="single" w:sz="8" w:color="auto"/>
            </w:tcBorders>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incur additional indebtedness and issue certain preferred shares;</w:t>
            </w:r>
          </w:p>
        </w:tc>
      </w:tr>
      <w:tr>
        <w:trPr>
          <w:trHeight w:val="297"/>
        </w:trPr>
        <w:tc>
          <w:tcPr>
            <w:tcW w:w="4160" w:type="dxa"/>
            <w:vAlign w:val="bottom"/>
            <w:tcBorders>
              <w:left w:val="single" w:sz="8" w:color="auto"/>
            </w:tcBorders>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make certain distributions, investments and other restricted payments;</w:t>
            </w:r>
          </w:p>
        </w:tc>
      </w:tr>
      <w:tr>
        <w:trPr>
          <w:trHeight w:val="297"/>
        </w:trPr>
        <w:tc>
          <w:tcPr>
            <w:tcW w:w="4160" w:type="dxa"/>
            <w:vAlign w:val="bottom"/>
            <w:tcBorders>
              <w:left w:val="single" w:sz="8" w:color="auto"/>
            </w:tcBorders>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sell certain assets;</w:t>
            </w:r>
          </w:p>
        </w:tc>
      </w:tr>
      <w:tr>
        <w:trPr>
          <w:trHeight w:val="297"/>
        </w:trPr>
        <w:tc>
          <w:tcPr>
            <w:tcW w:w="4160" w:type="dxa"/>
            <w:vAlign w:val="bottom"/>
            <w:tcBorders>
              <w:left w:val="single" w:sz="8" w:color="auto"/>
            </w:tcBorders>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agree to restrictions on the ability of restricted subsidiaries to make payments to us;</w:t>
            </w:r>
          </w:p>
        </w:tc>
      </w:tr>
      <w:tr>
        <w:trPr>
          <w:trHeight w:val="297"/>
        </w:trPr>
        <w:tc>
          <w:tcPr>
            <w:tcW w:w="4160" w:type="dxa"/>
            <w:vAlign w:val="bottom"/>
            <w:tcBorders>
              <w:left w:val="single" w:sz="8" w:color="auto"/>
            </w:tcBorders>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create liens and enter into sale-leaseback transactions;</w:t>
            </w:r>
          </w:p>
        </w:tc>
      </w:tr>
      <w:tr>
        <w:trPr>
          <w:trHeight w:val="297"/>
        </w:trPr>
        <w:tc>
          <w:tcPr>
            <w:tcW w:w="4160" w:type="dxa"/>
            <w:vAlign w:val="bottom"/>
            <w:tcBorders>
              <w:left w:val="single" w:sz="8" w:color="auto"/>
            </w:tcBorders>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merge, consolidate or sell substantially all of our assets; and</w:t>
            </w:r>
          </w:p>
        </w:tc>
      </w:tr>
      <w:tr>
        <w:trPr>
          <w:trHeight w:val="297"/>
        </w:trPr>
        <w:tc>
          <w:tcPr>
            <w:tcW w:w="4160" w:type="dxa"/>
            <w:vAlign w:val="bottom"/>
            <w:tcBorders>
              <w:left w:val="single" w:sz="8" w:color="auto"/>
            </w:tcBorders>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 into certain transactions with affiliates.</w:t>
            </w:r>
          </w:p>
        </w:tc>
      </w:tr>
      <w:tr>
        <w:trPr>
          <w:trHeight w:val="291"/>
        </w:trPr>
        <w:tc>
          <w:tcPr>
            <w:tcW w:w="416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6"/>
              </w:rPr>
              <w:t>These covenants are subject to important exceptions and qualifications described under the</w:t>
            </w:r>
          </w:p>
        </w:tc>
      </w:tr>
      <w:tr>
        <w:trPr>
          <w:trHeight w:val="222"/>
        </w:trPr>
        <w:tc>
          <w:tcPr>
            <w:tcW w:w="41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heading “Description of the Exchange Notes.”</w:t>
            </w:r>
          </w:p>
        </w:tc>
      </w:tr>
      <w:tr>
        <w:trPr>
          <w:trHeight w:val="419"/>
        </w:trPr>
        <w:tc>
          <w:tcPr>
            <w:tcW w:w="41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Use of Proceeds</w:t>
            </w: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There will be no cash proceeds to us from the exchange offer.</w:t>
            </w:r>
          </w:p>
        </w:tc>
      </w:tr>
      <w:tr>
        <w:trPr>
          <w:trHeight w:val="426"/>
        </w:trPr>
        <w:tc>
          <w:tcPr>
            <w:tcW w:w="41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Risk Factors</w:t>
            </w: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8"/>
              </w:rPr>
              <w:t>In evaluating an investment in the exchange notes, prospective investors should carefully</w:t>
            </w:r>
          </w:p>
        </w:tc>
      </w:tr>
      <w:tr>
        <w:trPr>
          <w:trHeight w:val="216"/>
        </w:trPr>
        <w:tc>
          <w:tcPr>
            <w:tcW w:w="41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3"/>
              </w:rPr>
              <w:t>consider, along with the other information in this prospectus, the specific factors set forth under</w:t>
            </w:r>
          </w:p>
        </w:tc>
      </w:tr>
      <w:tr>
        <w:trPr>
          <w:trHeight w:val="222"/>
        </w:trPr>
        <w:tc>
          <w:tcPr>
            <w:tcW w:w="41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“Risk Factors” for risks involved with an investment in the exchange notes.</w:t>
            </w:r>
          </w:p>
        </w:tc>
      </w:tr>
      <w:tr>
        <w:trPr>
          <w:trHeight w:val="161"/>
        </w:trPr>
        <w:tc>
          <w:tcPr>
            <w:tcW w:w="416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660" w:type="dxa"/>
            <w:vAlign w:val="bottom"/>
            <w:tcBorders>
              <w:bottom w:val="single" w:sz="8" w:color="auto"/>
              <w:right w:val="single" w:sz="8" w:color="auto"/>
            </w:tcBorders>
          </w:tcPr>
          <w:p>
            <w:pPr>
              <w:spacing w:after="0"/>
              <w:rPr>
                <w:sz w:val="13"/>
                <w:szCs w:val="13"/>
                <w:color w:val="auto"/>
              </w:rPr>
            </w:pPr>
          </w:p>
        </w:tc>
      </w:tr>
      <w:tr>
        <w:trPr>
          <w:trHeight w:val="359"/>
        </w:trPr>
        <w:tc>
          <w:tcPr>
            <w:tcW w:w="4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ind w:left="82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Historical Financial Data</w:t>
      </w:r>
    </w:p>
    <w:p>
      <w:pPr>
        <w:spacing w:after="0" w:line="177"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color w:val="auto"/>
        </w:rPr>
        <w:t>The summary consolidated historical financial data presented below as of and for the fiscal years ended September 30, 2011, 2010 and 2009 is derived from our audited financial statements. You should read this information in conjunction with our consolidated financial statements and related notes thereto and “Management’s Discussion and Analysis of Financial Condition and Results of Operations” contained in our Annual Report on Form 10-K for the fiscal year ended September 30, 2011, which is incorporated by reference herein.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10"/>
          </w:tcPr>
          <w:p>
            <w:pPr>
              <w:jc w:val="center"/>
              <w:ind w:right="440"/>
              <w:spacing w:after="0"/>
              <w:rPr>
                <w:sz w:val="20"/>
                <w:szCs w:val="20"/>
                <w:color w:val="auto"/>
              </w:rPr>
            </w:pPr>
            <w:r>
              <w:rPr>
                <w:rFonts w:ascii="Arial" w:cs="Arial" w:eastAsia="Arial" w:hAnsi="Arial"/>
                <w:sz w:val="14"/>
                <w:szCs w:val="14"/>
                <w:b w:val="1"/>
                <w:bCs w:val="1"/>
                <w:color w:val="auto"/>
                <w:w w:val="86"/>
              </w:rPr>
              <w:t>Fiscal Year Ended September 30(1),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 Consumer</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2,485.3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2,649.7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2,533.2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Scotts LawnService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231.1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Segment total</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2,716.4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2,873.8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2,768.8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Corporate &amp; Other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Roundup amortization(2)</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Product registration and recall matters-returns(3)</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sales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2,746.4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2,898.0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2,835.7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sales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1,757.0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1,819.1</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1,811.2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8"/>
              </w:rPr>
              <w:t>Cost of sales—impairment, restructuring and other charges(4)</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sales—product registration and recall matters(3)</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1,075.9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administrative(5)</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695.3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Impairment, restructuring and other charges(4)</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registration and recall matters(3)</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Costs related to refinancing</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208.1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from continuing operations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132.6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153.3</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204.1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activities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expenditures(6)</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Adjusted EBITDA(7)</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350.5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980" w:type="dxa"/>
            <w:vAlign w:val="bottom"/>
          </w:tcPr>
          <w:p>
            <w:pPr>
              <w:jc w:val="right"/>
              <w:ind w:right="219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4"/>
                <w:szCs w:val="14"/>
                <w:b w:val="1"/>
                <w:bCs w:val="1"/>
                <w:color w:val="auto"/>
                <w:w w:val="87"/>
              </w:rPr>
              <w:t>Fiscal Year Ended September 30(1),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95"/>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(Dollars in millions)</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7"/>
              <w:spacing w:after="0"/>
              <w:rPr>
                <w:sz w:val="20"/>
                <w:szCs w:val="20"/>
                <w:color w:val="auto"/>
              </w:rPr>
            </w:pPr>
            <w:r>
              <w:rPr>
                <w:rFonts w:ascii="Arial" w:cs="Arial" w:eastAsia="Arial" w:hAnsi="Arial"/>
                <w:sz w:val="18"/>
                <w:szCs w:val="18"/>
                <w:color w:val="auto"/>
              </w:rPr>
              <w:t>70.6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5"/>
              <w:spacing w:after="0"/>
              <w:rPr>
                <w:sz w:val="20"/>
                <w:szCs w:val="20"/>
                <w:color w:val="auto"/>
              </w:rPr>
            </w:pPr>
            <w:r>
              <w:rPr>
                <w:rFonts w:ascii="Arial" w:cs="Arial" w:eastAsia="Arial" w:hAnsi="Arial"/>
                <w:sz w:val="18"/>
                <w:szCs w:val="18"/>
                <w:color w:val="auto"/>
              </w:rPr>
              <w:t>88.1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Working capital(8)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382.7</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381.3</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523.9</w:t>
            </w: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780" w:type="dxa"/>
            <w:vAlign w:val="bottom"/>
          </w:tcPr>
          <w:p>
            <w:pPr>
              <w:jc w:val="right"/>
              <w:ind w:right="137"/>
              <w:spacing w:after="0"/>
              <w:rPr>
                <w:sz w:val="20"/>
                <w:szCs w:val="20"/>
                <w:color w:val="auto"/>
              </w:rPr>
            </w:pPr>
            <w:r>
              <w:rPr>
                <w:rFonts w:ascii="Arial" w:cs="Arial" w:eastAsia="Arial" w:hAnsi="Arial"/>
                <w:sz w:val="18"/>
                <w:szCs w:val="18"/>
                <w:color w:val="auto"/>
                <w:w w:val="89"/>
              </w:rPr>
              <w:t>2,220.1</w:t>
            </w:r>
          </w:p>
        </w:tc>
        <w:tc>
          <w:tcPr>
            <w:tcW w:w="580" w:type="dxa"/>
            <w:vAlign w:val="bottom"/>
          </w:tcPr>
          <w:p>
            <w:pPr>
              <w:spacing w:after="0"/>
              <w:rPr>
                <w:sz w:val="18"/>
                <w:szCs w:val="18"/>
                <w:color w:val="auto"/>
              </w:rPr>
            </w:pPr>
          </w:p>
        </w:tc>
        <w:tc>
          <w:tcPr>
            <w:tcW w:w="1020" w:type="dxa"/>
            <w:vAlign w:val="bottom"/>
          </w:tcPr>
          <w:p>
            <w:pPr>
              <w:jc w:val="right"/>
              <w:ind w:right="375"/>
              <w:spacing w:after="0"/>
              <w:rPr>
                <w:sz w:val="20"/>
                <w:szCs w:val="20"/>
                <w:color w:val="auto"/>
              </w:rPr>
            </w:pPr>
            <w:r>
              <w:rPr>
                <w:rFonts w:ascii="Arial" w:cs="Arial" w:eastAsia="Arial" w:hAnsi="Arial"/>
                <w:sz w:val="18"/>
                <w:szCs w:val="18"/>
                <w:color w:val="auto"/>
                <w:w w:val="89"/>
              </w:rPr>
              <w:t>2,164.0</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2,052.2</w:t>
            </w: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810.1</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631.7</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Net debt(9)</w:t>
            </w:r>
          </w:p>
        </w:tc>
        <w:tc>
          <w:tcPr>
            <w:tcW w:w="120" w:type="dxa"/>
            <w:vAlign w:val="bottom"/>
          </w:tcPr>
          <w:p>
            <w:pPr>
              <w:spacing w:after="0"/>
              <w:rPr>
                <w:sz w:val="18"/>
                <w:szCs w:val="18"/>
                <w:color w:val="auto"/>
              </w:rPr>
            </w:pPr>
          </w:p>
        </w:tc>
        <w:tc>
          <w:tcPr>
            <w:tcW w:w="780" w:type="dxa"/>
            <w:vAlign w:val="bottom"/>
          </w:tcPr>
          <w:p>
            <w:pPr>
              <w:jc w:val="right"/>
              <w:ind w:right="137"/>
              <w:spacing w:after="0"/>
              <w:rPr>
                <w:sz w:val="20"/>
                <w:szCs w:val="20"/>
                <w:color w:val="auto"/>
              </w:rPr>
            </w:pPr>
            <w:r>
              <w:rPr>
                <w:rFonts w:ascii="Arial" w:cs="Arial" w:eastAsia="Arial" w:hAnsi="Arial"/>
                <w:sz w:val="18"/>
                <w:szCs w:val="18"/>
                <w:color w:val="auto"/>
              </w:rPr>
              <w:t>739.5</w:t>
            </w:r>
          </w:p>
        </w:tc>
        <w:tc>
          <w:tcPr>
            <w:tcW w:w="580" w:type="dxa"/>
            <w:vAlign w:val="bottom"/>
          </w:tcPr>
          <w:p>
            <w:pPr>
              <w:spacing w:after="0"/>
              <w:rPr>
                <w:sz w:val="18"/>
                <w:szCs w:val="18"/>
                <w:color w:val="auto"/>
              </w:rPr>
            </w:pPr>
          </w:p>
        </w:tc>
        <w:tc>
          <w:tcPr>
            <w:tcW w:w="1020" w:type="dxa"/>
            <w:vAlign w:val="bottom"/>
          </w:tcPr>
          <w:p>
            <w:pPr>
              <w:jc w:val="right"/>
              <w:ind w:right="375"/>
              <w:spacing w:after="0"/>
              <w:rPr>
                <w:sz w:val="20"/>
                <w:szCs w:val="20"/>
                <w:color w:val="auto"/>
              </w:rPr>
            </w:pPr>
            <w:r>
              <w:rPr>
                <w:rFonts w:ascii="Arial" w:cs="Arial" w:eastAsia="Arial" w:hAnsi="Arial"/>
                <w:sz w:val="18"/>
                <w:szCs w:val="18"/>
                <w:color w:val="auto"/>
              </w:rPr>
              <w:t>543.6</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664.1</w:t>
            </w: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584.5</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764.5</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559.8</w:t>
            </w:r>
          </w:p>
        </w:tc>
      </w:tr>
    </w:tbl>
    <w:p>
      <w:pPr>
        <w:spacing w:after="0" w:line="140" w:lineRule="exact"/>
        <w:rPr>
          <w:sz w:val="20"/>
          <w:szCs w:val="20"/>
          <w:color w:val="auto"/>
        </w:rPr>
      </w:pPr>
    </w:p>
    <w:p>
      <w:pPr>
        <w:ind w:left="620" w:hanging="423"/>
        <w:spacing w:after="0" w:line="298"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July 8, 2009, Scotts Miracle-Gro announced that its wholly-owned subsidiary, Smith &amp; Hawken, Ltd., had adopted a plan to close the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 in accordance with accounting principles generally accepted in the United States of America (“GAAP”).</w:t>
      </w:r>
    </w:p>
    <w:p>
      <w:pPr>
        <w:spacing w:after="0" w:line="31" w:lineRule="exact"/>
        <w:rPr>
          <w:rFonts w:ascii="Arial" w:cs="Arial" w:eastAsia="Arial" w:hAnsi="Arial"/>
          <w:sz w:val="16"/>
          <w:szCs w:val="16"/>
          <w:color w:val="auto"/>
        </w:rPr>
      </w:pPr>
    </w:p>
    <w:p>
      <w:pPr>
        <w:ind w:left="640" w:right="160"/>
        <w:spacing w:after="0" w:line="291" w:lineRule="auto"/>
        <w:rPr>
          <w:rFonts w:ascii="Arial" w:cs="Arial" w:eastAsia="Arial" w:hAnsi="Arial"/>
          <w:sz w:val="16"/>
          <w:szCs w:val="16"/>
          <w:color w:val="auto"/>
        </w:rPr>
      </w:pPr>
      <w:r>
        <w:rPr>
          <w:rFonts w:ascii="Arial" w:cs="Arial" w:eastAsia="Arial" w:hAnsi="Arial"/>
          <w:sz w:val="16"/>
          <w:szCs w:val="16"/>
          <w:color w:val="auto"/>
        </w:rPr>
        <w:t>On February 28, 2011, we completed the sale of Global Pro to ICL. In conjunction with the transaction, Scotts LLC and ICL entered into several product supply agreements which are generally up to five years in duration, as well as various trademark and technology licensing agreements with varying durations. Our continuing cash inflows and outflows related to these agreements are not considered to be significant in relation to the overall cash flows of Global Pro. Furthermore, none of these agreements permit us to influence the operating or financial policies of Global Pro under the ownership of ICL. Therefore, Global Pro met the criteria for presentation as discontinued operations. As such, effective in the first quarter of fiscal 2011, we classified Global Pro as discontinued operations in accordance with GAAP.</w:t>
      </w:r>
    </w:p>
    <w:p>
      <w:pPr>
        <w:spacing w:after="0" w:line="39" w:lineRule="exact"/>
        <w:rPr>
          <w:rFonts w:ascii="Arial" w:cs="Arial" w:eastAsia="Arial" w:hAnsi="Arial"/>
          <w:sz w:val="16"/>
          <w:szCs w:val="16"/>
          <w:color w:val="auto"/>
        </w:rPr>
      </w:pPr>
    </w:p>
    <w:p>
      <w:pPr>
        <w:ind w:left="640" w:right="540"/>
        <w:spacing w:after="0" w:line="268" w:lineRule="auto"/>
        <w:rPr>
          <w:rFonts w:ascii="Arial" w:cs="Arial" w:eastAsia="Arial" w:hAnsi="Arial"/>
          <w:sz w:val="16"/>
          <w:szCs w:val="16"/>
          <w:color w:val="auto"/>
        </w:rPr>
      </w:pPr>
      <w:r>
        <w:rPr>
          <w:rFonts w:ascii="Arial" w:cs="Arial" w:eastAsia="Arial" w:hAnsi="Arial"/>
          <w:sz w:val="18"/>
          <w:szCs w:val="18"/>
          <w:color w:val="auto"/>
        </w:rPr>
        <w:t>The summary consolidated historical financial data has been retrospectively updated to recast Smith &amp; Hawken and Global Pro as discontinued operations for each period presented.</w:t>
      </w:r>
    </w:p>
    <w:p>
      <w:pPr>
        <w:spacing w:after="0" w:line="50" w:lineRule="exact"/>
        <w:rPr>
          <w:rFonts w:ascii="Arial" w:cs="Arial" w:eastAsia="Arial" w:hAnsi="Arial"/>
          <w:sz w:val="16"/>
          <w:szCs w:val="16"/>
          <w:color w:val="auto"/>
        </w:rPr>
      </w:pPr>
    </w:p>
    <w:p>
      <w:pPr>
        <w:ind w:left="620" w:right="160" w:hanging="423"/>
        <w:spacing w:after="0" w:line="252"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1999, we obtained exclusive rights to market the consumer Roundup brand in the United States and other specified countries. Pursuant to the Marketing Agreement between us and Monsanto Company, we were required to pay a marketing fee of $32 million to Monsanto. We have deferred this amount on the basis that the payment will provide a future benefit through commissions that will be earned under the Marketing Agreement. Based on our current assessment of the likely term of the Marketing Agreement, the useful life over which the marketing fee is being amortized is 20 years.</w:t>
      </w:r>
    </w:p>
    <w:p>
      <w:pPr>
        <w:ind w:left="620" w:right="180" w:hanging="423"/>
        <w:spacing w:after="0" w:line="28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result of product registration and recall matters, we have reversed sales associated with estimated returns of affected products, recorded charges for affected inventory and recorded other registration and recall-related costs. The effects of these adjustments were charges of $28.6 million, $8.7 million and $14.6 million for fiscal 2009, fiscal 2010 and fiscal 2011, respectively. Included within these pre-tax charges are non-cash charges pertaining to the write-down of inventory related to the destruction of goods associated with regulatory and registration matters, which were $2.9 million, $1.0 million and $1.2 million for fiscal 2009, fiscal 2010 and fiscal 2011, respectively.</w:t>
      </w:r>
    </w:p>
    <w:p>
      <w:pPr>
        <w:spacing w:after="0" w:line="3" w:lineRule="exact"/>
        <w:rPr>
          <w:rFonts w:ascii="Arial" w:cs="Arial" w:eastAsia="Arial" w:hAnsi="Arial"/>
          <w:sz w:val="16"/>
          <w:szCs w:val="16"/>
          <w:color w:val="auto"/>
        </w:rPr>
      </w:pPr>
    </w:p>
    <w:p>
      <w:pPr>
        <w:ind w:left="620" w:right="80" w:hanging="423"/>
        <w:spacing w:after="0" w:line="261"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restructuring and other charges in fiscal 2011 were $76.1 million, as further detailed in the Notes to Consolidated Financial Statements in our 2011 10-K incorporated by reference in this prospectus.</w:t>
      </w:r>
    </w:p>
    <w:p>
      <w:pPr>
        <w:spacing w:after="0" w:line="56" w:lineRule="exact"/>
        <w:rPr>
          <w:rFonts w:ascii="Arial" w:cs="Arial" w:eastAsia="Arial" w:hAnsi="Arial"/>
          <w:sz w:val="18"/>
          <w:szCs w:val="18"/>
          <w:color w:val="auto"/>
        </w:rPr>
      </w:pPr>
    </w:p>
    <w:p>
      <w:pPr>
        <w:jc w:val="both"/>
        <w:ind w:left="640" w:right="40"/>
        <w:spacing w:after="0" w:line="259" w:lineRule="auto"/>
        <w:rPr>
          <w:rFonts w:ascii="Arial" w:cs="Arial" w:eastAsia="Arial" w:hAnsi="Arial"/>
          <w:sz w:val="18"/>
          <w:szCs w:val="18"/>
          <w:color w:val="auto"/>
        </w:rPr>
      </w:pPr>
      <w:r>
        <w:rPr>
          <w:rFonts w:ascii="Arial" w:cs="Arial" w:eastAsia="Arial" w:hAnsi="Arial"/>
          <w:sz w:val="18"/>
          <w:szCs w:val="18"/>
          <w:color w:val="auto"/>
        </w:rPr>
        <w:t>Impairment, restructuring and other charges in fiscal 2010 were $18.5 million, reflecting a non-cash charge related to discontinuing or de-emphasizing certain brands and sub-brands, which is consistent with our business strategy to increasingly concentrate our advertising and promotional spending on fewer, more significant brands to more efficiently drive growth.</w:t>
      </w:r>
    </w:p>
    <w:p>
      <w:pPr>
        <w:spacing w:after="0" w:line="59" w:lineRule="exact"/>
        <w:rPr>
          <w:rFonts w:ascii="Arial" w:cs="Arial" w:eastAsia="Arial" w:hAnsi="Arial"/>
          <w:sz w:val="18"/>
          <w:szCs w:val="18"/>
          <w:color w:val="auto"/>
        </w:rPr>
      </w:pPr>
    </w:p>
    <w:p>
      <w:pPr>
        <w:ind w:left="620" w:right="280" w:hanging="423"/>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non-cash share-based compensation expense of $14.1 million, $16.1 million and $15.9 million for fiscal 2009, fiscal 2010 and fiscal 2011, respectively.</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hanging="42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include investments in property, plant and equipment and investments in intellectual property.</w:t>
      </w:r>
    </w:p>
    <w:p>
      <w:pPr>
        <w:spacing w:after="0" w:line="15" w:lineRule="exact"/>
        <w:rPr>
          <w:rFonts w:ascii="Arial" w:cs="Arial" w:eastAsia="Arial" w:hAnsi="Arial"/>
          <w:sz w:val="18"/>
          <w:szCs w:val="18"/>
          <w:color w:val="auto"/>
        </w:rPr>
      </w:pPr>
    </w:p>
    <w:p>
      <w:pPr>
        <w:ind w:left="620" w:hanging="423"/>
        <w:spacing w:after="0" w:line="286"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is defined as net income before interest, taxes, depreciation and amortization as well as certain other items such as the cumulative effect of changes in accounting, costs associated with debt refinancing and other non-recurring, non-cash items affecting net income. In addition, non-recurring cash items affecting net income that are incurred between April 3, 2011 and June 30, 2012 in an aggregate amount not to exceed $40 million are also excluded from the determination of Adjusted EBITDA. Our ability to generate cash flows sufficient to cover our debt service costs is essential to our ability to maintain our borrowing capacity under our credit facility. We believe Adjusted EBITDA provides additional information for determining our ability to meet debt service requirements. The presentation of Adjusted EBITDA herein is intended to be consistent with the calculation of that measure as required by our credit facility and used to calculate the Leverage Ratio (as defined in our credit facility) (maximum of 3.50 at September 30, 2011) and the Interest Coverage Ratio (as defined in our credit facility) (minimum of 3.50 for the year ended September 30, 2011 pursuant to the credit facility). Adjusted EBITDA is not necessarily the same as the definition of “Consolidated Cash Flow” in the indenture governing the notes. Adjusted EBITDA is not intended to represent cash flow from operations as defined by GAAP and should not be used as an alternative to income from operations as an indicator of operating performance or to cash flow as a measure of liquidity.</w:t>
      </w:r>
    </w:p>
    <w:p>
      <w:pPr>
        <w:spacing w:after="0" w:line="12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following table represents a reconciliation of net income to Adjusted EBITDA:</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6"/>
              </w:rPr>
              <w:t>Fiscal Year Ended September 30(1),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center"/>
              <w:ind w:left="415"/>
              <w:spacing w:after="0" w:line="142"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(Dollars in millions)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$ 132.6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$ 200.5</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Income tax expense from continuing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discontinued operations, net of tax (excluding</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 Pro Sale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Income tax expense (benefits) from discontinued operations</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related to refinancings</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from discontinued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Loss on impairment and other charges(a)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registration and recall matters, non-cash portion(b)</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Mark-to-market adjustment on derivatives</w:t>
            </w:r>
          </w:p>
        </w:tc>
        <w:tc>
          <w:tcPr>
            <w:tcW w:w="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 xml:space="preserve">Smith &amp; Hawken </w:t>
            </w:r>
            <w:r>
              <w:rPr>
                <w:rFonts w:ascii="Arial" w:cs="Arial" w:eastAsia="Arial" w:hAnsi="Arial"/>
                <w:sz w:val="18"/>
                <w:szCs w:val="18"/>
                <w:color w:val="auto"/>
              </w:rPr>
              <w:t>closure process(c)</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ind w:left="88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3"/>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$ 350.5</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$ 440.1</w:t>
            </w:r>
          </w:p>
        </w:tc>
        <w:tc>
          <w:tcPr>
            <w:tcW w:w="5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$ 393.0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060" w:right="220" w:hanging="431"/>
        <w:spacing w:after="0" w:line="259"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on impairment and other charges in fiscal 2009 were $7.4 million, which represents non-cash charges recorded in cost of sales related to the write-down of inventory necessitated by the significant decline in the market pricing and demand for professional grass seed in North America.</w:t>
      </w:r>
    </w:p>
    <w:p>
      <w:pPr>
        <w:spacing w:after="0" w:line="59"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Fiscal 2010 charges of $18.5 million represent impairment charges related to certain brands and sub-brands in the Global Consumer segment that have been discontinued or de-emphasized, consistent with our business strategy to increasingly concentrate our advertising and promotional spending on fewer, more significant brands to more efficiently drive growth.</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73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21736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900"/>
        <w:spacing w:after="0" w:line="332" w:lineRule="auto"/>
        <w:rPr>
          <w:sz w:val="20"/>
          <w:szCs w:val="20"/>
          <w:color w:val="auto"/>
        </w:rPr>
      </w:pPr>
      <w:r>
        <w:rPr>
          <w:rFonts w:ascii="Arial" w:cs="Arial" w:eastAsia="Arial" w:hAnsi="Arial"/>
          <w:sz w:val="16"/>
          <w:szCs w:val="16"/>
          <w:color w:val="auto"/>
        </w:rPr>
        <w:t>Fiscal 2011 charges of $64.3 million represent certain impairment, restructuring and other charges as further detailed in the Notes to Consolidated Financial Statements in our 2011 Annual Report on Form 10-K incorporated by reference in this prospectus.</w:t>
      </w:r>
    </w:p>
    <w:p>
      <w:pPr>
        <w:spacing w:after="0" w:line="4" w:lineRule="exact"/>
        <w:rPr>
          <w:sz w:val="20"/>
          <w:szCs w:val="20"/>
          <w:color w:val="auto"/>
        </w:rPr>
      </w:pPr>
    </w:p>
    <w:p>
      <w:pPr>
        <w:ind w:left="1060" w:right="360" w:hanging="431"/>
        <w:spacing w:after="0" w:line="286"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non-cash portion of charges related to product registration and recall matters. Total charges incurred in fiscal 2009, 2010 and 2011 related to product registration and recall matters were $28.6 million, $8.7 million and $14.6 million, respectively.</w:t>
      </w:r>
    </w:p>
    <w:p>
      <w:pPr>
        <w:ind w:left="1060" w:hanging="431"/>
        <w:spacing w:after="0" w:line="253"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adjustment in 2009 represents the non-cash charges incurred in fiscal 2009 related to the closure process of Smith &amp; Hawken. Total charges incurred in fiscal 2009 related to the closure process of Smith &amp; Hawken were $14.7 million, comprised of the termination of retail site lease obligations, agency fees, severance and benefit commitments, charges related to inventories, and impairment of retail site improvements and fixtures. $2.0 million of non-recurring cash charges related to the closure process of Smith &amp; Hawken have not been added back to net income to calculate Adjusted EBITDA.</w:t>
      </w:r>
    </w:p>
    <w:p>
      <w:pPr>
        <w:spacing w:after="0" w:line="64" w:lineRule="exact"/>
        <w:rPr>
          <w:sz w:val="20"/>
          <w:szCs w:val="20"/>
          <w:color w:val="auto"/>
        </w:rPr>
      </w:pPr>
    </w:p>
    <w:p>
      <w:pPr>
        <w:ind w:left="1080" w:right="380"/>
        <w:spacing w:after="0" w:line="332" w:lineRule="auto"/>
        <w:rPr>
          <w:sz w:val="20"/>
          <w:szCs w:val="20"/>
          <w:color w:val="auto"/>
        </w:rPr>
      </w:pPr>
      <w:r>
        <w:rPr>
          <w:rFonts w:ascii="Arial" w:cs="Arial" w:eastAsia="Arial" w:hAnsi="Arial"/>
          <w:sz w:val="16"/>
          <w:szCs w:val="16"/>
          <w:color w:val="auto"/>
        </w:rPr>
        <w:t>Certain non-cash charges taken in fiscal 2009 resulted in eventual cash payments in fiscal 2010. Adjustments shown as a reduction of fiscal 2010 Adjusted EBITDA represent the cash impact of the then non-cash charges added back in fiscal 2009.</w:t>
      </w:r>
    </w:p>
    <w:p>
      <w:pPr>
        <w:spacing w:after="0" w:line="4" w:lineRule="exact"/>
        <w:rPr>
          <w:sz w:val="20"/>
          <w:szCs w:val="20"/>
          <w:color w:val="auto"/>
        </w:rPr>
      </w:pPr>
    </w:p>
    <w:p>
      <w:pPr>
        <w:ind w:left="620" w:hanging="42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w:t>
      </w:r>
    </w:p>
    <w:p>
      <w:pPr>
        <w:spacing w:after="0" w:line="15" w:lineRule="exact"/>
        <w:rPr>
          <w:rFonts w:ascii="Arial" w:cs="Arial" w:eastAsia="Arial" w:hAnsi="Arial"/>
          <w:sz w:val="18"/>
          <w:szCs w:val="18"/>
          <w:color w:val="auto"/>
        </w:rPr>
      </w:pPr>
    </w:p>
    <w:p>
      <w:pPr>
        <w:ind w:left="620" w:hanging="42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debt is defined as total debt less cash and cash equivalents.</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An investment in the notes involves substantial risks. You should carefully consider the following factors in addition to the other information set forth in this prospectus before you decide to tender outstanding notes in the exchange offer. The risks and uncertainties described below are not the only ones facing us. Additional risks and uncertainties that we do not presently know about or that we currently believe are immaterial may also adversely impact our business operations. If any of the following risks actually occur, our business, results of operations, cash flows and financial condition and our ability to make payments on the notes would likely suffer.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You should read “Risk Factors” in our Annual Report on Form 10-K for the fiscal year ended September 30, 2011, which is incorporated by reference in this prospectus, or similar sections in subsequent filings incorporated by reference in this prospectus, for information on risks relating to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you choose not to exchange your outstanding notes, the present transfer restrictions will remain in force and the market price of your outstanding notes could decline.</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you do not exchange your outstanding notes for exchange notes in the exchange offer, then you will continue to be subject to the transfer restrictions on the outstanding notes as set forth in the offering memorandum distributed in connection with the private offering of the outstanding notes. In general, the outstanding notes may not be offered or sold unless they are registered or exempt from registration under the Securities Act and applicable state securities laws. Except as required by the registration rights agreement, we do not intend to register resales of the outstanding notes under the Securities Act. You should refer to “Summary—The Exchange Offer” and “The Exchange Offer” for information about how to tender your outstanding notes.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tender of outstanding notes under the exchange offer will reduce the principal amount of the outstanding notes outstanding, which may have an adverse effect upon, and increase the volatility of, the market price of the outstanding notes due to a reduction in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follow the exchange offer procedures carefully in order to receive the exchange notes.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you do not follow the procedures described in this prospectus for tendering your original notes, you will not receive the exchange notes. Further, if you want to tender your original notes in exchange for exchange notes, you should allow sufficient time to ensure timely delivery. No one is under any duty to give you notification of any defects or irregularities with respect to tenders of original notes for exchange notes. For additional information, please refer to the section of this prospectus entitled “The Exchange Offer—Procedures for Tendering.”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persons who participate in the exchange offer must deliver a prospectus in connection with resales of the exchange notes.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Based on interpretations of the staff of the SEC contained in </w:t>
      </w:r>
      <w:r>
        <w:rPr>
          <w:rFonts w:ascii="Arial" w:cs="Arial" w:eastAsia="Arial" w:hAnsi="Arial"/>
          <w:sz w:val="16"/>
          <w:szCs w:val="16"/>
          <w:i w:val="1"/>
          <w:iCs w:val="1"/>
          <w:color w:val="auto"/>
        </w:rPr>
        <w:t>Exxon Capital Holdings Corp.</w:t>
      </w:r>
      <w:r>
        <w:rPr>
          <w:rFonts w:ascii="Arial" w:cs="Arial" w:eastAsia="Arial" w:hAnsi="Arial"/>
          <w:sz w:val="16"/>
          <w:szCs w:val="16"/>
          <w:color w:val="auto"/>
        </w:rPr>
        <w:t xml:space="preserve">, SEC no-action letter (April 13, 1988), </w:t>
      </w:r>
      <w:r>
        <w:rPr>
          <w:rFonts w:ascii="Arial" w:cs="Arial" w:eastAsia="Arial" w:hAnsi="Arial"/>
          <w:sz w:val="16"/>
          <w:szCs w:val="16"/>
          <w:i w:val="1"/>
          <w:iCs w:val="1"/>
          <w:color w:val="auto"/>
        </w:rPr>
        <w:t>Morgan Stanley &amp; Co.</w:t>
      </w:r>
      <w:r>
        <w:rPr>
          <w:rFonts w:ascii="Arial" w:cs="Arial" w:eastAsia="Arial" w:hAnsi="Arial"/>
          <w:sz w:val="16"/>
          <w:szCs w:val="16"/>
          <w:color w:val="auto"/>
        </w:rPr>
        <w:t xml:space="preserve"> </w:t>
      </w:r>
      <w:r>
        <w:rPr>
          <w:rFonts w:ascii="Arial" w:cs="Arial" w:eastAsia="Arial" w:hAnsi="Arial"/>
          <w:sz w:val="16"/>
          <w:szCs w:val="16"/>
          <w:i w:val="1"/>
          <w:iCs w:val="1"/>
          <w:color w:val="auto"/>
        </w:rPr>
        <w:t>Inc.</w:t>
      </w:r>
      <w:r>
        <w:rPr>
          <w:rFonts w:ascii="Arial" w:cs="Arial" w:eastAsia="Arial" w:hAnsi="Arial"/>
          <w:sz w:val="16"/>
          <w:szCs w:val="16"/>
          <w:color w:val="auto"/>
        </w:rPr>
        <w:t>, SEC no-action letter (June 5, 1991) and</w:t>
      </w:r>
      <w:r>
        <w:rPr>
          <w:rFonts w:ascii="Arial" w:cs="Arial" w:eastAsia="Arial" w:hAnsi="Arial"/>
          <w:sz w:val="16"/>
          <w:szCs w:val="16"/>
          <w:i w:val="1"/>
          <w:iCs w:val="1"/>
          <w:color w:val="auto"/>
        </w:rPr>
        <w:t xml:space="preserve"> Shearman &amp; Sterling</w:t>
      </w:r>
      <w:r>
        <w:rPr>
          <w:rFonts w:ascii="Arial" w:cs="Arial" w:eastAsia="Arial" w:hAnsi="Arial"/>
          <w:sz w:val="16"/>
          <w:szCs w:val="16"/>
          <w:color w:val="auto"/>
        </w:rPr>
        <w:t>, SEC no-action letter (July 2, 1983), we believe that you may offer for resale, resell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transfer the exchange notes without compliance with the registration and prospectus delivery requirements of the Securities Act. However, in some instances described in this prospectus under “Plan of Distribution,” certain holders of exchange notes will remain obligated to comply with the registration and prospectus delivery requirements of the Securities Act to transfer the exchange notes. If such a holder transfers any exchange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this liability.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Notes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indebtedness could limit our flexibility, adversely affect our financial condition and prevent us from making payments on the exchange notes. The terms of our credit facility and the indentures governing the exchange notes and the 2018 notes impose certain operating and financial restrictions on us and our subsidiaries, which could also adversely affect our operating flexibility and put us at a competitive disadvantage by preventing us from capitalizing on business opportunities.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2011, we had $387.2 million of debt outstanding (excluding $30.4 million of letters of credit outstanding) and $1,282.4 million of debt was available to be borrowed under our credit facility.</w:t>
      </w:r>
    </w:p>
    <w:p>
      <w:pPr>
        <w:spacing w:after="0" w:line="132"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Our inability to meet restrictive financial and non-financial covenants associated with our credit facility and the indentures governing the exchange notes and the 2018 notes, or to generate sufficient cash flow to repay maturing debt, could adversely affect our financial condition. For example, our debt level could:</w:t>
      </w:r>
    </w:p>
    <w:p>
      <w:pPr>
        <w:spacing w:after="0" w:line="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exchange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0" w:lineRule="exact"/>
        <w:rPr>
          <w:rFonts w:ascii="Arial" w:cs="Arial" w:eastAsia="Arial" w:hAnsi="Arial"/>
          <w:sz w:val="18"/>
          <w:szCs w:val="18"/>
          <w:color w:val="auto"/>
        </w:rPr>
      </w:pPr>
    </w:p>
    <w:p>
      <w:pPr>
        <w:ind w:left="900" w:hanging="325"/>
        <w:spacing w:after="0" w:line="357"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ability to make payments, fund planned capital expenditures and acquisitions, pay dividends and make share repurchases will depend on our ability to generate cash in the future. This, to some extent, is subject to general economic, financial, competitive, legislative, regulatory and other factors that are beyond our control. We cannot assure you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credit facility and the indentures governing the exchange notes and the 2018 notes contain restrictive covenants and cross-default provisions and our credit facility requires us to maintain specified financial ratios. Our ability to comply with those covenants and satisfy those financial ratios can be affected by events beyond our control. A breach of any of those financial ratio covenants or other covenants could result in a default. Upon the occurrence of such an event of default, the outstanding indebtedness due under each debt instrument could immediately become due and payable and the lenders under the credit facility could terminate all commitments to extend further credit. We cannot assure you that such defaults would be waived or that we could pay the indebtedness in full if any of our indebtedness were accelerated. See “Description of Certain Other Indebtedness” and “Description of the Exchange Notes.”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the exchange notes and the 2018 notes, we may incur additional debt in the future. If we incur additional debt, the risks described above could intensify.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credit facility and the indentures governing the exchange notes and the 2018 notes impose significant operating and financial restrictions on us and our subsidiaries, which may prevent us from capitalizing on business opportunities.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credit facility and the indentures governing the exchange notes and the 2018 notes impose significant operating and financial restrictions on us. These restrictions will limit our ability, among other things, to:</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debt or issue our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make distributions to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repurchase or redeem our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the indentures governing the exchange notes and the 2018 notes, incur liens without granting equal and ratable liens to the holders of the exchange notes or the 2018 notes, as applicable;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our stockholders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the assets of, or merge or consolidate with, other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make distributions or transfer assets to us.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result of these covenants and restrictions, we will be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exchange notes and the guarantees will be unsecured.</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exchange notes and the guarantees will not be secured by any of our or our subsidiaries’ assets. The indenture governing the exchange notes permits us and our subsidiaries to incur secured debt, including pursuant to our credit facility and other forms of secured debt. As a result, the exchange notes and the guarantees will be effectively subordinated to all of our and the guarantors’ secured obligations to the extent of the value of the assets securing such obligations. As of September 30, 2011, we had total secured debt of $387.2 million (excluding $30.4 million of letters of credit outstanding), and $1,282.4 million of additional secured debt was available to be borrowed under our credit facility.</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we or the guarantors were to become insolvent or otherwise fail to make payment on the exchange notes or the guarantees, holders of any of our or the guarantors’ secured obligations would be paid first out of the proceeds of the assets securing such obligations before the holders of the exchange notes would receive any payments from the remaining proceeds, if any. You may therefore not be fully repaid if we or the guarantors become insolvent or otherwise fail to make payment on the exchange notes.</w:t>
      </w:r>
    </w:p>
    <w:p>
      <w:pPr>
        <w:spacing w:after="0" w:line="2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Not all of our subsidiaries guarantee our obligations under the exchange notes, and the assets of the non-guarantor subsidiaries may not be available to make payments on the exchange notes.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present and future foreign subsidiaries and certain of our domestic subsidiaries will not be guarantors of the exchange notes. Payments on the exchange notes are only required to be made by the guarantors and us. As a result, no payments are required to be made from the assets of subsidiaries that do not guarantee the exchange notes, unless those assets are transferred by dividend or otherwise to us or a guarantor. Our non-guarantor subsidiaries generated 18.4% of our total net sales and 4.3% of our consolidated operating income for fiscal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and held 21.6% of our consolidated assets as of September 30, 2011. As of September 30, 2011, the exchange notes and the guarantees were structurally subordinated to $130.5 million of indebtedness of the non-guarantor subsidiaries, all of which was incurred under our credit facility.</w:t>
      </w:r>
    </w:p>
    <w:p>
      <w:pPr>
        <w:spacing w:after="0" w:line="8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the event of a bankruptcy, liquidation or reorganization of any of the non-guarantor subsidiaries, holders of their indebtedness, including their trade creditors and other obligations, will be entitled to payment of their claims from the assets of those subsidiaries before any assets are made available for distribution to us. As a result, the exchange notes are effectively subordinated to all the liabilities of the non-guarantor subsidiaries.</w:t>
      </w:r>
    </w:p>
    <w:p>
      <w:pPr>
        <w:spacing w:after="0" w:line="18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the exchange notes are rated investment grade at any time by both Moody’s and Standard &amp; Poors, most of the restrictive covenants and corresponding events of default contained in the indenture governing the exchange notes will be suspended.</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at any time, the credit rating on the exchange notes, as determined by both Moody’s Investors Service and Standard &amp; Poors Ratings Services, equals or exceeds Baa3 and BBB-, respectively, or any equivalent replacement ratings, we will no longer be subject to most of the restrictive covenants and corresponding events of default contained in the indenture. Any restrictive covenants or corresponding events of default that cease to apply to us as a result of achieving these ratings will be restored if one or both of the credit ratings on the exchange notes later fall below these thresholds or in certain other circumstances. However, during any period in which these restrictive covenants are suspended, we may incur other indebtedness, make restricted payments and take other actions that would have been prohibited if these covenants had been in effect. If the restrictive covenants are later restored, the actions taken while the covenants were suspended will not result in an event of default under the indenture even if they would constitute an event of default at the time the covenants are restored. Accordingly, if these covenants and corresponding events of default are suspended, holders of the exchange notes will have less credit protection than at the time the exchange notes are issued.</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Federal and state statutes may allow courts, under specific circumstances, to void the guarantees and require noteholders to return payments received from guarantors.</w:t>
      </w:r>
    </w:p>
    <w:p>
      <w:pPr>
        <w:spacing w:after="0" w:line="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Under federal bankruptcy law and comparable provisions of state fraudulent transfer laws, a guarantee could be deemed a fraudulent transfer if the guarantor received less than a reasonably equivalent value in exchange for giving the guarantee and:</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was insolvent on the date that it gave the guarantee or became insolvent as a result of giving the guarantee;</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was engaged in a business or transaction, or was about to engage in a business or transaction, for which property remaining with the guarantor constituted an unreasonably small capital;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that would be beyond the guarantor’s ability to pay as those debts matured.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guarantee could also be deemed a fraudulent transfer if it was given with actual intent to hinder, delay or defraud any entity to which the guarantor was or became, on or after the date the guarantee was given, indebted.</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would be considered insolvent if:</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is greater than all its assets, at a fair valuation;</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present fair saleable value of its assets is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predict:</w:t>
      </w:r>
    </w:p>
    <w:p>
      <w:pPr>
        <w:spacing w:after="0" w:line="90" w:lineRule="exact"/>
        <w:rPr>
          <w:sz w:val="20"/>
          <w:szCs w:val="20"/>
          <w:color w:val="auto"/>
        </w:rPr>
      </w:pPr>
    </w:p>
    <w:p>
      <w:pPr>
        <w:ind w:left="900" w:right="7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what standard a court would apply in order to determine whether a guarantor was insolvent as of the date it issued the guarantee or whether, regardless of the method of valuation, a court would determine that the guarantor was insolvent on that date;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a court would determine that the payments under the guarantee constituted fraudulent transfers or conveyances on other grounds.</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contains a “savings clause” intended to limit each guarantor’s liability under its guarantee to the maximum amount that it could incur without causing the guarantee to be a fraudulent transfer under applicable law. There can be no assurance that this provision will be upheld as intended. In a recent case, the U.S. Bankruptcy Court in the Southern District of Florida found this kind of provision in that case to be ineffective, and held the guarantees to be fraudulent transfers and voided them in their entirety.</w:t>
      </w:r>
    </w:p>
    <w:p>
      <w:pPr>
        <w:spacing w:after="0" w:line="14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If a guarantee is deemed to be a fraudulent transfer, it could be voided altogether, or it could be subordinated to all other debts of the guarantor. In such case, any payment by the guarantor pursuant to its guarantee could be required to be returned to the guarantor or to a fund for the benefit of the creditors of the guarantor. If a guarantee is voided or held unenforceable for any other reason, holders of the exchange notes would cease to have a claim against the guarantor based on the guarantee and would be creditors only of the Company and any guarantor whose guarantee was not similarly voided or otherwise held unenforceable.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purchase exchange notes upon a change of control.</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there is a change of control under the terms of the indenture governing the exchange notes, each holder of exchange notes may require us to purchase all or a portion of its exchange notes at a purchase price equal to 101% of the principal amount thereof, plus accrued interest to the date of purchase. In order to purchase any outstanding exchange notes, we might have to refinance our outstanding indebtedness, which we might not be able to do. Even if we were able to refinance our other indebtedness, any financing might be on terms unfavorable to us. In addition, our credit facility provides that the occurrence of certain kinds of change of control events will constitute a default under our credit facility, and the indentures governing our 2018 notes require that the 2018 notes be repurchased or repaid upon the occurrence of certain kinds of change of control events. We cannot assure you that we will have the financial ability to purchase outstanding exchange notes upon the occurrence of a change of control. See “Description of the Exchange Notes—Repurchase at the Option of Holders—Offer to Repurchase upon Change of Control.”</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An active trading market for the exchange notes may not develop, and the absence of an active trading market and other factors may adversely impact the price of the exchange notes.</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outstanding notes were a new issue of securities for which there was no established trading market. We believe the outstanding notes may be eligible for trading by “qualified institutional buyers,” as defined under Rule 144A of the Securities Act (“Rule 144A”), but we do not intend to list the outstanding notes or any exchange notes on any national securities exchange or include the outstanding notes or any exchange notes in any automated quotation system.</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been advised by the initial purchasers that they intended to make a market in the outstanding notes after the completion of the offering. However, the initial purchasers are not obligated to do so. Any market-making activity, if initiated, may be discontinued at any time, for any reason or for no reason, without notice. If the initial purchasers opt not to act or cease to act as market maker for the exchange notes, we cannot assure you that another firm or person will make a market in the exchange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and trading market for, the exchange notes may also be adversely affected by, among other things:</w:t>
      </w:r>
    </w:p>
    <w:p>
      <w:pPr>
        <w:spacing w:after="0" w:line="90" w:lineRule="exact"/>
        <w:rPr>
          <w:sz w:val="20"/>
          <w:szCs w:val="20"/>
          <w:color w:val="auto"/>
        </w:rPr>
      </w:pPr>
    </w:p>
    <w:p>
      <w:pPr>
        <w:ind w:left="5620" w:right="5360" w:hanging="5045"/>
        <w:spacing w:after="0" w:line="408" w:lineRule="auto"/>
        <w:tabs>
          <w:tab w:leader="none" w:pos="893"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the overall market for securities similar to the exchange notes; 19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financial performance or prospects;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downgrade of our credit ratings by any credit rating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holders of the exchange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exchange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credit ratings have been and continue to be subject to regular review. An active or liquid trading market for the exchange notes may not develop or be maintained, which would adversely affect the market price and liquidity of the notes. In that case, the holders of the notes may not be able to sell their notes at a particular time or at a favorable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the outstanding notes are restricted.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outstanding notes were offered and sold in reliance upon exemptions from registration under the Securities Act and applicable state securities laws. As a result, you may transfer or resell the outstanding notes only in a transaction registered in accordance with, or exempt from, these registration requirements. Pursuant to the registration rights agreement, we have agreed to file an exchange offer registration statement or, under some circumstances, a shelf registration statement with respect to the outstanding notes and to use our reasonable best efforts to cause the registration statement to become effective. The SEC, however, has broad discretion to declare any registration statement effective and may delay, defer or suspend the effectiveness of any registration statement for a variety of reasons. If issued under an effective registration statement, the exchange notes generally may be resold or otherwise transferred by each holder of the exchange notes with no need for further registration. However, the exchange notes will constitute a new issue of securities with no established trading market. An active trading market for the exchange notes may not develop, or, in the case of non-exchanging holders of the outstanding notes, the trading market for the outstanding notes following the exchange offer may not continue. If the registration statement does not become or remain effective, this could adversely affect the liquidity and price of the outstanding notes. If we do not comply with our registration obligations with respect to the outstanding notes, we will be obligated to pay additional interest to holders of the outstanding notes. Selling securityholders who sell outstanding notes pursuant to a shelf registration statement may be subject to certain restrictions and potential liability under the Securities Act.</w:t>
      </w:r>
    </w:p>
    <w:p>
      <w:pPr>
        <w:spacing w:after="0" w:line="2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could adversely affect our cost of financing and the market price of the exchange notes.</w:t>
      </w:r>
    </w:p>
    <w:p>
      <w:pPr>
        <w:spacing w:after="0" w:line="51"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Credit rating agencies rate the exchange notes based on factors that include our operating results, actions that we take, their view of the general outlook for our industry and their view of the general outlook for the economy. Actions taken by the rating agencies can include maintaining, upgrading or downgrading the current rating or placing us on a watch list for possible future downgrading. Downgrading the credit rating of the exchange notes or placing us on a watch list for possible future downgrading would likely increase our cost of financing, limit our access to the capital markets and have an adverse effect on the market price of the exchange notes.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not receive any proceeds from the exchange of the notes. We are making this exchange offer solely to satisfy our obligations under the registration rights agreement. In consideration for issuing the exchange notes as contemplated by this prospectus, we will receive outstanding notes in a like principal amount. The form and terms of the exchange notes are identical in all respects to the form and terms of the outstanding notes, except that the exchange notes are registered under the Securities Act, are not entitled to the registration rights which are applicable to the outstanding notes, and are not subject to certain special interest rate provisions applicable to the outstanding notes. The outstanding notes surrendered in exchange for the exchange notes will be retired and canceled and will not be reissued. Accordingly, the issuance of the exchange notes will not result in any change in our outstanding indebtedness.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June 30, 2011, the Company entered into a Second Amended and Restated Credit Agreement, dated as of June 30, 2011, by and among the Company as the “Borrower”; the subsidiary borrowers; the several banks and other financial institutions from time to time parties to the Second Amended and Restated Credit Agreement, which we refer to as the Lenders; Bank of America, N.A., as Syndication Agent; Cobank, ACB, BNP Paribas, Credit Agricole Corporate and Investment Bank, Rabobank Nederland, Citizens Bank of Pennsylvania, The Bank of Nova Scotia and Wells Fargo Bank, N.A., as Documentation Agents; and JPMorgan Chase Bank, N.A., as Administrative Agent.</w:t>
      </w:r>
    </w:p>
    <w:p>
      <w:pPr>
        <w:spacing w:after="0" w:line="14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Subject to the terms and conditions of the Second Amended and Restated Credit Agreement, the Lenders have committed to provide the Company and certain of its subsidiaries with a five-year senior secured revolving loan facility in the aggregate principal amount of up to $1.7 billion, which we refer to as the New Credit Facility. The Second Amended and Restated Credit Agreement also provides the Company with the right to seek to increase the New Credit Facility by an aggregate amount of up to $450 million, subject to certain specified conditions. The New Credit Facility replaced the Company’s existing Amended and Restated Credit Agreement, which was entered into on February 7, 2007 and was terminated by the Company on June 30, 2011, which we refer to as the Old Credit Agreement.</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JPMorgan Chase Bank, N.A. served as the administrative agent under the Old Credit Agreement and continues to serve in that capacity under the Second Amended and Restated Credit Agreement. Bank of America, N.A. served as syndication agent under the Old Credit Agreement and continues to serve in that capacity under the Second Amended and Restated Credit Agreement. Certain of the Lenders under the Second Amended and Restated Credit Agreement were also lenders under the Old Credit Agreement.</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b w:val="1"/>
          <w:bCs w:val="1"/>
          <w:i w:val="1"/>
          <w:iCs w:val="1"/>
          <w:color w:val="auto"/>
        </w:rPr>
        <w:t>New Credit Facility</w:t>
      </w:r>
      <w:r>
        <w:rPr>
          <w:rFonts w:ascii="Arial" w:cs="Arial" w:eastAsia="Arial" w:hAnsi="Arial"/>
          <w:sz w:val="18"/>
          <w:szCs w:val="18"/>
          <w:color w:val="auto"/>
        </w:rPr>
        <w:t>. The proceeds of the New Credit Facility may be used: (i) to finance working capital requirements and other general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purposes of the Company and its subsidiaries; and (ii) to refinance the amounts outstanding under the Old Credit Agreement (as of June 30, 2011, the principal amount of approximately $380 million and letters of credit in the amount of $26.2 million were outstanding under the Old Credit Agreement). The New Credit Facility will be available for issuance of up to $75 million of letters of credit and for borrowings under swing line loans of up to $100 million. The New Credit Facility will terminate on June 30, 2016.</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Interest</w:t>
      </w:r>
      <w:r>
        <w:rPr>
          <w:rFonts w:ascii="Arial" w:cs="Arial" w:eastAsia="Arial" w:hAnsi="Arial"/>
          <w:sz w:val="16"/>
          <w:szCs w:val="16"/>
          <w:color w:val="auto"/>
        </w:rPr>
        <w:t>. Under the terms of the Second Amended and Restated Credit Agreement, loans made under the New Credit Facility bear interest,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election, at a rate per annum equal to either the ABR (as defined in the Second Amended and Restated Credit Agreement) plus the Applicable Margin (as defined in the Second Amended and Restated Credit Agreement) or at the LIBOR Rate (as defined in the Second Amended and Restated Credit Agreement) plus the Applicable Margin (as defined in the Second Amended and Restated Credit Agreement). As of the Closing Date (as defined in the Second Amended and Restated Credit Agreement), and until such time as the Company delivers to the Administrative Agent consolidated financial statements for the fiscal quarter ended December 31, 2011, the Applicable Margin shall be 1.00% with respect to ABR loans and 2.00% with respect to LIBOR Rate loans.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The New Credit Facility is guaranteed under the Second Amended and Restated Guarantee and Collateral Agreement, dated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by and among the Company and certain of its domestic subsidiaries, to and in favor of the Administrative Agent. Under the Second Amended and Restated Credit Agreement, and subject to materiality thresholds that are no more restrictive than those in the Old Credit Agreement, each future direct or indirect domestic subsidiary of the Company will be required to guarantee the New Credit Facility.</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Security for the New Credit Facility</w:t>
      </w:r>
      <w:r>
        <w:rPr>
          <w:rFonts w:ascii="Arial" w:cs="Arial" w:eastAsia="Arial" w:hAnsi="Arial"/>
          <w:sz w:val="16"/>
          <w:szCs w:val="16"/>
          <w:color w:val="auto"/>
        </w:rPr>
        <w:t>. The New Credit Facility is secured by (1) a perfected first priority security interest in all of the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inventory and equipment of the Company and those of the Company’s domestic subsidiaries that are parties to the Second Amended and Restated Guarantee and Collateral Agreement and (2) the pledge of all of the capital stock of the Company’s domestic subsidiaries that are parties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the Second Amended and Restated Guarantee and Collateral Agreement and 65% of the capital stock of the Company’s first-tier foreign subsidiaries (provided that, in most cases, obligations of such foreign subsidiary borrowers will be secured by 100% of such foreign subsidiaries’ capital stock and 100% of the capital stock of their first-tier subsidiaries), in each case subject to exceptions and minimum thresholds set forth in the Second Amended and Restated Credit Agreement. The collateral does not include any of the Company’s or the Company’s subsidiaries’ intellectual property.</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Representations and Warranties; Covenants; Events of Default</w:t>
      </w:r>
      <w:r>
        <w:rPr>
          <w:rFonts w:ascii="Arial" w:cs="Arial" w:eastAsia="Arial" w:hAnsi="Arial"/>
          <w:sz w:val="16"/>
          <w:szCs w:val="16"/>
          <w:color w:val="auto"/>
        </w:rPr>
        <w:t>. The terms of the New Credit Facility include customary representations and warranties,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customary affirmative and negative covenants, customary financial covenants and customary events of default.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7.25% Senior Notes due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14, 2010, we completed the public offering of $200 million aggregate principal amount of our 2018 notes. The 2018 notes were offered pursuant to the prospectus supplement dated January 11, 2010, to the prospectus dated January 11, 2010, which forms part of the Company’s shelf registration statement on Form S-3 (File No. 333-163330) filed with the SEC on November 24, 2009, as amended by Post-Effective Amendment No. 1 thereto filed with the SEC on January 11,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2018 notes are our unsecured senior obligations and rank equal in right of payment with our existing and future unsecured senior debt. Our obligations under the 2018 notes are fully and unconditionally guaranteed by each of our domestic subsidiaries that guarantee our credit facility (the “2018 notes guarantees”). The 2018 notes guarantees are unsecured general obligations of the subsidiary guarantors and rank equal in right of payment with all existing and future unsecured liabilities of the subsidiary guarantors that are not subordinated in right of payment to the 2018 notes guarantees.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any time prior to January 15, 2013, we may redeem up to 35% of the 2018 notes with the net cash proceeds of certain equity offerings at the redemption price set forth under “Description of the Notes—Optional Redemption” in the prospectus supplement.</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At any time prior to January 15, 2014, we may redeem the 2018 notes, in whole or in part, at a “make-whole” redemption price, plus accrued and unpaid interest to the date of redemption as set forth under “Description of the Notes—Optional Redemption” in the prospectus supplement. On and after January 15, 2014, we may redeem the 2018 notes, in whole or in part, at the redemption prices set forth under “Description of the Notes—Optional Redemption” in the prospectus supplement plus accrued and unpaid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Interest on the 2018 notes accrues at the rate of 7.25% per annum from January 14, 2010. Interest is payable semi-annually in arrears on January 15 and July 15. We will make each interest payment to the holders of record of the 2018 notes on the immediately preceding January 1 and July 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2018 notes will accrue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indentures governing the 2018 notes restricts our ability and the ability of our restricted subsidiaries to: (i) incur additional indebtedness and issue certain preferred shares; (ii) make certain distributions,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and other restricted payments; (iii) sell certain assets; (iv) agree to restrictions on the ability of restricted subsidiaries to make payments to us; (v) create liens and enter into sale-leaseback transactions; (vi) merge, consolidate or sell substantially all of our assets; and (vii) enter into certain transactions with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terms of our 2018 notes include customary events of default, including, (i) non-payment for 30 days of interest on the 2018 notes; (ii) non-payment when due of the principal of or premium, if any, on the 2018 notes; (iii) failure by us to comply with its covenant obligations in connection with a merger, consolidation or sale of assets; (iv) failure by us to observe or perform our obligations under the reporting covenant which default continues for a period of 90 days; (v) a default in the observance or performance of any other covenant or agreement contained in the 2018 notes indentures which default continues for a period of 60 days after we receive written notice specifying the default from the 2018 notes trustee or the holders of at least 25% of the outstanding principal amount of the 2018 notes; (vi) defaults under other debt instruments or contingent obligations in excess of $75 million, including a default under the exchange notes offered in this prospectus; (vii) judgments entered against us or any of our significant subsidiaries involving a liability in excess of $75 million; (viii) failure of a subsidiary guarantee of any significant 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Accounts Receivable Purchase Agreement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21, 2011, the Company and its wholly-owned subsidiary, The Scotts Company LLC, which we refer to as Scotts LLC, entered into a Master Accounts Receivable Purchase Agreement, which we refer to as the MARP Agreement, by and among Scotts LLC, the Company, Crédit Agricole Corporate &amp; Investment Bank, as Administrative Agent and as a Bank (“Crédit Agricole”), and The Bank of Nova Scotia, Suntrust Bank and Mizuho Corporate Bank, Ltd., as Banks.</w:t>
      </w:r>
    </w:p>
    <w:p>
      <w:pPr>
        <w:spacing w:after="0" w:line="143" w:lineRule="exact"/>
        <w:rPr>
          <w:sz w:val="20"/>
          <w:szCs w:val="20"/>
          <w:color w:val="auto"/>
        </w:rPr>
      </w:pPr>
    </w:p>
    <w:p>
      <w:pPr>
        <w:jc w:val="both"/>
        <w:ind w:right="440" w:firstLine="456"/>
        <w:spacing w:after="0" w:line="302" w:lineRule="auto"/>
        <w:rPr>
          <w:sz w:val="20"/>
          <w:szCs w:val="20"/>
          <w:color w:val="auto"/>
        </w:rPr>
      </w:pPr>
      <w:r>
        <w:rPr>
          <w:rFonts w:ascii="Arial" w:cs="Arial" w:eastAsia="Arial" w:hAnsi="Arial"/>
          <w:sz w:val="15"/>
          <w:szCs w:val="15"/>
          <w:color w:val="auto"/>
        </w:rPr>
        <w:t>The MARP Agreement, which is uncommitted, provides for the discretionary sale by Scotts LLC, and the discretionary purchase by the Banks, on a revolving basis, of accounts receivable generated by sales to two specified account debtors in an aggregate amount not to exceed $325 million, with debtor sublimits ranging from $120 million to $250 million. Under the terms of the MARP Agreement, the Banks have the opportunity to purchase those accounts receivable offered by Scotts LLC at a discount (from the agreed base value thereof) effectively equal to the greater of 7-day or 3-month LIBOR plus 1.05%.</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Scotts LLC will continue to be responsible for the servicing and administration of the receivables sold to the Banks until the occurrence of a termination event under the MARP Agreement.</w:t>
      </w:r>
    </w:p>
    <w:p>
      <w:pPr>
        <w:spacing w:after="0" w:line="13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MARP Agreement provides that although the specified accounts receivable may be sold to the Banks, the Banks have the right to require Scotts LLC to repurchase uncollected receivables on weekly settlement dates and upon the occurrence of certain termination events, including the breach of any covenant made by Scotts LLC or the Company with respect to such receivables. The Banks do not have the right, however, to require Scotts LLC to repurchase any uncollected receivables if the receivables are not paid when due or cannot be paid solely as a result of the applicable account debtor’s financial inability to pay. Scotts LLC has the right at any time to repurchase receivables which have been sold to the Banks pursuant to the MARP Agreement.</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terms of the MARP Agreement include customary representations, warranties, covenants and indemnities for transactions of this type. All of Scotts LLC’s obligations under the MARP Agreement are guaranteed by the Company. The MARP Agreement has an initial stated termination date of September 21, 2012, which may be extended by mutual agreement of Scotts LLC and the Banks. Certain of the Banks, or their affiliates, have in the past provided investment or commercial banking services to the Company and its affiliates for which they received customary fees and expenses and they may provide similar services in the future.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MARP Agreement replaced the Company’s then existing Master Accounts Receivable Purchase Agreement, which was set to expire on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89"/>
              </w:rPr>
              <w:t>Fiscal Year Ended September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210"/>
        </w:trPr>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consist of income before income taxes, fixed charges, amortization of capitalized interest, adjustments for minority interests in consolidated subsidiaries and distributed earnings of equity method investees less interest capitalized. Fixed charges consist of interest on borrowings, amortization of deferred financing costs, capitalized interest, the proportion deemed representative of the interest factor within rent expense and interest on deposits. We did not have any preferred shares outstanding during the periods indicated.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EXCHANGE OFFER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Purpose of the Exchange Offer</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December 16, 2010, we issued $200 million aggregate principal amount of the outstanding notes. In connection with that issuance, we entered into a Registration Rights Agreement on December 16, 2010. Pursuant to the Registration Rights Agreement, the Company and the guarantors agreed for the benefit of the holders of the notes, that on or before the 365th day after the date of the initial issuance of the outstanding notes, they will, at their own expense, use their reasonable best efforts to file a registration statement (the “Exchange Offer Registration Statement”) with respect to a registered exchange offer to exchange the outstanding notes for exchange notes, to cause the Exchange Offer Registration Statement to be declared effective by the SEC under the Securities Act and to consummate the Exchange Offer by the 455th day after the date of the initial issuance of the original notes.</w:t>
      </w:r>
    </w:p>
    <w:p>
      <w:pPr>
        <w:spacing w:after="0" w:line="12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Upon the effectiveness of the registration statement of which this prospectus is a part, we will offer the exchange notes in exchange for the outstanding notes. We filed a copy of the Registration Rights Agreement as an exhibit incorporated by reference into the registration statement.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Resale of the Exchange Notes</w:t>
      </w:r>
    </w:p>
    <w:p>
      <w:pPr>
        <w:spacing w:after="0" w:line="1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We are making the exchange offer in reliance on the position of the staff of the SEC as set forth in interpretive letters addressed to other parties in other transactions. For further information on the SEC’s position, see </w:t>
      </w:r>
      <w:r>
        <w:rPr>
          <w:rFonts w:ascii="Arial" w:cs="Arial" w:eastAsia="Arial" w:hAnsi="Arial"/>
          <w:sz w:val="15"/>
          <w:szCs w:val="15"/>
          <w:i w:val="1"/>
          <w:iCs w:val="1"/>
          <w:color w:val="auto"/>
        </w:rPr>
        <w:t>Exxon Capital Holdings Corporation</w:t>
      </w:r>
      <w:r>
        <w:rPr>
          <w:rFonts w:ascii="Arial" w:cs="Arial" w:eastAsia="Arial" w:hAnsi="Arial"/>
          <w:sz w:val="15"/>
          <w:szCs w:val="15"/>
          <w:color w:val="auto"/>
        </w:rPr>
        <w:t xml:space="preserve">, available May 13, 1988, </w:t>
      </w:r>
      <w:r>
        <w:rPr>
          <w:rFonts w:ascii="Arial" w:cs="Arial" w:eastAsia="Arial" w:hAnsi="Arial"/>
          <w:sz w:val="15"/>
          <w:szCs w:val="15"/>
          <w:i w:val="1"/>
          <w:iCs w:val="1"/>
          <w:color w:val="auto"/>
        </w:rPr>
        <w:t>Morgan Stanley &amp; Co.</w:t>
      </w:r>
      <w:r>
        <w:rPr>
          <w:rFonts w:ascii="Arial" w:cs="Arial" w:eastAsia="Arial" w:hAnsi="Arial"/>
          <w:sz w:val="15"/>
          <w:szCs w:val="15"/>
          <w:color w:val="auto"/>
        </w:rPr>
        <w:t xml:space="preserve"> </w:t>
      </w:r>
      <w:r>
        <w:rPr>
          <w:rFonts w:ascii="Arial" w:cs="Arial" w:eastAsia="Arial" w:hAnsi="Arial"/>
          <w:sz w:val="15"/>
          <w:szCs w:val="15"/>
          <w:i w:val="1"/>
          <w:iCs w:val="1"/>
          <w:color w:val="auto"/>
        </w:rPr>
        <w:t>Incorporated</w:t>
      </w:r>
      <w:r>
        <w:rPr>
          <w:rFonts w:ascii="Arial" w:cs="Arial" w:eastAsia="Arial" w:hAnsi="Arial"/>
          <w:sz w:val="15"/>
          <w:szCs w:val="15"/>
          <w:color w:val="auto"/>
        </w:rPr>
        <w:t>, available June 5, 1991 and</w:t>
      </w:r>
      <w:r>
        <w:rPr>
          <w:rFonts w:ascii="Arial" w:cs="Arial" w:eastAsia="Arial" w:hAnsi="Arial"/>
          <w:sz w:val="15"/>
          <w:szCs w:val="15"/>
          <w:i w:val="1"/>
          <w:iCs w:val="1"/>
          <w:color w:val="auto"/>
        </w:rPr>
        <w:t xml:space="preserve"> Shearman &amp; Sterling</w:t>
      </w:r>
      <w:r>
        <w:rPr>
          <w:rFonts w:ascii="Arial" w:cs="Arial" w:eastAsia="Arial" w:hAnsi="Arial"/>
          <w:sz w:val="15"/>
          <w:szCs w:val="15"/>
          <w:color w:val="auto"/>
        </w:rPr>
        <w:t>, available July 2, 1993, and other interpretive letters to similar effect. We have not sought our own</w:t>
      </w:r>
      <w:r>
        <w:rPr>
          <w:rFonts w:ascii="Arial" w:cs="Arial" w:eastAsia="Arial" w:hAnsi="Arial"/>
          <w:sz w:val="15"/>
          <w:szCs w:val="15"/>
          <w:i w:val="1"/>
          <w:iCs w:val="1"/>
          <w:color w:val="auto"/>
        </w:rPr>
        <w:t xml:space="preserve"> </w:t>
      </w:r>
      <w:r>
        <w:rPr>
          <w:rFonts w:ascii="Arial" w:cs="Arial" w:eastAsia="Arial" w:hAnsi="Arial"/>
          <w:sz w:val="15"/>
          <w:szCs w:val="15"/>
          <w:color w:val="auto"/>
        </w:rPr>
        <w:t>interpretive letter, however, and we cannot assure you that the staff would make a similar determination with respect to the exchange offer as it has in interpretive letters to other parties. Based on these interpretations by the staff, we believe that the exchange notes issued under the exchange offer may be offered for resale, resold or otherwise transferred by you, without further compliance with the registration and prospectus delivery provisions of the Securities Act, so long as you:</w:t>
      </w:r>
    </w:p>
    <w:p>
      <w:pPr>
        <w:spacing w:after="0" w:line="2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are acquiring the exchange notes in the ordinary course of your business;</w:t>
      </w:r>
    </w:p>
    <w:p>
      <w:pPr>
        <w:spacing w:after="0" w:line="90" w:lineRule="exact"/>
        <w:rPr>
          <w:rFonts w:ascii="Arial" w:cs="Arial" w:eastAsia="Arial" w:hAnsi="Arial"/>
          <w:sz w:val="18"/>
          <w:szCs w:val="18"/>
          <w:color w:val="auto"/>
        </w:rPr>
      </w:pPr>
    </w:p>
    <w:p>
      <w:pPr>
        <w:ind w:left="900" w:right="8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are not participating in, and do not intend to participate in, a distribution of the exchange notes within the meaning of the Securities Act and have no arrangement or understanding with any person to participate in a distribution of the exchange notes within the meaning of the Securities Act;</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are a Broker-Dealer, you acquired the original notes as a result of market-making activities or other trading activities and that you will comply with the applicable provisions of the Securities Act with respect to any resale of any exchange notes;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are not our affiliate or an affiliate of any guarantor within the meaning of Rule 405 under the Securities Act.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By tendering the outstanding notes in exchange for the exchange notes, you will be required to represent to us that each of the above statements applies to you. If you are participating in or intend to participate in, a distribution of the exchange notes, or have any arrangement or understanding with any person to participate in a distribution of the exchange notes to be acquired in this exchange offer, you may be deemed to have received restricted securities and may not rely on the applicable interpretations of the staff of the SEC. If you are so deemed, you will have to comply with the registration and prospectus delivery requirements of the Securities Act in connection with any secondary resale transaction.</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Each broker-dealer that receives the exchange notes for its own account in exchange for the outstanding notes, where the outstanding notes were acquired by the broker-dealer as a result of market-making activities or other trading activities, must acknowledge that it will deliver a prospectus in connection with any resale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exchange notes. The letter of transmittal states that by so acknowledging and by delivering a prospectus, a broker-dealer will not be deemed to admit that it is an “underwriter” within the meaning of the Securities Act. A broker-dealer may use this prospectus, as it may be amended or supplemented from time to time, in connection with resales of the exchange notes received in exchange for the outstanding notes which the broker-dealer acquired as a result of market-making or other trading activities. See “Plan of Distribution.”</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exchange offer is not being made to, nor will we accept tenders for exchange from, holders of the outstanding notes in any jurisdiction in which the exchange offer or the acceptance of it would not be in compliance with the securities or blue sky laws of such jurisdiction.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Exchange Offer</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Upon the terms and subject to the conditions set forth in this prospectus and the letter of transmittal, we will accept any and all outstanding notes validly tendered and not validly withdrawn prior to the Expiration Date. We will issue $1,000 principal amount of the exchange notes in exchange for each $1,000 principal amount of the outstanding notes validly tendered and accepted pursuant to the exchange offer.</w:t>
      </w:r>
    </w:p>
    <w:p>
      <w:pPr>
        <w:spacing w:after="0" w:line="107"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We will not pay any accrued and unpaid interest on the outstanding notes that we acquire in the exchange offer. Instead, interest on the exchange notes will accrue (a) from the later of (i) the last interest payment date on which interest was paid on the outstanding note surrendered in exchange for the exchange note or</w:t>
      </w:r>
    </w:p>
    <w:p>
      <w:pPr>
        <w:ind w:firstLine="8"/>
        <w:spacing w:after="0" w:line="255" w:lineRule="auto"/>
        <w:tabs>
          <w:tab w:leader="none" w:pos="2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outstanding note is surrendered for exchange on a date in a period that includes the record date for an interest payment date to occur on or after the date of such exchange and as to which interest will be paid, the date of such interest payment date, or (b) if no interest has been paid, from and including December 16, 2010, the original issue date of the outstanding notes.</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Tendering holders of the outstanding notes must tender the outstanding notes in minimum denominations of $2,000, and integral multiples of $1,000 in excess thereof. The exchange notes will be issued in minimum denominations of $2,000 and integral multiples of $1,000 in excess thereof.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exchange notes are identical in all material respects to the terms of the outstanding notes, except that:</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have registered the exchange notes under the Securities Act and therefore these exchange notes will not bear legends restricting their transfer; and</w:t>
      </w:r>
    </w:p>
    <w:p>
      <w:pPr>
        <w:spacing w:after="0" w:line="124" w:lineRule="exact"/>
        <w:rPr>
          <w:rFonts w:ascii="Arial" w:cs="Arial" w:eastAsia="Arial" w:hAnsi="Arial"/>
          <w:sz w:val="15"/>
          <w:szCs w:val="15"/>
          <w:color w:val="auto"/>
        </w:rPr>
      </w:pPr>
    </w:p>
    <w:p>
      <w:pPr>
        <w:ind w:left="900" w:right="7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specified rights under the Registration Rights Agreement, including the provisions providing for payment of additional interest in specified circumstances relating to the exchange offer, will be eliminated for all the exchange notes.</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exchange notes will evidence the same debt as the outstanding notes. The exchange notes will be issued under the same indenture and will be entitled to the same benefits under that indenture as the outstanding notes being exchanged. As of the date of this prospectus, $200 million aggregate principal amount of the outstanding notes are outstanding. The outstanding notes accepted for exchange will be retired and cancelled and not reissued.</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Except as described under “Book-Entry, Delivery and Form,” we will issue the exchange notes in the form of one or more global notes registered in the name of DTC or its nominee, and each beneficial owner’s interest in it will be transferable in book-entry form through DTC.</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will conduct the exchange offer in accordance with the applicable requirements of the Securities Act and the Exchange Act, and the rules and regulations of the SEC thereunder.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We will be considered to have accepted validly tendered outstanding notes if and when we have given oral or written notice to that effect to the exchange agent.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exchange agent will act as agent for the tendering holders for the purposes of receiving the exchange notes from us.</w:t>
      </w:r>
    </w:p>
    <w:p>
      <w:pPr>
        <w:spacing w:after="0" w:line="16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If we do not accept any tendered outstanding notes for exchange because of an invalid tender, the occurrence of the other events described in this prospectus or otherwise, we will return these outstanding notes, without expense, to the tendering holder as soon as practicable after the Expiration Date of the exchange offer.</w:t>
      </w:r>
    </w:p>
    <w:p>
      <w:pPr>
        <w:spacing w:after="0" w:line="6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Holders who tender the outstanding notes will not be required to pay brokerage commissions or fees or, subject to the instructions in the letter of transmittal, transfer taxes on exchange of the outstanding notes in connection with the exchange offer. We will pay all charges and expenses, other than certain applicable taxes in certain circumstances, in connection with the exchange offer. See “—Other Fees and Expenses” and “—Transfer Taxes.”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successfully complete the exchange offer, any outstanding notes which holders do not tender or which we do not accept in the exchange offer will remain outstanding and continue to accrue interest. The holders of the outstanding notes after the exchange offer in general will not have further rights under the Registration Rights Agreement, including registration rights and any rights to additional interest. Holders wishing to transfer the outstanding notes would have to rely on exemptions from the registration requirements of the Securities Act.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Expiration Date; Extensions; Amendments; Termination</w:t>
      </w:r>
    </w:p>
    <w:p>
      <w:pPr>
        <w:spacing w:after="0" w:line="177" w:lineRule="exact"/>
        <w:rPr>
          <w:sz w:val="20"/>
          <w:szCs w:val="20"/>
          <w:color w:val="auto"/>
        </w:rPr>
      </w:pPr>
    </w:p>
    <w:p>
      <w:pPr>
        <w:ind w:left="460"/>
        <w:spacing w:after="0"/>
        <w:tabs>
          <w:tab w:leader="none" w:pos="8760" w:val="left"/>
        </w:tabs>
        <w:rPr>
          <w:sz w:val="20"/>
          <w:szCs w:val="20"/>
          <w:color w:val="auto"/>
        </w:rPr>
      </w:pPr>
      <w:r>
        <w:rPr>
          <w:rFonts w:ascii="Arial" w:cs="Arial" w:eastAsia="Arial" w:hAnsi="Arial"/>
          <w:sz w:val="18"/>
          <w:szCs w:val="18"/>
          <w:color w:val="auto"/>
        </w:rPr>
        <w:t>For purposes of the exchange offer, the term “Expiration Date” means 5:00 p.m., New York City time, on</w:t>
      </w:r>
      <w:r>
        <w:rPr>
          <w:sz w:val="20"/>
          <w:szCs w:val="20"/>
          <w:color w:val="auto"/>
        </w:rPr>
        <w:tab/>
      </w:r>
      <w:r>
        <w:rPr>
          <w:rFonts w:ascii="Arial" w:cs="Arial" w:eastAsia="Arial" w:hAnsi="Arial"/>
          <w:sz w:val="16"/>
          <w:szCs w:val="16"/>
          <w:color w:val="auto"/>
        </w:rPr>
        <w:t>, 2012, subject to our right to extend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that time and date in our sole discretion, in which case the Expiration Date means the latest time and date to which the exchange offer is extended.</w:t>
      </w:r>
    </w:p>
    <w:p>
      <w:pPr>
        <w:spacing w:after="0" w:line="18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reserve the right, in our sole discretion, by giving oral or written notice to the exchange agent, to: extend the exchange offer; terminate the exchange offer if a condition to our obligation to exchange the outstanding notes for the exchange notes is not satisfied or waived on or prior to the Expiration Date; and amend the exchange offer.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exchange offer is amended in a manner that we determine constitutes a material change, we will extend the exchange offer for a period of two to ten business days, depending upon the significance of the amendment and the manner of disclosure to the holders, if the exchange offer would otherwise have expired during that two to ten business day period.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notify holders of the outstanding notes of any extension, amendment or termination of the exchange offer by press release or other public announcement. We will announce any extension of the Expiration Date no later than 9:00 a.m., New York City time, on the first business day after the previously scheduled Expiration Date. We have no other obligation to publish, advertise or otherwise communicate any information about any extension, amendment or termination.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Settlement Date</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deliver the exchange notes on the settlement date, which will be as soon as practicable after the Expiration Date of the exchange offer. We will not be obligated to deliver the exchange notes unless the exchange offer is consummated.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Exchange Offer</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Notwithstanding any other provision of the exchange offer, we will not be required to accept for exchange, or to issue the exchange notes in exchange for, any outstanding notes and may terminate or amend the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offer if at any time before the expiration of the exchange offer, we determine (i) that the exchange offer violates applicable law, any applicable interpretation of the staff of the SEC or any order of any governmental agency or court of competent jurisdiction; (ii) an action or proceeding shall have been instituted or threatened in any court or by any governmental agency which might materially impair our ability to proceed with the exchange offer or a material adverse development shall have occurred in any existing action or proceeding with respect to us; or (iii) all governmental approvals that we deem necessary for the consummation of the exchange offer have not been obtained.</w:t>
      </w:r>
    </w:p>
    <w:p>
      <w:pPr>
        <w:spacing w:after="0" w:line="14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foregoing conditions are for our sole benefit and may be asserted by us regardless of the circumstances giving rise to any such condition or may be waived by us in whole or in part at any time and from time to time. The failure by us at any time to exercise any of the foregoing rights shall not be deemed a waiver of any of those rights and each of those rights shall be deemed an ongoing right which may be asserted at any time and from time to time. Any determination made by us concerning an event, development or circumstance described or referred to above will be conclusive and binding.</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of the foregoing conditions are not satisfied, we may, at any time on or prior to the Expiration Date: terminate the exchange offer and return all tendered outstanding notes to the respective tendering holders; modify, extend or otherwise amend the exchange offer and retain all tendered outstanding notes until the Expiration Date, as extended, subject, however, to the withdrawal rights of holders; or to the extent lawful, waive the unsatisfied conditions with respect to the exchange offer and accept all outstanding notes tendered and not previously validly withdrawn.</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we will not accept for exchange any outstanding notes tendered, and no exchange notes will be issued in exchange for those outstanding notes, if at such time any stop order shall be threatened or in effect with respect to the registration statement of which this prospectus constitutes a part or with respect to the qualification of the indenture governing the exchange notes under the Trust Indenture Act of 1939, as amended (the “Trust Indenture Act”).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 of Tender</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tender by a holder, and our subsequent acceptance of that tender, of the outstanding notes will constitute a binding agreement between that holder and us upon the terms and subject to the conditions of the exchange offer described in this prospectus and in the letter of transmittal. The acceptance of the exchange offer by a tendering holder of the outstanding notes will constitute the agreement by that holder to deliver good and marketable title to the tendered outstanding notes, free and clear of any and all liens, restrictions, charges, pledges, security interests, encumbrances or rights of any kind of third parties.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 of Transmittal; Representations, Warranties and Covenants of Holders of Outstanding Notes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agreement to the terms of the letter of transmittal pursuant to an agent’s message, a holder, or the beneficial holder of the outstanding notes on behalf of which the holder has tendered, will, subject to that holder’s ability to withdraw its tender, and subject to the terms and conditions of the exchange offer generally, thereby:</w:t>
      </w:r>
    </w:p>
    <w:p>
      <w:pPr>
        <w:spacing w:after="0" w:line="59" w:lineRule="exact"/>
        <w:rPr>
          <w:sz w:val="20"/>
          <w:szCs w:val="20"/>
          <w:color w:val="auto"/>
        </w:rPr>
      </w:pPr>
    </w:p>
    <w:p>
      <w:pPr>
        <w:ind w:left="900" w:right="160" w:hanging="446"/>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irrevocably sell, assign and transfer to or upon our order or the order of our nominee all right, title and interest in and to, and any and all claims in respect of or arising or having arisen as a result of the holder’s status as a holder of, all outstanding notes tendered thereby, such that thereafter the holder shall have no contractual or other rights or claims in law or equity against us or any fiduciary, trustee, fiscal agent or other person connected with the outstanding notes arising under, from or in connection with those outstanding notes;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waive any and all rights with respect to the outstanding notes tendered thereby, including, without limitation, any existing or past defaults and their consequences in respect of those outstanding notes; and</w:t>
      </w:r>
    </w:p>
    <w:p>
      <w:pPr>
        <w:spacing w:after="0" w:line="50"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release and discharge us and the trustee for the outstanding notes from any and all claims the holder may have, now or in the future, arising out of or related to the outstanding notes tendered thereby, including, without limitation, any claims that the holder is entitled to receive additional principal or interest payments with respect to the outstanding notes tendered thereby, other than as expressly provided in this prospectus and in the letter of transmittal, or to participate in any redemption or defeasance of the outstanding notes tendered thereby.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addition, by tendering the outstanding notes in the exchange offer, each holder of the outstanding notes will represent, warrant and agree that:</w:t>
      </w:r>
    </w:p>
    <w:p>
      <w:pPr>
        <w:spacing w:after="0" w:line="113"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has received and reviewed this prospectus;</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the beneficial owner (as defined below) of, or a duly authorized representative of one or more beneficial owners of, the outstanding notes tendered thereby, and it has full power and authority to execute the letter of transmittal;</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outstanding notes being tendered thereby were owned as of the date of tender, free and clear of any liens, charges, claims, encumbrances, interests and restrictions of any kind, and we will acquire good, indefeasible and unencumbered title to those outstanding notes, free and clear of all liens, charges, claims, encumbrances, interests and restrictions of any kind, when we accept the same;</w:t>
      </w:r>
    </w:p>
    <w:p>
      <w:pPr>
        <w:spacing w:after="0" w:line="25" w:lineRule="exact"/>
        <w:rPr>
          <w:rFonts w:ascii="Arial" w:cs="Arial" w:eastAsia="Arial" w:hAnsi="Arial"/>
          <w:sz w:val="16"/>
          <w:szCs w:val="16"/>
          <w:color w:val="auto"/>
        </w:rPr>
      </w:pPr>
    </w:p>
    <w:p>
      <w:pPr>
        <w:ind w:left="900" w:right="82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will not sell, pledge, hypothecate or otherwise encumber or transfer any outstanding notes tendered thereby from the date of the letter of transmittal, and any purported sale, pledge, hypothecation or other encumbrance or transfer will be void and of no effect;</w:t>
      </w:r>
    </w:p>
    <w:p>
      <w:pPr>
        <w:spacing w:after="0" w:line="4"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evaluating the exchange offer and in making its decision whether to participate in the exchange offer by tendering its outstanding notes, it has made its own independent appraisal of the matters referred to in this prospectus and the letter of transmittal and in any related communications and it is not relying on any statement, representation or warranty, express or implied, made to it by us or the exchange agent, other than those contained in this prospectus, as amended or supplemented through the Expiration Date;</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execution and delivery of the letter of transmittal shall constitute an undertaking to execute any further documents and give any further assurances that may be required in connection with any of the foregoing, in each case on and subject to the terms and conditions described or referred to in this prospectus;</w:t>
      </w:r>
    </w:p>
    <w:p>
      <w:pPr>
        <w:spacing w:after="0" w:line="59"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agreement to the terms of the letter of transmittal pursuant to an agent’s message shall, subject to the terms and conditions of the exchange offer, constitute the irrevocable appointment of the exchange agent as its attorney and agent and an irrevocable instruction to that attorney and agent to complete and execute all or any forms of transfer and other documents at the discretion of that attorney and agent in relation to the outstanding notes tendered thereby in favor of us or any other person or persons as we may direct and to deliver those forms of transfer and other documents in the attorney’s and agent’s discretion and the certificates and other documents of title relating to the registration of the outstanding notes and to execute all other documents and to do all other acts and things as may be in the opinion of that attorney or agent necessary or expedient for the purpose of, or in connection with, the acceptance of the exchange offer, and to vest in us or our nominees those outstanding notes;</w:t>
      </w:r>
    </w:p>
    <w:p>
      <w:pPr>
        <w:spacing w:after="0" w:line="37"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of the exchange offer shall be deemed to be incorporated in, and form a part of, the letter of transmittal, which shall be read and construed accordingly;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acquiring the exchange notes in the ordinary course of its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it is not participating in, and does not intend to participate in, a distribution of the exchange notes within the meaning of the Securities Act and has no arrangement or understanding with any person to participate in a distribution of the exchange notes within the meaning of the Securities Act;</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it is a Broker-Dealer, it acquired the original notes as a result of market-making activities or other trading activities and that it will comply with the applicable provisions of the Securities Act with respect to any resale of any exchange notes;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not our affiliate or an affiliate of any guarantor within the meaning of Rule 405 under the Securities Act.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representations, warranties and agreements of a holder tendering the outstanding notes will be deemed to be repeated and reconfirmed on and as of the Expiration Date and the settlement date. For purposes of this prospectus, the “beneficial owner” of any outstanding notes means any holder that exercises investment discretion with respect to those outstanding notes.</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Absence of Dissenters’ Rights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the outstanding notes do not have any appraisal or dissenters’ rights in connection with the exchange offer.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Acceptance of Outstanding Notes for Exchange and Delivery of Exchange Notes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the settlement date, the exchange notes to be issued in exchange for the outstanding notes in the exchange offer, if consummated, will be delivered in book-entry form.</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be deemed to accept validly tendered outstanding notes that have not been validly withdrawn as provided in this prospectus when, and if, we give oral or written notice of acceptance to the exchange agent. Subject to the terms and conditions of the exchange offer, delivery of the exchange notes will be made by the exchange agent on the settlement date following receipt of that notice. The exchange agent will act as agent for tendering holders of the outstanding notes for the purpose of receiving the outstanding notes and transmitting the exchange notes as of the settlement date. If any tendered outstanding notes are not accepted for any reason described in the terms and conditions of the exchange offer, such unaccepted outstanding notes will be returned without expense to the tendering holders as promptly as practicable after the expiration or termination of the exchange offer.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Procedures for Tendering</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participate in the exchange offer, you must properly tender your outstanding notes to the exchange agent as described below. We will only issue the exchange notes in exchange for the outstanding notes that you timely and properly tender. Therefore, you should allow sufficient time to ensure timely delivery of the outstanding notes, and you should follow carefully the instructions on how to tender your outstanding notes. It is your responsibility to properly tender your outstanding notes. We have the right to waive any defects. However, we are not required to waive defects, and neither we, nor the exchange agent is required to notify you of defects in your tender.</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you have any questions or need help in exchanging your outstanding notes, please contact the exchange agent at the address or telephone numbers set forth below.</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of the outstanding notes were issued in book-entry form, and all of the outstanding notes are currently represented by global certificates registered in the name of Cede &amp; Co., the nominee of DTC. We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confirmed with DTC that the outstanding notes may be tendered using DTC’s automatic tender offer program, or ATOP. The exchange agent will establish an account with DTC for purposes of the exchange offer promptly after the commencement of the exchange offer,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the outstanding notes and that the participant agrees to be bound by the terms of the letter of transmittal.</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By using the ATOP procedures to exchange the outstanding notes, you will not be required to deliver a letter of transmittal to the exchange agent. However, you will be bound by its terms just as if you had signed it.</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 xml:space="preserve">Determinations Under the Exchange Offer. </w:t>
      </w:r>
      <w:r>
        <w:rPr>
          <w:rFonts w:ascii="Arial" w:cs="Arial" w:eastAsia="Arial" w:hAnsi="Arial"/>
          <w:sz w:val="16"/>
          <w:szCs w:val="16"/>
          <w:color w:val="auto"/>
        </w:rPr>
        <w:t>We will determine in our sole discretion all questions as to the validity, form, eligibility, time of receipt,</w:t>
      </w:r>
      <w:r>
        <w:rPr>
          <w:rFonts w:ascii="Arial" w:cs="Arial" w:eastAsia="Arial" w:hAnsi="Arial"/>
          <w:sz w:val="16"/>
          <w:szCs w:val="16"/>
          <w:i w:val="1"/>
          <w:iCs w:val="1"/>
          <w:color w:val="auto"/>
        </w:rPr>
        <w:t xml:space="preserve"> </w:t>
      </w:r>
      <w:r>
        <w:rPr>
          <w:rFonts w:ascii="Arial" w:cs="Arial" w:eastAsia="Arial" w:hAnsi="Arial"/>
          <w:sz w:val="16"/>
          <w:szCs w:val="16"/>
          <w:color w:val="auto"/>
        </w:rPr>
        <w:t>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the exchange offer, including the instructions in the letter of transmittal, will be final and binding on all parties. Unless waived, all defects or irregularities in connection with tenders of the outstanding notes must be cured within such time as we shall determine. Although we intend to notify holders of defects or irregularities with respect to tenders of the outstanding notes, neither we, the exchange agent nor any other person will incur any liability for failure to give such notification. Tenders of the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as soon as practicable after the Expiration Date of the exchange.</w:t>
      </w:r>
    </w:p>
    <w:p>
      <w:pPr>
        <w:spacing w:after="0" w:line="12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When We Will Issue the Exchange Notes. </w:t>
      </w:r>
      <w:r>
        <w:rPr>
          <w:rFonts w:ascii="Arial" w:cs="Arial" w:eastAsia="Arial" w:hAnsi="Arial"/>
          <w:sz w:val="18"/>
          <w:szCs w:val="18"/>
          <w:color w:val="auto"/>
        </w:rPr>
        <w:t>In all cases, we will issue the exchange notes for the outstanding notes that we have accepted for exchange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offer only after the exchange agent receives, prior to the Expiration Date: a book-entry confirmation of such number of the outstanding notes into the exchange agent’s account at DTC; and a properly transmitted agent’s message.</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Return of the Outstanding Notes Not Accepted or Exchanged. </w:t>
      </w:r>
      <w:r>
        <w:rPr>
          <w:rFonts w:ascii="Arial" w:cs="Arial" w:eastAsia="Arial" w:hAnsi="Arial"/>
          <w:sz w:val="18"/>
          <w:szCs w:val="18"/>
          <w:color w:val="auto"/>
        </w:rPr>
        <w:t>If we do not accept any tendered outstanding notes for exchange or if the outstanding notes</w:t>
      </w:r>
      <w:r>
        <w:rPr>
          <w:rFonts w:ascii="Arial" w:cs="Arial" w:eastAsia="Arial" w:hAnsi="Arial"/>
          <w:sz w:val="18"/>
          <w:szCs w:val="18"/>
          <w:i w:val="1"/>
          <w:iCs w:val="1"/>
          <w:color w:val="auto"/>
        </w:rPr>
        <w:t xml:space="preserve"> </w:t>
      </w:r>
      <w:r>
        <w:rPr>
          <w:rFonts w:ascii="Arial" w:cs="Arial" w:eastAsia="Arial" w:hAnsi="Arial"/>
          <w:sz w:val="18"/>
          <w:szCs w:val="18"/>
          <w:color w:val="auto"/>
        </w:rPr>
        <w:t>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Participating Broker-Dealers. </w:t>
      </w:r>
      <w:r>
        <w:rPr>
          <w:rFonts w:ascii="Arial" w:cs="Arial" w:eastAsia="Arial" w:hAnsi="Arial"/>
          <w:sz w:val="18"/>
          <w:szCs w:val="18"/>
          <w:color w:val="auto"/>
        </w:rPr>
        <w:t>Each broker-dealer that receives the exchange notes for its own account in exchange for the outstanding notes, where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notes were acquired by such broker-dealer as a result of market-making activities or other trading activities, must acknowledge that it will deliver a prospectus in connection with any resale of those exchange notes. See “Plan of Distribution.”</w:t>
      </w:r>
    </w:p>
    <w:p>
      <w:pPr>
        <w:spacing w:after="0" w:line="21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Withdrawal of Tenders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Tenders of the outstanding notes may be withdrawn at any time prior to the Expiration Date.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withdrawal to be effective, you must comply with the appropriate ATOP procedures. Any notice of withdrawal must specify the name and number of the account at DTC to be credited with withdrawn outstanding notes and otherwise comply with the ATOP procedures.</w:t>
      </w:r>
    </w:p>
    <w:p>
      <w:pPr>
        <w:spacing w:after="0" w:line="132"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We will determine all questions as to the validity, form, eligibility and time of receipt of a notice of withdrawal. Our determination shall be final and binding on all parties. We will deem any outstanding notes so withdrawn not to have been validly tendered for exchange for purposes of the exchange offer.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Any outstanding notes that have been tendered for exchange but that are not exchanged for any reason will be credited to an account maintained with DTC for the outstanding notes. This return or crediting will take place as soon as practicable after withdrawal, rejection of tender, expiration or termination of the exchange offer. You may retender properly withdrawn outstanding notes by following the procedures described under “—Procedures for Tendering” above at any time on or prior to the Expiration Date of the exchange offer.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Agent</w:t>
      </w:r>
    </w:p>
    <w:p>
      <w:pPr>
        <w:spacing w:after="0" w:line="1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U.S. Bank National Association has been appointed as the exchange agent for the exchange offer. All correspondence in connection with the exchange offer should be sent or delivered by each holder of the outstanding notes, or a beneficial owner’s commercial bank, broker, dealer, trust company or other nominee, to the exchange agent at:</w:t>
      </w:r>
    </w:p>
    <w:p>
      <w:pPr>
        <w:spacing w:after="0" w:line="18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West Side Flats Operations Center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Attention: Specialized Finance</w:t>
      </w:r>
    </w:p>
    <w:p>
      <w:pPr>
        <w:spacing w:after="0" w:line="9" w:lineRule="exact"/>
        <w:rPr>
          <w:sz w:val="20"/>
          <w:szCs w:val="20"/>
          <w:color w:val="auto"/>
        </w:rPr>
      </w:pPr>
    </w:p>
    <w:p>
      <w:pPr>
        <w:ind w:left="4000" w:right="5500" w:firstLine="6"/>
        <w:spacing w:after="0" w:line="320" w:lineRule="auto"/>
        <w:tabs>
          <w:tab w:leader="none" w:pos="4219"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Livingston Avenue St. Paul, MN 55107 Telephone: (800) 934-6802 Facsimile: (651) 495-8158</w:t>
      </w:r>
    </w:p>
    <w:p>
      <w:pPr>
        <w:spacing w:after="0" w:line="11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Questions concerning tender procedures should be directed to the exchange agent at the address, telephone numbers or fax number listed above. Holders of the outstanding notes may also contact their commercial bank, broker, dealer, trust company or other nominee for assistance concerning the exchange offer. We will pay the exchange agent reasonable and customary fees for its services and will reimburse it for its reasonable out-of-pocket expenses.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Announcements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make any announcement required pursuant to the terms of this prospectus or required by the Exchange Act or the rules promulgated thereunder through a reasonable press release or other public announcement in our sole discretion; provided, that, if any such announcement is made by issuing a press release to Business Wire, such announcement shall be reasonable and sufficient.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Fees and Expenses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will bear the expenses of soliciting tenders of the outstanding notes. The principal solicitation is being made by mail. Additional solicitations may, however, be made by e-mail, facsimile transmission, telephone or in person by the exchange agent as well as our officers and other employees and those of our affiliates.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not retained any dealer-manager in connection with this exchange offer and will not make any payments to broker-dealers or others soliciting acceptances of the exchange offer. However, we will pay the exchange agent reasonable and customary fees for its services and will reimburse it for its reasonable out-of-pocket expenses.</w:t>
      </w:r>
    </w:p>
    <w:p>
      <w:pPr>
        <w:spacing w:after="0" w:line="140"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Tendering holders of the outstanding notes will not be required to pay any fee or commission to the exchange agent. If, however, a tendering holder handles the transaction through its commercial bank, broker, dealer, trust company or other institution, that holder may be required to pay brokerage fees or commissions.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Accounting Treatment</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exchange notes will be recorded at the same carrying value as the outstanding notes as reflected in our accounting records on the settlement date for the Exchange Offer. Accordingly, we will not recognize any gain or loss for accounting purposes upon the consummation of the Exchange Offer.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Taxes</w:t>
      </w:r>
    </w:p>
    <w:p>
      <w:pPr>
        <w:spacing w:after="0" w:line="177"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Holders who tender their outstanding notes for exchange will not be obligated to pay any transfer taxes in connection with that tender or exchange, except that holders who instruct us to register the exchange notes in the name of, or request that the outstanding notes not tendered or not accepted in the exchange offer be returned to, a person other than the registered tendering holder will be responsible for the payment of any applicable transfer tax on those outstanding notes.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Consequences of Failure to Exchange</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Holders of the outstanding notes who do not exchange their outstanding notes for the exchange notes under this exchange offer will remain subject to the restrictions on transfer applicable in the outstanding notes as set forth in the legend printed on the outstanding notes as a consequence of the issuance of the outstanding notes pursuant to exemptions from, or in transactions not subject to, the registration requirements of the Securities Act and applicable state securities laws.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Any outstanding notes not tendered by their holders in exchange for the exchange notes in this exchange offer will not retain any rights under the Registration Rights Agreement (except in certain limited circumstances) or any rights to additional interest. See “—Resale Registration Statement; Additional Interest.”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general, you may not offer or sell the outstanding notes unless they are registered under the Securities Act, or if the offer or sale is exempt from the registration requirements of the Securities Act and applicable state securities laws. We do not intend to register resales of the outstanding notes under the Securities Act. Based on interpretations of the SEC staff, the exchange notes issued pursuant to this exchange offer may be offered for resale, resold or otherwise transferred by their holders (other than any such holder that is our “affiliate” within the meaning of Rule 405 under the Securities Act) without compliance with the registration and prospectus delivery provisions of the Securities Act, provided that the holders acquired the exchange notes in the ordinary course of business and the holders are not engaged in, have no arrangement with any person to participate in, and do not intend to engage in, any public distribution of the exchange notes to be acquired in this exchange offer. Any holder who tenders in this exchange offer and is engaged in, has an arrangement with any person to participate in, or intends to engage in, any public distribution of the exchange notes (i) may not rely on the applicable interpretations of the SEC and (ii) must comply with the registration and prospectus delivery requirements of the Securities Act in connection with a secondary resale transaction.</w:t>
      </w:r>
    </w:p>
    <w:p>
      <w:pPr>
        <w:spacing w:after="0" w:line="19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Resale Registration Statement; Additional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Under the Registration Rights Agreement, in the event that:</w:t>
      </w:r>
    </w:p>
    <w:p>
      <w:pPr>
        <w:spacing w:after="0" w:line="90" w:lineRule="exact"/>
        <w:rPr>
          <w:sz w:val="20"/>
          <w:szCs w:val="20"/>
          <w:color w:val="auto"/>
        </w:rPr>
      </w:pPr>
    </w:p>
    <w:p>
      <w:pPr>
        <w:ind w:left="900" w:right="2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not required to file the Exchange Offer Registration Statement or to consummate the exchange offer because the exchange offer is not permitted by applicable law or SEC policy;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exchange offer is not for any reason completed by the 455th day after December 16, 2010; or</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receipt of a written request (a “Shelf Request”) from any holder of Transfer Restricted Securities representing that (A) such holder is prohibited by applicable law or SEC policy from participating in the exchange offer, or (B) such holder may not resell the exchange notes acquired by it in the exchange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offer to the public without delivering a prospectus and that the Prospectus contained in the Exchange Offer Registration Statement is not available for such resales or would not satisfy such prospectus delivery requirement by such holder, or (C) such holder is a Broker-Dealer and holds original notes acquired directly from the Company or one of its affiliates;</w:t>
      </w:r>
    </w:p>
    <w:p>
      <w:pPr>
        <w:spacing w:after="0" w:line="14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then, we shall cause to be filed a shelf registration statement pursuant to Rule 415 under the Securities Act, which may be an amendment to the Exchange Offer Registration Statement (in either event, the “Shelf Registration Statement”) on or prior to the earliest to occur of (i) the 30th day after the date on which the Company determines that it is not required to file the Exchange Offer Registration Statement, (ii) the 30th day after the date on which the Company receives notice from a holder of Transfer Restricted Securities as contemplated by clause (3) above, and (iii) the 425th day after the December 16, 2010 (or if such 425th day is not a business day, the next succeeding business day) (such earlier date being the “Shelf Filing Deadline”); provided that, notwithstanding the foregoing, such date shall be no earlier than the 425th day after the December 16, 2010 (or if such 425th day is not a business day, the next succeeding business day), providing for the sale of all the outstanding notes by the holders thereof and shall use our reasonable best efforts to cause such Shelf Registration Statement to be declared effective by the SEC on or before the 60th day after the Shelf Filing Deadline (or if such 60th day is not a business day, the next succeeding business day).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use our reasonable best efforts to keep such Shelf Registration Statement continuously effective, supplemented and amended to the extent necessary to ensure that it is available for resales of the outstanding notes by the holders, for a period of at least one year following the effective date of such Shelf Registration Statement (or shorter period that will terminate when all the outstanding notes covered by such Shelf Registration Statement have been sold pursuant to such Shelf Registration Statement) (the “Shelf Effectiveness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Rights Agreement further provides that if:</w:t>
      </w:r>
    </w:p>
    <w:p>
      <w:pPr>
        <w:spacing w:after="0" w:line="90" w:lineRule="exact"/>
        <w:rPr>
          <w:sz w:val="20"/>
          <w:szCs w:val="20"/>
          <w:color w:val="auto"/>
        </w:rPr>
      </w:pPr>
    </w:p>
    <w:p>
      <w:pPr>
        <w:ind w:left="900" w:right="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Offer Registration Statement has not been filed on or before the 365th day after the original issue date of the notes or a shelf registration statement covering resales of the notes, if required to be filed, has not been filed within the time period required by the registration rights agreement;</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Offer Registration Statement has not been declared effective on or before the 455th day after the original issue date or a shelf registration statement covering resales of the notes, if required to be filed, has not been filed within the time period required by the registration rights agreement;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Offer has not been consummated on or before the 455th day after the original issue date of the notes;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shelf registration statement ceases to be effective at any time during the shelf registration period (subject to certain exceptions) (each such event referred to in clauses (i) through (iv) in this paragraph, a “Registration Default”),</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then the interest rate borne by the Transfer Restricted Securities shall be increased by 0.25% per annum during the 90-day period immediately following the occurrence of any Registration Default and by an additional 0.25% per annum with respect to the next subsequent 90-day period, up to a maximum rate of .50% per annum (“</w:t>
      </w:r>
      <w:r>
        <w:rPr>
          <w:rFonts w:ascii="Arial" w:cs="Arial" w:eastAsia="Arial" w:hAnsi="Arial"/>
          <w:sz w:val="18"/>
          <w:szCs w:val="18"/>
          <w:i w:val="1"/>
          <w:iCs w:val="1"/>
          <w:color w:val="auto"/>
        </w:rPr>
        <w:t>Additional Interest</w:t>
      </w:r>
      <w:r>
        <w:rPr>
          <w:rFonts w:ascii="Arial" w:cs="Arial" w:eastAsia="Arial" w:hAnsi="Arial"/>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Participation in this exchange offer is voluntary, and you should carefully consider whether to participate. You are urged to consult your financial and tax advisors in making your own decision as to what action to take.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EXCHANGE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purposes of this “Description of the Exchange Notes,” certain terms used in this description are defined under the subheading “—Certain Definitions” below. In this description, the words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Issuer,</w:t>
      </w:r>
      <w:r>
        <w:rPr>
          <w:rFonts w:ascii="Arial" w:cs="Arial" w:eastAsia="Arial" w:hAnsi="Arial"/>
          <w:sz w:val="18"/>
          <w:szCs w:val="18"/>
          <w:color w:val="auto"/>
        </w:rPr>
        <w:t>” “</w:t>
      </w:r>
      <w:r>
        <w:rPr>
          <w:rFonts w:ascii="Arial" w:cs="Arial" w:eastAsia="Arial" w:hAnsi="Arial"/>
          <w:sz w:val="18"/>
          <w:szCs w:val="18"/>
          <w:i w:val="1"/>
          <w:iCs w:val="1"/>
          <w:color w:val="auto"/>
        </w:rPr>
        <w:t>Scotts,</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only to The Scotts Miracle-Gro Company and not to any of its subsidiaries.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outstanding notes were, and the exchange notes will be, issued under an indenture (the “Indenture”), dated as of December 16, 2010, among the Company, the Guarantors and U.S. Bank National Association, as Trustee. The terms of the notes include those stated in the Indenture and those made part of the Indenture by reference to the Trust Indenture Act. Upon the effectiveness of this registration statement with respect to the Notes, the Indenture became qualified under the TIA.</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16, 2010, we issued $200,000,000 million aggregate principal amount of original notes under the Indenture. The terms of the exchange notes will be identical in all material respects to the original notes, except that the exchange notes will not contain transfer restrictions and holders of exchange notes will no longer have any registration rights or be entitled to any additional interest. Exchange notes will be authenticated and delivered for original notes only in exchange for a like principal amount of original notes. Any original notes that remain outstanding after the consummation of the exchange offer, together with the exchange notes, will be treated as a single class of securities under the Indenture. Accordingly, all references in this description to the “Notes” refer collectively to the original notes and exchange notes, and all references in this description to specified percentages in aggregate principal amount of the Notes then outstanding will be deemed to mean, at any time after the exchange offer is consummated, such percentages in aggregate principal amount of the original notes and exchange notes together then outstanding. A registered holder of a Note (each, a “</w:t>
      </w:r>
      <w:r>
        <w:rPr>
          <w:rFonts w:ascii="Arial" w:cs="Arial" w:eastAsia="Arial" w:hAnsi="Arial"/>
          <w:sz w:val="16"/>
          <w:szCs w:val="16"/>
          <w:i w:val="1"/>
          <w:iCs w:val="1"/>
          <w:color w:val="auto"/>
        </w:rPr>
        <w:t>Holder</w:t>
      </w:r>
      <w:r>
        <w:rPr>
          <w:rFonts w:ascii="Arial" w:cs="Arial" w:eastAsia="Arial" w:hAnsi="Arial"/>
          <w:sz w:val="16"/>
          <w:szCs w:val="16"/>
          <w:color w:val="auto"/>
        </w:rPr>
        <w:t>”) will be treated as its owner for all purposes. Only registered Holders will have rights under the Indenture.</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description is only a summary of the material provisions of the Indenture, does not purport to be complete and is qualified in its entirety by reference to the provisions thereof, including the definitions therein of certain terms used below. We urge you to read the Indenture because it, and not this description, defines your rights as a Holder of the Notes. You may request copies of the Indenture at our address set forth under the heading “Summary.”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Notes are:</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unsecured obligations of the Company;</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of the Company’s existing and future unsecured, unsubordinated Indebtedness, including Indebtedness arising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2018 Notes;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subordinated to all of the Company’s existing and future secured Indebtedness, including the Credit Agreement, to the extent of the value of the assets securing such Indebtedness;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senior in right of payment to any of the Company’s future Indebtedness that is, by its terms, expressly subordinated in right of payment to the Notes;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structurally subordinated to all liabilities of the Company’s Subsidiaries that are not Guarantors.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the December 16, 2010, the Notes are guaranteed by all of the Restricted Subsidiaries of the Company that guarantee the 2018 Notes and that are guarantors under the Credit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of the Notes are:</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 Indebtedness of each Guarantor, including Indebtedness arising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such Guarantor’s guarantee of the 2018 Notes;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each Guarantor that is, by its terms, expressly subordinated in right of payment to the Subsidiary Guarantee of such Guarantor; and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subordinated to any secured Indebtedness of each Guarantor (including each Guarantor’s guarantee of the Credit Agreement) to the extent of the value of the assets securing such Indebtedness.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obligations of each Guarantor under its Subsidiary Guarantee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Subsidiary Guarantee or pursuant to its contribution obligations under the Indenture, result in the obligations of such Guarantor under its Subsidiary Guarantee not constituting a fraudulent conveyance or fraudulent transfer under federal or state law. Each Guarantor that makes a payment for distribution under its Subsidiary Guarantee is entitled to a contribution from each other Guarantor in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amount based on adjusted net assets of each Guarantor. See “Risk Factors—Risks Relating to Investment in the Notes—Federal and state statutes may allow courts, under specific circumstances, to void the guarantees and require noteholders to return payments received from subsidiary guarantors.”</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As of September 30, 2011, the Company and the Guarantors have total secured Indebtedness of $387.2 million (excluding letters of credit of $30.4 million), and $1,282.4 million of additional secured Indebtedness is available to be borrowed under the Credit Agreement. The Indenture permits us and the Guarantors to incur additional Indebtedness, including secured Indebtedness. As of the date of this prospectus, all of our subsidiaries, including our Foreign Subsidiaries, are “Restricted Subsidiaries.” However, under the circumstances described below under the caption “—Certain Covenants—Restricted Payments,” we are permitted to designate certain of our subsidiaries as “Unrestricted Subsidiaries.” Unrestricted Subsidiaries are not subject to many of the restrictive covenants in the Indenture and will not guarantee these Notes. All of our Subsidiaries, except for our Foreign Subsidiaries and Scotts Global Services, Inc., an Ohio corporation; SMGM LLC, an Ohio limited liability company; Scotts Global Investments, Inc., a Delaware corporation; and Teak 2, Ltd., f/k/a Smith &amp; Hawkin, Ltd., a Delaware corporation, have guaranteed the Notes. In the event of a bankruptcy, liquidation or reorganization of any of these non-guarantor subsidiaries, these non-guarantor subsidiaries will pay the holders of their debt and their trade creditors before they will be able to distribute any of their assets to us. Our non-guarantor subsidiaries generated 18.5% of our total net sales and 4.3% of our consolidated operating income for fiscal 2011 and held 21.6% of our consolidated assets as of September 30, 2011. As of September 30, 2011, the notes and the guarantees are structurally subordinated to $130.5 million of indebtedness of the non-guarantor subsidiaries, all of which was incurred under our credit facility.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90" w:lineRule="exact"/>
        <w:rPr>
          <w:sz w:val="20"/>
          <w:szCs w:val="20"/>
          <w:color w:val="auto"/>
        </w:rPr>
      </w:pPr>
    </w:p>
    <w:p>
      <w:pPr>
        <w:ind w:left="900" w:right="7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that Guarantor (including by way of merger or consolidation), in accordance with the Indenture, to any Person other than the Company or any Restricted Subsidiary;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Guarantor is designated an Unrestricted Subsidiary in accordance with the Indenture or otherwise ceases to be a Restricted Subsidiary (including by way of liquidation or dissolution) in a transaction permitted by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exercise our Legal Defeasance option or Covenant Defeasance option as described under “—Legal Defeasance and Covenant Defeasance” or if our obligations under the Indenture are discharged in accordance with the terms of the Indenture as described under “—Satisfaction and Discharge”; or</w:t>
      </w:r>
    </w:p>
    <w:p>
      <w:pPr>
        <w:spacing w:after="0" w:line="59" w:lineRule="exact"/>
        <w:rPr>
          <w:rFonts w:ascii="Arial" w:cs="Arial" w:eastAsia="Arial" w:hAnsi="Arial"/>
          <w:sz w:val="18"/>
          <w:szCs w:val="18"/>
          <w:color w:val="auto"/>
        </w:rPr>
      </w:pPr>
    </w:p>
    <w:p>
      <w:pPr>
        <w:ind w:left="900" w:right="74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such Guarantor ceases to be a Wholly Owned Restricted Subsidiary and such Guarantor is not otherwise required to provide a Subsidiary Guarantee of the Notes pursuant to the provisions described under “—Certain Covenants—Additional Subsidiary Guarantees.”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December 16, 2010, we issued $200,000,000 million aggregate principal amount of original notes under the Indenture. We will issue up to the same amount of exchange notes, if all of the original notes are exchanged. Exchange notes will be authenticated and delivered for original notes only in exchange for a like principal amount of original notes.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after this offering, the Company may issue additional Notes (the “</w:t>
      </w:r>
      <w:r>
        <w:rPr>
          <w:rFonts w:ascii="Arial" w:cs="Arial" w:eastAsia="Arial" w:hAnsi="Arial"/>
          <w:sz w:val="18"/>
          <w:szCs w:val="18"/>
          <w:i w:val="1"/>
          <w:iCs w:val="1"/>
          <w:color w:val="auto"/>
        </w:rPr>
        <w:t>Additional Notes</w:t>
      </w:r>
      <w:r>
        <w:rPr>
          <w:rFonts w:ascii="Arial" w:cs="Arial" w:eastAsia="Arial" w:hAnsi="Arial"/>
          <w:sz w:val="18"/>
          <w:szCs w:val="18"/>
          <w:color w:val="auto"/>
        </w:rPr>
        <w:t>”) having identical terms and conditions as the Notes being issued in this offering except for issue date, issue price and first interest payment date. The Notes and any Additional Notes subsequently issued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will be issued only in denominations of $2,000 and integral multiples of $1,000 in excess thereof. The Notes will mature on December 15, 2020.</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on the Notes will accrue at the rate of 6.625% per annum from December 16, 2010. Interest is payable semi-annually in arrears on June 15 and December 15, commencing on June 15, 2011. The Company will make each interest payment to the Holders of record of the Notes on the immediately preceding June 1 and December 1.</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 Holder has given wire transfer instructions to the Company, the Company will make all principal, premium and interest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will pay principal of, premium, if any, and interest on, the Notes in global form registered in the name of The Depository Trust Company or its nominee in immediately available funds to The Depository Trust Company or its nominee, as the case may be, as the registered holder of such global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or after December 15, 2015, the Company may redeem all or a part of the Notes upon not less than 30 nor more than 60 days notice, at the redemption prices (expressed as percentages of principal amount) set forth below plus accrued and unpaid interest to the applicable redemption date, if redeemed during the twelve-month period beginning on December 15 of the years indicated below:</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Redemption Year</w:t>
            </w:r>
          </w:p>
        </w:tc>
        <w:tc>
          <w:tcPr>
            <w:tcW w:w="58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CCEEFF"/>
            </w:tcBorders>
          </w:tcPr>
          <w:p>
            <w:pPr>
              <w:spacing w:after="0"/>
              <w:rPr>
                <w:sz w:val="15"/>
                <w:szCs w:val="15"/>
                <w:color w:val="auto"/>
              </w:rPr>
            </w:pPr>
          </w:p>
        </w:tc>
      </w:tr>
      <w:tr>
        <w:trPr>
          <w:trHeight w:val="203"/>
        </w:trPr>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58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103.313%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2016</w:t>
            </w:r>
          </w:p>
        </w:tc>
        <w:tc>
          <w:tcPr>
            <w:tcW w:w="58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102.208%</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101.104%</w:t>
            </w: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 xml:space="preserve">Prior to December 15, 2013, the Company may on any one or more occasions redeem up to 35% of the aggregate principal amount of Notes issued under the Indenture with the Net Cash Proceeds of one or more Equity Offerings at a redemption price of 106.625%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least 65% of the aggregate principal amount of Notes issued under the Indenture remains outstanding after each such redemption;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redemption occurs within 60 days after the closing of such Equity Offering.</w:t>
      </w:r>
    </w:p>
    <w:p>
      <w:pPr>
        <w:spacing w:after="0" w:line="171"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addition, at any time prior to December 15, 2015, the Company may redeem all or a part of the Notes upon not less than 30 nor more than 60 days notice, at a redemption price equal to 100% of the principal amount thereof plus the Applicable Premium plus accrued and unpaid interest, if any, to the redemption date.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Premium</w:t>
      </w:r>
      <w:r>
        <w:rPr>
          <w:rFonts w:ascii="Arial" w:cs="Arial" w:eastAsia="Arial" w:hAnsi="Arial"/>
          <w:sz w:val="16"/>
          <w:szCs w:val="16"/>
          <w:color w:val="auto"/>
        </w:rPr>
        <w:t>” means, with respect to a Note at any redemption date, the greater of (i) 1.0% of the principal amount of such Note and (ii) the excess of (A) the present value at such time of (1) the redemption price of such Note at December 15, 2015 (such redemption price being set forth in the table above) plus (2) all required interest payments due on such Note (excluding accrued and unpaid interest to such redemption date) through December 15, 2015, computed using a discount rate equal to the Treasury Rate plus 50 basis points, over (B) the principal amount of such Note.</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or similar market data)) most nearly equal to the period from the redemption date to December 15, 2015;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December 15, 2015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December 15, 2015 is less than one year, the weekly average yield on actually traded United States Treasury securities adjusted to a constant maturity of one year shall be used.</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the Notes are listed;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Notes of $2,000 or less shall be redeemed in part. Notices of redemption shall be mailed by first class mail at least 30 but not more than 60 days before the redemption date to each Holder of Notes to be redeemed at its registered address. Notices of redemption may not be conditional.</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upon Change of Control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Change of Control occurs, each Holder of Notes will have the right to require the Company to repurchase all or any part (equal to $2,000 or integral multiples of $1,000 in excess thereof) of that Holder’s Notes pursuant to the “Change of Control Offer.” In the Change of Control Offer, the Company will offer a “Change of Control Payment” in cash equal to 101% of the aggregate principal amount of Notes repurchased plus accrued and unpaid interest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thereof so tendered; and</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Paying Agent will promptly mail to each Holder of Notes so tendered the Change of Control Payment for such Notes, and the Trustee will promptly authenticate and mail (or cause to be transferred by book entry)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 The Company will publicly announce the results of the Change of Control Offer on or as soon as practicable after the Change of Control Payment Date.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Change of Control will constitute an event of default under the Credit Agreement and may constitute an event of default under other Credit Facilities or Receivables Financings. Agreements governing existing or future Indebtedness of the Company may contain prohibitions of certain events that would constitute a Change of Control or require such Indebtedness (including the 2018 Notes) to be repurchased or repaid upon a Change of Control. The Credit Agreement prohibits, and the agreements governing existing or future Indebtedness of the Company may prohibit, the Company from repurchasing the Notes upon a Change of Control unless the Indebtedness governed by the Credit Agreement or the agreements governing such existing or future Indebtedness, as the case may be, has been repurchased or repaid. Moreover, the exercise by the Holders of their right to require the Company to repurchase the Notes could cause a default under such agreements, even if the Change of Control itself does not, due to the financial effect of such repurchase on the Company. The Company’s ability to pay cash to the Holders upon a repurchase may be limited by the Company’s then existing financial resources. There can be no assurance that sufficient funds will be available when necessary to make any required repurchases. In addition, we cannot assure you that in the event of a Change of Control the Company will be able to obtain the consents necessary to consummate a Change of Control Offer from the lenders under agreements governing outstanding Indebtedness which may prohibit the offer. In addition, the definition of “Change of Control” under the Indenture may not correspond exactly to the definition of “change of control” (or similar term) under the Company’s other Indebtedness (including the 2018 Notes), and as a result, a “change of control” offer may be made to holders of all or some of such other Indebtedness after a transaction that does not constitute a Change of Control under the Indenture.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by Application of Excess Proceeds of 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90" w:lineRule="exact"/>
        <w:rPr>
          <w:sz w:val="20"/>
          <w:szCs w:val="20"/>
          <w:color w:val="auto"/>
        </w:rPr>
      </w:pPr>
    </w:p>
    <w:p>
      <w:pPr>
        <w:ind w:left="900" w:right="140" w:hanging="446"/>
        <w:spacing w:after="0" w:line="370"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Company (or the Restricted Subsidiary, as the case may be) receives consideration at the time of such Asset Sale at least equal to the fair market value of the assets or Equity Interests issued or sold or otherwise disposed of, as approved in good faith by the Company’s Board of Directors;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the Company or such Restricted Subsidiary is in the form of cash or Cash Equivalents. For purposes of this provision only (and specifically not for the purposes of the definition of “Net Proceeds”), each of the following shall be deemed to be cash:</w:t>
      </w:r>
    </w:p>
    <w:p>
      <w:pPr>
        <w:spacing w:after="0" w:line="59"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w:t>
      </w:r>
    </w:p>
    <w:p>
      <w:pPr>
        <w:spacing w:after="0" w:line="59" w:lineRule="exact"/>
        <w:rPr>
          <w:rFonts w:ascii="Arial" w:cs="Arial" w:eastAsia="Arial" w:hAnsi="Arial"/>
          <w:sz w:val="18"/>
          <w:szCs w:val="18"/>
          <w:color w:val="auto"/>
        </w:rPr>
      </w:pPr>
    </w:p>
    <w:p>
      <w:pPr>
        <w:ind w:left="1480" w:right="320" w:hanging="567"/>
        <w:spacing w:after="0" w:line="357"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the Company or any such Restricted Subsidiary from such transferee that within 90 days are converted by the Company or such Restricted Subsidiary into cash (to the extent of the cash received in that conversion); and</w:t>
      </w:r>
    </w:p>
    <w:p>
      <w:pPr>
        <w:ind w:left="1480" w:hanging="567"/>
        <w:spacing w:after="0" w:line="254"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the fair market value of (x) any assets (other than securities or current assets) received by the Company or any Restricted Subsidiary that will be used or useful in a Related Business, (y) Equity Interests in a Person that is a Restricted Subsidiary or in a Person engaged in a Related Business that shall become a Restricted Subsidiary immediately upon the acquisition of such Equity Interests by the Company or the applicable Restricted Subsidiary or (z) a combination of (x) and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determination of the fair market value of assets or Equity Interests in excess of $50.0 million received in any transaction or series of related transactions shall be evidenced by an officers’ certificate delivered to the Trustee.</w:t>
      </w:r>
    </w:p>
    <w:p>
      <w:pPr>
        <w:spacing w:after="0" w:line="1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Within a period of 360 days (commencing after December 16, 2010) before or after the receipt of any Net Proceeds of any Asset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during such 360-day period after the receipt of any such Net Proceeds the Company (or the applicable Restricted Subsidiary) enters into a definitive binding agreement committing it to apply such Net Proceeds in accordance with the requirements of clause (B), (D) or (E) of this paragraph after such 360th day, such 360-day period will be extended with respect to the amount of Net Proceeds so committed for a period not to exceed 120 days until such Net Proceeds are required to be applied in accordance with such agreement (or, if earlier, until termination of such agreement)), the Company or such Restricted Subsidiary, at its option, may apply an amount equal to the Net Proceeds from such Asset Sale:</w:t>
      </w:r>
    </w:p>
    <w:p>
      <w:pPr>
        <w:spacing w:after="0" w:line="39" w:lineRule="exact"/>
        <w:rPr>
          <w:sz w:val="20"/>
          <w:szCs w:val="20"/>
          <w:color w:val="auto"/>
        </w:rPr>
      </w:pPr>
    </w:p>
    <w:p>
      <w:pPr>
        <w:ind w:left="900" w:right="20" w:hanging="446"/>
        <w:spacing w:after="0" w:line="255"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repay, prepay, redeem or repurchase Indebtedness (other than securities) under Credit Facilities or Indebtedness of a Restricted Subsidiary that is not a Guarantor (other than Indebtedness of such Restricted Subsidiary owed to the Company or any of its Restricted Subsidiaries) and, in the case of any such Indebtedness under any revolving credit facility, effect a permanent reduction in the availability under such revolving credit facility (or effect a permanent reduction in the availability under such revolving credit facility regardless of the fact that no prepayment is required in order to do so (in which case no prepayment shall be required));</w:t>
      </w:r>
    </w:p>
    <w:p>
      <w:pPr>
        <w:spacing w:after="0" w:line="61" w:lineRule="exact"/>
        <w:rPr>
          <w:rFonts w:ascii="Arial" w:cs="Arial" w:eastAsia="Arial" w:hAnsi="Arial"/>
          <w:sz w:val="18"/>
          <w:szCs w:val="18"/>
          <w:color w:val="auto"/>
        </w:rPr>
      </w:pPr>
    </w:p>
    <w:p>
      <w:pPr>
        <w:ind w:left="900" w:right="34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acquire Equity Interests in a Person that is a Restricted Subsidiary or in a Person engaged in a Related Business that shall become a Restricted Subsidiary immediately upon the acquisition of such Equity Interests by the Company or the applicable Restricted Subsidiary;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Investments in Joint Ventures pursuant to clauses (13) and (14) of the definition of “Permitted Investments”;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(A), (B), (C), (D) and (E).</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Pending the final application of such Net Proceeds, the Company or any Restricted Subsidiary may temporarily reduce borrowings under the Credit Facilities or any other revolving credit facility or Receivables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Financings, if any, or otherwise invest such Net Proceeds in Cash Equivalents, in each case in a manner not prohibited by the Indenture. Subject to the last sentence of this paragraph, on the 361st day (as extended pursuant to the provisions in the preceding paragraph) after an Asset Sale or such earlier date, if any, as the Board of Directors of the Company or of such Restricted Subsidiary determines not to apply the Net Proceeds relating to such Asset Sale as set forth in clause (A), (B), (C), (D), (E) or (F) of the second preceding sentence (each, a “</w:t>
      </w:r>
      <w:r>
        <w:rPr>
          <w:rFonts w:ascii="Arial" w:cs="Arial" w:eastAsia="Arial" w:hAnsi="Arial"/>
          <w:sz w:val="15"/>
          <w:szCs w:val="15"/>
          <w:i w:val="1"/>
          <w:iCs w:val="1"/>
          <w:color w:val="auto"/>
        </w:rPr>
        <w:t>Net Proceeds Offer Trigger Date</w:t>
      </w:r>
      <w:r>
        <w:rPr>
          <w:rFonts w:ascii="Arial" w:cs="Arial" w:eastAsia="Arial" w:hAnsi="Arial"/>
          <w:sz w:val="15"/>
          <w:szCs w:val="15"/>
          <w:color w:val="auto"/>
        </w:rPr>
        <w:t>”), such aggregate amount of Net Proceeds which have not been applied (or committed to be applied pursuant to a definitive agreement as described above) on or before such Net Proceeds Offer Trigger Date as permitted in clauses (A), (B), (C), (D), (E) or (F) of the second preceding sentence (each a “</w:t>
      </w:r>
      <w:r>
        <w:rPr>
          <w:rFonts w:ascii="Arial" w:cs="Arial" w:eastAsia="Arial" w:hAnsi="Arial"/>
          <w:sz w:val="15"/>
          <w:szCs w:val="15"/>
          <w:i w:val="1"/>
          <w:iCs w:val="1"/>
          <w:color w:val="auto"/>
        </w:rPr>
        <w:t>Net Proceeds Offer Amount</w:t>
      </w:r>
      <w:r>
        <w:rPr>
          <w:rFonts w:ascii="Arial" w:cs="Arial" w:eastAsia="Arial" w:hAnsi="Arial"/>
          <w:sz w:val="15"/>
          <w:szCs w:val="15"/>
          <w:color w:val="auto"/>
        </w:rPr>
        <w:t>”) shall be applied by the Company or such Restricted Subsidiary to make an offer to purchase (the “</w:t>
      </w:r>
      <w:r>
        <w:rPr>
          <w:rFonts w:ascii="Arial" w:cs="Arial" w:eastAsia="Arial" w:hAnsi="Arial"/>
          <w:sz w:val="15"/>
          <w:szCs w:val="15"/>
          <w:i w:val="1"/>
          <w:iCs w:val="1"/>
          <w:color w:val="auto"/>
        </w:rPr>
        <w:t>Net Proceeds Offer</w:t>
      </w:r>
      <w:r>
        <w:rPr>
          <w:rFonts w:ascii="Arial" w:cs="Arial" w:eastAsia="Arial" w:hAnsi="Arial"/>
          <w:sz w:val="15"/>
          <w:szCs w:val="15"/>
          <w:color w:val="auto"/>
        </w:rPr>
        <w:t>”) on a date (the “</w:t>
      </w:r>
      <w:r>
        <w:rPr>
          <w:rFonts w:ascii="Arial" w:cs="Arial" w:eastAsia="Arial" w:hAnsi="Arial"/>
          <w:sz w:val="15"/>
          <w:szCs w:val="15"/>
          <w:i w:val="1"/>
          <w:iCs w:val="1"/>
          <w:color w:val="auto"/>
        </w:rPr>
        <w:t>Net Proceeds Offer Payment Date</w:t>
      </w:r>
      <w:r>
        <w:rPr>
          <w:rFonts w:ascii="Arial" w:cs="Arial" w:eastAsia="Arial" w:hAnsi="Arial"/>
          <w:sz w:val="15"/>
          <w:szCs w:val="15"/>
          <w:color w:val="auto"/>
        </w:rPr>
        <w:t xml:space="preserve">”) not less than 30 nor more than 60 days following the applicable Net Proceeds Offer Trigger Date, from all Holders (and, if required by the terms of any other Indebtedness of the Company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in right of payment and which has similar provisions requiring the Company either to make an offer to repurchase or to otherwise repurchase, redeem or repay such Indebtedness with the proceeds from Asset Sales, including the 2018 Notes and the related Guarantees thereof (the “</w:t>
      </w:r>
      <w:r>
        <w:rPr>
          <w:rFonts w:ascii="Arial" w:cs="Arial" w:eastAsia="Arial" w:hAnsi="Arial"/>
          <w:sz w:val="15"/>
          <w:szCs w:val="15"/>
          <w:i w:val="1"/>
          <w:iCs w:val="1"/>
          <w:color w:val="auto"/>
        </w:rPr>
        <w:t>Pari Passu Indebtedness</w:t>
      </w:r>
      <w:r>
        <w:rPr>
          <w:rFonts w:ascii="Arial" w:cs="Arial" w:eastAsia="Arial" w:hAnsi="Arial"/>
          <w:sz w:val="15"/>
          <w:szCs w:val="15"/>
          <w:color w:val="auto"/>
        </w:rPr>
        <w:t xml:space="preserve">”), from the holders of such Pari Passu Indebtedness)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(in proportion to the respective principal amounts or accreted value, as the case may be, of the Notes and any such Pari Passu Indebtedness) an aggregate principal amount of Notes (plus, if applicable, an aggregate principal amount or accreted value, as the case may be, of Pari Passu Indebtedness) equal to the Net Proceeds Offer Amount at a price equal to 100% of the principal amount of the Notes (or 100% of the principal amount or accreted value, as the case may be, of such Pari Passu Indebtedness), plus accrued and unpaid interest thereon, if any, to the Net Proceeds Offer Payment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at any time any non-cash consideration received by the Company or any Restricted Subsidiary, as the case may be, in connection with any Asset Sale is converted into or sold or otherwise disposed of for cash (other than interest received with respect to any such non-cash consideration), then such conversion or disposition shall be deemed to constitute an Asset Sale hereunder and the Net Proceeds thereof shall be applied in accordance with this covenant. The Company may defer the Net Proceeds Offer until there is an aggregate unutilized Net Proceeds Offer Amount equal to or in excess of $50.0 million resulting from one or more Asset Sales (at which time the entire unutilized Net Proceeds Offer Amount, and not just the amount in excess of $50.0 million, shall be applied as required pursuant to this paragraph, and in which case the Net Proceeds Offer Trigger Date shall be deemed to be the earliest date that the Net Proceeds Offer Amount is equal to or in excess of $50.0 million).</w:t>
      </w:r>
    </w:p>
    <w:p>
      <w:pPr>
        <w:spacing w:after="0" w:line="33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Each Net Proceeds Offer will be mailed to the record Holders as shown on the register of Holders within 25 days following the Net Proceeds Offer Trigger Date, with a copy to the Trustee, and shall comply with the procedures set forth in the Indenture. Upon receiving notice of the Net Proceeds Offer, Holders may elect to tender their Notes in whole or in part in denominations of $2,000 or integral multiples of $1,000 in excess thereof in exchange for cash. To the extent that the aggregate principal amount of Notes (plus, if applicable, the aggregate principal amount or accreted value, as the case may be, of Pari Passu Indebtedness) validly tendered by the Holders thereof and not withdrawn exceeds the Net Proceeds Offer Amount, Notes of tendering Holders (and, if applicable, Pari Passu Indebtedness tendered by the holders thereof) will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principal amount of the Notes and, if applicable, the principal amount or accreted value, as the case may be, of any such Pari Passu Indebtedness tendered and not withdrawn). To the extent that the aggregate amount of the Notes (plus, if applicable, the aggregate principal amount or accreted value, as the case may be, of any Pari Passu Indebtedness) tendered pursuant to a Net Proceeds Offer is less than the Net Proceeds Offer Amount, the Company may use such excess Net Proceeds Offer Amount for general corporate purposes or for any other purpose not prohibited by the Indenture. Upon completion of any such Net Proceeds Offer, the Net Proceeds Offer Amount shall be reset at zero. A Net Proceeds Offer shall remain open for a period of 20 Business Days or such longer period as may be required by law.</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“Asset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Sale” provisions of the Indenture, the Company or such Restricted Subsidiary shall comply with the applicable securities laws and regulations and shall not be deemed to have breached its obligations under the “Asset Sale” provisions of the Indenture by virtue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Suspension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on any date following December 16, 2010 the Notes have an Investment Grade Rating from both Rating Agencies and no Default or Event of Default has occurred and is continuing under the Indenture, then beginning on that day and subject to the provisions of the following paragraph, the provisions specifically listed under the following captions in this prospectus will be suspended:</w:t>
      </w:r>
    </w:p>
    <w:p>
      <w:pPr>
        <w:spacing w:after="0" w:line="59"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“—Repurchase at the Option of Holders—Offer to Repurchase by Application of Excess Proceeds of Asset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“—Incurrence of Indebtedness and Issuance of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on Layering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clause (a)(ii) of “—Certain Covenants—Merger, Consolidation or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 The period during which covenants are suspended pursuant to this section is called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that the Company and the Restricted Subsidiaries are not subject to the Suspended Covenants for any period of time as a result of the second preceding sentence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Payments made after the time of such withdrawal, Default or Event of Default will be calculated in accordance with the terms of the covenant described below under the caption “—Restricted Payments” and “—Incurrence of Indebtedness and Issuance of Preferred Stock” as though such covenant had been in effect during the entire period of time from December 16, 2010. Notwithstanding the foregoing and any other provision of the Indenture, the Notes or the Guarantees, no Default or Event of Default shall be deemed to exist under the Indenture, the Notes or the Guarantees with respect to the Suspended Covenants based on, and none of the Company or any of the Subsidiaries shall bear any liability with respect to the Suspended Covenants for, (a) any actions taken or events occurring during a Suspension Period (including without limitation any agreements, Liens, preferred stock, obligations (including Indebtedness), or of any other facts or circumstances or obligations that were incurred or otherwise came into existence during a Suspension Period) or (b) 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and will not permit any of its Restricted Subsidiaries to, directly or indirectly:</w:t>
      </w:r>
    </w:p>
    <w:p>
      <w:pPr>
        <w:spacing w:after="0" w:line="90" w:lineRule="exact"/>
        <w:rPr>
          <w:sz w:val="20"/>
          <w:szCs w:val="20"/>
          <w:color w:val="auto"/>
        </w:rPr>
      </w:pPr>
    </w:p>
    <w:p>
      <w:pPr>
        <w:ind w:left="900" w:right="12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the Company’s Equity Interests (including, without limitation, any payment in connection with any merger or consolidation involving the Company) or to the direct or indirect holders of the Company’s Equity Interests in their capacity as such (other than dividends or distributions payable in Equity Interests (other than Disqualified Stock)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5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 and</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w:t>
      </w:r>
    </w:p>
    <w:p>
      <w:pPr>
        <w:spacing w:after="0" w:line="6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after the date of the Indenture (excluding Restricted Payments permitted by clause (2), (3), (4), (5) or (6) of the next succeeding paragraph), is less than the sum, without duplication, of:</w:t>
      </w:r>
    </w:p>
    <w:p>
      <w:pPr>
        <w:spacing w:after="0" w:line="59" w:lineRule="exact"/>
        <w:rPr>
          <w:rFonts w:ascii="Arial" w:cs="Arial" w:eastAsia="Arial" w:hAnsi="Arial"/>
          <w:sz w:val="18"/>
          <w:szCs w:val="18"/>
          <w:color w:val="auto"/>
        </w:rPr>
      </w:pPr>
    </w:p>
    <w:p>
      <w:pPr>
        <w:ind w:left="1480" w:right="40" w:hanging="567"/>
        <w:spacing w:after="0" w:line="256"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the Company for the period (taken as one accounting period) commencing on the first day of the fiscal quarter in which the 2018 Notes Issue Date occurred to and ending on the last day of the fiscal quarter ended immediately prior to the date of such calculation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480" w:right="120" w:hanging="567"/>
        <w:spacing w:after="0" w:line="255"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property other than cash)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61"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date of the Indenture is sold for cash or otherwise liquidated or repaid for cash, the lesser of (x) the cash return of capital with respect to such Restricted Investment (less the cost of disposition, if any) and (y) the initial amount of such Restricted Investment; </w:t>
      </w:r>
      <w:r>
        <w:rPr>
          <w:rFonts w:ascii="Arial" w:cs="Arial" w:eastAsia="Arial" w:hAnsi="Arial"/>
          <w:sz w:val="18"/>
          <w:szCs w:val="18"/>
          <w:i w:val="1"/>
          <w:iCs w:val="1"/>
          <w:color w:val="auto"/>
        </w:rPr>
        <w:t>plus</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upon redesignation of an Unrestricted Subsidiary as a Restricted Subsidiary, the fair market value of such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preceding provision will not prohibit:</w:t>
      </w:r>
    </w:p>
    <w:p>
      <w:pPr>
        <w:spacing w:after="0" w:line="90" w:lineRule="exact"/>
        <w:rPr>
          <w:sz w:val="20"/>
          <w:szCs w:val="20"/>
          <w:color w:val="auto"/>
        </w:rPr>
      </w:pPr>
    </w:p>
    <w:p>
      <w:pPr>
        <w:ind w:left="900" w:right="28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thereof, if at said date of declaration such payment would have complied with the provisions of the Indenture;</w:t>
      </w:r>
    </w:p>
    <w:p>
      <w:pPr>
        <w:spacing w:after="0" w:line="50" w:lineRule="exact"/>
        <w:rPr>
          <w:rFonts w:ascii="Arial" w:cs="Arial" w:eastAsia="Arial" w:hAnsi="Arial"/>
          <w:sz w:val="18"/>
          <w:szCs w:val="18"/>
          <w:color w:val="auto"/>
        </w:rPr>
      </w:pPr>
    </w:p>
    <w:p>
      <w:pPr>
        <w:ind w:left="900" w:right="300" w:hanging="446"/>
        <w:spacing w:after="0" w:line="370"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redemption, repurchase, retirement, defeasance or other acquisition of any subordinated Indebtedness of the Company or any of its Restricted Subsidiaries or any Equity Interests of the Company or any of its Restricted Subsidiaries in exchange for, or out of the net cash proceeds of the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 xml:space="preserve">substantially concurrent sale (other than to a Restricted Subsidiary of the Company) of, Equity Interests of the Company (other than Disqualified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redemption, repurchase, retirement, defeasance or other acquisition shall be excluded from clause (c)(ii) of the preceding paragraph;</w:t>
      </w:r>
    </w:p>
    <w:p>
      <w:pPr>
        <w:spacing w:after="0" w:line="59" w:lineRule="exact"/>
        <w:rPr>
          <w:sz w:val="20"/>
          <w:szCs w:val="20"/>
          <w:color w:val="auto"/>
        </w:rPr>
      </w:pPr>
    </w:p>
    <w:p>
      <w:pPr>
        <w:ind w:left="900" w:right="20" w:hanging="446"/>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redemption, repurchase, retirement, defeasance or other acquisition of subordinated Indebtedness or Disqualified Stock of the Company or any of its Restricted Subsidiaries with the net cash proceeds from an incurrence of Permitted Refinancing Indebtedness;</w:t>
      </w:r>
    </w:p>
    <w:p>
      <w:pPr>
        <w:spacing w:after="0" w:line="4" w:lineRule="exact"/>
        <w:rPr>
          <w:rFonts w:ascii="Arial" w:cs="Arial" w:eastAsia="Arial" w:hAnsi="Arial"/>
          <w:sz w:val="16"/>
          <w:szCs w:val="16"/>
          <w:color w:val="auto"/>
        </w:rPr>
      </w:pPr>
    </w:p>
    <w:p>
      <w:pPr>
        <w:ind w:left="900" w:right="26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Equity Interests of the Company or any Restricted Subsidiary of the Company held by any member of the Company’s (or any of its Restricted Subsidiaries’) management pursuant to any management equity subscription agreement or stock option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price paid for all such repurchased, redeemed, acquired or retired Equity Interests shall not exceed $7.5 million in any twelve-month period;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Restricted Payments in an amount not to exceed $100.0 million;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Permitted Additional Restricted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 (4), (5) or (6), no Default shall have occurred and be continuing.</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approved in good faith by the Board of Directors whose resolution with respect thereto shall be delivered to the Trustee. Not later than the date of making any Restricted Payment other than payments pursuant to clause (2), (3), (4) or (5) of the preceding paragraph, the Company shall deliver to the Trustee an officers’ certificate stating that such Restricted Payment is permitted and setting forth the basis upon which the calculations required by this “Restricted Payments” covenant were computed.</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Board of Directors may designate any Restricted Subsidiary to be an Unrestricted Subsidiary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Payments under the first paragraph of this covenant or Permitted Investments, as applicable. All such outstanding Investments will be treated as Restricted Investments equal to the fair market value of such Investments at the time of the designation. The designation will not be permitted if such Restricted Payment would not be permitted at that time and if such Restricted Subsidiary does not otherwise meet the definition of an Unrestricted Subsidiary. The Board of Directors may redesignate any Unrestricted Subsidiary to be a Restricted Subsidiary in accordance with the definition of “Unrestricted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the Company will not issue any Disqualified Stock and will not permit any of its Restricted Subsidiaries that is not a Guarantor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Company and any of the Guarantors may incur Indebtedness (including Acquired Debt) or issue Disqualified Stock,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Guarantors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13" w:lineRule="exact"/>
        <w:rPr>
          <w:sz w:val="20"/>
          <w:szCs w:val="20"/>
          <w:color w:val="auto"/>
        </w:rPr>
      </w:pPr>
    </w:p>
    <w:p>
      <w:pPr>
        <w:ind w:left="900" w:right="20" w:hanging="446"/>
        <w:spacing w:after="0" w:line="291"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incurrence by the Company and its Restricted Subsidiaries of Indebtedness and letters of credit under Credit Facilities in an aggregate amount (with letters of credit being deemed to have an amount equal to the maximum potential liability of the Company and its Restricted Subsidiaries thereunder) not to exceed $2.25 billion,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sum of (i) the aggregate amount of all Net Proceeds of Asset Sales applied by the Company or any of its Restricted Subsidiaries to repay Indebtedness under Credit Facilities pursuant to the covenant described above under the caption “—Repurchase at the Option of Holders—Offer to Repurchase by Application of Excess Proceeds of Asset Sales” and (ii) the amount of Indebtedness in excess of $150.0 million incurred pursuant to clause (10) below of this paragraph;</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(excluding any Additional Notes), the Subsidiary Guarantees of all Notes, the 2018 Notes and Subsidiary Guarantees of all 2018 Notes;</w:t>
      </w:r>
    </w:p>
    <w:p>
      <w:pPr>
        <w:spacing w:after="0" w:line="50" w:lineRule="exact"/>
        <w:rPr>
          <w:rFonts w:ascii="Arial" w:cs="Arial" w:eastAsia="Arial" w:hAnsi="Arial"/>
          <w:sz w:val="18"/>
          <w:szCs w:val="18"/>
          <w:color w:val="auto"/>
        </w:rPr>
      </w:pPr>
    </w:p>
    <w:p>
      <w:pPr>
        <w:ind w:left="900" w:right="40" w:hanging="446"/>
        <w:spacing w:after="0" w:line="294"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assets used in the business of the Company or such Restricted Subsidiary, or in respect of a Sale and Leaseback Transaction, in an aggregate principal amount, and all Indebtedness incurred to refund, refinance or replace any Indebtedness incurred pursuant to this clause (4), not to exceed $50.0 million at any time outstanding;</w:t>
      </w:r>
    </w:p>
    <w:p>
      <w:pPr>
        <w:spacing w:after="0" w:line="34"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refund, refinance or replace, Indebtedness incurred under clause (2) or (3) above or this clause (5) or pursuant to the first paragraph of this covenant;</w:t>
      </w:r>
    </w:p>
    <w:p>
      <w:pPr>
        <w:spacing w:after="0" w:line="59"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50" w:lineRule="exact"/>
        <w:rPr>
          <w:rFonts w:ascii="Arial" w:cs="Arial" w:eastAsia="Arial" w:hAnsi="Arial"/>
          <w:sz w:val="18"/>
          <w:szCs w:val="18"/>
          <w:color w:val="auto"/>
        </w:rPr>
      </w:pPr>
    </w:p>
    <w:p>
      <w:pPr>
        <w:ind w:left="1480" w:right="20" w:hanging="567"/>
        <w:spacing w:after="0" w:line="306"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25" w:lineRule="exact"/>
        <w:rPr>
          <w:rFonts w:ascii="Arial" w:cs="Arial" w:eastAsia="Arial" w:hAnsi="Arial"/>
          <w:sz w:val="16"/>
          <w:szCs w:val="16"/>
          <w:color w:val="auto"/>
        </w:rPr>
      </w:pPr>
    </w:p>
    <w:p>
      <w:pPr>
        <w:ind w:left="1480" w:right="80" w:hanging="567"/>
        <w:spacing w:after="0" w:line="298"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31"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hedging purposes of the Company or any Restricted Subsidiary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 (a) such Hedging Obligations relate to payment obligations on Indebtedness otherwise permitted to be incurred by this covenant and (b) the notional principal amount of such Hedging Obligations at the time incurred does not exceed the principal amount of the Indebtedness to which such Hedging Obligations relate;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covenant and could have been incurred (in compliance with this covenant) by the Person so guaranteeing such Indebtedness;</w:t>
      </w:r>
    </w:p>
    <w:p>
      <w:pPr>
        <w:spacing w:after="0" w:line="59" w:lineRule="exact"/>
        <w:rPr>
          <w:rFonts w:ascii="Arial" w:cs="Arial" w:eastAsia="Arial" w:hAnsi="Arial"/>
          <w:sz w:val="18"/>
          <w:szCs w:val="18"/>
          <w:color w:val="auto"/>
        </w:rPr>
      </w:pPr>
    </w:p>
    <w:p>
      <w:pPr>
        <w:ind w:left="900" w:right="160" w:hanging="446"/>
        <w:spacing w:after="0" w:line="305"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the incurrence by any of the Company’s Foreign Subsidiaries of Indebtedness in an aggregate principal amount, including all Indebtedness incurred to refund, refinance or replace any Indebtedness incurred pursuant to this clause (9), not to exceed (x) $75.0 million at any time outstanding </w:t>
      </w:r>
      <w:r>
        <w:rPr>
          <w:rFonts w:ascii="Arial" w:cs="Arial" w:eastAsia="Arial" w:hAnsi="Arial"/>
          <w:sz w:val="15"/>
          <w:szCs w:val="15"/>
          <w:i w:val="1"/>
          <w:iCs w:val="1"/>
          <w:color w:val="auto"/>
        </w:rPr>
        <w:t>plus</w:t>
      </w:r>
    </w:p>
    <w:p>
      <w:pPr>
        <w:ind w:left="900" w:right="320"/>
        <w:spacing w:after="0" w:line="261" w:lineRule="auto"/>
        <w:rPr>
          <w:rFonts w:ascii="Arial" w:cs="Arial" w:eastAsia="Arial" w:hAnsi="Arial"/>
          <w:sz w:val="15"/>
          <w:szCs w:val="15"/>
          <w:color w:val="auto"/>
        </w:rPr>
      </w:pPr>
      <w:r>
        <w:rPr>
          <w:rFonts w:ascii="Arial" w:cs="Arial" w:eastAsia="Arial" w:hAnsi="Arial"/>
          <w:sz w:val="18"/>
          <w:szCs w:val="18"/>
          <w:color w:val="auto"/>
        </w:rPr>
        <w:t xml:space="preserve">(y) $65.0 million at any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Indebtedness under this subclause (y) shall be supported by a letter of credit incurred under one or more Credit Facilities pursuant to clause (1) of this paragraph;</w:t>
      </w:r>
    </w:p>
    <w:p>
      <w:pPr>
        <w:spacing w:after="0" w:line="56" w:lineRule="exact"/>
        <w:rPr>
          <w:rFonts w:ascii="Arial" w:cs="Arial" w:eastAsia="Arial" w:hAnsi="Arial"/>
          <w:sz w:val="15"/>
          <w:szCs w:val="15"/>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pursuant to a Receivables Financing;</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59"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Indebtedness of the Company or any of its Restricted Subsidiaries in respect of security for workers’ compensation claims, payment obligations in connection with self-insurance, performance bonds, surety bonds or similar requirements in the ordinary course of business;</w:t>
      </w:r>
    </w:p>
    <w:p>
      <w:pPr>
        <w:spacing w:after="0" w:line="4"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indemnification, adjustment of purchase price, earn-out or similar obligations, in each case, incurred or assumed in connection with the acquisition or disposition of any business or assets of the Company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any amount of such obligations included on the face of the balance sheet of the Company or any Restricted Subsidiary shall not be permitted under this clause (13) and (b) in the case of a disposition, the maximum aggregate liability in respect of all such obligations outstanding under this clause (13) shall at no time exceed the gross proceeds actually received by the Company and the Restricted Subsidiaries in connection with such disposition; and</w:t>
      </w:r>
    </w:p>
    <w:p>
      <w:pPr>
        <w:spacing w:after="0" w:line="37"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Indebtedness incurred to refund, refinance or replace any Indebtedness incurred pursuant to this clause (14), not to exceed $100.0 million.</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thereof is included in Fixed Charges of the Company as accrued. Notwithstanding the foregoing, any Indebtedness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pursuant to the Credit Agreement on the date of the Indenture will be deemed to have been incurred pursuant to clause (1) of the definition of “Permitted Debt.”</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Notwithstanding the foregoing, the maximum amount of Indebtedness that may be incurred pursuant to this covenant shall not be deemed to be exceeded with respect to any outstanding Indebtedness due solely to the result of fluctuations in the exchange rates of currencies.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For purposes of determining compliance with any U.S. dollar denominated restriction on the incurrence of Indebtedness where the Indebtedness incurred is denominated in a different currency, the amount of such Indebtedness will be the U.S. Dollar Equivalent determined on the date of the incurrence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Indebtedness denominated in a different currency is subject to a Currency Protection Agreement with respect to U.S. dollars covering all principal, premium, if any, and interest payable on such Indebtedness, the amount of such Indebtedness expressed in U.S. dollars will be as provided in such Currency Protection Agreement.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Protection Agreement, in which case the Permitted Refinancing Indebtedness will be determined in accordance with the preceding sentence, and (2) the principal amount of the Permitted Refinancing Indebtedness exceeds the principal amount of the Indebtedness being refinanced, in which case the U.S. Dollar Equivalent of such excess, as appropriate, will be determined on the date such Permitted Refinancing Debt is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Layering Indebtedness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will not, and will not permit any Restricted Subsidiary to, directly or indirectly, incur any Indebtedness that is or purports to be by its terms (or by the terms of any agreement governing such Indebtedness) subordinated in right of payment to any other Indebtedness of the Company or of such Restricted Subsidiary, as the case may be, unless such Indebtedness is also by its terms (or by the terms of any agreement governing such Indebtedness) made expressly subordinated in the right of payment to the Notes or the Subsidiary Guarantee of such Restricted Subsidiary, to the same extent and in the same manner as such Indebtedness is subordinated in right of payment to such other Indebtedness of the Company or such Restricted Subsidiary, as the case may be.</w:t>
      </w:r>
    </w:p>
    <w:p>
      <w:pPr>
        <w:spacing w:after="0" w:line="10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purposes of the foregoing, no Indebtedness will be deemed to be subordinated in right of payment to any other Indebtedness of the Company or any Restricted Subsidiary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in each case, Permitted Liens, unless the Notes and the Guarantees, as applicable, are</w:t>
      </w:r>
    </w:p>
    <w:p>
      <w:pPr>
        <w:spacing w:after="0" w:line="62" w:lineRule="exact"/>
        <w:rPr>
          <w:sz w:val="20"/>
          <w:szCs w:val="20"/>
          <w:color w:val="auto"/>
        </w:rPr>
      </w:pPr>
    </w:p>
    <w:p>
      <w:pPr>
        <w:ind w:left="900" w:right="18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or a Subsidiary Guarantee, effective provision is made to secure the Notes or such Subsidiary Guarantee, as the case may be, at least equally and ratably with or prior to such obligation with a Lien on the same assets of the Company or such Restricted Subsidiary, as the case may be; and</w:t>
      </w:r>
    </w:p>
    <w:p>
      <w:pPr>
        <w:spacing w:after="0" w:line="59"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case of any Lien securing an obligation that is subordinated in right of payment to the Notes or a Subsidiary Guarantee, effective provision is made to secure the Notes or such Subsidiary Guarantee, as the case may be, with a Lien on the same assets of the Company or such Restricted Subsidiary, as the case may be, that is prior to the Lien securing such subordinated obligation,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each case, for so long as such Obligation is secured by such Lien.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51" w:lineRule="exact"/>
        <w:rPr>
          <w:sz w:val="20"/>
          <w:szCs w:val="20"/>
          <w:color w:val="auto"/>
        </w:rPr>
      </w:pPr>
    </w:p>
    <w:p>
      <w:pPr>
        <w:ind w:left="90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the Company’s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900" w:right="320" w:hanging="446"/>
        <w:spacing w:after="0" w:line="294"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Existing Indebtedness, the 2018 Notes, the 2018 Notes Indenture and the Credit Agreement as in effect on the date of the Indenture and any amendments, modifications, restatements, renewals, increases, supplements, refundings, replacements or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Existing Indebtedness, the 2018 Notes, the 2018 Notes Indenture or the Credit Agreement, as in effect on the date of the Indenture;</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Indenture, the Notes and the Guarantees;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applicable law;</w:t>
      </w:r>
    </w:p>
    <w:p>
      <w:pPr>
        <w:spacing w:after="0" w:line="90" w:lineRule="exact"/>
        <w:rPr>
          <w:rFonts w:ascii="Arial" w:cs="Arial" w:eastAsia="Arial" w:hAnsi="Arial"/>
          <w:sz w:val="18"/>
          <w:szCs w:val="18"/>
          <w:color w:val="auto"/>
        </w:rPr>
      </w:pPr>
    </w:p>
    <w:p>
      <w:pPr>
        <w:ind w:left="900" w:right="20" w:hanging="446"/>
        <w:spacing w:after="0" w:line="323"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Indebtedness, such Indebtedness was permitted by the terms of the Indenture to be incurred;</w:t>
      </w:r>
    </w:p>
    <w:p>
      <w:pPr>
        <w:spacing w:after="0" w:line="16" w:lineRule="exact"/>
        <w:rPr>
          <w:rFonts w:ascii="Arial" w:cs="Arial" w:eastAsia="Arial" w:hAnsi="Arial"/>
          <w:sz w:val="15"/>
          <w:szCs w:val="15"/>
          <w:color w:val="auto"/>
        </w:rPr>
      </w:pPr>
    </w:p>
    <w:p>
      <w:pPr>
        <w:ind w:left="900" w:right="7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customary non-assignment provisions in leases, licenses, contracts and other agreements entered into in the ordinary course of business and consistent with past practices;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that impose restrictions on the property so acquired of the nature described in clause (3) of the preceding paragraph;</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such Restricted Subsidiary pending its sale or other disposition;</w:t>
      </w:r>
    </w:p>
    <w:p>
      <w:pPr>
        <w:spacing w:after="0" w:line="50" w:lineRule="exact"/>
        <w:rPr>
          <w:rFonts w:ascii="Arial" w:cs="Arial" w:eastAsia="Arial" w:hAnsi="Arial"/>
          <w:sz w:val="18"/>
          <w:szCs w:val="18"/>
          <w:color w:val="auto"/>
        </w:rPr>
      </w:pPr>
    </w:p>
    <w:p>
      <w:pPr>
        <w:ind w:left="900" w:right="160" w:hanging="446"/>
        <w:spacing w:after="0" w:line="357"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Permitted Refinancing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ind w:left="900" w:right="16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agreement creating a Lien securing Indebtedness otherwise permitted to be incurred pursuant to the provisions of the covenant described above under the caption “—Liens,” to the extent limiting the right of the Company or any of its Restricted Subsidiaries to dispose of the assets subject to such Lien;</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and other similar agreements entered into in the ordinary course of business;</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customary provisions applicable to Foreign Subsidiaries under Indebtedness of Foreign Subsidiaries permitted to be incurred under the Indenture and in “support agreements” and Guarantees of any such Indebtedness;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customary restrictions under Receivables Financings permitted to be incurred under the Indenture;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operating lease or Capital Lease Obligation, insofar as the provisions thereof limit the grant of a security interest in, or other assignment of, the related leasehold interest to any other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0" w:lineRule="exact"/>
        <w:rPr>
          <w:sz w:val="20"/>
          <w:szCs w:val="20"/>
          <w:color w:val="auto"/>
        </w:rPr>
      </w:pPr>
    </w:p>
    <w:p>
      <w:pPr>
        <w:ind w:left="900" w:right="140" w:hanging="446"/>
        <w:spacing w:after="0" w:line="298"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will not, directly or indirectly,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31" w:lineRule="exact"/>
        <w:rPr>
          <w:rFonts w:ascii="Arial" w:cs="Arial" w:eastAsia="Arial" w:hAnsi="Arial"/>
          <w:sz w:val="16"/>
          <w:szCs w:val="16"/>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90" w:lineRule="exact"/>
        <w:rPr>
          <w:rFonts w:ascii="Arial" w:cs="Arial" w:eastAsia="Arial" w:hAnsi="Arial"/>
          <w:sz w:val="18"/>
          <w:szCs w:val="18"/>
          <w:color w:val="auto"/>
        </w:rPr>
      </w:pPr>
    </w:p>
    <w:p>
      <w:pPr>
        <w:ind w:left="1920" w:right="500" w:hanging="440"/>
        <w:spacing w:after="0" w:line="306" w:lineRule="auto"/>
        <w:tabs>
          <w:tab w:leader="none" w:pos="1920"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as an entirety or substantially as an entirety (the “</w:t>
      </w:r>
      <w:r>
        <w:rPr>
          <w:rFonts w:ascii="Arial" w:cs="Arial" w:eastAsia="Arial" w:hAnsi="Arial"/>
          <w:sz w:val="16"/>
          <w:szCs w:val="16"/>
          <w:i w:val="1"/>
          <w:iCs w:val="1"/>
          <w:color w:val="auto"/>
        </w:rPr>
        <w:t>Surviving Entity</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2380" w:right="360" w:hanging="441"/>
        <w:spacing w:after="0" w:line="268" w:lineRule="auto"/>
        <w:tabs>
          <w:tab w:leader="none" w:pos="2380" w:val="left"/>
        </w:tabs>
        <w:numPr>
          <w:ilvl w:val="3"/>
          <w:numId w:val="61"/>
        </w:numPr>
        <w:rPr>
          <w:rFonts w:ascii="Arial" w:cs="Arial" w:eastAsia="Arial" w:hAnsi="Arial"/>
          <w:sz w:val="18"/>
          <w:szCs w:val="18"/>
          <w:color w:val="auto"/>
        </w:rPr>
      </w:pPr>
      <w:r>
        <w:rPr>
          <w:rFonts w:ascii="Arial" w:cs="Arial" w:eastAsia="Arial" w:hAnsi="Arial"/>
          <w:sz w:val="18"/>
          <w:szCs w:val="18"/>
          <w:color w:val="auto"/>
        </w:rPr>
        <w:t>shall be a corporation organized and validly existing under the laws of the United States, any State thereof or the District of Columbia and</w:t>
      </w:r>
    </w:p>
    <w:p>
      <w:pPr>
        <w:spacing w:after="0" w:line="50" w:lineRule="exact"/>
        <w:rPr>
          <w:rFonts w:ascii="Arial" w:cs="Arial" w:eastAsia="Arial" w:hAnsi="Arial"/>
          <w:sz w:val="18"/>
          <w:szCs w:val="18"/>
          <w:color w:val="auto"/>
        </w:rPr>
      </w:pPr>
    </w:p>
    <w:p>
      <w:pPr>
        <w:ind w:left="2380" w:right="100" w:hanging="441"/>
        <w:spacing w:after="0" w:line="256" w:lineRule="auto"/>
        <w:tabs>
          <w:tab w:leader="none" w:pos="2380" w:val="left"/>
        </w:tabs>
        <w:numPr>
          <w:ilvl w:val="3"/>
          <w:numId w:val="61"/>
        </w:numPr>
        <w:rPr>
          <w:rFonts w:ascii="Arial" w:cs="Arial" w:eastAsia="Arial" w:hAnsi="Arial"/>
          <w:sz w:val="18"/>
          <w:szCs w:val="18"/>
          <w:color w:val="auto"/>
        </w:rPr>
      </w:pPr>
      <w:r>
        <w:rPr>
          <w:rFonts w:ascii="Arial" w:cs="Arial" w:eastAsia="Arial" w:hAnsi="Arial"/>
          <w:sz w:val="18"/>
          <w:szCs w:val="18"/>
          <w:color w:val="auto"/>
        </w:rPr>
        <w:t>shall expressly assume, by supplemental indenture (in form and substance reasonably satisfactory to the Trustee), executed and delivered to the Trustee, the due and punctual payment of the principal of and premium, if any, and interest on all of the Notes and the performance of every covenant of the Notes, the Indenture and the Registration Rights Agreement on the part of the Company to be performed or observed;</w:t>
      </w:r>
    </w:p>
    <w:p>
      <w:pPr>
        <w:spacing w:after="0" w:line="62" w:lineRule="exact"/>
        <w:rPr>
          <w:sz w:val="20"/>
          <w:szCs w:val="20"/>
          <w:color w:val="auto"/>
        </w:rPr>
      </w:pPr>
    </w:p>
    <w:p>
      <w:pPr>
        <w:ind w:left="1480" w:hanging="567"/>
        <w:spacing w:after="0" w:line="294" w:lineRule="auto"/>
        <w:tabs>
          <w:tab w:leader="none" w:pos="1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immediately after giving pro forma effect to such transaction or series of transactions and the assumption contemplated by clause (i)(2)(y) above (including giving effect to any Indebtedness and Acquired Debt, in each case, incurred or anticipated to be incurred in connection with or in respect of such transaction), the Company or such Surviving Entity, as the case may be, shall be able to incur at least $1.00 of additional Indebtedness (other than Permitted Debt) pursuant to the covenant described under “—Incurrence of Indebtedness and Issuance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(ii) shall not apply during any Suspension Period;</w:t>
      </w:r>
    </w:p>
    <w:p>
      <w:pPr>
        <w:spacing w:after="0" w:line="34" w:lineRule="exact"/>
        <w:rPr>
          <w:rFonts w:ascii="Arial" w:cs="Arial" w:eastAsia="Arial" w:hAnsi="Arial"/>
          <w:sz w:val="16"/>
          <w:szCs w:val="16"/>
          <w:color w:val="auto"/>
        </w:rPr>
      </w:pPr>
    </w:p>
    <w:p>
      <w:pPr>
        <w:ind w:left="1480" w:right="60" w:hanging="567"/>
        <w:spacing w:after="0" w:line="256"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and the assumption contemplated by clause (i)(2)(y)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62" w:lineRule="exact"/>
        <w:rPr>
          <w:rFonts w:ascii="Arial" w:cs="Arial" w:eastAsia="Arial" w:hAnsi="Arial"/>
          <w:sz w:val="18"/>
          <w:szCs w:val="18"/>
          <w:color w:val="auto"/>
        </w:rPr>
      </w:pPr>
    </w:p>
    <w:p>
      <w:pPr>
        <w:ind w:left="1480" w:hanging="567"/>
        <w:spacing w:after="0" w:line="298" w:lineRule="auto"/>
        <w:tabs>
          <w:tab w:leader="none" w:pos="1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or such Surviving Entity, as the case may be,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complies with the applicable provisions of the Indenture and that all conditions precedent in the Indenture relating to such transaction have been satisfied.</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the foregoing, the merger of the Company with an Affiliate incorporated solely for the purpose of reincorporating the Company in another jurisdiction shall be permitted without regard to clause (ii)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immediately preceding paragraph. 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of the properties and assets of the Company.</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Indenture provides that upon any consolidation or merger of the Company or any sale, assignment, transfer, lease, conveyance or other disposition of all or substantially all of the assets of the Company in accordance with the foregoing in which the Company is not the continuing corporation, the successor Person formed by such consolidation or into which the Company is merged or to which such sale, assignment, transfer, lease, conveyance or other disposition is made shall succeed to, and be substituted for, and may exercise every right and power of, the Company under the Indenture, the Notes and the Registration Rights Agreement with the same effect as if such Surviving Entity had been named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the Indenture, the Notes or the Registration Rights Agreement in the case of a lease.</w:t>
      </w:r>
    </w:p>
    <w:p>
      <w:pPr>
        <w:spacing w:after="0" w:line="39" w:lineRule="exact"/>
        <w:rPr>
          <w:sz w:val="20"/>
          <w:szCs w:val="20"/>
          <w:color w:val="auto"/>
        </w:rPr>
      </w:pPr>
    </w:p>
    <w:p>
      <w:pPr>
        <w:ind w:left="900" w:right="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50" w:lineRule="exact"/>
        <w:rPr>
          <w:rFonts w:ascii="Arial" w:cs="Arial" w:eastAsia="Arial" w:hAnsi="Arial"/>
          <w:sz w:val="18"/>
          <w:szCs w:val="18"/>
          <w:color w:val="auto"/>
        </w:rPr>
      </w:pPr>
    </w:p>
    <w:p>
      <w:pPr>
        <w:jc w:val="both"/>
        <w:ind w:left="1480" w:right="520" w:hanging="567"/>
        <w:spacing w:after="0" w:line="306"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on its Guarantee;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the use of any net proceeds therefrom on a pro forma basis, the Company could satisfy the provisions of clause (a)(ii) of this covenant.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the foregoing, the requirements of the immediately preceding paragraph will not apply to any transaction pursuant to which such Guarantor is permitted to be released from its Subsidiary Guarantee in accordance with the provisions described under the last paragraph of “Brief Description of the Notes and the Guarantees—The Subsidiary Guarantees.”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unless:</w:t>
      </w:r>
    </w:p>
    <w:p>
      <w:pPr>
        <w:spacing w:after="0" w:line="62" w:lineRule="exact"/>
        <w:rPr>
          <w:sz w:val="20"/>
          <w:szCs w:val="20"/>
          <w:color w:val="auto"/>
        </w:rPr>
      </w:pPr>
    </w:p>
    <w:p>
      <w:pPr>
        <w:ind w:left="90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 less favorable to the Company or the relevant Restricted Subsidiary than those that would have been obtained in a comparable transaction at such time by the Company or such Restricted Subsidiary with an unrelated Person;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90" w:lineRule="exact"/>
        <w:rPr>
          <w:rFonts w:ascii="Arial" w:cs="Arial" w:eastAsia="Arial" w:hAnsi="Arial"/>
          <w:sz w:val="18"/>
          <w:szCs w:val="18"/>
          <w:color w:val="auto"/>
        </w:rPr>
      </w:pPr>
    </w:p>
    <w:p>
      <w:pPr>
        <w:ind w:left="1480" w:right="440" w:hanging="567"/>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$25.0 million, a resolution of the Board of Directors set forth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spacing w:after="0" w:line="268" w:lineRule="auto"/>
        <w:rPr>
          <w:sz w:val="20"/>
          <w:szCs w:val="20"/>
          <w:color w:val="auto"/>
        </w:rPr>
      </w:pPr>
      <w:r>
        <w:rPr>
          <w:rFonts w:ascii="Arial" w:cs="Arial" w:eastAsia="Arial" w:hAnsi="Arial"/>
          <w:sz w:val="18"/>
          <w:szCs w:val="18"/>
          <w:color w:val="auto"/>
        </w:rPr>
        <w:t>in an officers’ certificate certifying that such Affiliate Transaction complies with this covenant and that such Affiliate Transaction has been approved by a majority of the disinterested members of the Board of Directors; and</w:t>
      </w:r>
    </w:p>
    <w:p>
      <w:pPr>
        <w:spacing w:after="0" w:line="51" w:lineRule="exact"/>
        <w:rPr>
          <w:sz w:val="20"/>
          <w:szCs w:val="20"/>
          <w:color w:val="auto"/>
        </w:rPr>
      </w:pPr>
    </w:p>
    <w:p>
      <w:pPr>
        <w:ind w:left="1480" w:right="180" w:hanging="567"/>
        <w:spacing w:after="0" w:line="259"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an opinion as to the fairness to the Holders of such Affiliate Transaction from a financial point of view issued by an accounting, appraisal or investment banking firm of national 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shall not be deemed to be Affiliate Transactions and, therefore, will not be subject to the provisions of the prior paragraph:</w:t>
      </w:r>
    </w:p>
    <w:p>
      <w:pPr>
        <w:spacing w:after="0" w:line="113"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transactions between or among the Company and/or its Restricted Subsidiaries and transactions between or among Restricted Subsidiaries;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Restricted Payments that are permitted by the provisions of the Indenture described above under the caption “—Restricted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customary transactions in connection with a Receivables Financing or an industrial revenue bond financing;</w:t>
      </w:r>
    </w:p>
    <w:p>
      <w:pPr>
        <w:spacing w:after="0" w:line="9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reasonable fees and compensation paid to (including issuances and grant of Equity Interests of the Company, employment agreements and stock option and ownership plans for the benefit of), and indemnity and insurance provided on behalf of, officers, directors, employees or consultants of the Company or any Restricted Subsidiary in the ordinary course of business as approved in good faith by the Company’s Board of Directors or senior management;</w:t>
      </w:r>
    </w:p>
    <w:p>
      <w:pPr>
        <w:spacing w:after="0" w:line="62"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(x) any agreement in effect on December 16, 2010 and disclosed in the offering memorandum for the original notes (including by incorporation by reference), as in effect on December 16, 2010 or as thereafter amended or replaced in any manner, that, taken as a whole, is not more disadvantageous to the Holders or the Company in any material respect than such agreement as it was in effect on December 16, 2010 or (y) any transaction pursuant to any agreement referred to in the immediately preceding clause (x); or</w:t>
      </w:r>
    </w:p>
    <w:p>
      <w:pPr>
        <w:spacing w:after="0" w:line="3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loans or advances to employees and officers of the Company and its Restricted Subsidiaries permitted by clause (9) of the definition of “Permitted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9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If, after the date of the Indenture, (a) any Restricted Subsidiary of the Company (including any newly formed, newly acquired or newly redesignated Restricted Subsidiary) guarantees any Indebtedness of the Company, (b) any Domestic Restricted Subsidiary of the Company (including any newly formed, newly acquired or newly redesignated Restricted Subsidiary) becomes a borrower or guarantor under any Credit Facility or a guarantor under the 2018 Notes or</w:t>
      </w:r>
    </w:p>
    <w:p>
      <w:pPr>
        <w:spacing w:after="0" w:line="1" w:lineRule="exact"/>
        <w:rPr>
          <w:sz w:val="20"/>
          <w:szCs w:val="20"/>
          <w:color w:val="auto"/>
        </w:rPr>
      </w:pPr>
    </w:p>
    <w:p>
      <w:pPr>
        <w:ind w:right="40" w:firstLine="8"/>
        <w:spacing w:after="0" w:line="323" w:lineRule="auto"/>
        <w:tabs>
          <w:tab w:leader="none" w:pos="23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otherwise elects to have any Restricted Subsidiary become a Guarantor, then, in the case of clauses (a) and (b) within 10 Business Days of the event under such clause occurring and in the case of clause (c) at the Company’s election, the Company shall cause such Restricted Subsidiary to:</w:t>
      </w:r>
    </w:p>
    <w:p>
      <w:pPr>
        <w:spacing w:after="0" w:line="11" w:lineRule="exact"/>
        <w:rPr>
          <w:rFonts w:ascii="Arial" w:cs="Arial" w:eastAsia="Arial" w:hAnsi="Arial"/>
          <w:sz w:val="16"/>
          <w:szCs w:val="16"/>
          <w:color w:val="auto"/>
        </w:rPr>
      </w:pPr>
    </w:p>
    <w:p>
      <w:pPr>
        <w:ind w:left="900" w:right="6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execute and deliver to the Trustee (a) a supplemental indenture in form and substance satisfactory to the Trustee pursuant to which such Restricted Subsidiary shall unconditionally guarantee all of the Company’s obligations under the Notes and the Indenture and (b) a notation of guarantee in respect of its Subsidiary Guarantee; and</w:t>
      </w:r>
    </w:p>
    <w:p>
      <w:pPr>
        <w:spacing w:after="0" w:line="59" w:lineRule="exact"/>
        <w:rPr>
          <w:rFonts w:ascii="Arial" w:cs="Arial" w:eastAsia="Arial" w:hAnsi="Arial"/>
          <w:sz w:val="18"/>
          <w:szCs w:val="18"/>
          <w:color w:val="auto"/>
        </w:rPr>
      </w:pPr>
    </w:p>
    <w:p>
      <w:pPr>
        <w:ind w:left="900" w:right="140" w:hanging="446"/>
        <w:spacing w:after="0" w:line="370" w:lineRule="auto"/>
        <w:tabs>
          <w:tab w:leader="none" w:pos="900" w:val="left"/>
        </w:tabs>
        <w:numPr>
          <w:ilvl w:val="1"/>
          <w:numId w:val="67"/>
        </w:numPr>
        <w:rPr>
          <w:rFonts w:ascii="Arial" w:cs="Arial" w:eastAsia="Arial" w:hAnsi="Arial"/>
          <w:sz w:val="15"/>
          <w:szCs w:val="15"/>
          <w:color w:val="auto"/>
        </w:rPr>
      </w:pPr>
      <w:r>
        <w:rPr>
          <w:rFonts w:ascii="Arial" w:cs="Arial" w:eastAsia="Arial" w:hAnsi="Arial"/>
          <w:sz w:val="15"/>
          <w:szCs w:val="15"/>
          <w:color w:val="auto"/>
        </w:rPr>
        <w:t>deliver to the Trustee one or more Opinions of Counsel that such supplemental indenture (a) has been duly authorized, executed and delivered by such Restricted Subsidiary and (b) constitutes a valid and legally binding obligation of such Restricted Subsidiary in accordance with its terms.</w:t>
      </w:r>
    </w:p>
    <w:p>
      <w:pPr>
        <w:spacing w:after="0" w:line="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not, and shall not permit any of its Restricted Subsidiaries to, enter into any Sale and Leaseback Transaction unless:</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or such Restricted Subsidiary would be entitled to:</w:t>
      </w:r>
    </w:p>
    <w:p>
      <w:pPr>
        <w:spacing w:after="0" w:line="90" w:lineRule="exact"/>
        <w:rPr>
          <w:rFonts w:ascii="Arial" w:cs="Arial" w:eastAsia="Arial" w:hAnsi="Arial"/>
          <w:sz w:val="18"/>
          <w:szCs w:val="18"/>
          <w:color w:val="auto"/>
        </w:rPr>
      </w:pPr>
    </w:p>
    <w:p>
      <w:pPr>
        <w:ind w:left="1480" w:right="100" w:hanging="567"/>
        <w:spacing w:after="0" w:line="332" w:lineRule="auto"/>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incur Indebtedness in an amount equal to the Attributable Indebtedness with respect to such Sale and Leaseback Transaction pursuant to the covenant described under “—Incurrence of Indebtedness and Issuance of Preferred Stock”; and</w:t>
      </w:r>
    </w:p>
    <w:p>
      <w:pPr>
        <w:spacing w:after="0" w:line="4" w:lineRule="exact"/>
        <w:rPr>
          <w:rFonts w:ascii="Arial" w:cs="Arial" w:eastAsia="Arial" w:hAnsi="Arial"/>
          <w:sz w:val="16"/>
          <w:szCs w:val="16"/>
          <w:color w:val="auto"/>
        </w:rPr>
      </w:pPr>
    </w:p>
    <w:p>
      <w:pPr>
        <w:ind w:left="1480" w:right="80" w:hanging="567"/>
        <w:spacing w:after="0" w:line="268"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create a Lien on such property securing such Attributable Indebtedness without also securing the notes or the applicable Guarantee pursuant to the covenant described under Liens”;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Sale and Leaseback Transaction is effected in compliance with the covenant described under “—Repurchase at the Option of Holders—Offer to Repurchase by Application of Excess Proceeds of Asset Sales.”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amendment.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Whether or not required by the SEC, so long as any Notes are outstanding, the Company will furnish to the Holders of Notes, within the time periods specified in the SEC’s rules and regulations for a company subject to reporting under Section 13(a) or 15(d) of the Exchange Act:</w:t>
      </w:r>
    </w:p>
    <w:p>
      <w:pPr>
        <w:spacing w:after="0" w:line="4" w:lineRule="exact"/>
        <w:rPr>
          <w:sz w:val="20"/>
          <w:szCs w:val="20"/>
          <w:color w:val="auto"/>
        </w:rPr>
      </w:pPr>
    </w:p>
    <w:p>
      <w:pPr>
        <w:ind w:left="900" w:hanging="446"/>
        <w:spacing w:after="0" w:line="30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Company were required to file such reports.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whether or not required by the SEC, the Company will file a copy of all of the information and reports referred to in clauses (1) and (2) above with the SEC for public availability within the time periods specified in the SEC’s rules and regulations for a company subject to reporting under Section l3(a) or 15(d) of the Exchange Act (unless the SEC will not accept such a filing) and make such information available to securities analysts and prospective investors upon request. Notwithstanding the foregoing, to the extent the Company files the information and reports referred to in clauses (1) and (2) above with the SEC and such information is publicly available on the Internet, the Company shall be deemed to be in compliance with its obligations to furnish such information to the Holders of the Notes and to make such information available to securities analysts and prospective investors.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jc w:val="right"/>
        <w:ind w:left="5620" w:right="5600" w:hanging="5166"/>
        <w:spacing w:after="0" w:line="525" w:lineRule="auto"/>
        <w:tabs>
          <w:tab w:leader="none" w:pos="893"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default for 30 days in the payment when due of interest on the Notes; 54</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“—Certain Covenants Merger, Consolidation or Sale of Assets”;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default by the Company in the observance or performance of its obligations under “—Certain Covenants—Reports” which default continues for a period of 90 days;</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default in the observance or performance of any other covenant or agreement contained in the Indenture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25"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failure to pay at final stated maturity (giving effect to any applicable grace periods and any extensions thereto) the principal amount of any Indebtedness of the Company or any Significant Subsidiary of the Company, or any other default resulting in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$75.0 million or more at any time;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any such default is cured or waived or any acceleration rescinded or such Indebtedness is repaid within a period of ten (10) days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continuation of such default beyond any applicable grace period or the occurrence of such acceleration, as the case may be, such Event of Default under the Indenture and any consequential acceleration of the Notes shall automatically be rescinded so long as such rescission does not conflict with any judgment or decree;</w:t>
      </w:r>
    </w:p>
    <w:p>
      <w:pPr>
        <w:spacing w:after="0" w:line="37"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one or more judgments in an aggregate amount in excess of $75.0 million (to the extent not covered by independent third party insurance as to which the insurer has not disclaimed coverage) shall have been rendered against the Company or any of its Significant Subsidiaries and such judgments remain undischarged, unpaid or unstayed for a period of 60 days after such judgment or judgments become final and nonappealable;</w:t>
      </w:r>
    </w:p>
    <w:p>
      <w:pPr>
        <w:spacing w:after="0" w:line="25" w:lineRule="exact"/>
        <w:rPr>
          <w:rFonts w:ascii="Arial" w:cs="Arial" w:eastAsia="Arial" w:hAnsi="Arial"/>
          <w:sz w:val="16"/>
          <w:szCs w:val="16"/>
          <w:color w:val="auto"/>
        </w:rPr>
      </w:pPr>
    </w:p>
    <w:p>
      <w:pPr>
        <w:ind w:left="900" w:right="260" w:hanging="446"/>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as permitted by the Indenture, any Subsidiary Guarantee of any Significant Subsidiary shall be held in any judicial proceeding to be unenforceable or invalid or shall cease for any reason to be in full force and effect or any Guarantor that is a Significant Subsidiary, or any Person acting on behalf of any such Guarantor, shall deny or disaffirm its obligations under its Subsidiary Guarantee;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certain events of bankruptcy or insolvency with respect to the Company or any of its Restricted Subsidiaries that is a Significant Subsidiary.</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If an Event of Default (other than an Event of Default specified in clause (9) above with respect to the Company) shall have occurred and be continuing under the Indenture, the Trustee, by written notice to the Company, or the Holders of at least 25% in aggregate principal amount of the Notes then outstanding by written notice to the Company and the Trustee, may declare all amounts owing under the Notes to be due and payable. Upon such declaration of acceleration, the aggregate principal of and accrued and unpaid interest on the outstanding Notes shall immediately become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such acceleration, but before a judgment or decree based on acceleration, the Holders of a majority in aggregate principal amount of such outstanding Notes may, under certain circumstances, rescind and annul such acceleration if all Events of Default, other than the nonpayment of accelerated principal and interest, have been cured or waived as provided in the Indenture.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specified in clause (9) above occurs and is continuing with respect to the Company, then all unpaid principal of, and premium, if any, and accrued and unpaid interest on all of the outstanding Notes shall ipso facto become and be immediately due and payable without any declaration or other act on the part of the Trustee or any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will provide that, at any time after a declaration of acceleration with respect to the Notes as described in the two preceding paragraphs,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of a majority in principal amount of the Notes may rescind and cancel such declaration and its consequences:</w:t>
      </w:r>
    </w:p>
    <w:p>
      <w:pPr>
        <w:spacing w:after="0" w:line="84"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5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we have paid the Trustee its reasonable compensation and reimbursed the Trustee for its expenses, disbursements and advances.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Holders of a majority in principal amount of the Notes may waive any existing Default or Event of Default under the Indenture, and its consequences, except a default in the payment of the principal of or interest on any Notes.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No single Holder will have any right to institute any proceeding with respect to the Indenture or any remedy thereunder, unless such Holder has notified the Trustee of a continuing Event of Default and the Holders of at least 25% in aggregate principal amount of the outstanding Notes have made written request, and offered such reasonable indemnity as the Trustee may require, to the Trustee to institute such proceeding, the Trustee has failed to institute such proceeding within 60 days after receipt of such notice and the Trustee, within such 60-day period, has not received directions inconsistent with such written request by Holders of a majority in aggregate principal amount of the outstanding Notes. Such limitations will not apply, however, to a suit instituted by the Holder of a Note for the enforcement of the payment of the principal of, premium, if any, or interest on such Note on or after the respective due dates therefor.</w:t>
      </w:r>
    </w:p>
    <w:p>
      <w:pPr>
        <w:spacing w:after="0" w:line="12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Under the Indenture, we will be required to provide an officers’ certificate to the Trustee promptly upon any such officer obtaining knowledge of any Default or Event of Default that has occurred and, if applicable, describe such Default or Event of Default and the status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officers shall provide such certification at least annually whether or not they know of any Default or Event of Default.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director, officer, employee, incorporator or stockholder of the Company or any Guarantor, as such, shall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51" w:lineRule="exact"/>
        <w:rPr>
          <w:sz w:val="20"/>
          <w:szCs w:val="20"/>
          <w:color w:val="auto"/>
        </w:rPr>
      </w:pPr>
    </w:p>
    <w:p>
      <w:pPr>
        <w:ind w:left="900" w:right="14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such Notes when such payments are due from the trust referred to below;</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Company’s obligations in connection therewith;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the Company may, at its option and at any time, elect to have the obligations of the Company and the Guarantors released with respect to certain covenants that are described in the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900" w:right="60" w:hanging="446"/>
        <w:spacing w:after="0" w:line="255"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61"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39" w:lineRule="exact"/>
        <w:rPr>
          <w:rFonts w:ascii="Arial" w:cs="Arial" w:eastAsia="Arial" w:hAnsi="Arial"/>
          <w:sz w:val="16"/>
          <w:szCs w:val="16"/>
          <w:color w:val="auto"/>
        </w:rPr>
      </w:pPr>
    </w:p>
    <w:p>
      <w:pPr>
        <w:ind w:left="900" w:right="120" w:hanging="446"/>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(a) on the date of such deposit (other than a Default or Event of Default resulting from the borrowing of funds to be applied to such deposit); or (b) or insofar as Events of Default from bankruptcy or insolvency events are concerned, at any time in the period ending on the 91st day after the date of deposit;</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the Indenture or any material agreement or instrument to which the Company or any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its Subsidiaries is a party or by which the Company or any of its Subsidiaries is bound (other than any such default under the Indenture resulting solely from the borrowing of funds to be applied to such deposit);</w:t>
      </w:r>
    </w:p>
    <w:p>
      <w:pPr>
        <w:spacing w:after="0" w:line="51" w:lineRule="exact"/>
        <w:rPr>
          <w:sz w:val="20"/>
          <w:szCs w:val="20"/>
          <w:color w:val="auto"/>
        </w:rPr>
      </w:pPr>
    </w:p>
    <w:p>
      <w:pPr>
        <w:ind w:left="900" w:right="100" w:hanging="446"/>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4" w:lineRule="exact"/>
        <w:rPr>
          <w:rFonts w:ascii="Arial" w:cs="Arial" w:eastAsia="Arial" w:hAnsi="Arial"/>
          <w:sz w:val="16"/>
          <w:szCs w:val="16"/>
          <w:color w:val="auto"/>
        </w:rPr>
      </w:pPr>
    </w:p>
    <w:p>
      <w:pPr>
        <w:ind w:left="900" w:right="24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Indenture will be discharged and will cease to be of further effect (except as to surviving rights of registration of transfer or exchange of the Notes, as expressly provided for in the Indenture) as to all outstanding Notes when either:</w:t>
      </w:r>
    </w:p>
    <w:p>
      <w:pPr>
        <w:spacing w:after="0" w:line="51" w:lineRule="exact"/>
        <w:rPr>
          <w:sz w:val="20"/>
          <w:szCs w:val="20"/>
          <w:color w:val="auto"/>
        </w:rPr>
      </w:pPr>
    </w:p>
    <w:p>
      <w:pPr>
        <w:ind w:left="900" w:right="22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as provided in the Indenture) have been delivered to the Registrar for cancellation,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has paid all sums payable under the Indenture by the Company, and</w:t>
      </w:r>
    </w:p>
    <w:p>
      <w:pPr>
        <w:spacing w:after="0" w:line="9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stating that all conditions precedent under the Indenture relating to the satisfaction and discharge of the Indenture have been complied with; or</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Notes, all of the Notes shall have otherwise become due and payable or all of the Notes will become due and payable, or may be called for redemption, within one year, and</w:t>
      </w:r>
    </w:p>
    <w:p>
      <w:pPr>
        <w:spacing w:after="0" w:line="50" w:lineRule="exact"/>
        <w:rPr>
          <w:rFonts w:ascii="Arial" w:cs="Arial" w:eastAsia="Arial" w:hAnsi="Arial"/>
          <w:sz w:val="18"/>
          <w:szCs w:val="18"/>
          <w:color w:val="auto"/>
        </w:rPr>
      </w:pPr>
    </w:p>
    <w:p>
      <w:pPr>
        <w:ind w:left="1480" w:right="180" w:hanging="567"/>
        <w:spacing w:after="0" w:line="294" w:lineRule="auto"/>
        <w:tabs>
          <w:tab w:leader="none" w:pos="14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deposited with the Trustee or another trustee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interest) on the Notes not theretofore delivered to the Trustee for cancellation, together with irrevocable instructions from the Company directing the Trustee to apply such funds to the payment thereof at maturity or redemption, as the case may be;</w:t>
      </w:r>
    </w:p>
    <w:p>
      <w:pPr>
        <w:spacing w:after="0" w:line="34" w:lineRule="exact"/>
        <w:rPr>
          <w:rFonts w:ascii="Arial" w:cs="Arial" w:eastAsia="Arial" w:hAnsi="Arial"/>
          <w:sz w:val="16"/>
          <w:szCs w:val="16"/>
          <w:color w:val="auto"/>
        </w:rPr>
      </w:pPr>
    </w:p>
    <w:p>
      <w:pPr>
        <w:jc w:val="both"/>
        <w:ind w:left="1480" w:hanging="567"/>
        <w:spacing w:after="0" w:line="259"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the Company is a party or by which it is bound;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the Indenture; and</w:t>
      </w:r>
    </w:p>
    <w:p>
      <w:pPr>
        <w:spacing w:after="0" w:line="9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stating that all conditions precedent under the Indenture relating to the satisfaction and discharge of the Indenture have been complied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the consent of each Holder affected, an amendment or waiver may not (with respect to any Notes held by a non-consenting Holder):</w:t>
      </w:r>
    </w:p>
    <w:p>
      <w:pPr>
        <w:spacing w:after="0" w:line="113" w:lineRule="exact"/>
        <w:rPr>
          <w:sz w:val="20"/>
          <w:szCs w:val="20"/>
          <w:color w:val="auto"/>
        </w:rPr>
      </w:pPr>
    </w:p>
    <w:p>
      <w:pPr>
        <w:ind w:left="900" w:right="4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reduce the rate of or change or have the effect of changing the time for payment of interest, including defaulted interest, on any Notes;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protecting the right of each Holder to receive payment of principal of and interest on such Note on or after the due date thereof or to bring suit to enforce such payment;</w:t>
      </w:r>
    </w:p>
    <w:p>
      <w:pPr>
        <w:spacing w:after="0" w:line="50" w:lineRule="exact"/>
        <w:rPr>
          <w:rFonts w:ascii="Arial" w:cs="Arial" w:eastAsia="Arial" w:hAnsi="Arial"/>
          <w:sz w:val="18"/>
          <w:szCs w:val="18"/>
          <w:color w:val="auto"/>
        </w:rPr>
      </w:pPr>
    </w:p>
    <w:p>
      <w:pPr>
        <w:ind w:left="900" w:right="160" w:hanging="446"/>
        <w:spacing w:after="0" w:line="256"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 the price payable by the Company for Notes repurchased pursuant to the provisions described above under “—Offer to Repurchase upon Change of Control” and “—Offer to Repurchase by Application of Excess Proceeds of Asset Sales” or after the occurrence of a Change of Control, modify or change in any material respect the obligation of the Company to make and consummate a Change of Control Offer or modify any of the provisions or definitions with respect thereto;</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waive a default in the payment of principal of or interest on any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(7) shall not limit the right of the Holders of a majority in aggregate principal amount of the outstanding Notes to rescind and cancel a declaration of acceleration of the Notes following delivery of an acceleration notice as described above under “—Events of Default and Remedies”;</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release any Guarantor that is a Significant Subsidiary from any of its obligations under its Subsidiary Guarantee or the Indenture, except as permitted by the Indenture;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preceding, without the consent of any Holder of Notes, the Company and the Trustee may amend or supplement the Indenture 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8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Notes in the case of a merger or consolidation or sale of all or substantially all of the Company’s assets;</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in any material respect the legal rights under the Indenture of any such Holder;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comply with any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remove a Guarantor which, in accordance with the terms of the Indenture, ceases to be liable in respect of its Subsidiary Guarantee;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conform the Indenture or the Notes to this “Description of the Notes.”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Indenture and the provisions of the Trust Indenture Act contain certain limitations on the rights of the Trustee, should it become a creditor of the Company, to obtain payments of claims in certain cases or to realize on certain property received in respect of any such claim as security or otherwise. Subject to the Trust Indenture Act, the Trustee will be permitted to engage in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acquires any conflicting interest as described in the Trust Indenture Act, it must eliminate such conflict within 90 days, apply to the SEC for permission to continue or resign.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2018 Notes</w:t>
      </w:r>
      <w:r>
        <w:rPr>
          <w:rFonts w:ascii="Arial" w:cs="Arial" w:eastAsia="Arial" w:hAnsi="Arial"/>
          <w:sz w:val="16"/>
          <w:szCs w:val="16"/>
          <w:color w:val="auto"/>
        </w:rPr>
        <w:t>” means those certain 7.25% senior notes due 2018 issued by the Company to certain holders thereof under the 2018 Notes Indenture.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Indenture</w:t>
      </w:r>
      <w:r>
        <w:rPr>
          <w:rFonts w:ascii="Arial" w:cs="Arial" w:eastAsia="Arial" w:hAnsi="Arial"/>
          <w:sz w:val="18"/>
          <w:szCs w:val="18"/>
          <w:color w:val="auto"/>
        </w:rPr>
        <w:t>” means that certain Base Indenture among the Company, the Guarantors and the Trustee, dated as of January 14, 2010, as amended, supplemented and modified by that certain First Supplemental Indenture among the Company, the Guarantors and the Trustee, dated as of January 14, 2010, as may be further amended, supplemented and modified.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Issue Date</w:t>
      </w:r>
      <w:r>
        <w:rPr>
          <w:rFonts w:ascii="Arial" w:cs="Arial" w:eastAsia="Arial" w:hAnsi="Arial"/>
          <w:sz w:val="18"/>
          <w:szCs w:val="18"/>
          <w:color w:val="auto"/>
        </w:rPr>
        <w:t>” means January 14,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900" w:right="42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Interest</w:t>
      </w:r>
      <w:r>
        <w:rPr>
          <w:rFonts w:ascii="Arial" w:cs="Arial" w:eastAsia="Arial" w:hAnsi="Arial"/>
          <w:sz w:val="18"/>
          <w:szCs w:val="18"/>
          <w:color w:val="auto"/>
        </w:rPr>
        <w:t>” has the meaning set forth in “Exchange Offer; Registration Rights.”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900" w:right="40" w:hanging="446"/>
        <w:spacing w:after="0" w:line="294"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including by means of a Sale and Leaseback Transaction, but other than sales of inventory in the ordinary course of business consistent with past practices;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“—Merger, Consolidation or Sale of Assets” and not by the provisions of the “Offer to Repurchase by Application of Excess Proceeds of Asset Sales” covenant; and</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issuance of Equity Interests by any of the Company’s Restricted Subsidiaries or the sale of Equity Interests in any of its Subsidiaries.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9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single transaction or series of related transactions that: (a) involves assets having an aggregate fair market value of less than $15.0 million; or</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(b) results in aggregate net proceeds to the Company and its Subsidiaries of less than $15.0 million;</w:t>
      </w:r>
    </w:p>
    <w:p>
      <w:pPr>
        <w:spacing w:after="0" w:line="83"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transfer of assets (a) between or among the Company and its Wholly Owned Restricted Subsidiaries, (b) by a Restricted Subsidiary to the Company or any of its Wholly Owned Restricted Subsidiaries or (c) by the Company or any of its Wholly Owned Restricted Subsidiaries to any Restricted Subsidiary of the Company that is not a Wholly Owned Restricted Subsidiary if, in the case of this clause (c), the Company or the Wholly Owned Restricted Subsidiary, as the case may be, either retains title to or ownership of the assets being transferred or receives consideration at the time of such transfer at least equal to the fair market value of the transferred assets;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 Wholly Owned Restricted Subsidiary;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sale, transfer or discount of any receivables pursuant to a Receivables Financing that is otherwise permitted by the Indenture;</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Permitted Investment or any Restricted Payment that is permitted by the covenant described above under the caption “Certain Covenants— Restricted Payments”;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8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governed by, and made in accordance with, “—Certain Covenants—Merger, Consolidation or Sale of Assets”;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grant of Liens permitted by the covenant described under “—Certain Covenants—Liens” above;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surrender or waiver of contractual rights or the settlement, release or surrender of contract, tort or other claims of any kind; and</w:t>
      </w:r>
    </w:p>
    <w:p>
      <w:pPr>
        <w:spacing w:after="0" w:line="90" w:lineRule="exact"/>
        <w:rPr>
          <w:rFonts w:ascii="Arial" w:cs="Arial" w:eastAsia="Arial" w:hAnsi="Arial"/>
          <w:sz w:val="18"/>
          <w:szCs w:val="18"/>
          <w:color w:val="auto"/>
        </w:rPr>
      </w:pPr>
    </w:p>
    <w:p>
      <w:pPr>
        <w:ind w:left="900" w:right="120" w:hanging="446"/>
        <w:spacing w:after="0" w:line="306"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restructuring, regardless of whether accomplished by liquidation, contribution, distribution, merger or any other technique, whereby the ownership of Foreign Subsidiaries is changed, so long as each such Foreign Subsidiary that is a Restricted Subsidiary of the Company prior to such restructuring remains, directly or indirectly, a Restricted Subsidiary of the Company after such restructuring.</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 and Leaseback Transaction, means, as at the time of determination, the present value (discounted at a rate borne by the Notes, compounded on a semi-annual basis) of the total obligations of the lessee for rental payments during the remaining term of the lease included in any such Sale and Leaseback Transaction.</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Net Indebtedness</w:t>
      </w:r>
      <w:r>
        <w:rPr>
          <w:rFonts w:ascii="Arial" w:cs="Arial" w:eastAsia="Arial" w:hAnsi="Arial"/>
          <w:sz w:val="18"/>
          <w:szCs w:val="18"/>
          <w:color w:val="auto"/>
        </w:rPr>
        <w:t>” means the average of the Net Indebtedness of the Company at the end of each of the four fiscal quarters comprising the Reference Period for which the Leverage Ratio is being calculated.</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of such Person or any duly authorized committee thereof.</w:t>
      </w:r>
    </w:p>
    <w:p>
      <w:pPr>
        <w:spacing w:after="0" w:line="171"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Board Resolution</w:t>
      </w:r>
      <w:r>
        <w:rPr>
          <w:rFonts w:ascii="Arial" w:cs="Arial" w:eastAsia="Arial" w:hAnsi="Arial"/>
          <w:sz w:val="15"/>
          <w:szCs w:val="15"/>
          <w:color w:val="auto"/>
        </w:rPr>
        <w:t>”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 day other than a Saturday, Sunday or other day on which banking institutions in New York are authorized or required by law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900" w:right="100" w:hanging="446"/>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4"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under the laws of the United States or any state thereof having combined capital and surplus of not less than $300,000,000;</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(b) of this definition, having a term of not more than 30 days, with respect to securities issued or fully guaranteed or insured by the United States government;</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62"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satisfying the requirements of clause (b) of this definition;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money market mutual or similar funds that invest exclusively in assets satisfying the requirements of clauses (a) through (f) of this definition; or</w:t>
      </w:r>
    </w:p>
    <w:p>
      <w:pPr>
        <w:spacing w:after="0" w:line="113"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ind w:left="900" w:right="18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90"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50% or more of the Voting Stock of the Company, measured by voting power rather than number of shares; or</w:t>
      </w:r>
    </w:p>
    <w:p>
      <w:pPr>
        <w:spacing w:after="0" w:line="59"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December 16, 2010, and includes, without limitation, all series and classes of such common stock.</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51" w:lineRule="exact"/>
        <w:rPr>
          <w:sz w:val="20"/>
          <w:szCs w:val="20"/>
          <w:color w:val="auto"/>
        </w:rPr>
      </w:pPr>
    </w:p>
    <w:p>
      <w:pPr>
        <w:ind w:left="900" w:right="3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50" w:lineRule="exact"/>
        <w:rPr>
          <w:rFonts w:ascii="Arial" w:cs="Arial" w:eastAsia="Arial" w:hAnsi="Arial"/>
          <w:sz w:val="18"/>
          <w:szCs w:val="18"/>
          <w:color w:val="auto"/>
        </w:rPr>
      </w:pPr>
    </w:p>
    <w:p>
      <w:pPr>
        <w:ind w:left="900" w:right="40" w:hanging="446"/>
        <w:spacing w:after="0" w:line="25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w:t>
      </w:r>
      <w:r>
        <w:rPr>
          <w:rFonts w:ascii="Arial" w:cs="Arial" w:eastAsia="Arial" w:hAnsi="Arial"/>
          <w:sz w:val="18"/>
          <w:szCs w:val="18"/>
          <w:i w:val="1"/>
          <w:iCs w:val="1"/>
          <w:color w:val="auto"/>
        </w:rPr>
        <w:t>plus</w:t>
      </w:r>
    </w:p>
    <w:p>
      <w:pPr>
        <w:spacing w:after="0" w:line="63" w:lineRule="exact"/>
        <w:rPr>
          <w:rFonts w:ascii="Arial" w:cs="Arial" w:eastAsia="Arial" w:hAnsi="Arial"/>
          <w:sz w:val="18"/>
          <w:szCs w:val="18"/>
          <w:color w:val="auto"/>
        </w:rPr>
      </w:pPr>
    </w:p>
    <w:p>
      <w:pPr>
        <w:ind w:left="900" w:right="20" w:hanging="446"/>
        <w:spacing w:after="0" w:line="25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 xml:space="preserve">plus </w:t>
      </w:r>
      <w:r>
        <w:rPr>
          <w:rFonts w:ascii="Arial" w:cs="Arial" w:eastAsia="Arial" w:hAnsi="Arial"/>
          <w:sz w:val="18"/>
          <w:szCs w:val="18"/>
          <w:color w:val="auto"/>
        </w:rPr>
        <w:t>(or</w:t>
      </w:r>
      <w:r>
        <w:rPr>
          <w:rFonts w:ascii="Arial" w:cs="Arial" w:eastAsia="Arial" w:hAnsi="Arial"/>
          <w:sz w:val="18"/>
          <w:szCs w:val="18"/>
          <w:i w:val="1"/>
          <w:iCs w:val="1"/>
          <w:color w:val="auto"/>
        </w:rPr>
        <w:t xml:space="preserve"> minus</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for purposes of calculating the Fixed Charge Coverage Ratio only, any non-recurring expenses or losses (or income of gains); </w:t>
      </w:r>
      <w:r>
        <w:rPr>
          <w:rFonts w:ascii="Arial" w:cs="Arial" w:eastAsia="Arial" w:hAnsi="Arial"/>
          <w:sz w:val="16"/>
          <w:szCs w:val="16"/>
          <w:i w:val="1"/>
          <w:iCs w:val="1"/>
          <w:color w:val="auto"/>
        </w:rPr>
        <w:t>minus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for such Person and its Restricted Subsidiaries and determined in accordance with GAAP.</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1" w:lineRule="exact"/>
        <w:rPr>
          <w:sz w:val="20"/>
          <w:szCs w:val="20"/>
          <w:color w:val="auto"/>
        </w:rPr>
      </w:pPr>
    </w:p>
    <w:p>
      <w:pPr>
        <w:jc w:val="both"/>
        <w:ind w:left="900" w:right="560" w:hanging="446"/>
        <w:spacing w:after="0" w:line="370" w:lineRule="auto"/>
        <w:tabs>
          <w:tab w:leader="none" w:pos="9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accounted for by the equity method of accounting or is not a Restricted Subsidiary shall be included only to the extent of the amount of dividends or distributions paid in cash to the specified Person or a Restricted Subsidiary thereof;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91"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39"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Net Income (but not loss) of any Unrestricted Subsidiary shall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7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of the Company as of any date means all amounts that would, in accordance with GAAP, be set forth opposite the caption “total assets” (or any like caption) on the consolidated balance sheet of the Company and its Restricted Subsidiaries on the last day of the fiscal quarter immediately preceding such date for which internal financial statements are available at the time of calculation, after giving pro forma effect to all transactions occurring subsequent to the end of such fiscal quarter and on or prior to such date of calculation which gave or gives rise to the need to calculate Consolidated Total Assets.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Second Amended and Restated Credit Agreement, dated as of June 30, 2011, by and among the Company as the “Borrower”; the subsidiary borrowers; the several banks and other financial institutions from time to time parties to the Second Amended and Restated Credit Agreement, which we refer to as the Lenders; Bank of America, N.A., as Syndication Agent; Cobank, ACB, BNP Paribas, Credit Agricole Corporate and Investment Bank, Rabobank Nederland, Citizens Bank of Pennsylvania, The Bank of Nova Scotia and Wells Fargo Bank, N.A., as Documentation Agents; and JPMorgan Chase Bank, N.A., as Administrative Agent, which amended and restated the Amended and Restated Credit Agreement, dated as of February 7, 2007, by and among the Company, the subsidiary borrowers parties thereto and the banks and other financial institutions from time to time parties thereto as agents and lenders, and any related notes, guarantees, collateral documents, instruments and agreements executed in connection therewith, and in each case as amended, modified, renewed, refunded, replaced or refinanced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with respect to the Company or any of its Restricted Subsidiaries:</w:t>
      </w:r>
    </w:p>
    <w:p>
      <w:pPr>
        <w:spacing w:after="0" w:line="90"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90" w:lineRule="exact"/>
        <w:rPr>
          <w:rFonts w:ascii="Arial" w:cs="Arial" w:eastAsia="Arial" w:hAnsi="Arial"/>
          <w:sz w:val="18"/>
          <w:szCs w:val="18"/>
          <w:color w:val="auto"/>
        </w:rPr>
      </w:pPr>
    </w:p>
    <w:p>
      <w:pPr>
        <w:ind w:left="900" w:right="80" w:hanging="446"/>
        <w:spacing w:after="0" w:line="289"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one or more debt facilities (which may be outstanding at the same time)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Disqualified Stock</w:t>
      </w:r>
      <w:r>
        <w:rPr>
          <w:rFonts w:ascii="Arial" w:cs="Arial" w:eastAsia="Arial" w:hAnsi="Arial"/>
          <w:sz w:val="15"/>
          <w:szCs w:val="15"/>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10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Restricted Subsidiary</w:t>
      </w:r>
      <w:r>
        <w:rPr>
          <w:rFonts w:ascii="Arial" w:cs="Arial" w:eastAsia="Arial" w:hAnsi="Arial"/>
          <w:sz w:val="18"/>
          <w:szCs w:val="18"/>
          <w:color w:val="auto"/>
        </w:rPr>
        <w:t>” means, with respect to the Company, any Restricted Subsidiary that was formed under the laws of the United States of America or any State thereof.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Agency and Marketing Agreement</w:t>
      </w:r>
      <w:r>
        <w:rPr>
          <w:rFonts w:ascii="Arial" w:cs="Arial" w:eastAsia="Arial" w:hAnsi="Arial"/>
          <w:sz w:val="18"/>
          <w:szCs w:val="18"/>
          <w:color w:val="auto"/>
        </w:rPr>
        <w:t>” means the Amended and Restated Exclusive Agency and Marketing Agreement between the Company and Monsanto Company, dated as of September 30, 1998 (as amended as of March 10, 2005 and March 28, 2008), as the same may be amended, modified, restated, extended, renewed or replaced from time to time.</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Indebtedness of the Company and its Restricted Subsidiaries (other than Indebtedness under the 2018 Notes, the Credit Agreement and the Receivables Purchase Agreement) in existence on the date of the Indenture, until such amounts are repaid.</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(for purposes of this definition, the “</w:t>
      </w:r>
      <w:r>
        <w:rPr>
          <w:rFonts w:ascii="Arial" w:cs="Arial" w:eastAsia="Arial" w:hAnsi="Arial"/>
          <w:sz w:val="16"/>
          <w:szCs w:val="16"/>
          <w:i w:val="1"/>
          <w:iCs w:val="1"/>
          <w:color w:val="auto"/>
        </w:rPr>
        <w:t>Reference Period</w:t>
      </w:r>
      <w:r>
        <w:rPr>
          <w:rFonts w:ascii="Arial" w:cs="Arial" w:eastAsia="Arial" w:hAnsi="Arial"/>
          <w:sz w:val="16"/>
          <w:szCs w:val="16"/>
          <w:color w:val="auto"/>
        </w:rPr>
        <w:t>”), the ratio of Consolidated Cash Flow of such Person for the Reference Period to the Fixed Charges of such Person for the Reference Period.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in each case, after the end of the Reference Period and on or prior to the date of the event for which the calculation of the Fixed Charge Coverage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shall be calculated giving pro forma effect to such incurrence, assumption, Guarantee, redemption or other repayment of Indebtedness, or such issuance or redemption of preferred stock and all other such incurrences, assumptions, Guarantees, redemptions, repayments or issuances that occurred after the first day of the Reference Period and on or prior to the Calculation Date, in each case, as if the same had occurred at the beginning of the Reference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900" w:right="6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acquisitions, dispositions or Investments outside the ordinary course of business that have been made by the specified Person or any of its Restricted Subsidiaries, including through mergers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consolidations and including any related financing transactions, after the first day of the Reference Period and on or prior to the Calculation Date shall be deemed to have occurred on the first day of the Reference Period and Consolidated Cash Flow for the Reference Period shall be calculated without giving effect to clause (3) of the proviso set forth in the definition of “Consolidated Net Income”;</w:t>
      </w:r>
    </w:p>
    <w:p>
      <w:pPr>
        <w:spacing w:after="0" w:line="2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 and</w:t>
      </w:r>
    </w:p>
    <w:p>
      <w:pPr>
        <w:spacing w:after="0" w:line="113"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90" w:lineRule="exact"/>
        <w:rPr>
          <w:sz w:val="20"/>
          <w:szCs w:val="20"/>
          <w:color w:val="auto"/>
        </w:rPr>
      </w:pPr>
    </w:p>
    <w:p>
      <w:pPr>
        <w:ind w:left="900" w:right="60" w:hanging="446"/>
        <w:spacing w:after="0" w:line="294"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and other non-cash amortization; </w:t>
      </w:r>
      <w:r>
        <w:rPr>
          <w:rFonts w:ascii="Arial" w:cs="Arial" w:eastAsia="Arial" w:hAnsi="Arial"/>
          <w:sz w:val="16"/>
          <w:szCs w:val="16"/>
          <w:i w:val="1"/>
          <w:iCs w:val="1"/>
          <w:color w:val="auto"/>
        </w:rPr>
        <w:t>plus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4" w:lineRule="exact"/>
        <w:rPr>
          <w:rFonts w:ascii="Arial" w:cs="Arial" w:eastAsia="Arial" w:hAnsi="Arial"/>
          <w:sz w:val="16"/>
          <w:szCs w:val="16"/>
          <w:color w:val="auto"/>
        </w:rPr>
      </w:pPr>
    </w:p>
    <w:p>
      <w:pPr>
        <w:ind w:left="900" w:right="40" w:hanging="446"/>
        <w:spacing w:after="0" w:line="255"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Subsidiary that was not formed under the laws of the United States of America or any state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on December 16, 2010.</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w:t>
      </w:r>
    </w:p>
    <w:p>
      <w:pPr>
        <w:spacing w:after="0" w:line="90" w:lineRule="exact"/>
        <w:rPr>
          <w:sz w:val="20"/>
          <w:szCs w:val="20"/>
          <w:color w:val="auto"/>
        </w:rPr>
      </w:pPr>
    </w:p>
    <w:p>
      <w:pPr>
        <w:ind w:left="900" w:right="22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Restricted Subsidiary of the Company on the date of the Indenture, except for our Foreign Subsidiaries and Scotts Global Services, Inc., an Ohio corporation; SMGM LLC, an Ohio limited liability company; SMG Brands, Inc., a Delaware corporation; Scotts Global Investments, Inc., a Delaware corporation; and Teak 2, Ltd., f/k/a Smith &amp; Hawkin, Ltd., a Delaware corporation;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Subsidiary of the Company that executes a Subsidiary Guarantee in accordance with the provisions of the Indenture;</w:t>
      </w:r>
    </w:p>
    <w:p>
      <w:pPr>
        <w:spacing w:after="0" w:line="17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the Indenture.</w:t>
      </w:r>
    </w:p>
    <w:p>
      <w:pPr>
        <w:spacing w:after="0" w:line="132"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at any time (without duplication), with respect to any Person, whether recourse is to all or a portion of the assets of such Person, or non-recourse, the following:</w:t>
      </w:r>
    </w:p>
    <w:p>
      <w:pPr>
        <w:spacing w:after="0" w:line="51" w:lineRule="exact"/>
        <w:rPr>
          <w:sz w:val="20"/>
          <w:szCs w:val="20"/>
          <w:color w:val="auto"/>
        </w:rPr>
      </w:pPr>
    </w:p>
    <w:p>
      <w:pPr>
        <w:ind w:left="900" w:right="36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any trade payables or other current liabilities incurred in the ordinary course of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unpaid reimbursement obligations of such Person with respect to letters of credit, bankers’ acceptances or similar facilities issued for the account of such Person (other than to the extent secured by cash or Cash Equivalents);</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Capital Lease Obligations of such Person (but excluding obligations under operating leases);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Disqualified Stock in such Person at the time of determination;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Hedging Obligations of such Person at the time of determination;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Attributable Indebtedness; and</w:t>
      </w:r>
    </w:p>
    <w:p>
      <w:pPr>
        <w:spacing w:after="0" w:line="90" w:lineRule="exact"/>
        <w:rPr>
          <w:rFonts w:ascii="Arial" w:cs="Arial" w:eastAsia="Arial" w:hAnsi="Arial"/>
          <w:sz w:val="18"/>
          <w:szCs w:val="18"/>
          <w:color w:val="auto"/>
        </w:rPr>
      </w:pPr>
    </w:p>
    <w:p>
      <w:pPr>
        <w:ind w:left="900" w:right="40" w:hanging="446"/>
        <w:spacing w:after="0" w:line="255"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obligations of the types referred to in clauses (i) through (viii) of this definition of another Person and all dividends and other distributions of another Person, the payment of which, in either case, (A) such Person has Guaranteed or (B) 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w:t>
      </w:r>
    </w:p>
    <w:p>
      <w:pPr>
        <w:spacing w:after="0" w:line="90" w:lineRule="exact"/>
        <w:rPr>
          <w:sz w:val="20"/>
          <w:szCs w:val="20"/>
          <w:color w:val="auto"/>
        </w:rPr>
      </w:pPr>
    </w:p>
    <w:p>
      <w:pPr>
        <w:ind w:left="900" w:hanging="446"/>
        <w:spacing w:after="0" w:line="256"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Disqualified Stock is not then permitted to be repurchased, the repurchase price shall be the book value of such Disqualified Stock;</w:t>
      </w:r>
    </w:p>
    <w:p>
      <w:pPr>
        <w:spacing w:after="0" w:line="62" w:lineRule="exact"/>
        <w:rPr>
          <w:rFonts w:ascii="Arial" w:cs="Arial" w:eastAsia="Arial" w:hAnsi="Arial"/>
          <w:sz w:val="18"/>
          <w:szCs w:val="18"/>
          <w:color w:val="auto"/>
        </w:rPr>
      </w:pPr>
    </w:p>
    <w:p>
      <w:pPr>
        <w:ind w:left="900" w:right="300" w:hanging="446"/>
        <w:spacing w:after="0" w:line="306"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(ix)(A) above shall be the maximum liability under any such Guarantee;</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(ix)(B) above shall be the lesser of (I) the maximum amount of the obligations so secured and (II) the fair market value of such property or other assets;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interest, fees, premium, and expenses and additional payments, if any, will not constitute Indebtedness.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Notwithstanding the foregoing, in connection with the purchase or sale by the Company or any Restricted Subsidiary of any assets or business, the term “Indebtedness” will exclude (x) customary indemnification obligations and (y) post-closing payment adjustments to which the other party may become entitled to the extent such payment is determined by a final closing balance sheet or such payment is otherwise contingent;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amount would not be required to be reflected on the face of a balance sheet prepared in accordance with GAAP.</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Purchasers</w:t>
      </w:r>
      <w:r>
        <w:rPr>
          <w:rFonts w:ascii="Arial" w:cs="Arial" w:eastAsia="Arial" w:hAnsi="Arial"/>
          <w:sz w:val="16"/>
          <w:szCs w:val="16"/>
          <w:color w:val="auto"/>
        </w:rPr>
        <w:t>” means Merrill Lynch, Pierce, Fenner &amp; Smith Incorporated, J.P. Morgan Securities LLC, BNP Paribas Securities Corp., Credit Agricole Securities (USA) Inc., Rabo Securities USA, Inc., RBS Securities Inc., Scotia Capital (USA) Inc., Wells Fargo Securities, LLC, Fifth Third Securities, Inc., Mizuho Securities USA Inc., Comerica Securities, Inc., Mitsubishi UFJ Securities (USA), Inc. and U.S. Bancorp Investments, Inc.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and Additional Interest, if any, on the Notes.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Covenants—Restricted Payments.”</w:t>
      </w:r>
    </w:p>
    <w:p>
      <w:pPr>
        <w:spacing w:after="0" w:line="118"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means any joint venture which is, directly or indirectly, engaged primarily in a Related Business, and the Equity Interests of which are owned by the Company and/or any of its Restricted Subsidiaries and/or one or more Persons other than the Company and/or any of its Affiliates.</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Leverage Ratio</w:t>
      </w:r>
      <w:r>
        <w:rPr>
          <w:rFonts w:ascii="Arial" w:cs="Arial" w:eastAsia="Arial" w:hAnsi="Arial"/>
          <w:sz w:val="16"/>
          <w:szCs w:val="16"/>
          <w:color w:val="auto"/>
        </w:rPr>
        <w:t>” means, with respect to any specified Person as of any date, the ratio of (i) Average Net Indebtedness of such Person on such date to</w:t>
      </w:r>
    </w:p>
    <w:p>
      <w:pPr>
        <w:spacing w:after="0" w:line="38" w:lineRule="exact"/>
        <w:rPr>
          <w:sz w:val="20"/>
          <w:szCs w:val="20"/>
          <w:color w:val="auto"/>
        </w:rPr>
      </w:pPr>
    </w:p>
    <w:p>
      <w:pPr>
        <w:ind w:firstLine="8"/>
        <w:spacing w:after="0" w:line="295" w:lineRule="auto"/>
        <w:tabs>
          <w:tab w:leader="none" w:pos="258"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Consolidated Cash Flow of such Person for the period of four consecutive fiscal quarters ending on such date (for purposes of this definition and the definition of Average Net Indebtedness, the “</w:t>
      </w:r>
      <w:r>
        <w:rPr>
          <w:rFonts w:ascii="Arial" w:cs="Arial" w:eastAsia="Arial" w:hAnsi="Arial"/>
          <w:sz w:val="16"/>
          <w:szCs w:val="16"/>
          <w:i w:val="1"/>
          <w:iCs w:val="1"/>
          <w:color w:val="auto"/>
        </w:rPr>
        <w:t>Reference Period</w:t>
      </w:r>
      <w:r>
        <w:rPr>
          <w:rFonts w:ascii="Arial" w:cs="Arial" w:eastAsia="Arial" w:hAnsi="Arial"/>
          <w:sz w:val="16"/>
          <w:szCs w:val="16"/>
          <w:color w:val="auto"/>
        </w:rPr>
        <w:t>”).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or makes any Specified Payment, in each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case, after the end of the Reference Period and on or prior to the date of the event for which the calculation of the Leverage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Leverage Ratio shall be calculated giving pro forma effect to (x) such incurrence, assumption, Guarantee, redemption or other repayment of Indebtedness, or (y) such issuance or redemption of preferred stock, or (z) such Specified Payment (including the incurrence of Indebtedness (without duplication of any incurrence included pursuant to the foregoing clause (x)) or the use of cash to fund such Specified Payment) and (I) all other such incurrences, assumptions, Guarantees, redemptions, repayments or issuances that occurred after the first day of the Reference Period and on or prior to the Calculation Date and (II) all other Specified Payments that occurred after the end of the Reference Period and on or prior to the Calculation Date, in each case, as if the same had occurred at the beginning of the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Leverage Ratio:</w:t>
      </w:r>
    </w:p>
    <w:p>
      <w:pPr>
        <w:spacing w:after="0" w:line="90" w:lineRule="exact"/>
        <w:rPr>
          <w:sz w:val="20"/>
          <w:szCs w:val="20"/>
          <w:color w:val="auto"/>
        </w:rPr>
      </w:pPr>
    </w:p>
    <w:p>
      <w:pPr>
        <w:ind w:left="900" w:right="60" w:hanging="446"/>
        <w:spacing w:after="0" w:line="323" w:lineRule="auto"/>
        <w:tabs>
          <w:tab w:leader="none" w:pos="9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 and Consolidated Cash Flow for such Reference Period shall be calculated without giving effect to clause (3) of the proviso set forth in the definition of “Consolidated Net Income”;</w:t>
      </w:r>
    </w:p>
    <w:p>
      <w:pPr>
        <w:spacing w:after="0" w:line="16" w:lineRule="exact"/>
        <w:rPr>
          <w:rFonts w:ascii="Arial" w:cs="Arial" w:eastAsia="Arial" w:hAnsi="Arial"/>
          <w:sz w:val="15"/>
          <w:szCs w:val="15"/>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shall be excluded;</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Indebtedness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59" w:lineRule="exact"/>
        <w:rPr>
          <w:rFonts w:ascii="Arial" w:cs="Arial" w:eastAsia="Arial" w:hAnsi="Arial"/>
          <w:sz w:val="18"/>
          <w:szCs w:val="18"/>
          <w:color w:val="auto"/>
        </w:rPr>
      </w:pPr>
    </w:p>
    <w:p>
      <w:pPr>
        <w:ind w:left="900" w:right="340" w:hanging="446"/>
        <w:spacing w:after="0" w:line="306"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giving pro forma effect to a Specified Payment, to the extent that the Specified Payment would have exceeded the amount of cash and Cash Equivalents of such Person and its Restricted Subsidiaries that would have been available to fund such Specified Payment as of any date that Net Indebtedness is calculated, the amount of such excess shall be deemed to have been funded by additional Indebtedness.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means Moody’s Investors Service, Inc. or any successor rating agency.</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 excluding, however:</w:t>
      </w:r>
    </w:p>
    <w:p>
      <w:pPr>
        <w:spacing w:after="0" w:line="5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non-cash expenses attributable to grants or exercises of employee stock options.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Indebtedness</w:t>
      </w:r>
      <w:r>
        <w:rPr>
          <w:rFonts w:ascii="Arial" w:cs="Arial" w:eastAsia="Arial" w:hAnsi="Arial"/>
          <w:sz w:val="16"/>
          <w:szCs w:val="16"/>
          <w:color w:val="auto"/>
        </w:rPr>
        <w:t xml:space="preserve">” means, in respect of any Person at any date, (a) the aggregate outstanding principal amount of all Indebtedness for borrowed money of such Person and its Restricted Subsidiaries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all other items which would properly be included as indebtedness, determined in accordance with GAAP, on a consolidated balance sheet of such Person and its Restricted Subsidiaries at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unrestricted cash and Cash Equivalents set forth on the consolidated balance sheet of such Person and its Restricted Subsidiaries as at such date.</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secured by a Lien on the asset or assets that were the subject of such Asset Sale.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900" w:right="60" w:hanging="446"/>
        <w:spacing w:after="0" w:line="33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4" w:lineRule="exact"/>
        <w:rPr>
          <w:rFonts w:ascii="Arial" w:cs="Arial" w:eastAsia="Arial" w:hAnsi="Arial"/>
          <w:sz w:val="16"/>
          <w:szCs w:val="16"/>
          <w:color w:val="auto"/>
        </w:rPr>
      </w:pPr>
    </w:p>
    <w:p>
      <w:pPr>
        <w:ind w:left="900" w:right="40" w:hanging="446"/>
        <w:spacing w:after="0" w:line="256"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62"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32"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counsel for the Company, or who is otherwise reasonably acceptable to the Trustee, complying with certain provisions in the Indenture.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Additional Restricted Payment</w:t>
      </w:r>
      <w:r>
        <w:rPr>
          <w:rFonts w:ascii="Arial" w:cs="Arial" w:eastAsia="Arial" w:hAnsi="Arial"/>
          <w:sz w:val="18"/>
          <w:szCs w:val="18"/>
          <w:color w:val="auto"/>
        </w:rPr>
        <w:t>” means additional Restricted Payments made by the Company, if before and after giving pro forma effect to such Restricted Payment, the Leverage Ratio of the Company as of the end of the most recently ended fiscal quarter for which internal financial statements are available is less than 2.50:1.00.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90" w:lineRule="exact"/>
        <w:rPr>
          <w:rFonts w:ascii="Arial" w:cs="Arial" w:eastAsia="Arial" w:hAnsi="Arial"/>
          <w:sz w:val="18"/>
          <w:szCs w:val="18"/>
          <w:color w:val="auto"/>
        </w:rPr>
      </w:pPr>
    </w:p>
    <w:p>
      <w:pPr>
        <w:ind w:left="1480" w:right="340" w:hanging="567"/>
        <w:spacing w:after="0" w:line="268"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Holders—Offer to Repurchase by Application of Excess Proceeds of Asset Sales”;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acquisition of assets solely in exchange for the issuance of Equity Interests (other than Disqualified Stock)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investments in accounts or notes receivable acquired in the ordinary course of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payment by the Company or any of its Restricted Subsidiaries pursuant to the Exclusive Agency and Marketing Agreement;</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Restricted Subsidiaries in the ordinary course of business for bona fide business purposes not in excess of $5.0 million at anyone time outstanding;</w:t>
      </w:r>
    </w:p>
    <w:p>
      <w:pPr>
        <w:spacing w:after="0" w:line="50" w:lineRule="exact"/>
        <w:rPr>
          <w:rFonts w:ascii="Arial" w:cs="Arial" w:eastAsia="Arial" w:hAnsi="Arial"/>
          <w:sz w:val="18"/>
          <w:szCs w:val="18"/>
          <w:color w:val="auto"/>
        </w:rPr>
      </w:pPr>
    </w:p>
    <w:p>
      <w:pPr>
        <w:ind w:left="900" w:right="120" w:hanging="446"/>
        <w:spacing w:after="0" w:line="255"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 and Investments made in settlement or exchange for extensions of trade credit (including trade receivables) by the Company and its Restricted Subsidiaries on commercially reasonable terms in accordance with normal trade practices of the Company or such Restricted Subsidiary, as the case may be;</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50"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reclassification of any Investment initially made in the form of equity as a loan or advance, and reclassification of any Investment initially made in the form of a loan or advance as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amount of such Investment is not increased thereby;</w:t>
      </w:r>
    </w:p>
    <w:p>
      <w:pPr>
        <w:spacing w:after="0" w:line="4"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(13) that are at any time outstanding, not to exceed $100.0 million; and</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Investments in Joint Ventures having an aggregate fair market value (measured on the date each such Investment was made and without giving effect to subsequent changes in value), when taken together with all other Investments made pursuant to this clause (14) that are at any time outstanding, not to exceed the greater of (x) $150.0 million and (y) 7.5% of Consolidated Total Assets.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900" w:right="4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 incurred pursuant to clause (1) of the second paragraph under “—Certain Covenants—Incurrence of Indebtedness and Issuance of Preferred Stock”;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merger or consolidation and do not extend to any assets other than those of the Person merged into or consolidated with the Company or the Subsidiary;</w:t>
      </w:r>
    </w:p>
    <w:p>
      <w:pPr>
        <w:spacing w:after="0" w:line="59"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acquisition;</w:t>
      </w:r>
    </w:p>
    <w:p>
      <w:pPr>
        <w:spacing w:after="0" w:line="50" w:lineRule="exact"/>
        <w:rPr>
          <w:rFonts w:ascii="Arial" w:cs="Arial" w:eastAsia="Arial" w:hAnsi="Arial"/>
          <w:sz w:val="18"/>
          <w:szCs w:val="18"/>
          <w:color w:val="auto"/>
        </w:rPr>
      </w:pPr>
    </w:p>
    <w:p>
      <w:pPr>
        <w:jc w:val="both"/>
        <w:ind w:left="900" w:right="42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clause (4) of the second paragraph of the covenant entitled “— Certain Covenants—Incurrence of Indebtedness and Issuance of Preferred Stock” covering only the assets financed with such Indebtedness and additions and improvements thereon;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Liens securing Indebtedness or trade payables and any related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Indebtedness and trade payables secured by this clause (8) shall not exceed $50.0 million at anyone time outstanding;</w:t>
      </w:r>
    </w:p>
    <w:p>
      <w:pPr>
        <w:spacing w:after="0" w:line="5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Liens securing Attributable Indebtedness under Sale and Leaseback Transactions incurred in compliance with the covenant described under “— Certain Covenants—Limitation on Sale and 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Attributable Indebtedness secured by this clause (9) shall not exceed $75.0 million at anyone time outstanding;</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suppliers, materialmen, repairmen and other Liens imposed by law incurred in the ordinary course of business; Liens in favor of customs and revenue authorities arising as a matter of law to secure payment of customs duties in connection with the importation of goods; and any other Liens imposed by operation of law which do not materially affect the Company’s ability to perform its obligations under the Notes and the Indenture;</w:t>
      </w:r>
    </w:p>
    <w:p>
      <w:pPr>
        <w:spacing w:after="0" w:line="62" w:lineRule="exact"/>
        <w:rPr>
          <w:rFonts w:ascii="Arial" w:cs="Arial" w:eastAsia="Arial" w:hAnsi="Arial"/>
          <w:sz w:val="18"/>
          <w:szCs w:val="18"/>
          <w:color w:val="auto"/>
        </w:rPr>
      </w:pPr>
    </w:p>
    <w:p>
      <w:pPr>
        <w:ind w:left="900" w:right="140" w:hanging="446"/>
        <w:spacing w:after="0" w:line="255"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similar obligations,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61"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59"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lease, whether or not characterized as capital or operating;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property or assets which is not leased property subject to such lease;</w:t>
      </w:r>
    </w:p>
    <w:p>
      <w:pPr>
        <w:spacing w:after="0" w:line="50" w:lineRule="exact"/>
        <w:rPr>
          <w:rFonts w:ascii="Arial" w:cs="Arial" w:eastAsia="Arial" w:hAnsi="Arial"/>
          <w:sz w:val="18"/>
          <w:szCs w:val="18"/>
          <w:color w:val="auto"/>
        </w:rPr>
      </w:pPr>
    </w:p>
    <w:p>
      <w:pPr>
        <w:ind w:left="900" w:right="640" w:hanging="446"/>
        <w:spacing w:after="0" w:line="357" w:lineRule="auto"/>
        <w:tabs>
          <w:tab w:leader="none" w:pos="9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ind w:left="900" w:right="22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leases or subleases granted to others not interfering in any material respect with the business of the Company or its Restricted Subsidiaries;</w:t>
      </w:r>
    </w:p>
    <w:p>
      <w:pPr>
        <w:spacing w:after="0" w:line="113"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Company or any of its Restricted Subsidiaries in the ordinary course of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rights of banks to set off deposits against debts owed to said bank;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Liens on accounts receivable originated by the Company and its Restricted Subsidiaries, any related assets and proceeds thereof that are sold, conveyed or otherwise transferred pursuant to a Receivables Financing permitted pursuant to clause (10) of the second paragraph of the covenant described under “—Certain Covenants—Incurrence of Indebtedness and Issuance of Preferred Stock”.</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any Suspension Period, the relevant clauses of the covenant entitled “—Certain Covenants—Incurrence of Indebtedness and Issuance of Preferred Stock” shall be deemed to be in effect solely for purposes of determining the amount available under clauses (1) and (5) above.</w:t>
      </w:r>
    </w:p>
    <w:p>
      <w:pPr>
        <w:spacing w:after="0" w:line="8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Refinancing Indebtedness</w:t>
      </w:r>
      <w:r>
        <w:rPr>
          <w:rFonts w:ascii="Arial" w:cs="Arial" w:eastAsia="Arial" w:hAnsi="Arial"/>
          <w:sz w:val="16"/>
          <w:szCs w:val="16"/>
          <w:color w:val="auto"/>
        </w:rPr>
        <w:t>”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(such other Indebtedness, “</w:t>
      </w:r>
      <w:r>
        <w:rPr>
          <w:rFonts w:ascii="Arial" w:cs="Arial" w:eastAsia="Arial" w:hAnsi="Arial"/>
          <w:sz w:val="16"/>
          <w:szCs w:val="16"/>
          <w:i w:val="1"/>
          <w:iCs w:val="1"/>
          <w:color w:val="auto"/>
        </w:rPr>
        <w:t>Refinanced Indebtedness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6" w:lineRule="exact"/>
        <w:rPr>
          <w:sz w:val="20"/>
          <w:szCs w:val="20"/>
          <w:color w:val="auto"/>
        </w:rPr>
      </w:pPr>
    </w:p>
    <w:p>
      <w:pPr>
        <w:ind w:left="900" w:right="12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expenses incurred in connection therewith including premiums paid, if any, to the holders thereto);</w:t>
      </w:r>
    </w:p>
    <w:p>
      <w:pPr>
        <w:spacing w:after="0" w:line="59"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the Refinanced Indebtedness, and the portion, if any, of the Permitted Refinancing Indebtedness that is scheduled to mature on or prior to the maturity date of the Notes has a Weighted Average Life to Maturity at the time such Permitted Refinancing Indebtedness is incurred that is equal to or greater than the Weighted Average Life to Maturity of the portion of the Refinanced Indebtedness that is scheduled to mature on or prior to the maturity date of the Notes;</w:t>
      </w:r>
    </w:p>
    <w:p>
      <w:pPr>
        <w:spacing w:after="0" w:line="3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Refinanced Indebtedness is subordinated in right of payment to the Notes, such Permitted Refinancing Indebtedness is subordinated in right of payment to the Notes on terms at least as favorable to the Holders of Notes as those contained in the documentation governing the Refinanced Indebtedness;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such Indebtedness shall not be incurred by a Restricted Subsidiary that is not a Guarantor to refinance debt of the Company or a Guarantor; and</w:t>
      </w:r>
    </w:p>
    <w:p>
      <w:pPr>
        <w:spacing w:after="0" w:line="11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proceeds of the Permitted Refinancing Indebtedness shall be used substantially concurrently with the incurrence thereof to redeem or refinance the Refinanced Indebtedness, unless, in the case of a redemption or refinancing, the Refinanced Indebtedness is not then due and is not redeemable or prepayable at the option of the obligor thereof or is redeemable or prepayable only with notice, in which case such proceeds shall be held in a segregated account of the obligor of the Refinanced Indebtedness until the Refinanced Indebtedness becomes due or redeemable or prepayable or such notice period lapses and then shall be used to refinance the Refinanced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event the Refinanced Indebtedness shall be redeemed or refinanced within six months of the incurrence of the Refinancing Indebtedness.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Principals</w:t>
      </w:r>
      <w:r>
        <w:rPr>
          <w:rFonts w:ascii="Arial" w:cs="Arial" w:eastAsia="Arial" w:hAnsi="Arial"/>
          <w:sz w:val="18"/>
          <w:szCs w:val="18"/>
          <w:color w:val="auto"/>
        </w:rPr>
        <w:t>” means the Hagedorn Partnership, L.P. and the general partners of the Hagedorn Partnership, L.P. on December 16, 2010 and, in the case of such individuals, their respective executors, administrators and heirs and their families and trusts for their benefit.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Financing</w:t>
      </w:r>
      <w:r>
        <w:rPr>
          <w:rFonts w:ascii="Arial" w:cs="Arial" w:eastAsia="Arial" w:hAnsi="Arial"/>
          <w:sz w:val="16"/>
          <w:szCs w:val="16"/>
          <w:color w:val="auto"/>
        </w:rPr>
        <w:t>” means, with respect to the Company or any of its Restricted Subsidiaries, any discounting, factoring or securitization arrangement (including, for the avoidance of doubt, the Receivables Purchase Agreement) pursuant to which the Company or any Restricted Subsidiary sells, conveys or otherwise transfers to a Restricted Subsidiary or any other Person, or grants a security interest in, any accounts receivable originated by the Company or such Restricted Subsidiary, as the case may be, together with any related assets, or pursuant to which ownership interests in, or notes, commercial paper, certificates or other debt instruments may be secured by such accounts receivable and related assets.</w:t>
      </w:r>
    </w:p>
    <w:p>
      <w:pPr>
        <w:spacing w:after="0" w:line="116"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Purchase Agreement</w:t>
      </w:r>
      <w:r>
        <w:rPr>
          <w:rFonts w:ascii="Arial" w:cs="Arial" w:eastAsia="Arial" w:hAnsi="Arial"/>
          <w:sz w:val="18"/>
          <w:szCs w:val="18"/>
          <w:color w:val="auto"/>
        </w:rPr>
        <w:t>” means the Master Accounts Receivable Purchase Agreement dated as of May 1, 2009, by and among The Scotts Company LLC, as seller, the Company, as guarantor, and Calyon New York Branch, as purchaser, as amended, modified, renewed, refunded, replaced or refinanced from time to time.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Notes, dated as of December 16, 2010, among the Company, the Guarantors and the Initial Purchasers, as amended, supplemented or modified from time to time, and any similar agreement entered into in connection with the issuance of any Additional Notes.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Related Business</w:t>
      </w:r>
      <w:r>
        <w:rPr>
          <w:rFonts w:ascii="Arial" w:cs="Arial" w:eastAsia="Arial" w:hAnsi="Arial"/>
          <w:sz w:val="16"/>
          <w:szCs w:val="16"/>
          <w:color w:val="auto"/>
        </w:rPr>
        <w:t>” means the business conducted (or proposed to be conducted) by the Company and its Subsidiaries as of December 16, 2010 and any and all businesses that in the good faith judgment of the Board of Directors of the Company are reasonably related thereto.</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with respect to any Principal means any trust, corporation, partnership or other entity, the beneficiaries, stockholders, partners, owners or Persons beneficially holding an 80% or more controlling interest of which consist of such Principal.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McGraw Hill, Inc., a New York corporation, or any successor rating agency.</w:t>
      </w:r>
    </w:p>
    <w:p>
      <w:pPr>
        <w:spacing w:after="0" w:line="194"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Sale and Leaseback Transactions</w:t>
      </w:r>
      <w:r>
        <w:rPr>
          <w:rFonts w:ascii="Arial" w:cs="Arial" w:eastAsia="Arial" w:hAnsi="Arial"/>
          <w:sz w:val="15"/>
          <w:szCs w:val="15"/>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 the United States Securities and Exchange Commission.</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(1) any Subsidiary that would be a “significant subsidiary” as defined in Article 1, Rule 1-02 of Regulation S-X, promulgated pursuant to the Exchange Act, as such Regulation is in effect on the date hereof and (2) any Restricted Subsidiary that when aggregated with all other Restricted Subsidiaries that are not otherwise Significant Subsidiaries would constitute a Significant Subsidiary under clause (1) of this definition.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Payments</w:t>
      </w:r>
      <w:r>
        <w:rPr>
          <w:rFonts w:ascii="Arial" w:cs="Arial" w:eastAsia="Arial" w:hAnsi="Arial"/>
          <w:sz w:val="18"/>
          <w:szCs w:val="18"/>
          <w:color w:val="auto"/>
        </w:rPr>
        <w:t>” means Permitted Investments pursuant to clauses (13) and (14) of the definition of “Permitted Investments” and Restricted Payments pursuant to the first paragraph and clauses (5) and (6) of the second paragraph of the covenant under “—Certain Covenants—Restricted Payments,” in each case, to the extent made in cash.</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90" w:lineRule="exact"/>
        <w:rPr>
          <w:sz w:val="20"/>
          <w:szCs w:val="20"/>
          <w:color w:val="auto"/>
        </w:rPr>
      </w:pPr>
    </w:p>
    <w:p>
      <w:pPr>
        <w:ind w:left="900" w:right="60" w:hanging="446"/>
        <w:spacing w:after="0" w:line="335" w:lineRule="auto"/>
        <w:tabs>
          <w:tab w:leader="none" w:pos="9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thereto); and</w:t>
      </w:r>
    </w:p>
    <w:p>
      <w:pPr>
        <w:spacing w:after="0" w:line="7" w:lineRule="exact"/>
        <w:rPr>
          <w:rFonts w:ascii="Arial" w:cs="Arial" w:eastAsia="Arial" w:hAnsi="Arial"/>
          <w:sz w:val="15"/>
          <w:szCs w:val="15"/>
          <w:color w:val="auto"/>
        </w:rPr>
      </w:pPr>
    </w:p>
    <w:p>
      <w:pPr>
        <w:ind w:left="900" w:right="260" w:hanging="446"/>
        <w:spacing w:after="0" w:line="332"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any Subsidiary of the Company that is designated by the Board of Directors as an Unrestricted Subsidiary pursuant to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Resolution, but only to the extent that such Subsidiary:</w:t>
      </w:r>
    </w:p>
    <w:p>
      <w:pPr>
        <w:spacing w:after="0" w:line="84"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59"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Covenants—Incurrence of Indebtedness and Issuance of Preferred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Stock,” calculated on a pro forma basis as if such designation had occurred at the beginning of the four-quarter reference period; and (2) no Default or Event of Default would be in existence following such designation.</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no Subsidiary of the Company shall be designated an Unrestricted Subsidiary during any Suspension Period.</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ind w:left="900" w:right="14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DELIVERY AND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exchange notes will be issued in fully registered global form. The exchange notes initially will be represented by one or more global certificates without interest coupons (the “global notes”). The global notes will be deposited upon issuance with the Trustee as custodian for DTC and registered in the name of DTC or its nominee for credit to the accounts of direct or indirect participants in DTC, as described below under “—Depositary Procedures.”</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global notes will be deposited on behalf of the acquirers of the exchange notes for credit to the respective accounts of the acquirers or to such other accounts as they may direct. Except as described below, the global notes may be transferred, in whole and not in part, only to another nominee of DTC or to a successor of DTC or its nominee. Beneficial interests in the global notes may not be exchanged for the exchange notes in certificated form except in the limited circumstances described below under “—Exchange of Book-Entry Notes for Certificated Notes.”</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Transfers of beneficial interests in the global notes will be subject to the applicable rules and procedures of DTC and its direct or indirect participants,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Procedures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systems or their participants directly to discuss these matters.</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DTC has advised us that it is: a limited purpose trust company organized under the New York State Banking Law; a “banking organization” within the meaning of the New York State Banking Law; a member of the U.S. Federal Reserve System; a “clearing corporation” within the meaning of the New York Uniform Commercial Code; and a “clearing agency” registered under Section 17A of the Exchange Act.</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DTC was created to hold securities for its participating organizations (collectively, the “participants”) and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participants or indirect participants. DTC has no knowledge of the identity of beneficial owners of securities held by or on behalf of DTC. DTC’s records reflect only the identity of participants to whose accounts securities are credited. The ownership interests and transfer of ownership interests of each beneficial owner of each security held by or on behalf of DTC are recorded on the records of the participants and indirect participants.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DTC has also advised us that, pursuant to procedures established by DTC, ownership of interests in the global notes will be shown on, and the transfer of ownership of such interest will be effected only through, records maintained by DTC (with respect to the participants) or by the participants and the indirect participants (with respect to other owners of beneficial interests in the global notes).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Investors in the global notes may hold their interests therein directly through DTC if they are participants in such system or indirectly through organizations that are participants or indirect participants in such system. All interests in the global notes will be subject to the procedures and requirements of DTC. The laws of some states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require that certain persons take physical delivery of certificates evidencing securities they own. Consequently, the ability to transfer beneficial interests in the global notes to such persons will be limited to that extent. Because DTC can act only on behalf of participants, which in turn act on behalf of indirect participants, the ability of beneficial owners of interests in the global notes to pledge such interests to persons or entities that do not participate in the DTC system, or otherwise take actions in respect of such interests, may be affected by the lack of a physical certificate evidencing such interests.</w:t>
      </w:r>
    </w:p>
    <w:p>
      <w:pPr>
        <w:spacing w:after="0" w:line="107"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exchange notes registered in their names, will not receive physical delivery of the exchange notes in certificated form and will not be considered the registered owners or holders thereof under the indenture for any purpose.</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Payments in respect of the principal of and premium, if any, and interest on the global notes registered in the name of DTC or its nominee will be payable by the Trustee (or the paying agent if other than the Trustee) to DTC in its capacity as the registered holder under the indenture. We and the Trustee will treat the persons in whose names the exchange notes, including the global notes, are registered as the owners thereof for the purpose of receiving such payments and for any and all other purposes whatsoever. Consequently, none of us, the Trustee or any agent of ours or the Trustee has or will have any responsibility or liability for: 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any other matter relating to the actions and practices of DTC or any of its participants or indirect participants.</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exchange notes (including principal and interest), is to credit the accounts of the relevant participants with the payment on the payment date in amounts proportionate to their respective holdings in the principal amount of the relevant security as shown on the records of DTC, unless DTC has reason to believe it will not receive payment on such payment date. 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its participants in identifying the beneficial owners of the exchange notes, and we and the Trustee may conclusively rely on and will be protected in relying on instructions from DTC or its nominee for all purposes.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Interests in the global notes are expected to be eligible to trade in DTC’s Same-Day Funds Settlement System and secondary market trading activity in such interests will therefore settle in immediately available funds, subject in all cases to the rules and procedures of DTC and its participants.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DTC has advised us that it will take any action permitted to be taken by a holder of exchange notes only at the direction of one or more participants to whose account with DTC interests in the global notes are credited and only in respect of such portion of the aggregate principal amount of the exchange notes as to which such participant or participants has or have given such direction.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DTC has agreed to the foregoing procedures to facilitate transfers of interests in the global notes among participants in DTC, it is under no obligation to perform or to continue to perform such procedures, and the procedures may be discontinued at any time. Neither we nor the Trustee will have any responsibility for the performance by DTC or its participants or indirect participants of their respective obligations under the rules and procedures governing their operations.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information in this section concerning DTC and its book-entry system has been obtained from sources that we believe to be reliable, but we take no responsibility for the accuracy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Book-Entry Notes for Certificated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(i) DTC is at any time unwilling or unable to continue as depositary and a successor depositary is not appointed by us within 90 days, (ii) DTC has ceased to be a clearing agency registered under the Exchange Act and a successor depositary is not appointed by us within 90 days, (iii) we, at our option, notify the Trustee in writing that we elect to cause the issuance of the notes in the form of certificated notes, or (iv) an Event of Default has occurred and is continuing, upon request by the holders of the notes, we will issue notes in certificated form in exchange for global securities. The indenture permits us to determine at any time and in our sole discretion that notes shall no longer be represented by global securities. DTC has advised us that, under its current practices, it would notify its participants of our request, but will only withdraw beneficial interests from the global security at the request of each DTC participant. We would issue definitive certificates in exchange for any beneficial interests withdrawn.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80"/>
          </w:cols>
          <w:pgMar w:left="24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FEDERAL INCOME TAX CONSEQUENCES OF THE EXCHANGE OFFER</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certain U.S. federal income tax consequences of the exchange offer and the ownership and disposition of the exchange notes issued pursuant to the exchange offer that may be relevant to you as of the date hereof. This summary does not describe all of the tax consequences that may be relevant to you in light of your particular circumstances. For example, it does not address considerations that may be relevant to you if you are an investor that is subject to special tax rules such as banks, thrifts, real estate investment trusts, regulated investment companies, insurance companies, dealers in securities or currencies, traders in securities electing to mark to market, tax-exempt investors, partnerships or other pass through entities controlled foreign corporations, passive foreign investment companies, or U.S. expatriates. It also does not discuss notes held as part of a hedge, straddle, conversion, “synthetic security” or other integrated transaction. This summary addresses only holders that purchased the outstanding notes upon their original issue from the initial purchaser at the “issue price” (i.e., the first price at which a substantial amount of notes is sold for money, other than to bond houses, brokers or similar persons acting in the capacity of underwriters, placement agents or wholesalers) and that hold the notes as capital assets. It does not include any description of any alternative minimum tax consequences, any U.S. federal taxes other than income taxes (such as estate tax or gift taxes) consequences or the tax laws of any state or local government or of any foreign government that may be applicable to the notes. You should consult your tax advisors as to the particular tax consequences to you of participating in the exchange offer and holding and disposing of the exchange notes.</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summary is based upon the Internal Revenue Code of 1986, as amended (the “Code”), Treasury regulations, IRS rulings and pronouncements and administrative and judicial decisions currently in effect, all of which are subject to change (possibly with retroactive effect) or possible differing interpretations, which may materially affect the tax consequences described herein.</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is a holder, the tax treatment of a partner in the partnership will generally depend upon the status of the partner and the activities of the partnership. A holder that is a partnership, and partners in such a partnership, should consult their own tax advisors regarding the tax consequences of the exchange offer and the ownership and disposition of the exchange notes.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purposes of this summary, you are a “U.S. Holder” if you are a beneficial owner of the notes and, for U.S. federal income tax purposes: (i) you are an individual who is a citizen or resident of the United States; (ii) you are an entity taxable as a corporation under U.S. federal income tax laws that is created or organized in or under the laws of the United States, any state thereof or the District of Columbia; (iii) you are an estate the income of which is includable in gross income for U.S. federal income tax purposes regardless of its source; or (iv) you are a trust whose administration is subject to the primary supervision of a U.S. court and which has one or more U.S. persons who have the authority to control all substantial decisions of the trust, or a trust that was in existence on August 20, 1996, was treated as a U.S. person prior to such date and has elected to continue to be treated as a U.S. person. You are a “Non-U.S. Holder” if you are a beneficial owner of the notes and are neither a U.S. Holder nor an entity classified as a partnership for U.S. federal income tax purposes.</w:t>
      </w:r>
    </w:p>
    <w:p>
      <w:pPr>
        <w:spacing w:after="0" w:line="193" w:lineRule="exact"/>
        <w:rPr>
          <w:sz w:val="20"/>
          <w:szCs w:val="20"/>
          <w:color w:val="auto"/>
        </w:rPr>
      </w:pPr>
    </w:p>
    <w:p>
      <w:pPr>
        <w:ind w:left="460" w:right="3640" w:firstLine="3183"/>
        <w:spacing w:after="0" w:line="463" w:lineRule="auto"/>
        <w:rPr>
          <w:sz w:val="20"/>
          <w:szCs w:val="20"/>
          <w:color w:val="auto"/>
        </w:rPr>
      </w:pPr>
      <w:r>
        <w:rPr>
          <w:rFonts w:ascii="Arial" w:cs="Arial" w:eastAsia="Arial" w:hAnsi="Arial"/>
          <w:sz w:val="18"/>
          <w:szCs w:val="18"/>
          <w:b w:val="1"/>
          <w:bCs w:val="1"/>
          <w:color w:val="auto"/>
        </w:rPr>
        <w:t xml:space="preserve">U.S. Federal Income Tax Consequences to U.S. Holders </w:t>
      </w:r>
      <w:r>
        <w:rPr>
          <w:rFonts w:ascii="Arial" w:cs="Arial" w:eastAsia="Arial" w:hAnsi="Arial"/>
          <w:sz w:val="18"/>
          <w:szCs w:val="18"/>
          <w:color w:val="auto"/>
        </w:rPr>
        <w:t>This section applies to you if you are a U.S. Holder.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who Participate in the Exchange Offer</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Neither the registration of the exchange offer pursuant to our obligations under the Registration Rights Agreement nor your receipt of the exchange notes in exchange for the outstanding notes will constitute a taxable event for U.S. federal income tax purposes. You will retain the tax basis in the exchange notes that you had in the outstanding notes, and your holding period for the exchange notes will include your holding period for the outstanding notes before such outstanding notes were registered.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Interest on the Exchange Notes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Interest on a exchange note will generally be taxable as ordinary income at the time it is paid or accrued in accordance with your regular method of accounting for U.S. federal income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Redemption, Retirement or Other Taxable Disposition of the Exchange Notes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You must recognize taxable gain or loss on the sale, redemption, retirement or other taxable disposition of a exchange note. The amount of such gain or loss will generally equal the difference between the amount received for the exchange note in cash or other property valued at fair market value (less amounts attributable to accrued but unpaid stated interest, which will be taxable as interest income to the extent not previously included in income) and the adjusted tax basis of the exchange note. Your adjusted basis in a exchange note generally will be the amount you paid for the outstanding note that was exchanged for such exchange note. Any such gain or loss will generally constitute capital gain or loss and will be long-term capital gain or loss if such exchange note was held for more than one year (including your holding period for the outstanding note). Long-term capital gains of non-corporate holders are generally eligible for reduced rates of taxation. The deductibility of capital losses is subject to certain limitations.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Payments of interest on the exchange notes, and the proceeds of any sale, redemption, retirement or other taxable disposition of the exchange notes generally will be subject to information reporting unless you are an exempt recipient. Backup withholding generally will apply to such amounts unless you provide a correct taxpayer identification number and certify that you are not subject to backup withholding on IRS Form W-9 (or an applicable substitute form), or if you are an exempt recipient. Backup withholding is not an additional tax. Any amount paid as backup withholding will be creditable against your U.S. federal income tax liability, and may entitle you to a refund, provided that the required information is timely furnished to the IRS.</w:t>
      </w:r>
    </w:p>
    <w:p>
      <w:pPr>
        <w:spacing w:after="0" w:line="191" w:lineRule="exact"/>
        <w:rPr>
          <w:sz w:val="20"/>
          <w:szCs w:val="20"/>
          <w:color w:val="auto"/>
        </w:rPr>
      </w:pPr>
    </w:p>
    <w:p>
      <w:pPr>
        <w:jc w:val="right"/>
        <w:ind w:right="6880"/>
        <w:spacing w:after="0"/>
        <w:rPr>
          <w:sz w:val="20"/>
          <w:szCs w:val="20"/>
          <w:color w:val="auto"/>
        </w:rPr>
      </w:pPr>
      <w:r>
        <w:rPr>
          <w:rFonts w:ascii="Arial" w:cs="Arial" w:eastAsia="Arial" w:hAnsi="Arial"/>
          <w:sz w:val="15"/>
          <w:szCs w:val="15"/>
          <w:b w:val="1"/>
          <w:bCs w:val="1"/>
          <w:color w:val="auto"/>
        </w:rPr>
        <w:t>U.S. Federal Income Tax Consequences to Non-U.S. Holders</w:t>
      </w:r>
    </w:p>
    <w:p>
      <w:pPr>
        <w:spacing w:after="0" w:line="131" w:lineRule="exact"/>
        <w:rPr>
          <w:sz w:val="20"/>
          <w:szCs w:val="20"/>
          <w:color w:val="auto"/>
        </w:rPr>
      </w:pPr>
    </w:p>
    <w:p>
      <w:pPr>
        <w:jc w:val="right"/>
        <w:ind w:right="6940"/>
        <w:spacing w:after="0"/>
        <w:rPr>
          <w:sz w:val="20"/>
          <w:szCs w:val="20"/>
          <w:color w:val="auto"/>
        </w:rPr>
      </w:pPr>
      <w:r>
        <w:rPr>
          <w:rFonts w:ascii="Arial" w:cs="Arial" w:eastAsia="Arial" w:hAnsi="Arial"/>
          <w:sz w:val="16"/>
          <w:szCs w:val="16"/>
          <w:color w:val="auto"/>
        </w:rPr>
        <w:t>This section applies to you if you are a Non-U.S. Holder.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who Participate in the Exchange Offer</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Neither the registration of the exchange offer pursuant to our obligations under the Registration Rights Agreement nor the receipt of the exchange notes in exchange for the outstanding notes will be a taxable event for U.S. federal income tax purposes. You will recognize income in respect of the exchange notes at the same time and in the same amounts as you would have recognized such income in respect of the outstanding notes had the exchange offer not occurred.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Interest on the Exchange Notes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You will not be subject to U.S. federal withholding tax on payments of interest on the New Notes, provided that you (a) do not actually or constructively own 10% or more of the combined voting power of all classes of our stock that are entitled to vote, (b) are not a controlled foreign corporation related to us through actual or constructive equity ownership, and (c) have provided a properly completed form W-8BEN or other applicable IRS Form W-8, signed under penalties of perjury, establishing your status as a Non-U.S. Holder. If the foregoing requirements are not met, payments of interest will be subject to 30% U.S. federal withholding tax, unless you provide (a) IRS Form W-8BEN, signed under penalties of perjury, claiming an exemption from or reduction in withholding under the benefit of an applicable income tax treaty, or (b) IRS Form W-8ECI stating that interest paid on the exchange notes is not subject to withholding tax because it is effectively connected with your conduct of a trade or business in the United States (as discussed below under “—Effectively connected income”).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Redemption, Retirement or Other Taxable Disposition of the Exchange Notes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You generally will not be subject to U.S. federal income tax or withholding tax on gain realized on the sale, redemption, retirement or other taxable disposition of the exchange notes unless:</w:t>
      </w:r>
    </w:p>
    <w:p>
      <w:pPr>
        <w:spacing w:after="0" w:line="51" w:lineRule="exact"/>
        <w:rPr>
          <w:sz w:val="20"/>
          <w:szCs w:val="20"/>
          <w:color w:val="auto"/>
        </w:rPr>
      </w:pPr>
    </w:p>
    <w:p>
      <w:pPr>
        <w:ind w:left="440" w:right="160" w:hanging="324"/>
        <w:spacing w:after="0" w:line="268" w:lineRule="auto"/>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gain is effectively connected with your conduct of a trade or business in the United States, in which case such gain will be taxed as described below; or</w:t>
      </w:r>
    </w:p>
    <w:p>
      <w:pPr>
        <w:spacing w:after="0" w:line="50" w:lineRule="exact"/>
        <w:rPr>
          <w:rFonts w:ascii="Arial" w:cs="Arial" w:eastAsia="Arial" w:hAnsi="Arial"/>
          <w:sz w:val="18"/>
          <w:szCs w:val="18"/>
          <w:color w:val="auto"/>
        </w:rPr>
      </w:pPr>
    </w:p>
    <w:p>
      <w:pPr>
        <w:ind w:left="440" w:right="100" w:hanging="324"/>
        <w:spacing w:after="0" w:line="332" w:lineRule="auto"/>
        <w:tabs>
          <w:tab w:leader="none" w:pos="4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you are an individual holder present in the United States for 183 days or more in the taxable year of the disposition and certain other conditions are met, in which case you will be subject to 30% (or a lower applicable treaty rate) U.S. federal income tax on such gain (net of certain U.S. source losses).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payment with respect to the sale, redemption, retirement or other taxable disposition that is attributable to accrued but unpaid interest will be subject to tax as described above under “—Payments of Interest on the Exchange Notes”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Effectively Connected Income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payment of interest or gain from the sale of the exchange notes is effectively connected with your conduct of a U.S. trade or business (and, if certain tax treaties apply, is attributable to a permanent establishment in the United States), you generally will be subject to U.S. federal income tax on the gain or income on a net income basis in the same manner as if you were a U.S. person. If you are a foreign corporation, you also may be subject to a “branch profits tax” equal to 30% of your effectively connected earnings and profits for the taxable year, subject to certain adjustments, unless you qualify for a lower rate under an applicable income tax treaty.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Tax and Information Reporting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general, payments of interest and the proceeds of the sale, redemption, retirement or other taxable disposition of the exchange notes (and the amount of tax withheld with respect to such payments, if any) will be subject to information reporting unless you are an exempt recipient. Copies of the information returns reporting such payments (and withholding, if any) may also be made available to the tax authorities in your country of residence under the provisions of an applicable income tax treaty. Backup withholding generally will not apply to payments made unless you fail to provide the certification on IRS Form W-8BEN (or other applicable IRS Form W-8) or otherwise do not provide evidence of non-U.S. status. Backup withholding is not an additional tax. Any amount paid as backup withholding will be creditable against your U.S. federal income tax liability, and may entitle you to a refund, provided that the required information is timely furnished to the 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Any broker-dealer who holds outstanding notes that are Transfer Restricted Securities, and that were acquired for its own account as a result of market-making activities or other trading activities (other than outstanding notes acquired directly from us) may exchange such outstanding notes in this exchange offer. However, the broker-dealer may be deemed to be an “underwriter” within the meaning of the Securities Act and, therefore, must deliver a prospectus meeting the requirements of the Securities Act in connection with any resales of the exchange notes received by the broker-dealer in the exchange offer. Each broker-dealer that receives exchange notes for its own account pursuant to the exchange offer must acknowledge that it will deliver a prospectus in connection with any resale of the exchange notes.</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will not receive any proceeds from any exchange of outstanding notes for exchange notes or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these methods of resale, at market prices prevailing at the time of resale, at prices related to the prevailing market prices or at negotiated prices. Any such resale may be made directly to purchasers or through brokers or dealers who may receive compensation in the form of commissions or concessions from any broker-dealer and/or the purchasers of any exchange notes. Any broker-dealer that resells exchange notes that were received by it for its own account pursuant to the exchange offer and any broker or dealer that participates in a distribution of the exchange notes may be deemed to be an “underwriter” within the meaning of the Securities Act and any profit of any resale of exchange notes and any commissions or concessions received by these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agreed to pay all expenses incident to the exchange offer other than commissions or concessions of any brokers or dealers and, except in certain circumstances, the expenses of counsel and other advisors of the holders and will indemnify the holders of outstanding notes, including any broker-dealers, against certain liabilities, including liabilities under the Securities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validity of the exchange notes and certain guarantees will be passed upon for us by our general counsel. Certain matters as to United States law and the validity of certain guarantees will be passed upon for us by Hunton &amp; Williams LLP, Washington, D.C.</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consolidated financial statements and related consolidated financial statement schedules as of September 30, 2011 and 2010, and for each of the three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years in the period ended September 30, 2011 incorporated in this prospectus by reference from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2011, and the effectiveness of our internal control over financial reporting have been audited by Deloitte &amp; Touche LLP, an independent registered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public accounting firm, as stated in their reports incorporated by reference herein (which reports (1) express an unqualified opinion on the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related consolidated financial statement schedules and (2) express an unqualified opinion on the effectiveness of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Such financial statements and financial statement schedules have been so incorporated in reliance upon the reports of such firm given upon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authority as experts in accounting and auditing.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2855595</wp:posOffset>
            </wp:positionV>
            <wp:extent cx="1517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2280920</wp:posOffset>
            </wp:positionV>
            <wp:extent cx="2084070" cy="394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840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Offer to exchange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$200,000,000 principal amount of our 6.625% Senior Notes due 2020, which have been registered under the Securities Act of 1933, as amended, for any and all of our outstanding 6.625% Senior Notes due 2020.</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Until the date that is 90 days from the date of this prospectus, all dealers that effect transactions in these securities, whether or not participating in this exchange offer, may be required to deliver a prospectus. This is in addition to the dealers’ obligation to deliver a prospectus when acting as underwriters with respect to their unsold allotments or subscriptions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2126615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2169795</wp:posOffset>
            </wp:positionV>
            <wp:extent cx="72466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II. 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Division (E) of Section 1701.13 of the Ohio Revised Code addresses indemnification by an Ohio corporation and provides as follows:</w:t>
      </w:r>
    </w:p>
    <w:p>
      <w:pPr>
        <w:spacing w:after="0" w:line="119" w:lineRule="exact"/>
        <w:rPr>
          <w:sz w:val="20"/>
          <w:szCs w:val="20"/>
          <w:color w:val="auto"/>
        </w:rPr>
      </w:pPr>
    </w:p>
    <w:p>
      <w:pPr>
        <w:ind w:firstLine="464"/>
        <w:spacing w:after="0" w:line="287" w:lineRule="auto"/>
        <w:tabs>
          <w:tab w:leader="none" w:pos="7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22"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37" w:lineRule="exact"/>
        <w:rPr>
          <w:rFonts w:ascii="Arial" w:cs="Arial" w:eastAsia="Arial" w:hAnsi="Arial"/>
          <w:sz w:val="16"/>
          <w:szCs w:val="16"/>
          <w:color w:val="auto"/>
        </w:rPr>
      </w:pPr>
    </w:p>
    <w:p>
      <w:pPr>
        <w:ind w:left="460" w:right="260" w:firstLine="443"/>
        <w:spacing w:after="0" w:line="298" w:lineRule="auto"/>
        <w:tabs>
          <w:tab w:leader="none" w:pos="113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71" w:lineRule="exact"/>
        <w:rPr>
          <w:rFonts w:ascii="Arial" w:cs="Arial" w:eastAsia="Arial" w:hAnsi="Arial"/>
          <w:sz w:val="18"/>
          <w:szCs w:val="18"/>
          <w:color w:val="auto"/>
        </w:rPr>
      </w:pPr>
    </w:p>
    <w:p>
      <w:pPr>
        <w:ind w:right="160" w:firstLine="464"/>
        <w:spacing w:after="0" w:line="306" w:lineRule="auto"/>
        <w:tabs>
          <w:tab w:leader="none" w:pos="70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06" w:lineRule="exact"/>
        <w:rPr>
          <w:rFonts w:ascii="Arial" w:cs="Arial" w:eastAsia="Arial" w:hAnsi="Arial"/>
          <w:sz w:val="16"/>
          <w:szCs w:val="16"/>
          <w:color w:val="auto"/>
        </w:rPr>
      </w:pPr>
    </w:p>
    <w:p>
      <w:pPr>
        <w:ind w:right="220" w:firstLine="464"/>
        <w:spacing w:after="0" w:line="306" w:lineRule="auto"/>
        <w:tabs>
          <w:tab w:leader="none" w:pos="7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3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25" w:lineRule="exact"/>
        <w:rPr>
          <w:rFonts w:ascii="Arial" w:cs="Arial" w:eastAsia="Arial" w:hAnsi="Arial"/>
          <w:sz w:val="16"/>
          <w:szCs w:val="16"/>
          <w:color w:val="auto"/>
        </w:rPr>
      </w:pPr>
    </w:p>
    <w:p>
      <w:pPr>
        <w:ind w:left="1140" w:hanging="237"/>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43" w:lineRule="exact"/>
        <w:rPr>
          <w:sz w:val="20"/>
          <w:szCs w:val="20"/>
          <w:color w:val="auto"/>
        </w:rPr>
      </w:pPr>
    </w:p>
    <w:p>
      <w:pPr>
        <w:ind w:right="40" w:firstLine="464"/>
        <w:spacing w:after="0" w:line="254"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63" w:lineRule="exact"/>
        <w:rPr>
          <w:rFonts w:ascii="Arial" w:cs="Arial" w:eastAsia="Arial" w:hAnsi="Arial"/>
          <w:sz w:val="18"/>
          <w:szCs w:val="18"/>
          <w:color w:val="auto"/>
        </w:rPr>
      </w:pPr>
    </w:p>
    <w:p>
      <w:pPr>
        <w:ind w:left="920" w:right="320" w:firstLine="421"/>
        <w:spacing w:after="0" w:line="259" w:lineRule="auto"/>
        <w:tabs>
          <w:tab w:leader="none" w:pos="1549" w:val="left"/>
        </w:tabs>
        <w:numPr>
          <w:ilvl w:val="2"/>
          <w:numId w:val="115"/>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59" w:lineRule="exact"/>
        <w:rPr>
          <w:rFonts w:ascii="Arial" w:cs="Arial" w:eastAsia="Arial" w:hAnsi="Arial"/>
          <w:sz w:val="18"/>
          <w:szCs w:val="18"/>
          <w:color w:val="auto"/>
        </w:rPr>
      </w:pPr>
    </w:p>
    <w:p>
      <w:pPr>
        <w:ind w:left="1600" w:hanging="259"/>
        <w:spacing w:after="0"/>
        <w:tabs>
          <w:tab w:leader="none" w:pos="16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90" w:lineRule="exact"/>
        <w:rPr>
          <w:rFonts w:ascii="Arial" w:cs="Arial" w:eastAsia="Arial" w:hAnsi="Arial"/>
          <w:sz w:val="18"/>
          <w:szCs w:val="18"/>
          <w:color w:val="auto"/>
        </w:rPr>
      </w:pPr>
    </w:p>
    <w:p>
      <w:pPr>
        <w:jc w:val="both"/>
        <w:ind w:left="460" w:right="40" w:firstLine="443"/>
        <w:spacing w:after="0" w:line="323" w:lineRule="auto"/>
        <w:tabs>
          <w:tab w:leader="none" w:pos="1147" w:val="left"/>
        </w:tabs>
        <w:numPr>
          <w:ilvl w:val="1"/>
          <w:numId w:val="115"/>
        </w:numPr>
        <w:rPr>
          <w:rFonts w:ascii="Arial" w:cs="Arial" w:eastAsia="Arial" w:hAnsi="Arial"/>
          <w:sz w:val="15"/>
          <w:szCs w:val="15"/>
          <w:color w:val="auto"/>
        </w:rPr>
      </w:pPr>
      <w:r>
        <w:rPr>
          <w:rFonts w:ascii="Arial" w:cs="Arial" w:eastAsia="Arial" w:hAnsi="Arial"/>
          <w:sz w:val="15"/>
          <w:szCs w:val="15"/>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97" w:lineRule="exact"/>
        <w:rPr>
          <w:rFonts w:ascii="Arial" w:cs="Arial" w:eastAsia="Arial" w:hAnsi="Arial"/>
          <w:sz w:val="15"/>
          <w:szCs w:val="15"/>
          <w:color w:val="auto"/>
        </w:rPr>
      </w:pPr>
    </w:p>
    <w:p>
      <w:pPr>
        <w:ind w:right="100" w:firstLine="464"/>
        <w:spacing w:after="0" w:line="298" w:lineRule="auto"/>
        <w:tabs>
          <w:tab w:leader="none" w:pos="7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12" w:lineRule="exact"/>
        <w:rPr>
          <w:rFonts w:ascii="Arial" w:cs="Arial" w:eastAsia="Arial" w:hAnsi="Arial"/>
          <w:sz w:val="16"/>
          <w:szCs w:val="16"/>
          <w:color w:val="auto"/>
        </w:rPr>
      </w:pPr>
    </w:p>
    <w:p>
      <w:pPr>
        <w:ind w:right="40" w:firstLine="464"/>
        <w:spacing w:after="0" w:line="291"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64"/>
        <w:spacing w:after="0" w:line="306" w:lineRule="auto"/>
        <w:tabs>
          <w:tab w:leader="none" w:pos="70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06" w:lineRule="exact"/>
        <w:rPr>
          <w:rFonts w:ascii="Arial" w:cs="Arial" w:eastAsia="Arial" w:hAnsi="Arial"/>
          <w:sz w:val="16"/>
          <w:szCs w:val="16"/>
          <w:color w:val="auto"/>
        </w:rPr>
      </w:pPr>
    </w:p>
    <w:p>
      <w:pPr>
        <w:ind w:firstLine="464"/>
        <w:spacing w:after="0" w:line="294"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Article Five of the Company’s Code of Regulations contains the following provisions with respect to the indemnification of directors and officers:</w:t>
      </w:r>
    </w:p>
    <w:p>
      <w:pPr>
        <w:spacing w:after="0" w:line="13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Mandatory Indemnification.</w:t>
      </w:r>
      <w:r>
        <w:rPr>
          <w:rFonts w:ascii="Arial" w:cs="Arial" w:eastAsia="Arial" w:hAnsi="Arial"/>
          <w:sz w:val="16"/>
          <w:szCs w:val="16"/>
          <w:color w:val="auto"/>
        </w:rPr>
        <w:t xml:space="preserve">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Court-Approved Indemnification.</w:t>
      </w:r>
      <w:r>
        <w:rPr>
          <w:rFonts w:ascii="Arial" w:cs="Arial" w:eastAsia="Arial" w:hAnsi="Arial"/>
          <w:sz w:val="18"/>
          <w:szCs w:val="18"/>
          <w:color w:val="auto"/>
        </w:rPr>
        <w:t xml:space="preserve"> Anything contained in the Regulations or elsewhere to the contrary notwithstanding:</w:t>
      </w:r>
    </w:p>
    <w:p>
      <w:pPr>
        <w:spacing w:after="0" w:line="90" w:lineRule="exact"/>
        <w:rPr>
          <w:sz w:val="20"/>
          <w:szCs w:val="20"/>
          <w:color w:val="auto"/>
        </w:rPr>
      </w:pPr>
    </w:p>
    <w:p>
      <w:pPr>
        <w:ind w:left="460" w:firstLine="443"/>
        <w:spacing w:after="0" w:line="288" w:lineRule="auto"/>
        <w:tabs>
          <w:tab w:leader="none" w:pos="118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38" w:lineRule="exact"/>
        <w:rPr>
          <w:rFonts w:ascii="Arial" w:cs="Arial" w:eastAsia="Arial" w:hAnsi="Arial"/>
          <w:sz w:val="16"/>
          <w:szCs w:val="16"/>
          <w:color w:val="auto"/>
        </w:rPr>
      </w:pPr>
    </w:p>
    <w:p>
      <w:pPr>
        <w:ind w:left="1180" w:hanging="277"/>
        <w:spacing w:after="0"/>
        <w:tabs>
          <w:tab w:leader="none" w:pos="11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corporation shall promptly make any such unpaid indemnification as is determined by a court to be proper as contemplated by this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5.02.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Indemnification for Expenses.</w:t>
      </w:r>
      <w:r>
        <w:rPr>
          <w:rFonts w:ascii="Arial" w:cs="Arial" w:eastAsia="Arial" w:hAnsi="Arial"/>
          <w:sz w:val="16"/>
          <w:szCs w:val="16"/>
          <w:color w:val="auto"/>
        </w:rPr>
        <w:t xml:space="preserve">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113"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i w:val="1"/>
          <w:iCs w:val="1"/>
          <w:color w:val="auto"/>
        </w:rPr>
        <w:t>Determination Required.</w:t>
      </w:r>
      <w:r>
        <w:rPr>
          <w:rFonts w:ascii="Arial" w:cs="Arial" w:eastAsia="Arial" w:hAnsi="Arial"/>
          <w:sz w:val="15"/>
          <w:szCs w:val="15"/>
          <w:color w:val="auto"/>
        </w:rPr>
        <w:t xml:space="preserve">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w:t>
      </w:r>
    </w:p>
    <w:p>
      <w:pPr>
        <w:spacing w:after="0" w:line="1" w:lineRule="exact"/>
        <w:rPr>
          <w:sz w:val="20"/>
          <w:szCs w:val="20"/>
          <w:color w:val="auto"/>
        </w:rPr>
      </w:pPr>
    </w:p>
    <w:p>
      <w:pPr>
        <w:ind w:right="40" w:firstLine="8"/>
        <w:spacing w:after="0" w:line="286" w:lineRule="auto"/>
        <w:tabs>
          <w:tab w:leader="none" w:pos="28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Advances for Expenses.</w:t>
      </w:r>
      <w:r>
        <w:rPr>
          <w:rFonts w:ascii="Arial" w:cs="Arial" w:eastAsia="Arial" w:hAnsi="Arial"/>
          <w:sz w:val="18"/>
          <w:szCs w:val="18"/>
          <w:color w:val="auto"/>
        </w:rPr>
        <w:t xml:space="preserve">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62" w:lineRule="exact"/>
        <w:rPr>
          <w:sz w:val="20"/>
          <w:szCs w:val="20"/>
          <w:color w:val="auto"/>
        </w:rPr>
      </w:pPr>
    </w:p>
    <w:p>
      <w:pPr>
        <w:ind w:left="460" w:right="420" w:firstLine="443"/>
        <w:spacing w:after="0" w:line="268" w:lineRule="auto"/>
        <w:tabs>
          <w:tab w:leader="none" w:pos="118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50" w:lineRule="exact"/>
        <w:rPr>
          <w:rFonts w:ascii="Arial" w:cs="Arial" w:eastAsia="Arial" w:hAnsi="Arial"/>
          <w:sz w:val="18"/>
          <w:szCs w:val="18"/>
          <w:color w:val="auto"/>
        </w:rPr>
      </w:pPr>
    </w:p>
    <w:p>
      <w:pPr>
        <w:ind w:left="460" w:firstLine="443"/>
        <w:spacing w:after="0" w:line="255" w:lineRule="auto"/>
        <w:tabs>
          <w:tab w:leader="none" w:pos="117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Article FIVE Not Exclusive.</w:t>
      </w:r>
      <w:r>
        <w:rPr>
          <w:rFonts w:ascii="Arial" w:cs="Arial" w:eastAsia="Arial" w:hAnsi="Arial"/>
          <w:sz w:val="18"/>
          <w:szCs w:val="18"/>
          <w:color w:val="auto"/>
        </w:rPr>
        <w:t xml:space="preserve"> The indemnification provided by this Article FIVE shall not be exclusive of, and shall be in addition to, any other rights to which any person seeking indemnification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Certain Definitions.</w:t>
      </w:r>
      <w:r>
        <w:rPr>
          <w:rFonts w:ascii="Arial" w:cs="Arial" w:eastAsia="Arial" w:hAnsi="Arial"/>
          <w:sz w:val="18"/>
          <w:szCs w:val="18"/>
          <w:color w:val="auto"/>
        </w:rPr>
        <w:t xml:space="preserve"> For purposes of this Article FIVE, and as examples and not by way of limitation:</w:t>
      </w:r>
    </w:p>
    <w:p>
      <w:pPr>
        <w:spacing w:after="0" w:line="90" w:lineRule="exact"/>
        <w:rPr>
          <w:sz w:val="20"/>
          <w:szCs w:val="20"/>
          <w:color w:val="auto"/>
        </w:rPr>
      </w:pPr>
    </w:p>
    <w:p>
      <w:pPr>
        <w:ind w:left="460" w:firstLine="443"/>
        <w:spacing w:after="0" w:line="294" w:lineRule="auto"/>
        <w:tabs>
          <w:tab w:leader="none" w:pos="118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34" w:lineRule="exact"/>
        <w:rPr>
          <w:rFonts w:ascii="Arial" w:cs="Arial" w:eastAsia="Arial" w:hAnsi="Arial"/>
          <w:sz w:val="16"/>
          <w:szCs w:val="16"/>
          <w:color w:val="auto"/>
        </w:rPr>
      </w:pPr>
    </w:p>
    <w:p>
      <w:pPr>
        <w:ind w:left="460" w:firstLine="443"/>
        <w:spacing w:after="0" w:line="291" w:lineRule="auto"/>
        <w:tabs>
          <w:tab w:leader="none" w:pos="117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Venue.</w:t>
      </w:r>
      <w:r>
        <w:rPr>
          <w:rFonts w:ascii="Arial" w:cs="Arial" w:eastAsia="Arial" w:hAnsi="Arial"/>
          <w:sz w:val="18"/>
          <w:szCs w:val="18"/>
          <w:color w:val="auto"/>
        </w:rPr>
        <w:t xml:space="preserv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3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 Company also maintains insurance coverage for its directors and officers against certain liabilities which might be incurred by them in such capacity.</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6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4400" w:type="dxa"/>
            <w:vAlign w:val="bottom"/>
          </w:tcPr>
          <w:p>
            <w:pPr>
              <w:spacing w:after="0"/>
              <w:rPr>
                <w:sz w:val="14"/>
                <w:szCs w:val="14"/>
                <w:color w:val="auto"/>
              </w:rPr>
            </w:pPr>
          </w:p>
        </w:tc>
      </w:tr>
      <w:tr>
        <w:trPr>
          <w:trHeight w:val="309"/>
        </w:trPr>
        <w:tc>
          <w:tcPr>
            <w:tcW w:w="520" w:type="dxa"/>
            <w:vAlign w:val="bottom"/>
          </w:tcPr>
          <w:p>
            <w:pPr>
              <w:jc w:val="right"/>
              <w:ind w:right="126"/>
              <w:spacing w:after="0"/>
              <w:rPr>
                <w:sz w:val="20"/>
                <w:szCs w:val="20"/>
                <w:color w:val="auto"/>
              </w:rPr>
            </w:pPr>
            <w:r>
              <w:rPr>
                <w:rFonts w:ascii="Arial" w:cs="Arial" w:eastAsia="Arial" w:hAnsi="Arial"/>
                <w:sz w:val="18"/>
                <w:szCs w:val="18"/>
                <w:color w:val="auto"/>
              </w:rPr>
              <w:t>4.1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87"/>
              </w:rPr>
              <w:t>Indenture, dated as of December 16, 2010, by and among The Scotts Miracle-Gro Company, the Guarantors (as defined therein) and U.S. Bank</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2"/>
              </w:rPr>
              <w:t>National Association, as trustee (filed as Exhibit 4.1 to the Company’s Form 8-K filed on December 16, 2010, and incorporated herein by</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reference).</w:t>
            </w:r>
          </w:p>
        </w:tc>
      </w:tr>
      <w:tr>
        <w:trPr>
          <w:trHeight w:val="365"/>
        </w:trPr>
        <w:tc>
          <w:tcPr>
            <w:tcW w:w="520" w:type="dxa"/>
            <w:vAlign w:val="bottom"/>
          </w:tcPr>
          <w:p>
            <w:pPr>
              <w:spacing w:after="0"/>
              <w:rPr>
                <w:sz w:val="24"/>
                <w:szCs w:val="24"/>
                <w:color w:val="auto"/>
              </w:rPr>
            </w:pPr>
          </w:p>
        </w:tc>
        <w:tc>
          <w:tcPr>
            <w:tcW w:w="10840" w:type="dxa"/>
            <w:vAlign w:val="bottom"/>
            <w:gridSpan w:val="3"/>
          </w:tcPr>
          <w:p>
            <w:pPr>
              <w:ind w:left="50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6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4440" w:type="dxa"/>
            <w:vAlign w:val="bottom"/>
          </w:tcPr>
          <w:p>
            <w:pPr>
              <w:spacing w:after="0"/>
              <w:rPr>
                <w:sz w:val="14"/>
                <w:szCs w:val="14"/>
                <w:color w:val="auto"/>
              </w:rPr>
            </w:pPr>
          </w:p>
        </w:tc>
      </w:tr>
      <w:tr>
        <w:trPr>
          <w:trHeight w:val="309"/>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Form of 6.625% Senior Notes due 2020 (included in Exhibit 4.1 to the Company’s Form 8-K filed on December 16, 2010, and incorporated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herein by reference).</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7"/>
              </w:rPr>
              <w:t>Registration Rights Agreement, dated as of December 16, 2010, by and among The Scotts Miracle-Gro Company, the guarantors named therein</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0"/>
              </w:rPr>
              <w:t>and Merrill Lynch, Pierce, Fenner &amp; Smith Incorporated, as representative of the several initial purchasers named therein (filed as Exhibit 4.3</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to the Company’s Form 8-K filed on December 16, 2010, and incorporated herein by reference).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Opinion of General Counsel of the Company.</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Opinion of Hunton &amp; Williams LLP.</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12.1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Computation of Ratio of Earnings to Fixed Charges (filed as Exhibit 12 to the Company’s Annual Report on Form 10-K filed on November 23,</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2011, and incorporated herein by reference).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Consent of General Counsel of the Company (included in Exhibit 5.1).</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23.3</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Consent of Hunton &amp; Williams LLP (included in Exhibit 5.2).</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24.1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Powers of Attorney (included on signature pages hereto).</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25.1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Statement of Eligibility under the Trust Indenture Act of 1939 of U.S. Bank National Association to act as trustee under the Indenture (Form T-</w:t>
            </w:r>
          </w:p>
        </w:tc>
      </w:tr>
      <w:tr>
        <w:trPr>
          <w:trHeight w:val="222"/>
        </w:trPr>
        <w:tc>
          <w:tcPr>
            <w:tcW w:w="52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99.1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Form of Letter of Transmittal.</w:t>
            </w: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registrants hereby undertake: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90" w:lineRule="exact"/>
        <w:rPr>
          <w:sz w:val="20"/>
          <w:szCs w:val="20"/>
          <w:color w:val="auto"/>
        </w:rPr>
      </w:pPr>
    </w:p>
    <w:p>
      <w:pPr>
        <w:ind w:left="1560" w:hanging="219"/>
        <w:spacing w:after="0"/>
        <w:tabs>
          <w:tab w:leader="none" w:pos="15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280" w:firstLine="421"/>
        <w:spacing w:after="0" w:line="268" w:lineRule="auto"/>
        <w:tabs>
          <w:tab w:leader="none" w:pos="164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40" w:firstLine="464"/>
        <w:spacing w:after="0" w:line="259"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each prospectus filed pursuant to Rule 424(b) as part of a registration statement relating to an offering, other than registration statements relying on Rule 430B or other than prospectuses filed in reliance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3" w:lineRule="exact"/>
        <w:rPr>
          <w:sz w:val="20"/>
          <w:szCs w:val="20"/>
          <w:color w:val="auto"/>
        </w:rPr>
      </w:pPr>
    </w:p>
    <w:p>
      <w:pPr>
        <w:ind w:right="640" w:firstLine="464"/>
        <w:spacing w:after="0" w:line="268"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in the initial distribution of the securities:</w:t>
      </w:r>
    </w:p>
    <w:p>
      <w:pPr>
        <w:spacing w:after="0" w:line="51" w:lineRule="exact"/>
        <w:rPr>
          <w:sz w:val="20"/>
          <w:szCs w:val="20"/>
          <w:color w:val="auto"/>
        </w:rPr>
      </w:pPr>
    </w:p>
    <w:p>
      <w:pPr>
        <w:ind w:left="920" w:right="120" w:firstLine="420"/>
        <w:spacing w:after="0" w:line="256"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171" w:lineRule="exact"/>
        <w:rPr>
          <w:rFonts w:ascii="Arial" w:cs="Arial" w:eastAsia="Arial" w:hAnsi="Arial"/>
          <w:sz w:val="18"/>
          <w:szCs w:val="18"/>
          <w:color w:val="auto"/>
        </w:rPr>
      </w:pPr>
    </w:p>
    <w:p>
      <w:pPr>
        <w:ind w:right="40" w:firstLine="464"/>
        <w:spacing w:after="0" w:line="298" w:lineRule="auto"/>
        <w:tabs>
          <w:tab w:leader="none" w:pos="70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12" w:lineRule="exact"/>
        <w:rPr>
          <w:rFonts w:ascii="Arial" w:cs="Arial" w:eastAsia="Arial" w:hAnsi="Arial"/>
          <w:sz w:val="16"/>
          <w:szCs w:val="16"/>
          <w:color w:val="auto"/>
        </w:rPr>
      </w:pPr>
    </w:p>
    <w:p>
      <w:pPr>
        <w:ind w:firstLine="464"/>
        <w:spacing w:after="0" w:line="290" w:lineRule="auto"/>
        <w:tabs>
          <w:tab w:leader="none" w:pos="6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each registrant of expenses incurred or paid by a director, officer or controlling person of each registrant in the successful defense of any action, suit or proceeding) is asserted by such director, officer or controlling person in connection with the securities being registered, each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8" w:lineRule="exact"/>
        <w:rPr>
          <w:rFonts w:ascii="Arial" w:cs="Arial" w:eastAsia="Arial" w:hAnsi="Arial"/>
          <w:sz w:val="16"/>
          <w:szCs w:val="16"/>
          <w:color w:val="auto"/>
        </w:rPr>
      </w:pPr>
    </w:p>
    <w:p>
      <w:pPr>
        <w:ind w:right="40" w:firstLine="464"/>
        <w:spacing w:after="0" w:line="306" w:lineRule="auto"/>
        <w:tabs>
          <w:tab w:leader="none" w:pos="67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06"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6860"/>
        <w:spacing w:after="0"/>
        <w:tabs>
          <w:tab w:leader="none" w:pos="830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H</w:t>
      </w:r>
      <w:r>
        <w:rPr>
          <w:rFonts w:ascii="Arial" w:cs="Arial" w:eastAsia="Arial" w:hAnsi="Arial"/>
          <w:sz w:val="13"/>
          <w:szCs w:val="13"/>
          <w:color w:val="auto"/>
        </w:rPr>
        <w:t>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James Hagedorn,</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 and Chairman of the Board</w:t>
      </w: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Each of the undersigned directors and officers of The Scotts Miracle-Gro Company (the “Company”)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0"/>
              </w:rPr>
              <w:t>Title</w:t>
            </w:r>
          </w:p>
        </w:tc>
        <w:tc>
          <w:tcPr>
            <w:tcW w:w="116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5"/>
        </w:trPr>
        <w:tc>
          <w:tcPr>
            <w:tcW w:w="17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73"/>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H. B</w:t>
            </w:r>
            <w:r>
              <w:rPr>
                <w:rFonts w:ascii="Arial" w:cs="Arial" w:eastAsia="Arial" w:hAnsi="Arial"/>
                <w:sz w:val="14"/>
                <w:szCs w:val="14"/>
                <w:color w:val="auto"/>
              </w:rPr>
              <w:t>ARRY</w:t>
            </w: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3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8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4"/>
              </w:rPr>
              <w:t>Alan H. Barry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8"/>
        </w:trPr>
        <w:tc>
          <w:tcPr>
            <w:tcW w:w="17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83"/>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C. E</w:t>
            </w:r>
            <w:r>
              <w:rPr>
                <w:rFonts w:ascii="Arial" w:cs="Arial" w:eastAsia="Arial" w:hAnsi="Arial"/>
                <w:sz w:val="14"/>
                <w:szCs w:val="14"/>
                <w:color w:val="auto"/>
                <w:w w:val="96"/>
              </w:rPr>
              <w:t>VANS</w:t>
            </w: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Chief Financial Officer and</w:t>
            </w:r>
          </w:p>
        </w:tc>
        <w:tc>
          <w:tcPr>
            <w:tcW w:w="2000" w:type="dxa"/>
            <w:vAlign w:val="bottom"/>
            <w:gridSpan w:val="3"/>
          </w:tcPr>
          <w:p>
            <w:pPr>
              <w:jc w:val="center"/>
              <w:ind w:left="53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780" w:type="dxa"/>
            <w:vAlign w:val="bottom"/>
          </w:tcPr>
          <w:p>
            <w:pPr>
              <w:spacing w:after="0"/>
              <w:rPr>
                <w:sz w:val="16"/>
                <w:szCs w:val="16"/>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6"/>
              </w:rPr>
              <w:t>David C. Evans</w:t>
            </w:r>
          </w:p>
        </w:tc>
        <w:tc>
          <w:tcPr>
            <w:tcW w:w="4040" w:type="dxa"/>
            <w:vAlign w:val="bottom"/>
            <w:gridSpan w:val="3"/>
          </w:tcPr>
          <w:p>
            <w:pPr>
              <w:jc w:val="center"/>
              <w:ind w:left="192"/>
              <w:spacing w:after="0" w:line="190" w:lineRule="exact"/>
              <w:rPr>
                <w:sz w:val="20"/>
                <w:szCs w:val="20"/>
                <w:color w:val="auto"/>
              </w:rPr>
            </w:pPr>
            <w:r>
              <w:rPr>
                <w:rFonts w:ascii="Arial" w:cs="Arial" w:eastAsia="Arial" w:hAnsi="Arial"/>
                <w:sz w:val="18"/>
                <w:szCs w:val="18"/>
                <w:color w:val="auto"/>
                <w:w w:val="88"/>
              </w:rPr>
              <w:t>Executive Vice President, Strategy</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86"/>
              </w:rPr>
              <w:t>and Business Development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40" w:type="dxa"/>
            <w:vAlign w:val="bottom"/>
            <w:gridSpan w:val="3"/>
          </w:tcPr>
          <w:p>
            <w:pPr>
              <w:jc w:val="center"/>
              <w:ind w:left="192"/>
              <w:spacing w:after="0"/>
              <w:rPr>
                <w:sz w:val="20"/>
                <w:szCs w:val="20"/>
                <w:color w:val="auto"/>
              </w:rPr>
            </w:pPr>
            <w:r>
              <w:rPr>
                <w:rFonts w:ascii="Arial" w:cs="Arial" w:eastAsia="Arial" w:hAnsi="Arial"/>
                <w:sz w:val="18"/>
                <w:szCs w:val="18"/>
                <w:color w:val="auto"/>
                <w:w w:val="91"/>
              </w:rPr>
              <w:t>(Principal Financial Officer and</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92"/>
              </w:rPr>
              <w:t>Principal Accounting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7"/>
        </w:trPr>
        <w:tc>
          <w:tcPr>
            <w:tcW w:w="17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OSEPH</w:t>
            </w:r>
            <w:r>
              <w:rPr>
                <w:rFonts w:ascii="Arial" w:cs="Arial" w:eastAsia="Arial" w:hAnsi="Arial"/>
                <w:sz w:val="18"/>
                <w:szCs w:val="18"/>
                <w:color w:val="auto"/>
                <w:w w:val="94"/>
              </w:rPr>
              <w:t xml:space="preserve"> P. F</w:t>
            </w:r>
            <w:r>
              <w:rPr>
                <w:rFonts w:ascii="Arial" w:cs="Arial" w:eastAsia="Arial" w:hAnsi="Arial"/>
                <w:sz w:val="14"/>
                <w:szCs w:val="14"/>
                <w:color w:val="auto"/>
                <w:w w:val="94"/>
              </w:rPr>
              <w:t>LANNERY</w:t>
            </w: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3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8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4"/>
              </w:rPr>
              <w:t>Joseph P. Flannery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8"/>
        </w:trPr>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90"/>
              </w:rPr>
              <w:t>Chief Executive Officer, Chairman</w:t>
            </w:r>
          </w:p>
        </w:tc>
        <w:tc>
          <w:tcPr>
            <w:tcW w:w="2000" w:type="dxa"/>
            <w:vAlign w:val="bottom"/>
            <w:gridSpan w:val="3"/>
          </w:tcPr>
          <w:p>
            <w:pPr>
              <w:jc w:val="center"/>
              <w:ind w:left="53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780" w:type="dxa"/>
            <w:vAlign w:val="bottom"/>
          </w:tcPr>
          <w:p>
            <w:pPr>
              <w:spacing w:after="0"/>
              <w:rPr>
                <w:sz w:val="16"/>
                <w:szCs w:val="16"/>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5"/>
              </w:rPr>
              <w:t>James Hagedorn</w:t>
            </w:r>
          </w:p>
        </w:tc>
        <w:tc>
          <w:tcPr>
            <w:tcW w:w="4040" w:type="dxa"/>
            <w:vAlign w:val="bottom"/>
            <w:gridSpan w:val="3"/>
          </w:tcPr>
          <w:p>
            <w:pPr>
              <w:jc w:val="center"/>
              <w:ind w:left="192"/>
              <w:spacing w:after="0" w:line="190" w:lineRule="exact"/>
              <w:rPr>
                <w:sz w:val="20"/>
                <w:szCs w:val="20"/>
                <w:color w:val="auto"/>
              </w:rPr>
            </w:pPr>
            <w:r>
              <w:rPr>
                <w:rFonts w:ascii="Arial" w:cs="Arial" w:eastAsia="Arial" w:hAnsi="Arial"/>
                <w:sz w:val="18"/>
                <w:szCs w:val="18"/>
                <w:color w:val="auto"/>
                <w:w w:val="89"/>
              </w:rPr>
              <w:t>of the Board and Director</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2"/>
        </w:trPr>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40" w:type="dxa"/>
            <w:vAlign w:val="bottom"/>
            <w:gridSpan w:val="3"/>
          </w:tcPr>
          <w:p>
            <w:pPr>
              <w:jc w:val="center"/>
              <w:ind w:left="192"/>
              <w:spacing w:after="0"/>
              <w:rPr>
                <w:sz w:val="20"/>
                <w:szCs w:val="20"/>
                <w:color w:val="auto"/>
              </w:rPr>
            </w:pPr>
            <w:r>
              <w:rPr>
                <w:rFonts w:ascii="Arial" w:cs="Arial" w:eastAsia="Arial" w:hAnsi="Arial"/>
                <w:sz w:val="18"/>
                <w:szCs w:val="18"/>
                <w:color w:val="auto"/>
                <w:w w:val="91"/>
              </w:rPr>
              <w:t>(Principal Executive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7"/>
        </w:trPr>
        <w:tc>
          <w:tcPr>
            <w:tcW w:w="5040" w:type="dxa"/>
            <w:vAlign w:val="bottom"/>
            <w:tcBorders>
              <w:bottom w:val="single" w:sz="8" w:color="auto"/>
            </w:tcBorders>
            <w:gridSpan w:val="4"/>
          </w:tcPr>
          <w:p>
            <w:pPr>
              <w:ind w:left="170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DAM</w:t>
            </w:r>
            <w:r>
              <w:rPr>
                <w:rFonts w:ascii="Arial" w:cs="Arial" w:eastAsia="Arial" w:hAnsi="Arial"/>
                <w:sz w:val="18"/>
                <w:szCs w:val="18"/>
                <w:color w:val="auto"/>
              </w:rPr>
              <w:t xml:space="preserve"> H</w:t>
            </w:r>
            <w:r>
              <w:rPr>
                <w:rFonts w:ascii="Arial" w:cs="Arial" w:eastAsia="Arial" w:hAnsi="Arial"/>
                <w:sz w:val="14"/>
                <w:szCs w:val="14"/>
                <w:color w:val="auto"/>
              </w:rPr>
              <w:t>ANFT</w:t>
            </w: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3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8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1"/>
              </w:rPr>
              <w:t>Adam Hanft</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0"/>
              </w:rPr>
              <w:t>Title</w:t>
            </w:r>
          </w:p>
        </w:tc>
        <w:tc>
          <w:tcPr>
            <w:tcW w:w="164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5"/>
        </w:trPr>
        <w:tc>
          <w:tcPr>
            <w:tcW w:w="16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83"/>
              </w:rPr>
              <w:t>/s/</w:t>
            </w:r>
          </w:p>
        </w:tc>
        <w:tc>
          <w:tcPr>
            <w:tcW w:w="34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L. J</w:t>
            </w:r>
            <w:r>
              <w:rPr>
                <w:rFonts w:ascii="Arial" w:cs="Arial" w:eastAsia="Arial" w:hAnsi="Arial"/>
                <w:sz w:val="14"/>
                <w:szCs w:val="14"/>
                <w:color w:val="auto"/>
                <w:w w:val="96"/>
              </w:rPr>
              <w:t>OHNSON</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3"/>
              </w:rPr>
              <w:t>Stephen L. Johnson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9"/>
              </w:rPr>
              <w:t>W</w:t>
            </w:r>
            <w:r>
              <w:rPr>
                <w:rFonts w:ascii="Arial" w:cs="Arial" w:eastAsia="Arial" w:hAnsi="Arial"/>
                <w:sz w:val="14"/>
                <w:szCs w:val="14"/>
                <w:color w:val="auto"/>
                <w:w w:val="99"/>
              </w:rPr>
              <w:t>ILLIAM</w:t>
            </w:r>
            <w:r>
              <w:rPr>
                <w:rFonts w:ascii="Arial" w:cs="Arial" w:eastAsia="Arial" w:hAnsi="Arial"/>
                <w:sz w:val="18"/>
                <w:szCs w:val="18"/>
                <w:color w:val="auto"/>
                <w:w w:val="99"/>
              </w:rPr>
              <w:t xml:space="preserve"> G. J</w:t>
            </w:r>
            <w:r>
              <w:rPr>
                <w:rFonts w:ascii="Arial" w:cs="Arial" w:eastAsia="Arial" w:hAnsi="Arial"/>
                <w:sz w:val="14"/>
                <w:szCs w:val="14"/>
                <w:color w:val="auto"/>
                <w:w w:val="99"/>
              </w:rPr>
              <w:t>URGENSEN</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9"/>
              </w:rPr>
              <w:t>William G. Jurgensen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HOMAS</w:t>
            </w:r>
            <w:r>
              <w:rPr>
                <w:rFonts w:ascii="Arial" w:cs="Arial" w:eastAsia="Arial" w:hAnsi="Arial"/>
                <w:sz w:val="18"/>
                <w:szCs w:val="18"/>
                <w:color w:val="auto"/>
                <w:w w:val="98"/>
              </w:rPr>
              <w:t xml:space="preserve"> N. K</w:t>
            </w:r>
            <w:r>
              <w:rPr>
                <w:rFonts w:ascii="Arial" w:cs="Arial" w:eastAsia="Arial" w:hAnsi="Arial"/>
                <w:sz w:val="14"/>
                <w:szCs w:val="14"/>
                <w:color w:val="auto"/>
                <w:w w:val="98"/>
              </w:rPr>
              <w:t>ELLY</w:t>
            </w:r>
            <w:r>
              <w:rPr>
                <w:rFonts w:ascii="Arial" w:cs="Arial" w:eastAsia="Arial" w:hAnsi="Arial"/>
                <w:sz w:val="18"/>
                <w:szCs w:val="18"/>
                <w:color w:val="auto"/>
                <w:w w:val="98"/>
              </w:rPr>
              <w:t xml:space="preserve"> J</w:t>
            </w:r>
            <w:r>
              <w:rPr>
                <w:rFonts w:ascii="Arial" w:cs="Arial" w:eastAsia="Arial" w:hAnsi="Arial"/>
                <w:sz w:val="14"/>
                <w:szCs w:val="14"/>
                <w:color w:val="auto"/>
                <w:w w:val="98"/>
              </w:rPr>
              <w:t>R</w:t>
            </w:r>
            <w:r>
              <w:rPr>
                <w:rFonts w:ascii="Arial" w:cs="Arial" w:eastAsia="Arial" w:hAnsi="Arial"/>
                <w:sz w:val="18"/>
                <w:szCs w:val="18"/>
                <w:color w:val="auto"/>
                <w:w w:val="98"/>
              </w:rPr>
              <w:t>.</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9"/>
              </w:rPr>
              <w:t>Thomas N. Kelly Jr.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4"/>
              </w:rPr>
              <w:t>C</w:t>
            </w:r>
            <w:r>
              <w:rPr>
                <w:rFonts w:ascii="Arial" w:cs="Arial" w:eastAsia="Arial" w:hAnsi="Arial"/>
                <w:sz w:val="14"/>
                <w:szCs w:val="14"/>
                <w:color w:val="auto"/>
                <w:w w:val="94"/>
              </w:rPr>
              <w:t>ARL</w:t>
            </w:r>
            <w:r>
              <w:rPr>
                <w:rFonts w:ascii="Arial" w:cs="Arial" w:eastAsia="Arial" w:hAnsi="Arial"/>
                <w:sz w:val="18"/>
                <w:szCs w:val="18"/>
                <w:color w:val="auto"/>
                <w:w w:val="94"/>
              </w:rPr>
              <w:t xml:space="preserve"> F. K</w:t>
            </w:r>
            <w:r>
              <w:rPr>
                <w:rFonts w:ascii="Arial" w:cs="Arial" w:eastAsia="Arial" w:hAnsi="Arial"/>
                <w:sz w:val="14"/>
                <w:szCs w:val="14"/>
                <w:color w:val="auto"/>
                <w:w w:val="94"/>
              </w:rPr>
              <w:t>OHRT</w:t>
            </w:r>
            <w:r>
              <w:rPr>
                <w:rFonts w:ascii="Arial" w:cs="Arial" w:eastAsia="Arial" w:hAnsi="Arial"/>
                <w:sz w:val="18"/>
                <w:szCs w:val="18"/>
                <w:color w:val="auto"/>
                <w:w w:val="94"/>
              </w:rPr>
              <w:t>, P</w:t>
            </w:r>
            <w:r>
              <w:rPr>
                <w:rFonts w:ascii="Arial" w:cs="Arial" w:eastAsia="Arial" w:hAnsi="Arial"/>
                <w:sz w:val="14"/>
                <w:szCs w:val="14"/>
                <w:color w:val="auto"/>
                <w:w w:val="94"/>
              </w:rPr>
              <w:t>H</w:t>
            </w:r>
            <w:r>
              <w:rPr>
                <w:rFonts w:ascii="Arial" w:cs="Arial" w:eastAsia="Arial" w:hAnsi="Arial"/>
                <w:sz w:val="18"/>
                <w:szCs w:val="18"/>
                <w:color w:val="auto"/>
                <w:w w:val="94"/>
              </w:rPr>
              <w:t>.D.</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0"/>
              </w:rPr>
              <w:t>Carl F. Kohrt, Ph.D.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ATHERINE</w:t>
            </w:r>
            <w:r>
              <w:rPr>
                <w:rFonts w:ascii="Arial" w:cs="Arial" w:eastAsia="Arial" w:hAnsi="Arial"/>
                <w:sz w:val="18"/>
                <w:szCs w:val="18"/>
                <w:color w:val="auto"/>
              </w:rPr>
              <w:t xml:space="preserve"> H</w:t>
            </w:r>
            <w:r>
              <w:rPr>
                <w:rFonts w:ascii="Arial" w:cs="Arial" w:eastAsia="Arial" w:hAnsi="Arial"/>
                <w:sz w:val="14"/>
                <w:szCs w:val="14"/>
                <w:color w:val="auto"/>
              </w:rPr>
              <w:t>AGEDORN</w:t>
            </w:r>
            <w:r>
              <w:rPr>
                <w:rFonts w:ascii="Arial" w:cs="Arial" w:eastAsia="Arial" w:hAnsi="Arial"/>
                <w:sz w:val="18"/>
                <w:szCs w:val="18"/>
                <w:color w:val="auto"/>
              </w:rPr>
              <w:t xml:space="preserve"> L</w:t>
            </w:r>
            <w:r>
              <w:rPr>
                <w:rFonts w:ascii="Arial" w:cs="Arial" w:eastAsia="Arial" w:hAnsi="Arial"/>
                <w:sz w:val="14"/>
                <w:szCs w:val="14"/>
                <w:color w:val="auto"/>
              </w:rPr>
              <w:t>ITTLEFIELD</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0"/>
              </w:rPr>
              <w:t>Katherine Hagedorn Littlefield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4"/>
              </w:rPr>
              <w:t>/s/</w:t>
            </w:r>
          </w:p>
        </w:tc>
        <w:tc>
          <w:tcPr>
            <w:tcW w:w="34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ANCY</w:t>
            </w:r>
            <w:r>
              <w:rPr>
                <w:rFonts w:ascii="Arial" w:cs="Arial" w:eastAsia="Arial" w:hAnsi="Arial"/>
                <w:sz w:val="18"/>
                <w:szCs w:val="18"/>
                <w:color w:val="auto"/>
                <w:w w:val="99"/>
              </w:rPr>
              <w:t xml:space="preserve"> G. M</w:t>
            </w:r>
            <w:r>
              <w:rPr>
                <w:rFonts w:ascii="Arial" w:cs="Arial" w:eastAsia="Arial" w:hAnsi="Arial"/>
                <w:sz w:val="14"/>
                <w:szCs w:val="14"/>
                <w:color w:val="auto"/>
                <w:w w:val="99"/>
              </w:rPr>
              <w:t>ISTRETTA</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1"/>
              </w:rPr>
              <w:t>Nancy G. Mistretta</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4"/>
              </w:rPr>
              <w:t>/s/</w:t>
            </w:r>
          </w:p>
        </w:tc>
        <w:tc>
          <w:tcPr>
            <w:tcW w:w="344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TEPHANIE</w:t>
            </w:r>
            <w:r>
              <w:rPr>
                <w:rFonts w:ascii="Arial" w:cs="Arial" w:eastAsia="Arial" w:hAnsi="Arial"/>
                <w:sz w:val="18"/>
                <w:szCs w:val="18"/>
                <w:color w:val="auto"/>
                <w:w w:val="97"/>
              </w:rPr>
              <w:t xml:space="preserve"> M. S</w:t>
            </w:r>
            <w:r>
              <w:rPr>
                <w:rFonts w:ascii="Arial" w:cs="Arial" w:eastAsia="Arial" w:hAnsi="Arial"/>
                <w:sz w:val="14"/>
                <w:szCs w:val="14"/>
                <w:color w:val="auto"/>
                <w:w w:val="97"/>
              </w:rPr>
              <w:t>HERN</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9"/>
              </w:rPr>
              <w:t>Stephanie M. Shern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6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w w:val="99"/>
              </w:rPr>
              <w:t>/s/  J</w:t>
            </w:r>
            <w:r>
              <w:rPr>
                <w:rFonts w:ascii="Arial" w:cs="Arial" w:eastAsia="Arial" w:hAnsi="Arial"/>
                <w:sz w:val="14"/>
                <w:szCs w:val="14"/>
                <w:color w:val="auto"/>
                <w:w w:val="99"/>
              </w:rPr>
              <w:t>OHN</w:t>
            </w:r>
            <w:r>
              <w:rPr>
                <w:rFonts w:ascii="Arial" w:cs="Arial" w:eastAsia="Arial" w:hAnsi="Arial"/>
                <w:sz w:val="18"/>
                <w:szCs w:val="18"/>
                <w:color w:val="auto"/>
                <w:w w:val="99"/>
              </w:rPr>
              <w:t xml:space="preserve"> S. S</w:t>
            </w:r>
            <w:r>
              <w:rPr>
                <w:rFonts w:ascii="Arial" w:cs="Arial" w:eastAsia="Arial" w:hAnsi="Arial"/>
                <w:sz w:val="14"/>
                <w:szCs w:val="14"/>
                <w:color w:val="auto"/>
                <w:w w:val="99"/>
              </w:rPr>
              <w:t>HIELY</w:t>
            </w:r>
          </w:p>
        </w:tc>
        <w:tc>
          <w:tcPr>
            <w:tcW w:w="356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600" w:type="dxa"/>
            <w:vAlign w:val="bottom"/>
          </w:tcPr>
          <w:p>
            <w:pPr>
              <w:spacing w:after="0"/>
              <w:rPr>
                <w:sz w:val="14"/>
                <w:szCs w:val="1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3"/>
              </w:rPr>
              <w:t>John S. Shiely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080"/>
          </w:cols>
          <w:pgMar w:left="240" w:top="459" w:right="5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EG SYSTEMS,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4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90"/>
              </w:rPr>
              <w:t>Title</w:t>
            </w:r>
          </w:p>
        </w:tc>
        <w:tc>
          <w:tcPr>
            <w:tcW w:w="120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40" w:type="dxa"/>
            <w:vAlign w:val="bottom"/>
            <w:gridSpan w:val="3"/>
          </w:tcPr>
          <w:p>
            <w:pPr>
              <w:jc w:val="center"/>
              <w:ind w:left="254"/>
              <w:spacing w:after="0"/>
              <w:rPr>
                <w:sz w:val="20"/>
                <w:szCs w:val="20"/>
                <w:color w:val="auto"/>
              </w:rPr>
            </w:pPr>
            <w:r>
              <w:rPr>
                <w:rFonts w:ascii="Arial" w:cs="Arial" w:eastAsia="Arial" w:hAnsi="Arial"/>
                <w:sz w:val="18"/>
                <w:szCs w:val="18"/>
                <w:color w:val="auto"/>
                <w:w w:val="92"/>
              </w:rPr>
              <w:t>Chief Executive Officer</w:t>
            </w:r>
          </w:p>
        </w:tc>
        <w:tc>
          <w:tcPr>
            <w:tcW w:w="204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December 14, 2011</w:t>
            </w:r>
          </w:p>
        </w:tc>
      </w:tr>
      <w:tr>
        <w:trPr>
          <w:trHeight w:val="202"/>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Name: James Hagedorn</w:t>
            </w:r>
          </w:p>
        </w:tc>
        <w:tc>
          <w:tcPr>
            <w:tcW w:w="4240" w:type="dxa"/>
            <w:vAlign w:val="bottom"/>
            <w:gridSpan w:val="3"/>
          </w:tcPr>
          <w:p>
            <w:pPr>
              <w:jc w:val="center"/>
              <w:ind w:left="254"/>
              <w:spacing w:after="0" w:line="202" w:lineRule="exact"/>
              <w:rPr>
                <w:sz w:val="20"/>
                <w:szCs w:val="20"/>
                <w:color w:val="auto"/>
              </w:rPr>
            </w:pPr>
            <w:r>
              <w:rPr>
                <w:rFonts w:ascii="Arial" w:cs="Arial" w:eastAsia="Arial" w:hAnsi="Arial"/>
                <w:sz w:val="18"/>
                <w:szCs w:val="18"/>
                <w:color w:val="auto"/>
                <w:w w:val="92"/>
              </w:rPr>
              <w:t>(Principal Executive Officer)</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40" w:type="dxa"/>
            <w:vAlign w:val="bottom"/>
            <w:gridSpan w:val="3"/>
          </w:tcPr>
          <w:p>
            <w:pPr>
              <w:jc w:val="center"/>
              <w:ind w:left="214"/>
              <w:spacing w:after="0"/>
              <w:rPr>
                <w:sz w:val="20"/>
                <w:szCs w:val="20"/>
                <w:color w:val="auto"/>
              </w:rPr>
            </w:pPr>
            <w:r>
              <w:rPr>
                <w:rFonts w:ascii="Arial" w:cs="Arial" w:eastAsia="Arial" w:hAnsi="Arial"/>
                <w:sz w:val="18"/>
                <w:szCs w:val="18"/>
                <w:color w:val="auto"/>
                <w:w w:val="89"/>
              </w:rPr>
              <w:t>Executive Vice President,</w:t>
            </w:r>
          </w:p>
        </w:tc>
        <w:tc>
          <w:tcPr>
            <w:tcW w:w="204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740" w:type="dxa"/>
            <w:vAlign w:val="bottom"/>
          </w:tcPr>
          <w:p>
            <w:pPr>
              <w:spacing w:after="0"/>
              <w:rPr>
                <w:sz w:val="16"/>
                <w:szCs w:val="16"/>
                <w:color w:val="auto"/>
              </w:rPr>
            </w:pPr>
          </w:p>
        </w:tc>
        <w:tc>
          <w:tcPr>
            <w:tcW w:w="30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9"/>
              </w:rPr>
              <w:t>Name: David C. Evans</w:t>
            </w:r>
          </w:p>
        </w:tc>
        <w:tc>
          <w:tcPr>
            <w:tcW w:w="4240" w:type="dxa"/>
            <w:vAlign w:val="bottom"/>
            <w:gridSpan w:val="3"/>
          </w:tcPr>
          <w:p>
            <w:pPr>
              <w:jc w:val="center"/>
              <w:ind w:left="27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4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(Principal Financial Officer and</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40" w:type="dxa"/>
            <w:vAlign w:val="bottom"/>
            <w:gridSpan w:val="3"/>
          </w:tcPr>
          <w:p>
            <w:pPr>
              <w:jc w:val="center"/>
              <w:ind w:left="254"/>
              <w:spacing w:after="0"/>
              <w:rPr>
                <w:sz w:val="20"/>
                <w:szCs w:val="20"/>
                <w:color w:val="auto"/>
              </w:rPr>
            </w:pPr>
            <w:r>
              <w:rPr>
                <w:rFonts w:ascii="Arial" w:cs="Arial" w:eastAsia="Arial" w:hAnsi="Arial"/>
                <w:sz w:val="18"/>
                <w:szCs w:val="18"/>
                <w:color w:val="auto"/>
                <w:w w:val="92"/>
              </w:rPr>
              <w:t>Principal Accounting Officer)</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ETER</w:t>
            </w:r>
            <w:r>
              <w:rPr>
                <w:rFonts w:ascii="Arial" w:cs="Arial" w:eastAsia="Arial" w:hAnsi="Arial"/>
                <w:sz w:val="18"/>
                <w:szCs w:val="18"/>
                <w:color w:val="auto"/>
                <w:w w:val="99"/>
              </w:rPr>
              <w:t xml:space="preserve"> K</w:t>
            </w:r>
            <w:r>
              <w:rPr>
                <w:rFonts w:ascii="Arial" w:cs="Arial" w:eastAsia="Arial" w:hAnsi="Arial"/>
                <w:sz w:val="14"/>
                <w:szCs w:val="14"/>
                <w:color w:val="auto"/>
                <w:w w:val="99"/>
              </w:rPr>
              <w:t>ORDA</w:t>
            </w:r>
          </w:p>
        </w:tc>
        <w:tc>
          <w:tcPr>
            <w:tcW w:w="4240" w:type="dxa"/>
            <w:vAlign w:val="bottom"/>
            <w:gridSpan w:val="3"/>
          </w:tcPr>
          <w:p>
            <w:pPr>
              <w:jc w:val="center"/>
              <w:ind w:left="254"/>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Name: Peter Korda</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40" w:type="dxa"/>
            <w:vAlign w:val="bottom"/>
            <w:gridSpan w:val="3"/>
          </w:tcPr>
          <w:p>
            <w:pPr>
              <w:jc w:val="center"/>
              <w:ind w:left="254"/>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T</w:t>
            </w:r>
            <w:r>
              <w:rPr>
                <w:rFonts w:ascii="Arial" w:cs="Arial" w:eastAsia="Arial" w:hAnsi="Arial"/>
                <w:sz w:val="14"/>
                <w:szCs w:val="14"/>
                <w:color w:val="auto"/>
                <w:w w:val="97"/>
              </w:rPr>
              <w:t>UROFF</w:t>
            </w:r>
          </w:p>
        </w:tc>
        <w:tc>
          <w:tcPr>
            <w:tcW w:w="4240" w:type="dxa"/>
            <w:vAlign w:val="bottom"/>
            <w:gridSpan w:val="3"/>
          </w:tcPr>
          <w:p>
            <w:pPr>
              <w:jc w:val="center"/>
              <w:ind w:left="254"/>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7"/>
              </w:rPr>
              <w:t>Name: James Turoff</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40" w:type="dxa"/>
            <w:vAlign w:val="bottom"/>
            <w:gridSpan w:val="3"/>
          </w:tcPr>
          <w:p>
            <w:pPr>
              <w:ind w:left="740"/>
              <w:spacing w:after="0"/>
              <w:rPr>
                <w:sz w:val="20"/>
                <w:szCs w:val="20"/>
                <w:color w:val="auto"/>
              </w:rPr>
            </w:pPr>
            <w:r>
              <w:rPr>
                <w:rFonts w:ascii="Arial" w:cs="Arial" w:eastAsia="Arial" w:hAnsi="Arial"/>
                <w:sz w:val="18"/>
                <w:szCs w:val="18"/>
                <w:color w:val="auto"/>
              </w:rPr>
              <w:t>II-10</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II-11</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 undersigned,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thereunto duly authorized, in the City of Marysville, State of Ohio, on the 14th day of December, 2011.</w:t>
            </w:r>
          </w:p>
        </w:tc>
        <w:tc>
          <w:tcPr>
            <w:tcW w:w="2980" w:type="dxa"/>
            <w:vAlign w:val="bottom"/>
          </w:tcPr>
          <w:p>
            <w:pPr>
              <w:spacing w:after="0"/>
              <w:rPr>
                <w:sz w:val="19"/>
                <w:szCs w:val="19"/>
                <w:color w:val="auto"/>
              </w:rPr>
            </w:pPr>
          </w:p>
        </w:tc>
      </w:tr>
      <w:tr>
        <w:trPr>
          <w:trHeight w:val="412"/>
        </w:trPr>
        <w:tc>
          <w:tcPr>
            <w:tcW w:w="8440" w:type="dxa"/>
            <w:vAlign w:val="bottom"/>
            <w:gridSpan w:val="2"/>
          </w:tcPr>
          <w:p>
            <w:pPr>
              <w:ind w:left="6860"/>
              <w:spacing w:after="0"/>
              <w:rPr>
                <w:sz w:val="20"/>
                <w:szCs w:val="20"/>
                <w:color w:val="auto"/>
              </w:rPr>
            </w:pPr>
            <w:r>
              <w:rPr>
                <w:rFonts w:ascii="Arial" w:cs="Arial" w:eastAsia="Arial" w:hAnsi="Arial"/>
                <w:sz w:val="18"/>
                <w:szCs w:val="18"/>
                <w:color w:val="auto"/>
                <w:w w:val="93"/>
              </w:rPr>
              <w:t>SMG BRANDS, INC.</w:t>
            </w:r>
          </w:p>
        </w:tc>
        <w:tc>
          <w:tcPr>
            <w:tcW w:w="2980" w:type="dxa"/>
            <w:vAlign w:val="bottom"/>
          </w:tcPr>
          <w:p>
            <w:pPr>
              <w:spacing w:after="0"/>
              <w:rPr>
                <w:sz w:val="24"/>
                <w:szCs w:val="24"/>
                <w:color w:val="auto"/>
              </w:rPr>
            </w:pPr>
          </w:p>
        </w:tc>
      </w:tr>
      <w:tr>
        <w:trPr>
          <w:trHeight w:val="432"/>
        </w:trPr>
        <w:tc>
          <w:tcPr>
            <w:tcW w:w="8440" w:type="dxa"/>
            <w:vAlign w:val="bottom"/>
            <w:gridSpan w:val="2"/>
          </w:tcPr>
          <w:p>
            <w:pPr>
              <w:ind w:left="6860"/>
              <w:spacing w:after="0"/>
              <w:rPr>
                <w:sz w:val="20"/>
                <w:szCs w:val="20"/>
                <w:color w:val="auto"/>
              </w:rPr>
            </w:pPr>
            <w:r>
              <w:rPr>
                <w:rFonts w:ascii="Arial" w:cs="Arial" w:eastAsia="Arial" w:hAnsi="Arial"/>
                <w:sz w:val="18"/>
                <w:szCs w:val="18"/>
                <w:color w:val="auto"/>
              </w:rPr>
              <w:t>By:</w:t>
            </w:r>
          </w:p>
        </w:tc>
        <w:tc>
          <w:tcPr>
            <w:tcW w:w="2980" w:type="dxa"/>
            <w:vAlign w:val="bottom"/>
          </w:tcPr>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r>
      <w:tr>
        <w:trPr>
          <w:trHeight w:val="190"/>
        </w:trPr>
        <w:tc>
          <w:tcPr>
            <w:tcW w:w="7440" w:type="dxa"/>
            <w:vAlign w:val="bottom"/>
          </w:tcPr>
          <w:p>
            <w:pPr>
              <w:ind w:left="6860"/>
              <w:spacing w:after="0" w:line="190" w:lineRule="exact"/>
              <w:rPr>
                <w:sz w:val="20"/>
                <w:szCs w:val="20"/>
                <w:color w:val="auto"/>
              </w:rPr>
            </w:pPr>
            <w:r>
              <w:rPr>
                <w:rFonts w:ascii="Arial" w:cs="Arial" w:eastAsia="Arial" w:hAnsi="Arial"/>
                <w:sz w:val="18"/>
                <w:szCs w:val="18"/>
                <w:color w:val="auto"/>
              </w:rPr>
              <w:t>Name:</w:t>
            </w:r>
          </w:p>
        </w:tc>
        <w:tc>
          <w:tcPr>
            <w:tcW w:w="10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right="866"/>
              <w:spacing w:after="0"/>
              <w:rPr>
                <w:sz w:val="20"/>
                <w:szCs w:val="20"/>
                <w:color w:val="auto"/>
              </w:rPr>
            </w:pPr>
            <w:r>
              <w:rPr>
                <w:rFonts w:ascii="Arial" w:cs="Arial" w:eastAsia="Arial" w:hAnsi="Arial"/>
                <w:sz w:val="14"/>
                <w:szCs w:val="14"/>
                <w:b w:val="1"/>
                <w:bCs w:val="1"/>
                <w:color w:val="auto"/>
                <w:w w:val="89"/>
              </w:rPr>
              <w:t>Aimee M. DeLuca</w:t>
            </w:r>
          </w:p>
        </w:tc>
      </w:tr>
      <w:tr>
        <w:trPr>
          <w:trHeight w:val="237"/>
        </w:trPr>
        <w:tc>
          <w:tcPr>
            <w:tcW w:w="8440" w:type="dxa"/>
            <w:vAlign w:val="bottom"/>
            <w:gridSpan w:val="2"/>
          </w:tcPr>
          <w:p>
            <w:pPr>
              <w:ind w:left="6860"/>
              <w:spacing w:after="0"/>
              <w:rPr>
                <w:sz w:val="20"/>
                <w:szCs w:val="20"/>
                <w:color w:val="auto"/>
              </w:rPr>
            </w:pPr>
            <w:r>
              <w:rPr>
                <w:rFonts w:ascii="Arial" w:cs="Arial" w:eastAsia="Arial" w:hAnsi="Arial"/>
                <w:sz w:val="18"/>
                <w:szCs w:val="18"/>
                <w:color w:val="auto"/>
              </w:rPr>
              <w:t>Title:</w:t>
            </w:r>
          </w:p>
        </w:tc>
        <w:tc>
          <w:tcPr>
            <w:tcW w:w="2980" w:type="dxa"/>
            <w:vAlign w:val="bottom"/>
          </w:tcPr>
          <w:p>
            <w:pPr>
              <w:jc w:val="center"/>
              <w:ind w:right="866"/>
              <w:spacing w:after="0"/>
              <w:rPr>
                <w:sz w:val="20"/>
                <w:szCs w:val="20"/>
                <w:color w:val="auto"/>
              </w:rPr>
            </w:pPr>
            <w:r>
              <w:rPr>
                <w:rFonts w:ascii="Arial" w:cs="Arial" w:eastAsia="Arial" w:hAnsi="Arial"/>
                <w:sz w:val="14"/>
                <w:szCs w:val="14"/>
                <w:b w:val="1"/>
                <w:bCs w:val="1"/>
                <w:color w:val="auto"/>
                <w:w w:val="88"/>
              </w:rPr>
              <w:t>President and CEO</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0"/>
              </w:rPr>
              <w:t>Title</w:t>
            </w:r>
          </w:p>
        </w:tc>
        <w:tc>
          <w:tcPr>
            <w:tcW w:w="124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7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83"/>
              </w:rPr>
              <w:t>/s/</w:t>
            </w:r>
          </w:p>
        </w:tc>
        <w:tc>
          <w:tcPr>
            <w:tcW w:w="334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President, CEO and 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700" w:type="dxa"/>
            <w:vAlign w:val="bottom"/>
          </w:tcPr>
          <w:p>
            <w:pPr>
              <w:spacing w:after="0"/>
              <w:rPr>
                <w:sz w:val="17"/>
                <w:szCs w:val="17"/>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0"/>
              </w:rPr>
              <w:t>Name: Aimee M. DeLuca</w:t>
            </w:r>
          </w:p>
        </w:tc>
        <w:tc>
          <w:tcPr>
            <w:tcW w:w="3960" w:type="dxa"/>
            <w:vAlign w:val="bottom"/>
            <w:gridSpan w:val="3"/>
          </w:tcPr>
          <w:p>
            <w:pPr>
              <w:jc w:val="center"/>
              <w:ind w:left="272"/>
              <w:spacing w:after="0" w:line="202" w:lineRule="exact"/>
              <w:rPr>
                <w:sz w:val="20"/>
                <w:szCs w:val="20"/>
                <w:color w:val="auto"/>
              </w:rPr>
            </w:pPr>
            <w:r>
              <w:rPr>
                <w:rFonts w:ascii="Arial" w:cs="Arial" w:eastAsia="Arial" w:hAnsi="Arial"/>
                <w:sz w:val="18"/>
                <w:szCs w:val="18"/>
                <w:color w:val="auto"/>
                <w:w w:val="91"/>
              </w:rPr>
              <w:t>(Principal 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7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ICHARD</w:t>
            </w:r>
            <w:r>
              <w:rPr>
                <w:rFonts w:ascii="Arial" w:cs="Arial" w:eastAsia="Arial" w:hAnsi="Arial"/>
                <w:sz w:val="18"/>
                <w:szCs w:val="18"/>
                <w:color w:val="auto"/>
                <w:w w:val="98"/>
              </w:rPr>
              <w:t xml:space="preserve"> F. K</w:t>
            </w:r>
            <w:r>
              <w:rPr>
                <w:rFonts w:ascii="Arial" w:cs="Arial" w:eastAsia="Arial" w:hAnsi="Arial"/>
                <w:sz w:val="14"/>
                <w:szCs w:val="14"/>
                <w:color w:val="auto"/>
                <w:w w:val="98"/>
              </w:rPr>
              <w:t>LUMPP</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Treasurer and 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700" w:type="dxa"/>
            <w:vAlign w:val="bottom"/>
          </w:tcPr>
          <w:p>
            <w:pPr>
              <w:spacing w:after="0"/>
              <w:rPr>
                <w:sz w:val="16"/>
                <w:szCs w:val="16"/>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Name: Richard F. Klumpp</w:t>
            </w:r>
          </w:p>
        </w:tc>
        <w:tc>
          <w:tcPr>
            <w:tcW w:w="3960" w:type="dxa"/>
            <w:vAlign w:val="bottom"/>
            <w:gridSpan w:val="3"/>
          </w:tcPr>
          <w:p>
            <w:pPr>
              <w:jc w:val="center"/>
              <w:ind w:left="232"/>
              <w:spacing w:after="0" w:line="190" w:lineRule="exact"/>
              <w:rPr>
                <w:sz w:val="20"/>
                <w:szCs w:val="20"/>
                <w:color w:val="auto"/>
              </w:rPr>
            </w:pPr>
            <w:r>
              <w:rPr>
                <w:rFonts w:ascii="Arial" w:cs="Arial" w:eastAsia="Arial" w:hAnsi="Arial"/>
                <w:sz w:val="18"/>
                <w:szCs w:val="18"/>
                <w:color w:val="auto"/>
                <w:w w:val="91"/>
              </w:rPr>
              <w:t>(Principal Financial Officer and</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2"/>
        </w:trPr>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2"/>
              </w:rPr>
              <w:t>Principal Accounting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17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73"/>
              </w:rPr>
              <w:t>/s/</w:t>
            </w:r>
          </w:p>
        </w:tc>
        <w:tc>
          <w:tcPr>
            <w:tcW w:w="334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ATRICIA</w:t>
            </w:r>
            <w:r>
              <w:rPr>
                <w:rFonts w:ascii="Arial" w:cs="Arial" w:eastAsia="Arial" w:hAnsi="Arial"/>
                <w:sz w:val="18"/>
                <w:szCs w:val="18"/>
                <w:color w:val="auto"/>
                <w:w w:val="99"/>
              </w:rPr>
              <w:t xml:space="preserve"> Z</w:t>
            </w:r>
            <w:r>
              <w:rPr>
                <w:rFonts w:ascii="Arial" w:cs="Arial" w:eastAsia="Arial" w:hAnsi="Arial"/>
                <w:sz w:val="14"/>
                <w:szCs w:val="14"/>
                <w:color w:val="auto"/>
                <w:w w:val="99"/>
              </w:rPr>
              <w:t>IEGLER</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00" w:type="dxa"/>
            <w:vAlign w:val="bottom"/>
          </w:tcPr>
          <w:p>
            <w:pPr>
              <w:spacing w:after="0"/>
              <w:rPr>
                <w:sz w:val="14"/>
                <w:szCs w:val="14"/>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9"/>
              </w:rPr>
              <w:t>Name: Patricia Ziegler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7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R. C</w:t>
            </w:r>
            <w:r>
              <w:rPr>
                <w:rFonts w:ascii="Arial" w:cs="Arial" w:eastAsia="Arial" w:hAnsi="Arial"/>
                <w:sz w:val="14"/>
                <w:szCs w:val="14"/>
                <w:color w:val="auto"/>
                <w:w w:val="98"/>
              </w:rPr>
              <w:t>LAGGETT</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00" w:type="dxa"/>
            <w:vAlign w:val="bottom"/>
          </w:tcPr>
          <w:p>
            <w:pPr>
              <w:spacing w:after="0"/>
              <w:rPr>
                <w:sz w:val="14"/>
                <w:szCs w:val="14"/>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9"/>
              </w:rPr>
              <w:t>Name: Edward R. Claggett</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rPr>
              <w:t>II-12</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HYPONEX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II-13</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MIRACLE-GRO LAWN PRODUCTS,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II-14</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OMS INVESTMENTS,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Aimee M. DeLuca</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President and CEO</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0"/>
              </w:rPr>
              <w:t>Title</w:t>
            </w:r>
          </w:p>
        </w:tc>
        <w:tc>
          <w:tcPr>
            <w:tcW w:w="124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President, CEO and 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780" w:type="dxa"/>
            <w:vAlign w:val="bottom"/>
          </w:tcPr>
          <w:p>
            <w:pPr>
              <w:spacing w:after="0"/>
              <w:rPr>
                <w:sz w:val="17"/>
                <w:szCs w:val="17"/>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0"/>
              </w:rPr>
              <w:t>Name: Aimee M. DeLuca</w:t>
            </w:r>
          </w:p>
        </w:tc>
        <w:tc>
          <w:tcPr>
            <w:tcW w:w="3960" w:type="dxa"/>
            <w:vAlign w:val="bottom"/>
            <w:gridSpan w:val="3"/>
          </w:tcPr>
          <w:p>
            <w:pPr>
              <w:jc w:val="center"/>
              <w:ind w:left="272"/>
              <w:spacing w:after="0" w:line="202" w:lineRule="exact"/>
              <w:rPr>
                <w:sz w:val="20"/>
                <w:szCs w:val="20"/>
                <w:color w:val="auto"/>
              </w:rPr>
            </w:pPr>
            <w:r>
              <w:rPr>
                <w:rFonts w:ascii="Arial" w:cs="Arial" w:eastAsia="Arial" w:hAnsi="Arial"/>
                <w:sz w:val="18"/>
                <w:szCs w:val="18"/>
                <w:color w:val="auto"/>
                <w:w w:val="91"/>
              </w:rPr>
              <w:t>(Principal 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7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73"/>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ARRY</w:t>
            </w:r>
            <w:r>
              <w:rPr>
                <w:rFonts w:ascii="Arial" w:cs="Arial" w:eastAsia="Arial" w:hAnsi="Arial"/>
                <w:sz w:val="18"/>
                <w:szCs w:val="18"/>
                <w:color w:val="auto"/>
                <w:w w:val="97"/>
              </w:rPr>
              <w:t xml:space="preserve"> J. H</w:t>
            </w:r>
            <w:r>
              <w:rPr>
                <w:rFonts w:ascii="Arial" w:cs="Arial" w:eastAsia="Arial" w:hAnsi="Arial"/>
                <w:sz w:val="14"/>
                <w:szCs w:val="14"/>
                <w:color w:val="auto"/>
                <w:w w:val="97"/>
              </w:rPr>
              <w:t>ILLS</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Treasurer and 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780" w:type="dxa"/>
            <w:vAlign w:val="bottom"/>
          </w:tcPr>
          <w:p>
            <w:pPr>
              <w:spacing w:after="0"/>
              <w:rPr>
                <w:sz w:val="16"/>
                <w:szCs w:val="16"/>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0"/>
              </w:rPr>
              <w:t>Name: Garry J. Hills</w:t>
            </w:r>
          </w:p>
        </w:tc>
        <w:tc>
          <w:tcPr>
            <w:tcW w:w="3960" w:type="dxa"/>
            <w:vAlign w:val="bottom"/>
            <w:gridSpan w:val="3"/>
          </w:tcPr>
          <w:p>
            <w:pPr>
              <w:jc w:val="center"/>
              <w:ind w:left="232"/>
              <w:spacing w:after="0" w:line="190" w:lineRule="exact"/>
              <w:rPr>
                <w:sz w:val="20"/>
                <w:szCs w:val="20"/>
                <w:color w:val="auto"/>
              </w:rPr>
            </w:pPr>
            <w:r>
              <w:rPr>
                <w:rFonts w:ascii="Arial" w:cs="Arial" w:eastAsia="Arial" w:hAnsi="Arial"/>
                <w:sz w:val="18"/>
                <w:szCs w:val="18"/>
                <w:color w:val="auto"/>
                <w:w w:val="91"/>
              </w:rPr>
              <w:t>(Principal Financial Officer and</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2"/>
        </w:trPr>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2"/>
              </w:rPr>
              <w:t>Principal Accounting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178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ATRICIA</w:t>
            </w:r>
            <w:r>
              <w:rPr>
                <w:rFonts w:ascii="Arial" w:cs="Arial" w:eastAsia="Arial" w:hAnsi="Arial"/>
                <w:sz w:val="18"/>
                <w:szCs w:val="18"/>
                <w:color w:val="auto"/>
                <w:w w:val="99"/>
              </w:rPr>
              <w:t xml:space="preserve"> Z</w:t>
            </w:r>
            <w:r>
              <w:rPr>
                <w:rFonts w:ascii="Arial" w:cs="Arial" w:eastAsia="Arial" w:hAnsi="Arial"/>
                <w:sz w:val="14"/>
                <w:szCs w:val="14"/>
                <w:color w:val="auto"/>
                <w:w w:val="99"/>
              </w:rPr>
              <w:t>IEGLER</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8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9"/>
              </w:rPr>
              <w:t>Name: Patricia Ziegler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DWARD</w:t>
            </w:r>
            <w:r>
              <w:rPr>
                <w:rFonts w:ascii="Arial" w:cs="Arial" w:eastAsia="Arial" w:hAnsi="Arial"/>
                <w:sz w:val="18"/>
                <w:szCs w:val="18"/>
                <w:color w:val="auto"/>
                <w:w w:val="99"/>
              </w:rPr>
              <w:t xml:space="preserve"> C</w:t>
            </w:r>
            <w:r>
              <w:rPr>
                <w:rFonts w:ascii="Arial" w:cs="Arial" w:eastAsia="Arial" w:hAnsi="Arial"/>
                <w:sz w:val="14"/>
                <w:szCs w:val="14"/>
                <w:color w:val="auto"/>
                <w:w w:val="99"/>
              </w:rPr>
              <w:t>LAGGETT</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8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9"/>
              </w:rPr>
              <w:t>Name: Edward Claggett</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rPr>
              <w:t>II-15</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 MCLELLAN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II-16</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SANFORD SCIENTIFIC,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39"/>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7"/>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II-17</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II-18</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PRODUCTS CO.</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II-19</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PROFESSIONAL PRODUCTS CO.</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II-20</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SCOTTS-SIERRA INVESTMENTS,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Aimee M. DeLuca</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President and CEO</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0"/>
              </w:rPr>
              <w:t>Title</w:t>
            </w:r>
          </w:p>
        </w:tc>
        <w:tc>
          <w:tcPr>
            <w:tcW w:w="124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President, CEO and 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740" w:type="dxa"/>
            <w:vAlign w:val="bottom"/>
          </w:tcPr>
          <w:p>
            <w:pPr>
              <w:spacing w:after="0"/>
              <w:rPr>
                <w:sz w:val="17"/>
                <w:szCs w:val="17"/>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0"/>
              </w:rPr>
              <w:t>Name: Aimee M. DeLuca</w:t>
            </w:r>
          </w:p>
        </w:tc>
        <w:tc>
          <w:tcPr>
            <w:tcW w:w="3960" w:type="dxa"/>
            <w:vAlign w:val="bottom"/>
            <w:gridSpan w:val="3"/>
          </w:tcPr>
          <w:p>
            <w:pPr>
              <w:jc w:val="center"/>
              <w:ind w:left="272"/>
              <w:spacing w:after="0" w:line="202" w:lineRule="exact"/>
              <w:rPr>
                <w:sz w:val="20"/>
                <w:szCs w:val="20"/>
                <w:color w:val="auto"/>
              </w:rPr>
            </w:pPr>
            <w:r>
              <w:rPr>
                <w:rFonts w:ascii="Arial" w:cs="Arial" w:eastAsia="Arial" w:hAnsi="Arial"/>
                <w:sz w:val="18"/>
                <w:szCs w:val="18"/>
                <w:color w:val="auto"/>
                <w:w w:val="91"/>
              </w:rPr>
              <w:t>(Principal 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3"/>
              </w:rPr>
              <w:t>/s/</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ARK</w:t>
            </w:r>
            <w:r>
              <w:rPr>
                <w:rFonts w:ascii="Arial" w:cs="Arial" w:eastAsia="Arial" w:hAnsi="Arial"/>
                <w:sz w:val="18"/>
                <w:szCs w:val="18"/>
                <w:color w:val="auto"/>
                <w:w w:val="98"/>
              </w:rPr>
              <w:t xml:space="preserve"> J. W</w:t>
            </w:r>
            <w:r>
              <w:rPr>
                <w:rFonts w:ascii="Arial" w:cs="Arial" w:eastAsia="Arial" w:hAnsi="Arial"/>
                <w:sz w:val="14"/>
                <w:szCs w:val="14"/>
                <w:color w:val="auto"/>
                <w:w w:val="98"/>
              </w:rPr>
              <w:t>EAVER</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4"/>
              </w:rPr>
              <w:t>Treasurer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740" w:type="dxa"/>
            <w:vAlign w:val="bottom"/>
          </w:tcPr>
          <w:p>
            <w:pPr>
              <w:spacing w:after="0"/>
              <w:rPr>
                <w:sz w:val="16"/>
                <w:szCs w:val="16"/>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Name: Mark J. Weaver</w:t>
            </w:r>
          </w:p>
        </w:tc>
        <w:tc>
          <w:tcPr>
            <w:tcW w:w="3960" w:type="dxa"/>
            <w:vAlign w:val="bottom"/>
            <w:gridSpan w:val="3"/>
          </w:tcPr>
          <w:p>
            <w:pPr>
              <w:jc w:val="center"/>
              <w:ind w:left="232"/>
              <w:spacing w:after="0" w:line="190" w:lineRule="exact"/>
              <w:rPr>
                <w:sz w:val="20"/>
                <w:szCs w:val="20"/>
                <w:color w:val="auto"/>
              </w:rPr>
            </w:pPr>
            <w:r>
              <w:rPr>
                <w:rFonts w:ascii="Arial" w:cs="Arial" w:eastAsia="Arial" w:hAnsi="Arial"/>
                <w:sz w:val="18"/>
                <w:szCs w:val="18"/>
                <w:color w:val="auto"/>
                <w:w w:val="91"/>
              </w:rPr>
              <w:t>(Principal Financial Officer and</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2"/>
        </w:trPr>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2"/>
              </w:rPr>
              <w:t>Principal Accounting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DWARD</w:t>
            </w:r>
            <w:r>
              <w:rPr>
                <w:rFonts w:ascii="Arial" w:cs="Arial" w:eastAsia="Arial" w:hAnsi="Arial"/>
                <w:sz w:val="18"/>
                <w:szCs w:val="18"/>
                <w:color w:val="auto"/>
                <w:w w:val="99"/>
              </w:rPr>
              <w:t xml:space="preserve"> C</w:t>
            </w:r>
            <w:r>
              <w:rPr>
                <w:rFonts w:ascii="Arial" w:cs="Arial" w:eastAsia="Arial" w:hAnsi="Arial"/>
                <w:sz w:val="14"/>
                <w:szCs w:val="14"/>
                <w:color w:val="auto"/>
                <w:w w:val="99"/>
              </w:rPr>
              <w:t>LAGGETT</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9"/>
              </w:rPr>
              <w:t>Name: Edward Claggett</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ICHARD</w:t>
            </w:r>
            <w:r>
              <w:rPr>
                <w:rFonts w:ascii="Arial" w:cs="Arial" w:eastAsia="Arial" w:hAnsi="Arial"/>
                <w:sz w:val="18"/>
                <w:szCs w:val="18"/>
                <w:color w:val="auto"/>
                <w:w w:val="98"/>
              </w:rPr>
              <w:t xml:space="preserve"> F. K</w:t>
            </w:r>
            <w:r>
              <w:rPr>
                <w:rFonts w:ascii="Arial" w:cs="Arial" w:eastAsia="Arial" w:hAnsi="Arial"/>
                <w:sz w:val="14"/>
                <w:szCs w:val="14"/>
                <w:color w:val="auto"/>
                <w:w w:val="98"/>
              </w:rPr>
              <w:t>LUMPP</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Name: Richard F. Klumpp</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4"/>
          </w:tcPr>
          <w:p>
            <w:pPr>
              <w:ind w:left="16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T</w:t>
            </w:r>
            <w:r>
              <w:rPr>
                <w:rFonts w:ascii="Arial" w:cs="Arial" w:eastAsia="Arial" w:hAnsi="Arial"/>
                <w:sz w:val="14"/>
                <w:szCs w:val="14"/>
                <w:color w:val="auto"/>
              </w:rPr>
              <w:t>UROFF</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6"/>
              </w:rPr>
              <w:t>Name: James Turoff</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rPr>
              <w:t>II-21</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TEMECULA OPERATIONS,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0"/>
              </w:rPr>
              <w:t>Title</w:t>
            </w:r>
          </w:p>
        </w:tc>
        <w:tc>
          <w:tcPr>
            <w:tcW w:w="124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8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396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Chief Executive Officer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800" w:type="dxa"/>
            <w:vAlign w:val="bottom"/>
          </w:tcPr>
          <w:p>
            <w:pPr>
              <w:spacing w:after="0"/>
              <w:rPr>
                <w:sz w:val="17"/>
                <w:szCs w:val="17"/>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Name: James Hagedorn</w:t>
            </w:r>
          </w:p>
        </w:tc>
        <w:tc>
          <w:tcPr>
            <w:tcW w:w="3960" w:type="dxa"/>
            <w:vAlign w:val="bottom"/>
            <w:gridSpan w:val="3"/>
          </w:tcPr>
          <w:p>
            <w:pPr>
              <w:jc w:val="center"/>
              <w:ind w:left="272"/>
              <w:spacing w:after="0" w:line="202" w:lineRule="exact"/>
              <w:rPr>
                <w:sz w:val="20"/>
                <w:szCs w:val="20"/>
                <w:color w:val="auto"/>
              </w:rPr>
            </w:pPr>
            <w:r>
              <w:rPr>
                <w:rFonts w:ascii="Arial" w:cs="Arial" w:eastAsia="Arial" w:hAnsi="Arial"/>
                <w:sz w:val="18"/>
                <w:szCs w:val="18"/>
                <w:color w:val="auto"/>
                <w:w w:val="91"/>
              </w:rPr>
              <w:t>(Principal 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324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C. E</w:t>
            </w:r>
            <w:r>
              <w:rPr>
                <w:rFonts w:ascii="Arial" w:cs="Arial" w:eastAsia="Arial" w:hAnsi="Arial"/>
                <w:sz w:val="14"/>
                <w:szCs w:val="14"/>
                <w:color w:val="auto"/>
                <w:w w:val="96"/>
              </w:rPr>
              <w:t>VANS</w:t>
            </w:r>
          </w:p>
        </w:tc>
        <w:tc>
          <w:tcPr>
            <w:tcW w:w="396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Executive Vice President</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800" w:type="dxa"/>
            <w:vAlign w:val="bottom"/>
          </w:tcPr>
          <w:p>
            <w:pPr>
              <w:spacing w:after="0"/>
              <w:rPr>
                <w:sz w:val="16"/>
                <w:szCs w:val="16"/>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9"/>
              </w:rPr>
              <w:t>Name: David C. Evans</w:t>
            </w:r>
          </w:p>
        </w:tc>
        <w:tc>
          <w:tcPr>
            <w:tcW w:w="3960" w:type="dxa"/>
            <w:vAlign w:val="bottom"/>
            <w:gridSpan w:val="3"/>
          </w:tcPr>
          <w:p>
            <w:pPr>
              <w:jc w:val="center"/>
              <w:ind w:left="292"/>
              <w:spacing w:after="0" w:line="190" w:lineRule="exact"/>
              <w:rPr>
                <w:sz w:val="20"/>
                <w:szCs w:val="20"/>
                <w:color w:val="auto"/>
              </w:rPr>
            </w:pPr>
            <w:r>
              <w:rPr>
                <w:rFonts w:ascii="Arial" w:cs="Arial" w:eastAsia="Arial" w:hAnsi="Arial"/>
                <w:sz w:val="18"/>
                <w:szCs w:val="18"/>
                <w:color w:val="auto"/>
                <w:w w:val="91"/>
              </w:rPr>
              <w:t>and Chief Financial Officer</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gridSpan w:val="3"/>
          </w:tcPr>
          <w:p>
            <w:pPr>
              <w:jc w:val="center"/>
              <w:ind w:left="232"/>
              <w:spacing w:after="0"/>
              <w:rPr>
                <w:sz w:val="20"/>
                <w:szCs w:val="20"/>
                <w:color w:val="auto"/>
              </w:rPr>
            </w:pPr>
            <w:r>
              <w:rPr>
                <w:rFonts w:ascii="Arial" w:cs="Arial" w:eastAsia="Arial" w:hAnsi="Arial"/>
                <w:sz w:val="18"/>
                <w:szCs w:val="18"/>
                <w:color w:val="auto"/>
                <w:w w:val="91"/>
              </w:rPr>
              <w:t>(Principal Financial Officer and</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2"/>
              </w:rPr>
              <w:t>Principal Accounting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65"/>
        </w:trPr>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rPr>
              <w:t>II-22</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Chief Executive Officer and 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680" w:type="dxa"/>
            <w:vAlign w:val="bottom"/>
          </w:tcPr>
          <w:p>
            <w:pPr>
              <w:spacing w:after="0"/>
              <w:rPr>
                <w:sz w:val="17"/>
                <w:szCs w:val="17"/>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Name: James Hagedorn</w:t>
            </w:r>
          </w:p>
        </w:tc>
        <w:tc>
          <w:tcPr>
            <w:tcW w:w="4260" w:type="dxa"/>
            <w:vAlign w:val="bottom"/>
            <w:gridSpan w:val="3"/>
          </w:tcPr>
          <w:p>
            <w:pPr>
              <w:jc w:val="center"/>
              <w:ind w:left="234"/>
              <w:spacing w:after="0" w:line="202" w:lineRule="exact"/>
              <w:rPr>
                <w:sz w:val="20"/>
                <w:szCs w:val="20"/>
                <w:color w:val="auto"/>
              </w:rPr>
            </w:pPr>
            <w:r>
              <w:rPr>
                <w:rFonts w:ascii="Arial" w:cs="Arial" w:eastAsia="Arial" w:hAnsi="Arial"/>
                <w:sz w:val="18"/>
                <w:szCs w:val="18"/>
                <w:color w:val="auto"/>
                <w:w w:val="92"/>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C. E</w:t>
            </w:r>
            <w:r>
              <w:rPr>
                <w:rFonts w:ascii="Arial" w:cs="Arial" w:eastAsia="Arial" w:hAnsi="Arial"/>
                <w:sz w:val="14"/>
                <w:szCs w:val="14"/>
                <w:color w:val="auto"/>
                <w:w w:val="98"/>
              </w:rPr>
              <w:t>VANS</w:t>
            </w: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89"/>
              </w:rPr>
              <w:t>Executive Vice President,</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6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Name: David C. Evans</w:t>
            </w:r>
          </w:p>
        </w:tc>
        <w:tc>
          <w:tcPr>
            <w:tcW w:w="4260" w:type="dxa"/>
            <w:vAlign w:val="bottom"/>
            <w:gridSpan w:val="3"/>
          </w:tcPr>
          <w:p>
            <w:pPr>
              <w:jc w:val="center"/>
              <w:ind w:left="254"/>
              <w:spacing w:after="0" w:line="190" w:lineRule="exact"/>
              <w:rPr>
                <w:sz w:val="20"/>
                <w:szCs w:val="20"/>
                <w:color w:val="auto"/>
              </w:rPr>
            </w:pPr>
            <w:r>
              <w:rPr>
                <w:rFonts w:ascii="Arial" w:cs="Arial" w:eastAsia="Arial" w:hAnsi="Arial"/>
                <w:sz w:val="18"/>
                <w:szCs w:val="18"/>
                <w:color w:val="auto"/>
                <w:w w:val="91"/>
              </w:rPr>
              <w:t>Chief Financial Officer and Director</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48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INCENT</w:t>
            </w:r>
            <w:r>
              <w:rPr>
                <w:rFonts w:ascii="Arial" w:cs="Arial" w:eastAsia="Arial" w:hAnsi="Arial"/>
                <w:sz w:val="18"/>
                <w:szCs w:val="18"/>
                <w:color w:val="auto"/>
              </w:rPr>
              <w:t xml:space="preserve"> C. B</w:t>
            </w:r>
            <w:r>
              <w:rPr>
                <w:rFonts w:ascii="Arial" w:cs="Arial" w:eastAsia="Arial" w:hAnsi="Arial"/>
                <w:sz w:val="14"/>
                <w:szCs w:val="14"/>
                <w:color w:val="auto"/>
              </w:rPr>
              <w:t>ROCKMAN</w:t>
            </w:r>
          </w:p>
        </w:tc>
        <w:tc>
          <w:tcPr>
            <w:tcW w:w="42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69"/>
        </w:trPr>
        <w:tc>
          <w:tcPr>
            <w:tcW w:w="4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Vincent C. Brockman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II-23</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SWISS FARMS PRODUCTS,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Aimee M. DeLuca</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President and CEO</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0"/>
              </w:rPr>
              <w:t>Title</w:t>
            </w:r>
          </w:p>
        </w:tc>
        <w:tc>
          <w:tcPr>
            <w:tcW w:w="124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7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83"/>
              </w:rPr>
              <w:t>/s/</w:t>
            </w:r>
          </w:p>
        </w:tc>
        <w:tc>
          <w:tcPr>
            <w:tcW w:w="334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IMEE</w:t>
            </w:r>
            <w:r>
              <w:rPr>
                <w:rFonts w:ascii="Arial" w:cs="Arial" w:eastAsia="Arial" w:hAnsi="Arial"/>
                <w:sz w:val="18"/>
                <w:szCs w:val="18"/>
                <w:color w:val="auto"/>
              </w:rPr>
              <w:t xml:space="preserve"> M. D</w:t>
            </w:r>
            <w:r>
              <w:rPr>
                <w:rFonts w:ascii="Arial" w:cs="Arial" w:eastAsia="Arial" w:hAnsi="Arial"/>
                <w:sz w:val="14"/>
                <w:szCs w:val="14"/>
                <w:color w:val="auto"/>
              </w:rPr>
              <w:t>E</w:t>
            </w:r>
            <w:r>
              <w:rPr>
                <w:rFonts w:ascii="Arial" w:cs="Arial" w:eastAsia="Arial" w:hAnsi="Arial"/>
                <w:sz w:val="18"/>
                <w:szCs w:val="18"/>
                <w:color w:val="auto"/>
              </w:rPr>
              <w:t>L</w:t>
            </w:r>
            <w:r>
              <w:rPr>
                <w:rFonts w:ascii="Arial" w:cs="Arial" w:eastAsia="Arial" w:hAnsi="Arial"/>
                <w:sz w:val="14"/>
                <w:szCs w:val="14"/>
                <w:color w:val="auto"/>
              </w:rPr>
              <w:t>UCA</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President, CEO and 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700" w:type="dxa"/>
            <w:vAlign w:val="bottom"/>
          </w:tcPr>
          <w:p>
            <w:pPr>
              <w:spacing w:after="0"/>
              <w:rPr>
                <w:sz w:val="17"/>
                <w:szCs w:val="17"/>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0"/>
              </w:rPr>
              <w:t>Name: Aimee M. DeLuca</w:t>
            </w:r>
          </w:p>
        </w:tc>
        <w:tc>
          <w:tcPr>
            <w:tcW w:w="3960" w:type="dxa"/>
            <w:vAlign w:val="bottom"/>
            <w:gridSpan w:val="3"/>
          </w:tcPr>
          <w:p>
            <w:pPr>
              <w:jc w:val="center"/>
              <w:ind w:left="272"/>
              <w:spacing w:after="0" w:line="202" w:lineRule="exact"/>
              <w:rPr>
                <w:sz w:val="20"/>
                <w:szCs w:val="20"/>
                <w:color w:val="auto"/>
              </w:rPr>
            </w:pPr>
            <w:r>
              <w:rPr>
                <w:rFonts w:ascii="Arial" w:cs="Arial" w:eastAsia="Arial" w:hAnsi="Arial"/>
                <w:sz w:val="18"/>
                <w:szCs w:val="18"/>
                <w:color w:val="auto"/>
                <w:w w:val="91"/>
              </w:rPr>
              <w:t>(Principal 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5040" w:type="dxa"/>
            <w:vAlign w:val="bottom"/>
            <w:tcBorders>
              <w:bottom w:val="single" w:sz="8" w:color="auto"/>
            </w:tcBorders>
            <w:gridSpan w:val="4"/>
          </w:tcPr>
          <w:p>
            <w:pPr>
              <w:ind w:left="16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ARRY</w:t>
            </w:r>
            <w:r>
              <w:rPr>
                <w:rFonts w:ascii="Arial" w:cs="Arial" w:eastAsia="Arial" w:hAnsi="Arial"/>
                <w:sz w:val="18"/>
                <w:szCs w:val="18"/>
                <w:color w:val="auto"/>
              </w:rPr>
              <w:t xml:space="preserve"> J. H</w:t>
            </w:r>
            <w:r>
              <w:rPr>
                <w:rFonts w:ascii="Arial" w:cs="Arial" w:eastAsia="Arial" w:hAnsi="Arial"/>
                <w:sz w:val="14"/>
                <w:szCs w:val="14"/>
                <w:color w:val="auto"/>
              </w:rPr>
              <w:t>ILLS</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Treasurer and 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700" w:type="dxa"/>
            <w:vAlign w:val="bottom"/>
          </w:tcPr>
          <w:p>
            <w:pPr>
              <w:spacing w:after="0"/>
              <w:rPr>
                <w:sz w:val="16"/>
                <w:szCs w:val="16"/>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0"/>
              </w:rPr>
              <w:t>Name: Garry J. Hills</w:t>
            </w:r>
          </w:p>
        </w:tc>
        <w:tc>
          <w:tcPr>
            <w:tcW w:w="3960" w:type="dxa"/>
            <w:vAlign w:val="bottom"/>
            <w:gridSpan w:val="3"/>
          </w:tcPr>
          <w:p>
            <w:pPr>
              <w:jc w:val="center"/>
              <w:ind w:left="232"/>
              <w:spacing w:after="0" w:line="190" w:lineRule="exact"/>
              <w:rPr>
                <w:sz w:val="20"/>
                <w:szCs w:val="20"/>
                <w:color w:val="auto"/>
              </w:rPr>
            </w:pPr>
            <w:r>
              <w:rPr>
                <w:rFonts w:ascii="Arial" w:cs="Arial" w:eastAsia="Arial" w:hAnsi="Arial"/>
                <w:sz w:val="18"/>
                <w:szCs w:val="18"/>
                <w:color w:val="auto"/>
                <w:w w:val="91"/>
              </w:rPr>
              <w:t>(Principal Financial Officer and</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2"/>
        </w:trPr>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2"/>
              </w:rPr>
              <w:t>Principal Accounting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3"/>
        </w:trPr>
        <w:tc>
          <w:tcPr>
            <w:tcW w:w="17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73"/>
              </w:rPr>
              <w:t>/s/</w:t>
            </w:r>
          </w:p>
        </w:tc>
        <w:tc>
          <w:tcPr>
            <w:tcW w:w="334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ATRICIA</w:t>
            </w:r>
            <w:r>
              <w:rPr>
                <w:rFonts w:ascii="Arial" w:cs="Arial" w:eastAsia="Arial" w:hAnsi="Arial"/>
                <w:sz w:val="18"/>
                <w:szCs w:val="18"/>
                <w:color w:val="auto"/>
                <w:w w:val="99"/>
              </w:rPr>
              <w:t xml:space="preserve"> Z</w:t>
            </w:r>
            <w:r>
              <w:rPr>
                <w:rFonts w:ascii="Arial" w:cs="Arial" w:eastAsia="Arial" w:hAnsi="Arial"/>
                <w:sz w:val="14"/>
                <w:szCs w:val="14"/>
                <w:color w:val="auto"/>
                <w:w w:val="99"/>
              </w:rPr>
              <w:t>IEGLER</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00" w:type="dxa"/>
            <w:vAlign w:val="bottom"/>
          </w:tcPr>
          <w:p>
            <w:pPr>
              <w:spacing w:after="0"/>
              <w:rPr>
                <w:sz w:val="14"/>
                <w:szCs w:val="14"/>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9"/>
              </w:rPr>
              <w:t>Name: Patricia Ziegler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7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R. C</w:t>
            </w:r>
            <w:r>
              <w:rPr>
                <w:rFonts w:ascii="Arial" w:cs="Arial" w:eastAsia="Arial" w:hAnsi="Arial"/>
                <w:sz w:val="14"/>
                <w:szCs w:val="14"/>
                <w:color w:val="auto"/>
                <w:w w:val="98"/>
              </w:rPr>
              <w:t>LAGGETT</w:t>
            </w:r>
          </w:p>
        </w:tc>
        <w:tc>
          <w:tcPr>
            <w:tcW w:w="396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Director</w:t>
            </w:r>
          </w:p>
        </w:tc>
        <w:tc>
          <w:tcPr>
            <w:tcW w:w="208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December 14, 2011</w:t>
            </w:r>
          </w:p>
        </w:tc>
      </w:tr>
      <w:tr>
        <w:trPr>
          <w:trHeight w:val="169"/>
        </w:trPr>
        <w:tc>
          <w:tcPr>
            <w:tcW w:w="1700" w:type="dxa"/>
            <w:vAlign w:val="bottom"/>
          </w:tcPr>
          <w:p>
            <w:pPr>
              <w:spacing w:after="0"/>
              <w:rPr>
                <w:sz w:val="14"/>
                <w:szCs w:val="14"/>
                <w:color w:val="auto"/>
              </w:rPr>
            </w:pPr>
          </w:p>
        </w:tc>
        <w:tc>
          <w:tcPr>
            <w:tcW w:w="3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9"/>
              </w:rPr>
              <w:t>Name: Edward R. Claggett</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rPr>
              <w:t>II-24</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Marysville, State of Ohio, on the 14th day of December,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H</w:t>
            </w:r>
            <w:r>
              <w:rPr>
                <w:rFonts w:ascii="Arial" w:cs="Arial" w:eastAsia="Arial" w:hAnsi="Arial"/>
                <w:sz w:val="14"/>
                <w:szCs w:val="14"/>
                <w:color w:val="auto"/>
              </w:rPr>
              <w:t>AGEDORN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James Hagedorn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James Hagedorn, David C. Evans and Vincent C. Brockman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8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H</w:t>
            </w:r>
            <w:r>
              <w:rPr>
                <w:rFonts w:ascii="Arial" w:cs="Arial" w:eastAsia="Arial" w:hAnsi="Arial"/>
                <w:sz w:val="14"/>
                <w:szCs w:val="14"/>
                <w:color w:val="auto"/>
                <w:w w:val="98"/>
              </w:rPr>
              <w:t>AGEDORN</w:t>
            </w:r>
          </w:p>
        </w:tc>
        <w:tc>
          <w:tcPr>
            <w:tcW w:w="40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Chief Executive Officer</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202"/>
        </w:trPr>
        <w:tc>
          <w:tcPr>
            <w:tcW w:w="1800" w:type="dxa"/>
            <w:vAlign w:val="bottom"/>
          </w:tcPr>
          <w:p>
            <w:pPr>
              <w:spacing w:after="0"/>
              <w:rPr>
                <w:sz w:val="17"/>
                <w:szCs w:val="17"/>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Name: James Hagedorn</w:t>
            </w:r>
          </w:p>
        </w:tc>
        <w:tc>
          <w:tcPr>
            <w:tcW w:w="4020" w:type="dxa"/>
            <w:vAlign w:val="bottom"/>
            <w:gridSpan w:val="3"/>
          </w:tcPr>
          <w:p>
            <w:pPr>
              <w:jc w:val="center"/>
              <w:ind w:left="212"/>
              <w:spacing w:after="0" w:line="202" w:lineRule="exact"/>
              <w:rPr>
                <w:sz w:val="20"/>
                <w:szCs w:val="20"/>
                <w:color w:val="auto"/>
              </w:rPr>
            </w:pPr>
            <w:r>
              <w:rPr>
                <w:rFonts w:ascii="Arial" w:cs="Arial" w:eastAsia="Arial" w:hAnsi="Arial"/>
                <w:sz w:val="18"/>
                <w:szCs w:val="18"/>
                <w:color w:val="auto"/>
                <w:w w:val="91"/>
              </w:rPr>
              <w:t>(Principal Executive Officer)</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39"/>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324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C. E</w:t>
            </w:r>
            <w:r>
              <w:rPr>
                <w:rFonts w:ascii="Arial" w:cs="Arial" w:eastAsia="Arial" w:hAnsi="Arial"/>
                <w:sz w:val="14"/>
                <w:szCs w:val="14"/>
                <w:color w:val="auto"/>
                <w:w w:val="96"/>
              </w:rPr>
              <w:t>VANS</w:t>
            </w:r>
          </w:p>
        </w:tc>
        <w:tc>
          <w:tcPr>
            <w:tcW w:w="4020" w:type="dxa"/>
            <w:vAlign w:val="bottom"/>
            <w:gridSpan w:val="3"/>
          </w:tcPr>
          <w:p>
            <w:pPr>
              <w:jc w:val="center"/>
              <w:ind w:left="232"/>
              <w:spacing w:after="0"/>
              <w:rPr>
                <w:sz w:val="20"/>
                <w:szCs w:val="20"/>
                <w:color w:val="auto"/>
              </w:rPr>
            </w:pPr>
            <w:r>
              <w:rPr>
                <w:rFonts w:ascii="Arial" w:cs="Arial" w:eastAsia="Arial" w:hAnsi="Arial"/>
                <w:sz w:val="18"/>
                <w:szCs w:val="18"/>
                <w:color w:val="auto"/>
                <w:w w:val="91"/>
              </w:rPr>
              <w:t>Chief Financial Officer and</w:t>
            </w:r>
          </w:p>
        </w:tc>
        <w:tc>
          <w:tcPr>
            <w:tcW w:w="202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December 14, 2011</w:t>
            </w:r>
          </w:p>
        </w:tc>
      </w:tr>
      <w:tr>
        <w:trPr>
          <w:trHeight w:val="190"/>
        </w:trPr>
        <w:tc>
          <w:tcPr>
            <w:tcW w:w="1800" w:type="dxa"/>
            <w:vAlign w:val="bottom"/>
          </w:tcPr>
          <w:p>
            <w:pPr>
              <w:spacing w:after="0"/>
              <w:rPr>
                <w:sz w:val="16"/>
                <w:szCs w:val="16"/>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9"/>
              </w:rPr>
              <w:t>Name: David C. Evans</w:t>
            </w:r>
          </w:p>
        </w:tc>
        <w:tc>
          <w:tcPr>
            <w:tcW w:w="4020" w:type="dxa"/>
            <w:vAlign w:val="bottom"/>
            <w:gridSpan w:val="3"/>
          </w:tcPr>
          <w:p>
            <w:pPr>
              <w:jc w:val="center"/>
              <w:ind w:left="212"/>
              <w:spacing w:after="0" w:line="190" w:lineRule="exact"/>
              <w:rPr>
                <w:sz w:val="20"/>
                <w:szCs w:val="20"/>
                <w:color w:val="auto"/>
              </w:rPr>
            </w:pPr>
            <w:r>
              <w:rPr>
                <w:rFonts w:ascii="Arial" w:cs="Arial" w:eastAsia="Arial" w:hAnsi="Arial"/>
                <w:sz w:val="18"/>
                <w:szCs w:val="18"/>
                <w:color w:val="auto"/>
                <w:w w:val="88"/>
              </w:rPr>
              <w:t>Executive Vice President, Strategy</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gridSpan w:val="3"/>
          </w:tcPr>
          <w:p>
            <w:pPr>
              <w:jc w:val="center"/>
              <w:ind w:left="232"/>
              <w:spacing w:after="0"/>
              <w:rPr>
                <w:sz w:val="20"/>
                <w:szCs w:val="20"/>
                <w:color w:val="auto"/>
              </w:rPr>
            </w:pPr>
            <w:r>
              <w:rPr>
                <w:rFonts w:ascii="Arial" w:cs="Arial" w:eastAsia="Arial" w:hAnsi="Arial"/>
                <w:sz w:val="18"/>
                <w:szCs w:val="18"/>
                <w:color w:val="auto"/>
                <w:w w:val="86"/>
              </w:rPr>
              <w:t>and Business Development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(Principal Financial Officer and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2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78"/>
        </w:trPr>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20" w:type="dxa"/>
            <w:vAlign w:val="bottom"/>
            <w:gridSpan w:val="3"/>
          </w:tcPr>
          <w:p>
            <w:pPr>
              <w:ind w:left="500"/>
              <w:spacing w:after="0"/>
              <w:rPr>
                <w:sz w:val="20"/>
                <w:szCs w:val="20"/>
                <w:color w:val="auto"/>
              </w:rPr>
            </w:pPr>
            <w:r>
              <w:rPr>
                <w:rFonts w:ascii="Arial" w:cs="Arial" w:eastAsia="Arial" w:hAnsi="Arial"/>
                <w:sz w:val="18"/>
                <w:szCs w:val="18"/>
                <w:color w:val="auto"/>
              </w:rPr>
              <w:t>II-25</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32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6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4440" w:type="dxa"/>
            <w:vAlign w:val="bottom"/>
          </w:tcPr>
          <w:p>
            <w:pPr>
              <w:spacing w:after="0"/>
              <w:rPr>
                <w:sz w:val="14"/>
                <w:szCs w:val="14"/>
                <w:color w:val="auto"/>
              </w:rPr>
            </w:pPr>
          </w:p>
        </w:tc>
      </w:tr>
      <w:tr>
        <w:trPr>
          <w:trHeight w:val="309"/>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7"/>
              </w:rPr>
              <w:t>Indenture, dated as of December 16, 2010, by and among The Scotts Miracle-Gro Company, the Guarantors (as defined therein) and U.S. Bank</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2"/>
              </w:rPr>
              <w:t>National Association, as trustee (filed as Exhibit 4.1 to the Company’s Form 8-K filed on December 16, 2010, and incorporated herein by</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reference).</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Form of 6.625% Senior Notes due 2020 (included in Exhibit 4.1 to the Company’s Form 8-K filed on December 16, 2010, and incorporated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herein by reference).</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7"/>
              </w:rPr>
              <w:t>Registration Rights Agreement, dated as of December 16, 2010, by and among The Scotts Miracle-Gro Company, the guarantors named therein</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0"/>
              </w:rPr>
              <w:t>and Merrill Lynch, Pierce, Fenner &amp; Smith Incorporated, as representative of the several initial purchasers named therein (filed as Exhibit 4.3</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to the Company’s Form 8-K filed on December 16, 2010, and incorporated herein by reference).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Opinion of General Counsel of the Company.</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Opinion of Hunton &amp; Williams LLP.</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12.1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Computation of Ratio of Earnings to Fixed Charges (filed as Exhibit 12 to the Company’s Annual Report on Form 10-K filed on November 23,</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2011, and incorporated herein by reference).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Consent of General Counsel of the Company (included in Exhibit 5.1).</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23.3</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Consent of Hunton &amp; Williams LLP (included in Exhibit 5.2).</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24.1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Powers of Attorney (included on signature pages hereto).</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25.1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Statement of Eligibility under the Trust Indenture Act of 1939 of U.S. Bank National Association to act as trustee under the Indenture (Form T-</w:t>
            </w:r>
          </w:p>
        </w:tc>
      </w:tr>
      <w:tr>
        <w:trPr>
          <w:trHeight w:val="222"/>
        </w:trPr>
        <w:tc>
          <w:tcPr>
            <w:tcW w:w="52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99.1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Form of Letter of Transmittal.</w:t>
            </w:r>
          </w:p>
        </w:tc>
      </w:tr>
    </w:tbl>
    <w:p>
      <w:pPr>
        <w:sectPr>
          <w:pgSz w:w="11900" w:h="16838" w:orient="portrait"/>
          <w:cols w:equalWidth="0" w:num="1">
            <w:col w:w="11400"/>
          </w:cols>
          <w:pgMar w:left="240" w:top="459" w:right="2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118110</wp:posOffset>
            </wp:positionV>
            <wp:extent cx="2615565" cy="557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155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The Scotts Miracle-Gro Company Registration Statement on Form S-4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the General Counsel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have represented the Company and certain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domestic subsidiaries of the Company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and am familiar with matters pertaining to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 registration statement on Form S-4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United States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by the Company and the Guarantors of (i) the Company’s offer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(such offer, as described in the Prospectus (as defined below),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 all the outstanding $200,000,000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Company’s 6.625% Senior Notes due December 15, 2020 issued on December 16, 2010 (the “</w:t>
      </w:r>
      <w:r>
        <w:rPr>
          <w:rFonts w:ascii="Arial" w:cs="Arial" w:eastAsia="Arial" w:hAnsi="Arial"/>
          <w:sz w:val="15"/>
          <w:szCs w:val="15"/>
          <w:b w:val="1"/>
          <w:bCs w:val="1"/>
          <w:i w:val="1"/>
          <w:iCs w:val="1"/>
          <w:color w:val="auto"/>
        </w:rPr>
        <w:t>Original Notes</w:t>
      </w:r>
      <w:r>
        <w:rPr>
          <w:rFonts w:ascii="Arial" w:cs="Arial" w:eastAsia="Arial" w:hAnsi="Arial"/>
          <w:sz w:val="15"/>
          <w:szCs w:val="15"/>
          <w:b w:val="1"/>
          <w:bCs w:val="1"/>
          <w:color w:val="auto"/>
        </w:rPr>
        <w:t>”</w:t>
      </w:r>
      <w:r>
        <w:rPr>
          <w:rFonts w:ascii="Arial" w:cs="Arial" w:eastAsia="Arial" w:hAnsi="Arial"/>
          <w:sz w:val="15"/>
          <w:szCs w:val="15"/>
          <w:color w:val="auto"/>
        </w:rPr>
        <w:t>) for $200,000,000 aggregate principal amount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6.625% Senior Notes due December 15, 2020 registered under the Securities Act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and together with the Original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and (ii) the issuance by the Guarantors of guarantees (the “</w:t>
      </w: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 of the Company’s obligations with respect to the Exchange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Notes and the Guarantees will be issued under the indenture, dated as of December 16, 2010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U.S.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Capitalized terms used herein but not otherwise defined have the meanings ascribed to them in the Indenture.</w:t>
      </w:r>
    </w:p>
    <w:p>
      <w:pPr>
        <w:spacing w:after="0" w:line="188"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The Exchange Notes and the Guarantees will be issued in exchange for the Original Notes and the guarantees covering the Original Notes, on the terms set forth in the prospectus contained in the Registration Statement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and the letter of transmittal filed as Exhibit 99.1 to the Registration Statement.</w:t>
      </w:r>
    </w:p>
    <w:p>
      <w:pPr>
        <w:spacing w:after="0" w:line="6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Scotts Products Co., an Ohio corporation (“</w:t>
      </w:r>
      <w:r>
        <w:rPr>
          <w:rFonts w:ascii="Arial" w:cs="Arial" w:eastAsia="Arial" w:hAnsi="Arial"/>
          <w:sz w:val="18"/>
          <w:szCs w:val="18"/>
          <w:b w:val="1"/>
          <w:bCs w:val="1"/>
          <w:i w:val="1"/>
          <w:iCs w:val="1"/>
          <w:color w:val="auto"/>
        </w:rPr>
        <w:t>SPC</w:t>
      </w:r>
      <w:r>
        <w:rPr>
          <w:rFonts w:ascii="Arial" w:cs="Arial" w:eastAsia="Arial" w:hAnsi="Arial"/>
          <w:sz w:val="18"/>
          <w:szCs w:val="18"/>
          <w:color w:val="auto"/>
        </w:rPr>
        <w:t>”), Scotts Professional Products Co., an Ohio corporation (“</w:t>
      </w:r>
      <w:r>
        <w:rPr>
          <w:rFonts w:ascii="Arial" w:cs="Arial" w:eastAsia="Arial" w:hAnsi="Arial"/>
          <w:sz w:val="18"/>
          <w:szCs w:val="18"/>
          <w:b w:val="1"/>
          <w:bCs w:val="1"/>
          <w:i w:val="1"/>
          <w:iCs w:val="1"/>
          <w:color w:val="auto"/>
        </w:rPr>
        <w:t>SPPC</w:t>
      </w:r>
      <w:r>
        <w:rPr>
          <w:rFonts w:ascii="Arial" w:cs="Arial" w:eastAsia="Arial" w:hAnsi="Arial"/>
          <w:sz w:val="18"/>
          <w:szCs w:val="18"/>
          <w:color w:val="auto"/>
        </w:rPr>
        <w:t>”), SMG Growing Media, Inc., an Ohio corporation (“</w:t>
      </w:r>
      <w:r>
        <w:rPr>
          <w:rFonts w:ascii="Arial" w:cs="Arial" w:eastAsia="Arial" w:hAnsi="Arial"/>
          <w:sz w:val="18"/>
          <w:szCs w:val="18"/>
          <w:b w:val="1"/>
          <w:bCs w:val="1"/>
          <w:i w:val="1"/>
          <w:iCs w:val="1"/>
          <w:color w:val="auto"/>
        </w:rPr>
        <w:t>SMG Growing Media</w:t>
      </w:r>
      <w:r>
        <w:rPr>
          <w:rFonts w:ascii="Arial" w:cs="Arial" w:eastAsia="Arial" w:hAnsi="Arial"/>
          <w:sz w:val="18"/>
          <w:szCs w:val="18"/>
          <w:color w:val="auto"/>
        </w:rPr>
        <w:t>”), and The Scotts Company LLC, an Ohio limited liability company (“</w:t>
      </w:r>
      <w:r>
        <w:rPr>
          <w:rFonts w:ascii="Arial" w:cs="Arial" w:eastAsia="Arial" w:hAnsi="Arial"/>
          <w:sz w:val="18"/>
          <w:szCs w:val="18"/>
          <w:b w:val="1"/>
          <w:bCs w:val="1"/>
          <w:i w:val="1"/>
          <w:iCs w:val="1"/>
          <w:color w:val="auto"/>
        </w:rPr>
        <w:t>Scotts LLC</w:t>
      </w:r>
      <w:r>
        <w:rPr>
          <w:rFonts w:ascii="Arial" w:cs="Arial" w:eastAsia="Arial" w:hAnsi="Arial"/>
          <w:sz w:val="18"/>
          <w:szCs w:val="18"/>
          <w:color w:val="auto"/>
        </w:rPr>
        <w:t>”), are referred to herein as the “</w:t>
      </w:r>
      <w:r>
        <w:rPr>
          <w:rFonts w:ascii="Arial" w:cs="Arial" w:eastAsia="Arial" w:hAnsi="Arial"/>
          <w:sz w:val="18"/>
          <w:szCs w:val="18"/>
          <w:b w:val="1"/>
          <w:bCs w:val="1"/>
          <w:i w:val="1"/>
          <w:iCs w:val="1"/>
          <w:color w:val="auto"/>
        </w:rPr>
        <w:t>Covered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this letter, I have examined originals or certified copies of such corporate records of each of the Company and the Covered Guarantors and other certificates and documents of officials of each of the Company and the Covered Guarantors, public officials and others as I have deemed appropriate for purposes of this letter. I have assumed the genuineness of all signatures, the authenticity of all documents submitted to me as originals, and the conformity to authentic original documents of all copies submitted to me as conformed and certified or reproduced copies.</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14,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Based upon the foregoing and subject to the assumptions, exceptions, qualifications and limitations set forth herein, I am of the opinion that, as of the date hereof:</w:t>
      </w:r>
    </w:p>
    <w:p>
      <w:pPr>
        <w:spacing w:after="0" w:line="51" w:lineRule="exact"/>
        <w:rPr>
          <w:sz w:val="20"/>
          <w:szCs w:val="20"/>
          <w:color w:val="auto"/>
        </w:rPr>
      </w:pPr>
    </w:p>
    <w:p>
      <w:pPr>
        <w:ind w:left="900" w:right="240" w:hanging="446"/>
        <w:spacing w:after="0" w:line="25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of the Company, SPC, SPPC and SMG Growing Media has been duly incorporated and is validly existing as a corporation in good standing under the laws of the State of Ohio. Scotts LLC has been duly formed and is validly existing as a limited liability company in good standing under the laws of the State of Ohio.</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has the corporate power to enter into the Indenture and issue the Exchange Notes. Each of the Covered Guarantors has the corporate or other entity power to enter into the Indenture and make the Guarantees.</w:t>
      </w:r>
    </w:p>
    <w:p>
      <w:pPr>
        <w:spacing w:after="0" w:line="5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Indenture and the Exchange Notes have been duly and validly authorized by the Company; the Indenture and the Guarantees have been duly and validly authorized by each of the Covered Guarantors; and the Indenture has been duly and validly executed and delivered by the Company and each of the Covered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and other matters in this letter are qualified in their entirety and subject to the following:</w:t>
      </w:r>
    </w:p>
    <w:p>
      <w:pPr>
        <w:spacing w:after="0" w:line="90" w:lineRule="exact"/>
        <w:rPr>
          <w:sz w:val="20"/>
          <w:szCs w:val="20"/>
          <w:color w:val="auto"/>
        </w:rPr>
      </w:pPr>
    </w:p>
    <w:p>
      <w:pPr>
        <w:ind w:left="460" w:hanging="452"/>
        <w:spacing w:after="0" w:line="294"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This opinion is limited to the laws of the State of Ohio having effect on the date hereof. Accordingly, I express no opinion as to the laws of any other jurisdiction or as to any time after the date hereof. Various matters concerning the laws of the State of New York, the General Corporation Law and the Limited Liability Company Act of the State of Delaware, the Business Corporation Law of the State of Indiana, the General Corporation Law of the State of California and the Federal Laws of the United States of America are addressed in the opinion of Hunton &amp; Williams, LLP. I express no opinion with respect to those matters herein and, to the extent elements of those opinions are necessary to the conclusions expressed herein, I have assumed such matters.</w:t>
      </w:r>
    </w:p>
    <w:p>
      <w:pPr>
        <w:spacing w:after="0" w:line="34" w:lineRule="exact"/>
        <w:rPr>
          <w:rFonts w:ascii="Arial" w:cs="Arial" w:eastAsia="Arial" w:hAnsi="Arial"/>
          <w:sz w:val="16"/>
          <w:szCs w:val="16"/>
          <w:color w:val="auto"/>
        </w:rPr>
      </w:pPr>
    </w:p>
    <w:p>
      <w:pPr>
        <w:ind w:left="460" w:right="160" w:hanging="452"/>
        <w:spacing w:after="0" w:line="298"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This opinion and the matters addressed herein are as of the date hereof or such earlier date as is specified herein, and I undertake no, and hereby disclaim any, obligation to advise you of any change in any matter set forth herein, whether based on a change in the law, a change in any fact relating to the Company, any Covered Guarantor or any other Person, or any other circumstance. This opinion letter is limited to the matters expressly stated herein, and no opinions are to be inferred or may be implied beyond the opinions expressly set forth herein.</w:t>
      </w:r>
    </w:p>
    <w:p>
      <w:pPr>
        <w:sectPr>
          <w:pgSz w:w="11900" w:h="16838" w:orient="portrait"/>
          <w:cols w:equalWidth="0" w:num="1">
            <w:col w:w="11420"/>
          </w:cols>
          <w:pgMar w:left="240" w:top="28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14,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and to the use of my name in the Prospectus forming a part of the Registration Statement under the caption “Legal Matters”. In giving this consent, I do not thereby admit that I am within the category of persons whose consent is required under Section 7 of the Securities Act and the rules and regulations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Vincent C. Brockman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Vincent C. Brockman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General Counsel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380"/>
          </w:cols>
          <w:pgMar w:left="240" w:top="280" w:right="279" w:bottom="1440" w:gutter="0" w:footer="0" w:header="0"/>
        </w:sectPr>
      </w:pPr>
    </w:p>
    <w:bookmarkStart w:id="123" w:name="page124"/>
    <w:bookmarkEnd w:id="123"/>
    <w:tbl>
      <w:tblPr>
        <w:tblLayout w:type="fixed"/>
        <w:tblInd w:w="48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940" w:type="dxa"/>
            <w:vAlign w:val="bottom"/>
            <w:gridSpan w:val="2"/>
          </w:tcPr>
          <w:p>
            <w:pPr>
              <w:jc w:val="center"/>
              <w:ind w:right="2673"/>
              <w:spacing w:after="0"/>
              <w:rPr>
                <w:sz w:val="20"/>
                <w:szCs w:val="20"/>
                <w:color w:val="auto"/>
              </w:rPr>
            </w:pPr>
            <w:r>
              <w:rPr>
                <w:rFonts w:ascii="Arial" w:cs="Arial" w:eastAsia="Arial" w:hAnsi="Arial"/>
                <w:sz w:val="18"/>
                <w:szCs w:val="18"/>
                <w:b w:val="1"/>
                <w:bCs w:val="1"/>
                <w:color w:val="auto"/>
                <w:w w:val="96"/>
              </w:rPr>
              <w:t>SCHEDULE 1</w:t>
            </w:r>
          </w:p>
        </w:tc>
      </w:tr>
      <w:tr>
        <w:trPr>
          <w:trHeight w:val="353"/>
        </w:trPr>
        <w:tc>
          <w:tcPr>
            <w:tcW w:w="100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Jurisdiction of Organization</w:t>
            </w:r>
          </w:p>
        </w:tc>
      </w:tr>
      <w:tr>
        <w:trPr>
          <w:trHeight w:val="316"/>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EG Systems,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Indiana</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Gutwein &amp; Co.,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Indiana</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SMG Brands,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Hyponex Corporation</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Miracle-Gro Lawn Products,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OMS Investments,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Rod McLellan Company</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Sanford Scientific,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Scotts Manufacturing Company</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6"/>
              </w:rPr>
              <w:t>Scotts Products Co.</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Scotts Professional Products Co.</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Scotts-Sierra Investments,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Scotts Temecula Operations, LLC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SMG Growing Media,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Swiss Farms Products,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The Scotts Company LLC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65"/>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940" w:type="dxa"/>
            <w:vAlign w:val="bottom"/>
            <w:gridSpan w:val="2"/>
          </w:tcPr>
          <w:p>
            <w:pPr>
              <w:jc w:val="center"/>
              <w:ind w:right="2653"/>
              <w:spacing w:after="0"/>
              <w:rPr>
                <w:sz w:val="20"/>
                <w:szCs w:val="20"/>
                <w:color w:val="auto"/>
              </w:rPr>
            </w:pPr>
            <w:r>
              <w:rPr>
                <w:rFonts w:ascii="Arial" w:cs="Arial" w:eastAsia="Arial" w:hAnsi="Arial"/>
                <w:sz w:val="18"/>
                <w:szCs w:val="18"/>
                <w:color w:val="auto"/>
                <w:w w:val="86"/>
              </w:rPr>
              <w:t>Schedule 1-1</w:t>
            </w:r>
          </w:p>
        </w:tc>
      </w:tr>
    </w:tbl>
    <w:p>
      <w:pPr>
        <w:jc w:val="center"/>
        <w:ind w:right="2653"/>
        <w:spacing w:after="0"/>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5.2</w:t>
      </w:r>
    </w:p>
    <w:p>
      <w:pPr>
        <w:spacing w:after="0" w:line="2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Hunton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243330" cy="6089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43330" cy="608965"/>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2200 Pennsylvania Avenue, NW</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Washington, D.C. 20037-1701</w:t>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Tel 202 • 955 • 1500</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Fax 202 • 778 • 2201</w:t>
      </w:r>
    </w:p>
    <w:p>
      <w:pPr>
        <w:spacing w:after="0" w:line="2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File No: 54936.60028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The Scotts Miracle-Gro Company Registration Statement on Form S-4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special counsel to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and its subsidiaries listed on </w:t>
      </w:r>
      <w:r>
        <w:rPr>
          <w:rFonts w:ascii="Arial" w:cs="Arial" w:eastAsia="Arial" w:hAnsi="Arial"/>
          <w:sz w:val="16"/>
          <w:szCs w:val="16"/>
          <w:u w:val="single" w:color="auto"/>
          <w:color w:val="auto"/>
        </w:rPr>
        <w:t>Schedule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attached hereto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in connection with the registration pursuant to a registration statement on Form S-4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by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Guarantors of (i) the Company’s offer to exchange (such offer, as described in the Prospectus (as defined below), the “</w:t>
      </w:r>
      <w:r>
        <w:rPr>
          <w:rFonts w:ascii="Arial" w:cs="Arial" w:eastAsia="Arial" w:hAnsi="Arial"/>
          <w:sz w:val="15"/>
          <w:szCs w:val="15"/>
          <w:b w:val="1"/>
          <w:bCs w:val="1"/>
          <w:i w:val="1"/>
          <w:iCs w:val="1"/>
          <w:color w:val="auto"/>
        </w:rPr>
        <w:t>Exchange Offer</w:t>
      </w:r>
      <w:r>
        <w:rPr>
          <w:rFonts w:ascii="Arial" w:cs="Arial" w:eastAsia="Arial" w:hAnsi="Arial"/>
          <w:sz w:val="15"/>
          <w:szCs w:val="15"/>
          <w:color w:val="auto"/>
        </w:rPr>
        <w:t>”) all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outstanding $200,000,000 aggregate principal amount of the Company’s 6.625% Senior Notes due December 15, 2020 issued on December 16,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Notes</w:t>
      </w:r>
      <w:r>
        <w:rPr>
          <w:rFonts w:ascii="Arial" w:cs="Arial" w:eastAsia="Arial" w:hAnsi="Arial"/>
          <w:sz w:val="16"/>
          <w:szCs w:val="16"/>
          <w:b w:val="1"/>
          <w:bCs w:val="1"/>
          <w:color w:val="auto"/>
        </w:rPr>
        <w:t>”)</w:t>
      </w:r>
      <w:r>
        <w:rPr>
          <w:rFonts w:ascii="Arial" w:cs="Arial" w:eastAsia="Arial" w:hAnsi="Arial"/>
          <w:sz w:val="16"/>
          <w:szCs w:val="16"/>
          <w:color w:val="auto"/>
        </w:rPr>
        <w:t xml:space="preserve"> for $200,000,000 aggregate principal amount of the Company’s 6.625% Senior Notes December 15, 2020 registered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Exchange Notes</w:t>
      </w:r>
      <w:r>
        <w:rPr>
          <w:rFonts w:ascii="Arial" w:cs="Arial" w:eastAsia="Arial" w:hAnsi="Arial"/>
          <w:sz w:val="16"/>
          <w:szCs w:val="16"/>
          <w:color w:val="auto"/>
        </w:rPr>
        <w:t>” and together with the Original Notes,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and (ii) the issuance by the Guarantors of guarantees (the “</w:t>
      </w: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Company’s obligations with respect to the Exchange Notes. The Exchange Notes and the Guarantees will be issued under the indenture, dated as of December 16,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2010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U.S. Bank National Association,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This opinion is being furnished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requirements of Item 601(b)(5) of Regulation S-K under the Securities Act, and no opinion is expressed herein as to any matter pertaining to the contents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Registration Statement or the Prospectus (as defined below), other than the enforceability of the Exchange Notes and the Guarantees. Capitalized terms used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herein but not otherwise defined have the meanings ascribed to them in the Indenture.</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Exchange Notes and the Guarantees will be issued in exchange for the Original Notes and the guarantees covering the Original Notes, on the terms set forth in the prospectus contained in the Registration Statement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letter of transmittal filed as Exhibit 99.1 to the Registration Statement. The Indenture and the Exchange Notes are referred to herein collectively as the “</w:t>
      </w:r>
      <w:r>
        <w:rPr>
          <w:rFonts w:ascii="Arial" w:cs="Arial" w:eastAsia="Arial" w:hAnsi="Arial"/>
          <w:sz w:val="16"/>
          <w:szCs w:val="16"/>
          <w:b w:val="1"/>
          <w:bCs w:val="1"/>
          <w:i w:val="1"/>
          <w:iCs w:val="1"/>
          <w:color w:val="auto"/>
        </w:rPr>
        <w:t>Operative Documents</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969010" cy="454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969010" cy="454660"/>
                    </a:xfrm>
                    <a:prstGeom prst="rect">
                      <a:avLst/>
                    </a:prstGeom>
                    <a:noFill/>
                  </pic:spPr>
                </pic:pic>
              </a:graphicData>
            </a:graphic>
          </wp:anchor>
        </w:drawing>
        <w:t>December 14,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EG Systems, Inc., an Indiana corporation, Gutwein &amp; Co., Inc., an Indiana corporation, SMG Brands, Inc., a Delaware corporation, Hyponex Corporation, a Delaware corporation, Miracle-Gro Lawn Products, Inc., a New York corporation, OMS Investments, Inc., a Delaware corporation, Rod McLellan Company, a California corporation, Sanford Scientific, Inc., a New York corporation, Scotts Manufacturing Company, a Delaware corporation, Scotts-Sierra Investments, Inc., a Delaware corporation, Scotts Temecula Operations, LLC, a Delaware limited liability company, and Swiss Farms Products, Inc., a Delaware corporation, are referred to herein as the “</w:t>
      </w:r>
      <w:r>
        <w:rPr>
          <w:rFonts w:ascii="Arial" w:cs="Arial" w:eastAsia="Arial" w:hAnsi="Arial"/>
          <w:sz w:val="18"/>
          <w:szCs w:val="18"/>
          <w:b w:val="1"/>
          <w:bCs w:val="1"/>
          <w:i w:val="1"/>
          <w:iCs w:val="1"/>
          <w:color w:val="auto"/>
        </w:rPr>
        <w:t>Covered Guarantors</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this letter, we have examined originals or certified copies of such corporate records of each of the Company and the Covered Guarantors and other certificates and documents of officials of each of the Company and the Covered Guarantors, public officials and others as we have deemed appropriate for purposes of this letter. We have assumed the genuineness of all signatures, the authenticity of all documents submitted to us as originals, the conformity to authentic original documents of all copies submitted to us as conformed and certified or reproduced copies.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upon the foregoing and subject to the assumptions, exceptions, qualifications and limitations set forth herein, we are of the opinion that, as of the date hereof:</w:t>
      </w:r>
    </w:p>
    <w:p>
      <w:pPr>
        <w:spacing w:after="0" w:line="51" w:lineRule="exact"/>
        <w:rPr>
          <w:sz w:val="20"/>
          <w:szCs w:val="20"/>
          <w:color w:val="auto"/>
        </w:rPr>
      </w:pPr>
    </w:p>
    <w:p>
      <w:pPr>
        <w:ind w:left="900" w:right="160" w:hanging="446"/>
        <w:spacing w:after="0" w:line="256"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When the Exchange Notes have been duly executed, issued, authenticated and delivered by or on behalf of the Company against the due tender and delivery of an equal principal amount of the Original Notes in the manner contemplated by the Registration Statement and in accordance with the terms of the Indenture, the Exchange Notes will be legally valid and binding obligations of the Company, enforceable against the Company in accordance with their terms.</w:t>
      </w:r>
    </w:p>
    <w:p>
      <w:pPr>
        <w:spacing w:after="0" w:line="62" w:lineRule="exact"/>
        <w:rPr>
          <w:rFonts w:ascii="Arial" w:cs="Arial" w:eastAsia="Arial" w:hAnsi="Arial"/>
          <w:sz w:val="18"/>
          <w:szCs w:val="18"/>
          <w:color w:val="auto"/>
        </w:rPr>
      </w:pPr>
    </w:p>
    <w:p>
      <w:pPr>
        <w:ind w:left="900" w:right="140" w:hanging="446"/>
        <w:spacing w:after="0" w:line="323" w:lineRule="auto"/>
        <w:tabs>
          <w:tab w:leader="none" w:pos="9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Guarantees have been duly authorized by all necessary corporate action of the Covered Guarantors and, when the Exchange Notes have been duly executed, issued, authenticated and delivered by or on behalf of the Company against the due tender and delivery of an equal principal amount of the Original Notes in the manner contemplated by the Registration Statement and in accordance with the terms of the Indenture, the Guarantees will be legally valid and binding obligations of the Guarantors, enforceable against each of them in accordance with their respective terms.</w:t>
      </w:r>
    </w:p>
    <w:p>
      <w:pPr>
        <w:sectPr>
          <w:pgSz w:w="11900" w:h="16838" w:orient="portrait"/>
          <w:cols w:equalWidth="0" w:num="1">
            <w:col w:w="11420"/>
          </w:cols>
          <w:pgMar w:left="240" w:top="1157"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969010" cy="454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969010" cy="454660"/>
                    </a:xfrm>
                    <a:prstGeom prst="rect">
                      <a:avLst/>
                    </a:prstGeom>
                    <a:noFill/>
                  </pic:spPr>
                </pic:pic>
              </a:graphicData>
            </a:graphic>
          </wp:anchor>
        </w:drawing>
        <w:t>December 14,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and other matters in this letter are qualified in their entirety and subject to the following:</w:t>
      </w:r>
    </w:p>
    <w:p>
      <w:pPr>
        <w:spacing w:after="0" w:line="90" w:lineRule="exact"/>
        <w:rPr>
          <w:sz w:val="20"/>
          <w:szCs w:val="20"/>
          <w:color w:val="auto"/>
        </w:rPr>
      </w:pPr>
    </w:p>
    <w:p>
      <w:pPr>
        <w:ind w:left="460" w:hanging="452"/>
        <w:spacing w:after="0" w:line="254"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express no opinion as to the laws of any jurisdiction other than any published constitutions, treaties, laws, rules or regulations or judicial or administrative decisions (“</w:t>
      </w:r>
      <w:r>
        <w:rPr>
          <w:rFonts w:ascii="Arial" w:cs="Arial" w:eastAsia="Arial" w:hAnsi="Arial"/>
          <w:sz w:val="18"/>
          <w:szCs w:val="18"/>
          <w:b w:val="1"/>
          <w:bCs w:val="1"/>
          <w:i w:val="1"/>
          <w:iCs w:val="1"/>
          <w:color w:val="auto"/>
        </w:rPr>
        <w:t>Laws</w:t>
      </w:r>
      <w:r>
        <w:rPr>
          <w:rFonts w:ascii="Arial" w:cs="Arial" w:eastAsia="Arial" w:hAnsi="Arial"/>
          <w:sz w:val="18"/>
          <w:szCs w:val="18"/>
          <w:color w:val="auto"/>
        </w:rPr>
        <w:t>”) of the State of New York, the General Corporation Law and the Limited Liability Company Act of the State of Delaware, the Business Corporation Law of the State of Indiana, the General Corporation Law of the State of California and the Federal Laws of the United States of America. Various matters concerning the Laws of Ohio are addressed in the opinion of the General Counsel of the Company. We express no opinion with respect to those matters herein and, to the extent elements of those opinions are necessary to the conclusions expressed herein, we have assumed such matters.</w:t>
      </w:r>
    </w:p>
    <w:p>
      <w:pPr>
        <w:spacing w:after="0" w:line="63" w:lineRule="exact"/>
        <w:rPr>
          <w:rFonts w:ascii="Arial" w:cs="Arial" w:eastAsia="Arial" w:hAnsi="Arial"/>
          <w:sz w:val="18"/>
          <w:szCs w:val="18"/>
          <w:color w:val="auto"/>
        </w:rPr>
      </w:pPr>
    </w:p>
    <w:p>
      <w:pPr>
        <w:ind w:left="460" w:right="40" w:hanging="452"/>
        <w:spacing w:after="0" w:line="282" w:lineRule="auto"/>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opinions in paragraphs 1 and 2 relating to the enforceability of the Exchange Notes and the Guarantees are subject to the following exceptions, limitations and qualifications: (i) the effect of bankruptcy, insolvency, reorganization, fraudulent transfer, moratorium or other similar law relating to or affecting the rights and remedies of creditors, or the judicial application of foreign Laws or governmental actions affecting creditors rights; (ii) the effect of general principles of equity, whether enforcement is considered in a proceeding in equity or law (including the possible unavailability of specific performance or injunctive relief), concepts of materiality, reasonableness, good faith and fair dealing,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and (iv) we express no opinion concerning the enforceability of: (a) the waiver of rights or defenses contained in Section 6.15 of the Indenture; (b) any provision requiring the payment of attorneys’ fees, where such payment is contrary to law or public policy; (c) any provision permitting upon, acceleration of the Exchange Notes, collection of that portion of the stated principal amount thereof which might be determined to constitute unearned interest thereon; or</w:t>
      </w:r>
    </w:p>
    <w:p>
      <w:pPr>
        <w:spacing w:after="0" w:line="5" w:lineRule="exact"/>
        <w:rPr>
          <w:rFonts w:ascii="Arial" w:cs="Arial" w:eastAsia="Arial" w:hAnsi="Arial"/>
          <w:sz w:val="16"/>
          <w:szCs w:val="16"/>
          <w:color w:val="auto"/>
        </w:rPr>
      </w:pPr>
    </w:p>
    <w:p>
      <w:pPr>
        <w:ind w:left="460" w:right="300"/>
        <w:spacing w:after="0" w:line="261" w:lineRule="auto"/>
        <w:rPr>
          <w:rFonts w:ascii="Arial" w:cs="Arial" w:eastAsia="Arial" w:hAnsi="Arial"/>
          <w:sz w:val="16"/>
          <w:szCs w:val="16"/>
          <w:color w:val="auto"/>
        </w:rPr>
      </w:pPr>
      <w:r>
        <w:rPr>
          <w:rFonts w:ascii="Arial" w:cs="Arial" w:eastAsia="Arial" w:hAnsi="Arial"/>
          <w:sz w:val="18"/>
          <w:szCs w:val="18"/>
          <w:color w:val="auto"/>
        </w:rPr>
        <w:t>(d) any provision to the extent it requires any party to indemnify any other person against loss in obtaining the currency due following a court judgment rendered in another currency.</w:t>
      </w:r>
    </w:p>
    <w:p>
      <w:pPr>
        <w:sectPr>
          <w:pgSz w:w="11900" w:h="16838" w:orient="portrait"/>
          <w:cols w:equalWidth="0" w:num="1">
            <w:col w:w="11400"/>
          </w:cols>
          <w:pgMar w:left="240" w:top="1158"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969010" cy="4546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969010" cy="454660"/>
                    </a:xfrm>
                    <a:prstGeom prst="rect">
                      <a:avLst/>
                    </a:prstGeom>
                    <a:noFill/>
                  </pic:spPr>
                </pic:pic>
              </a:graphicData>
            </a:graphic>
          </wp:anchor>
        </w:drawing>
        <w:t>December 14,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460" w:hanging="452"/>
        <w:spacing w:after="0" w:line="302" w:lineRule="auto"/>
        <w:tabs>
          <w:tab w:leader="none" w:pos="4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With your consent, we have assumed: (i) that the Operative Documents have been duly authorized, executed and delivered, as applicable, by the Company and the Guarantors (other than the Covered Guarantors) under the Laws of their respective jurisdictions of organization; (ii) that the Indenture has been duly authorized, executed and delivered by, and constitutes a legally valid and binding obligation of, the Trustee, enforceable against it in accordance with its terms; and (iii) that the status of the Operative Documents as legally valid and binding obligations of the respective parties thereto is not affected by any:</w:t>
      </w:r>
    </w:p>
    <w:p>
      <w:pPr>
        <w:spacing w:after="0" w:line="2" w:lineRule="exact"/>
        <w:rPr>
          <w:rFonts w:ascii="Arial" w:cs="Arial" w:eastAsia="Arial" w:hAnsi="Arial"/>
          <w:sz w:val="15"/>
          <w:szCs w:val="15"/>
          <w:color w:val="auto"/>
        </w:rPr>
      </w:pPr>
    </w:p>
    <w:p>
      <w:pPr>
        <w:ind w:left="460" w:right="100"/>
        <w:spacing w:after="0" w:line="323" w:lineRule="auto"/>
        <w:rPr>
          <w:rFonts w:ascii="Arial" w:cs="Arial" w:eastAsia="Arial" w:hAnsi="Arial"/>
          <w:sz w:val="15"/>
          <w:szCs w:val="15"/>
          <w:color w:val="auto"/>
        </w:rPr>
      </w:pPr>
      <w:r>
        <w:rPr>
          <w:rFonts w:ascii="Arial" w:cs="Arial" w:eastAsia="Arial" w:hAnsi="Arial"/>
          <w:sz w:val="16"/>
          <w:szCs w:val="16"/>
          <w:color w:val="auto"/>
        </w:rPr>
        <w:t>(a) breaches of, or defaults under, agreements or instruments; (b) violations of statutes, rules, regulations or court or governmental orders; or (c) failures to obtain required consents, approvals or authorizations from, or make required registrations, declarations or filings with, governmental authorities.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forming a part of the Registration Statement under the caption “Legal Matters”. In giving this consent, we do not thereby admit that we are within the category of persons whose consent is required under Section 7 of the Securities Act and the rules and regulations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HUNTON &amp; WILLIAMS LLP</w:t>
      </w:r>
    </w:p>
    <w:p>
      <w:pPr>
        <w:sectPr>
          <w:pgSz w:w="11900" w:h="16838" w:orient="portrait"/>
          <w:cols w:equalWidth="0" w:num="1">
            <w:col w:w="11400"/>
          </w:cols>
          <w:pgMar w:left="240" w:top="1158" w:right="259" w:bottom="1440" w:gutter="0" w:footer="0" w:header="0"/>
        </w:sectPr>
      </w:pPr>
    </w:p>
    <w:bookmarkStart w:id="128" w:name="page129"/>
    <w:bookmarkEnd w:id="128"/>
    <w:tbl>
      <w:tblPr>
        <w:tblLayout w:type="fixed"/>
        <w:tblInd w:w="48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940" w:type="dxa"/>
            <w:vAlign w:val="bottom"/>
            <w:gridSpan w:val="2"/>
          </w:tcPr>
          <w:p>
            <w:pPr>
              <w:jc w:val="center"/>
              <w:ind w:right="2673"/>
              <w:spacing w:after="0"/>
              <w:rPr>
                <w:sz w:val="20"/>
                <w:szCs w:val="20"/>
                <w:color w:val="auto"/>
              </w:rPr>
            </w:pPr>
            <w:r>
              <w:rPr>
                <w:rFonts w:ascii="Arial" w:cs="Arial" w:eastAsia="Arial" w:hAnsi="Arial"/>
                <w:sz w:val="18"/>
                <w:szCs w:val="18"/>
                <w:b w:val="1"/>
                <w:bCs w:val="1"/>
                <w:color w:val="auto"/>
                <w:w w:val="96"/>
              </w:rPr>
              <w:t>SCHEDULE 1</w:t>
            </w:r>
          </w:p>
        </w:tc>
      </w:tr>
      <w:tr>
        <w:trPr>
          <w:trHeight w:val="353"/>
        </w:trPr>
        <w:tc>
          <w:tcPr>
            <w:tcW w:w="100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Jurisdiction of Organization</w:t>
            </w:r>
          </w:p>
        </w:tc>
      </w:tr>
      <w:tr>
        <w:trPr>
          <w:trHeight w:val="316"/>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EG Systems,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Indiana</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Gutwein &amp; Co.,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Indiana</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SMG Brands,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Hyponex Corporation</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Miracle-Gro Lawn Products,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OMS Investments,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Rod McLellan Company</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Sanford Scientific,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Scotts Manufacturing Company</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6"/>
              </w:rPr>
              <w:t>Scotts Products Co.</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Scotts Professional Products Co.</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Scotts-Sierra Investments,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Scotts Temecula Operations, LLC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SMG Growing Media,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24"/>
        </w:trPr>
        <w:tc>
          <w:tcPr>
            <w:tcW w:w="294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Swiss Farms Products, Inc.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294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The Scotts Company LLC</w:t>
            </w:r>
          </w:p>
        </w:tc>
        <w:tc>
          <w:tcPr>
            <w:tcW w:w="3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365"/>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940" w:type="dxa"/>
            <w:vAlign w:val="bottom"/>
            <w:gridSpan w:val="2"/>
          </w:tcPr>
          <w:p>
            <w:pPr>
              <w:jc w:val="center"/>
              <w:ind w:right="2653"/>
              <w:spacing w:after="0"/>
              <w:rPr>
                <w:sz w:val="20"/>
                <w:szCs w:val="20"/>
                <w:color w:val="auto"/>
              </w:rPr>
            </w:pPr>
            <w:r>
              <w:rPr>
                <w:rFonts w:ascii="Arial" w:cs="Arial" w:eastAsia="Arial" w:hAnsi="Arial"/>
                <w:sz w:val="18"/>
                <w:szCs w:val="18"/>
                <w:color w:val="auto"/>
                <w:w w:val="86"/>
              </w:rPr>
              <w:t>Schedule 1-1</w:t>
            </w:r>
          </w:p>
        </w:tc>
      </w:tr>
    </w:tbl>
    <w:p>
      <w:pPr>
        <w:jc w:val="center"/>
        <w:ind w:right="2653"/>
        <w:spacing w:after="0"/>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November 23, 2011 relating to the consolidated financial statements and consolidated financial statement schedules of The Scotts Miracle-Gro Company and subsidiaries (the “Company”) and the effectiveness of the Company’s internal control over financial reporting, appearing in the Annual Report on Form 10-K of the Company for the year ended September 30, 2011 and to the reference to us under the heading “Experts” in the Prospectus, which is part of this registration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2011</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hanging="452"/>
        <w:spacing w:after="0"/>
        <w:tabs>
          <w:tab w:leader="none" w:pos="460" w:val="left"/>
        </w:tabs>
        <w:numPr>
          <w:ilvl w:val="0"/>
          <w:numId w:val="133"/>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1"/>
              </w:rPr>
              <w:t>800 Nicollet Mall</w:t>
            </w:r>
          </w:p>
        </w:tc>
        <w:tc>
          <w:tcPr>
            <w:tcW w:w="3640" w:type="dxa"/>
            <w:vAlign w:val="bottom"/>
          </w:tcPr>
          <w:p>
            <w:pPr>
              <w:spacing w:after="0"/>
              <w:rPr>
                <w:sz w:val="18"/>
                <w:szCs w:val="18"/>
                <w:color w:val="auto"/>
              </w:rPr>
            </w:pPr>
          </w:p>
        </w:tc>
      </w:tr>
      <w:tr>
        <w:trPr>
          <w:trHeight w:val="231"/>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Minneapolis, Minnesota</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452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Scott Miller</w:t>
            </w:r>
          </w:p>
        </w:tc>
        <w:tc>
          <w:tcPr>
            <w:tcW w:w="36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U.S. Bank National Association</w:t>
            </w:r>
          </w:p>
        </w:tc>
        <w:tc>
          <w:tcPr>
            <w:tcW w:w="3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10 West Broad Street</w:t>
            </w:r>
          </w:p>
        </w:tc>
        <w:tc>
          <w:tcPr>
            <w:tcW w:w="3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Columbus, OH 43215</w:t>
            </w:r>
          </w:p>
        </w:tc>
        <w:tc>
          <w:tcPr>
            <w:tcW w:w="3640" w:type="dxa"/>
            <w:vAlign w:val="bottom"/>
          </w:tcPr>
          <w:p>
            <w:pPr>
              <w:spacing w:after="0"/>
              <w:rPr>
                <w:sz w:val="18"/>
                <w:szCs w:val="18"/>
                <w:color w:val="auto"/>
              </w:rPr>
            </w:pPr>
          </w:p>
        </w:tc>
      </w:tr>
      <w:tr>
        <w:trPr>
          <w:trHeight w:val="218"/>
        </w:trPr>
        <w:tc>
          <w:tcPr>
            <w:tcW w:w="6900" w:type="dxa"/>
            <w:vAlign w:val="bottom"/>
            <w:gridSpan w:val="2"/>
          </w:tcPr>
          <w:p>
            <w:pPr>
              <w:jc w:val="center"/>
              <w:ind w:left="4440"/>
              <w:spacing w:after="0"/>
              <w:rPr>
                <w:sz w:val="20"/>
                <w:szCs w:val="20"/>
                <w:color w:val="auto"/>
              </w:rPr>
            </w:pPr>
            <w:r>
              <w:rPr>
                <w:rFonts w:ascii="Arial" w:cs="Arial" w:eastAsia="Arial" w:hAnsi="Arial"/>
                <w:sz w:val="18"/>
                <w:szCs w:val="18"/>
                <w:b w:val="1"/>
                <w:bCs w:val="1"/>
                <w:color w:val="auto"/>
                <w:w w:val="89"/>
              </w:rPr>
              <w:t>(614) 849-3402</w:t>
            </w:r>
          </w:p>
        </w:tc>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74"/>
        </w:trPr>
        <w:tc>
          <w:tcPr>
            <w:tcW w:w="7780" w:type="dxa"/>
            <w:vAlign w:val="bottom"/>
            <w:gridSpan w:val="3"/>
          </w:tcPr>
          <w:p>
            <w:pPr>
              <w:jc w:val="center"/>
              <w:ind w:left="3580"/>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278"/>
        </w:trPr>
        <w:tc>
          <w:tcPr>
            <w:tcW w:w="7780" w:type="dxa"/>
            <w:vAlign w:val="bottom"/>
            <w:gridSpan w:val="3"/>
          </w:tcPr>
          <w:p>
            <w:pPr>
              <w:jc w:val="center"/>
              <w:ind w:left="3560"/>
              <w:spacing w:after="0"/>
              <w:rPr>
                <w:sz w:val="20"/>
                <w:szCs w:val="20"/>
                <w:color w:val="auto"/>
              </w:rPr>
            </w:pPr>
            <w:r>
              <w:rPr>
                <w:rFonts w:ascii="Arial" w:cs="Arial" w:eastAsia="Arial" w:hAnsi="Arial"/>
                <w:sz w:val="18"/>
                <w:szCs w:val="18"/>
                <w:b w:val="1"/>
                <w:bCs w:val="1"/>
                <w:color w:val="auto"/>
                <w:w w:val="89"/>
              </w:rPr>
              <w:t>The Scotts Miracle-Gro Company</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305"/>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7"/>
              </w:rPr>
              <w:t>Ohio</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31-1414921</w:t>
            </w:r>
          </w:p>
        </w:tc>
      </w:tr>
      <w:tr>
        <w:trPr>
          <w:trHeight w:val="149"/>
        </w:trPr>
        <w:tc>
          <w:tcPr>
            <w:tcW w:w="778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8"/>
              </w:rPr>
              <w:t>incorporation or organization)</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5"/>
              </w:rPr>
              <w:t>14111 Scottslawn Road</w:t>
            </w:r>
          </w:p>
        </w:tc>
        <w:tc>
          <w:tcPr>
            <w:tcW w:w="3640" w:type="dxa"/>
            <w:vAlign w:val="bottom"/>
          </w:tcPr>
          <w:p>
            <w:pPr>
              <w:spacing w:after="0"/>
              <w:rPr>
                <w:sz w:val="24"/>
                <w:szCs w:val="24"/>
                <w:color w:val="auto"/>
              </w:rPr>
            </w:pPr>
          </w:p>
        </w:tc>
      </w:tr>
      <w:tr>
        <w:trPr>
          <w:trHeight w:val="231"/>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1"/>
              </w:rPr>
              <w:t>Marysville, Ohio</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43041</w:t>
            </w:r>
          </w:p>
        </w:tc>
      </w:tr>
      <w:tr>
        <w:trPr>
          <w:trHeight w:val="174"/>
        </w:trPr>
        <w:tc>
          <w:tcPr>
            <w:tcW w:w="77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7780" w:type="dxa"/>
            <w:vAlign w:val="bottom"/>
            <w:gridSpan w:val="3"/>
          </w:tcPr>
          <w:p>
            <w:pPr>
              <w:jc w:val="center"/>
              <w:ind w:left="3560"/>
              <w:spacing w:after="0"/>
              <w:rPr>
                <w:sz w:val="20"/>
                <w:szCs w:val="20"/>
                <w:color w:val="auto"/>
              </w:rPr>
            </w:pPr>
            <w:r>
              <w:rPr>
                <w:rFonts w:ascii="Arial" w:cs="Arial" w:eastAsia="Arial" w:hAnsi="Arial"/>
                <w:sz w:val="18"/>
                <w:szCs w:val="18"/>
                <w:b w:val="1"/>
                <w:bCs w:val="1"/>
                <w:color w:val="auto"/>
                <w:w w:val="87"/>
              </w:rPr>
              <w:t>See Table of Additional Obligors Below</w:t>
            </w:r>
          </w:p>
        </w:tc>
        <w:tc>
          <w:tcPr>
            <w:tcW w:w="3640" w:type="dxa"/>
            <w:vAlign w:val="bottom"/>
          </w:tcPr>
          <w:p>
            <w:pPr>
              <w:spacing w:after="0"/>
              <w:rPr>
                <w:sz w:val="24"/>
                <w:szCs w:val="24"/>
                <w:color w:val="auto"/>
              </w:rPr>
            </w:pPr>
          </w:p>
        </w:tc>
      </w:tr>
      <w:tr>
        <w:trPr>
          <w:trHeight w:val="178"/>
        </w:trPr>
        <w:tc>
          <w:tcPr>
            <w:tcW w:w="45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78"/>
        </w:trPr>
        <w:tc>
          <w:tcPr>
            <w:tcW w:w="452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6.625% Senior Notes Due 2020</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(Title of the Indenture Securities)</w:t>
            </w:r>
          </w:p>
        </w:tc>
        <w:tc>
          <w:tcPr>
            <w:tcW w:w="3640" w:type="dxa"/>
            <w:vAlign w:val="bottom"/>
          </w:tcPr>
          <w:p>
            <w:pPr>
              <w:spacing w:after="0"/>
              <w:rPr>
                <w:sz w:val="15"/>
                <w:szCs w:val="15"/>
                <w:color w:val="auto"/>
              </w:rPr>
            </w:pPr>
          </w:p>
        </w:tc>
      </w:tr>
      <w:tr>
        <w:trPr>
          <w:trHeight w:val="149"/>
        </w:trPr>
        <w:tc>
          <w:tcPr>
            <w:tcW w:w="4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25" w:right="239" w:bottom="1440" w:gutter="0" w:footer="0" w:header="0"/>
        </w:sectPr>
      </w:pPr>
    </w:p>
    <w:bookmarkStart w:id="131" w:name="page132"/>
    <w:bookmarkEnd w:id="131"/>
    <w:p>
      <w:pPr>
        <w:jc w:val="center"/>
        <w:ind w:right="-3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ADDITIONAL OBLIGORS</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8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55"/>
        </w:trPr>
        <w:tc>
          <w:tcPr>
            <w:tcW w:w="3840" w:type="dxa"/>
            <w:vAlign w:val="bottom"/>
            <w:gridSpan w:val="2"/>
            <w:vMerge w:val="continue"/>
          </w:tcPr>
          <w:p>
            <w:pPr>
              <w:spacing w:after="0"/>
              <w:rPr>
                <w:sz w:val="13"/>
                <w:szCs w:val="13"/>
                <w:color w:val="auto"/>
              </w:rPr>
            </w:pPr>
          </w:p>
        </w:tc>
        <w:tc>
          <w:tcPr>
            <w:tcW w:w="2940" w:type="dxa"/>
            <w:vAlign w:val="bottom"/>
            <w:gridSpan w:val="2"/>
          </w:tcPr>
          <w:p>
            <w:pPr>
              <w:jc w:val="center"/>
              <w:ind w:left="1192"/>
              <w:spacing w:after="0" w:line="148" w:lineRule="exact"/>
              <w:rPr>
                <w:sz w:val="20"/>
                <w:szCs w:val="20"/>
                <w:color w:val="auto"/>
              </w:rPr>
            </w:pPr>
            <w:r>
              <w:rPr>
                <w:rFonts w:ascii="Arial" w:cs="Arial" w:eastAsia="Arial" w:hAnsi="Arial"/>
                <w:sz w:val="14"/>
                <w:szCs w:val="14"/>
                <w:b w:val="1"/>
                <w:bCs w:val="1"/>
                <w:color w:val="auto"/>
                <w:w w:val="88"/>
              </w:rPr>
              <w:t>Jurisdiction of Incorporation</w:t>
            </w:r>
          </w:p>
        </w:tc>
        <w:tc>
          <w:tcPr>
            <w:tcW w:w="1900" w:type="dxa"/>
            <w:vAlign w:val="bottom"/>
            <w:gridSpan w:val="2"/>
          </w:tcPr>
          <w:p>
            <w:pPr>
              <w:jc w:val="center"/>
              <w:ind w:left="773"/>
              <w:spacing w:after="0" w:line="148" w:lineRule="exact"/>
              <w:rPr>
                <w:sz w:val="20"/>
                <w:szCs w:val="20"/>
                <w:color w:val="auto"/>
              </w:rPr>
            </w:pPr>
            <w:r>
              <w:rPr>
                <w:rFonts w:ascii="Arial" w:cs="Arial" w:eastAsia="Arial" w:hAnsi="Arial"/>
                <w:sz w:val="14"/>
                <w:szCs w:val="14"/>
                <w:b w:val="1"/>
                <w:bCs w:val="1"/>
                <w:color w:val="auto"/>
                <w:w w:val="88"/>
              </w:rPr>
              <w:t>Identification No.</w:t>
            </w:r>
          </w:p>
        </w:tc>
        <w:tc>
          <w:tcPr>
            <w:tcW w:w="0" w:type="dxa"/>
            <w:vAlign w:val="bottom"/>
          </w:tcPr>
          <w:p>
            <w:pPr>
              <w:spacing w:after="0"/>
              <w:rPr>
                <w:sz w:val="1"/>
                <w:szCs w:val="1"/>
                <w:color w:val="auto"/>
              </w:rPr>
            </w:pPr>
          </w:p>
        </w:tc>
      </w:tr>
      <w:tr>
        <w:trPr>
          <w:trHeight w:val="309"/>
        </w:trPr>
        <w:tc>
          <w:tcPr>
            <w:tcW w:w="3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EG Systems, Inc.(1)</w:t>
            </w:r>
          </w:p>
        </w:tc>
        <w:tc>
          <w:tcPr>
            <w:tcW w:w="126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Indiana</w:t>
            </w:r>
          </w:p>
        </w:tc>
        <w:tc>
          <w:tcPr>
            <w:tcW w:w="88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35-1937875</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Gutwein &amp; Co., Inc.(1)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Indiana</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35-0864689</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SMG Brands, Inc. (2)</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20-2964892</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Hyponex Corporation(1)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31-1254519</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Miracle-Gro Lawn Products, Inc.(1)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11-3186421</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OMS Investments, Inc.(3)</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51-0357374</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Rod McLellan Company(1)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94-1439564</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Sanford Scientific, Inc.(1)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16-1279959</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Scotts Manufacturing Company(1)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42-1508875</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Scotts Products Co.(1)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Ohio</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31-1269080</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Scotts Professional Products Co.(1)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Ohio</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31-1269066</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Scotts-Sierra Investments, Inc.(2)</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51-0371209</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Scotts Temecula Operations, LLC(1)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33-0978312</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SMG Growing Media, Inc.(1)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Ohio</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20-3544126</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The Scotts Company, LLC(1)</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Ohio</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31-1414921</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Swiss Farms Products, Inc.(2)</w:t>
            </w:r>
          </w:p>
        </w:tc>
        <w:tc>
          <w:tcPr>
            <w:tcW w:w="1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900" w:type="dxa"/>
            <w:vAlign w:val="bottom"/>
            <w:gridSpan w:val="2"/>
          </w:tcPr>
          <w:p>
            <w:pPr>
              <w:jc w:val="center"/>
              <w:ind w:left="773"/>
              <w:spacing w:after="0"/>
              <w:rPr>
                <w:sz w:val="20"/>
                <w:szCs w:val="20"/>
                <w:color w:val="auto"/>
              </w:rPr>
            </w:pPr>
            <w:r>
              <w:rPr>
                <w:rFonts w:ascii="Arial" w:cs="Arial" w:eastAsia="Arial" w:hAnsi="Arial"/>
                <w:sz w:val="18"/>
                <w:szCs w:val="18"/>
                <w:color w:val="auto"/>
                <w:w w:val="87"/>
              </w:rPr>
              <w:t>88-0407223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52" w:hanging="452"/>
        <w:spacing w:after="0" w:line="254" w:lineRule="auto"/>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ind w:left="452" w:hanging="452"/>
        <w:spacing w:after="0"/>
        <w:tabs>
          <w:tab w:leader="none" w:pos="45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address, including zip code, of the principal executive offices for this additional obligor is 1105 North Market Street Wilmington, Delaware 19899.</w:t>
      </w:r>
    </w:p>
    <w:p>
      <w:pPr>
        <w:spacing w:after="0" w:line="32" w:lineRule="exact"/>
        <w:rPr>
          <w:rFonts w:ascii="Arial" w:cs="Arial" w:eastAsia="Arial" w:hAnsi="Arial"/>
          <w:sz w:val="16"/>
          <w:szCs w:val="16"/>
          <w:color w:val="auto"/>
        </w:rPr>
      </w:pPr>
    </w:p>
    <w:p>
      <w:pPr>
        <w:ind w:left="452" w:right="280" w:hanging="452"/>
        <w:spacing w:after="0" w:line="250" w:lineRule="auto"/>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Place, Suite 2800, Los Angeles, California 90067.</w:t>
      </w:r>
    </w:p>
    <w:p>
      <w:pPr>
        <w:ind w:left="452" w:right="180" w:hanging="452"/>
        <w:spacing w:after="0" w:line="261" w:lineRule="auto"/>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pacing w:after="0" w:line="124"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92"/>
          </w:cols>
          <w:pgMar w:left="248" w:top="274" w:right="559"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20" w:right="4560" w:hanging="466"/>
        <w:spacing w:after="0" w:line="254" w:lineRule="auto"/>
        <w:tabs>
          <w:tab w:leader="none" w:pos="898"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ind w:left="92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Yes</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160" w:right="240" w:hanging="1147"/>
        <w:spacing w:after="0" w:line="268" w:lineRule="auto"/>
        <w:tabs>
          <w:tab w:leader="none" w:pos="114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obligors are not in default under any Indenture for which the Trustee acts as Trustee.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2011 published pursuant to law or the requirements of its supervising or examining authority, attached as Exhibit 7.</w:t>
      </w:r>
    </w:p>
    <w:p>
      <w:pPr>
        <w:spacing w:after="0" w:line="172" w:lineRule="exact"/>
        <w:rPr>
          <w:rFonts w:ascii="Arial" w:cs="Arial" w:eastAsia="Arial" w:hAnsi="Arial"/>
          <w:sz w:val="18"/>
          <w:szCs w:val="18"/>
          <w:color w:val="auto"/>
        </w:rPr>
      </w:pPr>
    </w:p>
    <w:p>
      <w:pPr>
        <w:ind w:left="460" w:right="14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33" w:name="page134"/>
    <w:bookmarkEnd w:id="13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State of Ohio on the 14th of December, 2011.</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Scott Miller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274" w:right="419" w:bottom="1440" w:gutter="0" w:footer="0" w:header="0"/>
        </w:sectPr>
      </w:pPr>
    </w:p>
    <w:bookmarkStart w:id="134" w:name="page135"/>
    <w:bookmarkEnd w:id="134"/>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368935" cy="3600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89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24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CERTIFICATE OF CORPORATE EXISTENCE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171" w:lineRule="exact"/>
        <w:rPr>
          <w:sz w:val="20"/>
          <w:szCs w:val="20"/>
          <w:color w:val="auto"/>
        </w:rPr>
      </w:pPr>
    </w:p>
    <w:p>
      <w:pPr>
        <w:ind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131"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 TESTIMONY WHERE OF, I have hereunto</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subscribed my name and caused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my seal of office to be affixed to these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presents at the Treasury Department,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-112395</wp:posOffset>
            </wp:positionV>
            <wp:extent cx="1003300" cy="10204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03300" cy="102044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City of Washington and District of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67310</wp:posOffset>
            </wp:positionV>
            <wp:extent cx="909320" cy="283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93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340"/>
        <w:spacing w:after="0"/>
        <w:rPr>
          <w:sz w:val="20"/>
          <w:szCs w:val="20"/>
          <w:color w:val="auto"/>
        </w:rPr>
      </w:pPr>
      <w:r>
        <w:rPr>
          <w:rFonts w:ascii="Arial" w:cs="Arial" w:eastAsia="Arial" w:hAnsi="Arial"/>
          <w:sz w:val="18"/>
          <w:szCs w:val="18"/>
          <w:color w:val="auto"/>
        </w:rPr>
        <w:t>Acting Comptroller of the Currency</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74" w:right="379" w:bottom="1440" w:gutter="0" w:footer="0" w:header="0"/>
        </w:sectPr>
      </w:pPr>
    </w:p>
    <w:bookmarkStart w:id="135" w:name="page136"/>
    <w:bookmarkEnd w:id="135"/>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368935" cy="3600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89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CERTIFICATE OF FIDUCIARY POWERS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171" w:lineRule="exact"/>
        <w:rPr>
          <w:sz w:val="20"/>
          <w:szCs w:val="20"/>
          <w:color w:val="auto"/>
        </w:rPr>
      </w:pPr>
    </w:p>
    <w:p>
      <w:pPr>
        <w:ind w:right="20" w:firstLine="8"/>
        <w:spacing w:after="0" w:line="268" w:lineRule="auto"/>
        <w:tabs>
          <w:tab w:leader="none" w:pos="17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Stat.668, 12 U.S.C. 92 a, and that the authority so granted remains in full force and effect on the date of this Certificate.</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 TESTIMONY WHERE OF, I have hereunto</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subscribed my name and caused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my seal of office to be affixed to these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presents at the Treasury Department,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-112395</wp:posOffset>
            </wp:positionV>
            <wp:extent cx="1003300" cy="10204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03300" cy="102044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City of Washington and District of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67310</wp:posOffset>
            </wp:positionV>
            <wp:extent cx="909320" cy="283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093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340"/>
        <w:spacing w:after="0"/>
        <w:rPr>
          <w:sz w:val="20"/>
          <w:szCs w:val="20"/>
          <w:color w:val="auto"/>
        </w:rPr>
      </w:pPr>
      <w:r>
        <w:rPr>
          <w:rFonts w:ascii="Arial" w:cs="Arial" w:eastAsia="Arial" w:hAnsi="Arial"/>
          <w:sz w:val="18"/>
          <w:szCs w:val="18"/>
          <w:color w:val="auto"/>
        </w:rPr>
        <w:t>Acting Comptroller of the Currency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74" w:right="359" w:bottom="1440" w:gutter="0" w:footer="0" w:header="0"/>
        </w:sectPr>
      </w:pPr>
    </w:p>
    <w:bookmarkStart w:id="136" w:name="page137"/>
    <w:bookmarkEnd w:id="136"/>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Scott Miller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6120" w:type="dxa"/>
            <w:vAlign w:val="bottom"/>
            <w:gridSpan w:val="2"/>
          </w:tcPr>
          <w:p>
            <w:pPr>
              <w:jc w:val="center"/>
              <w:ind w:right="3320"/>
              <w:spacing w:after="0"/>
              <w:rPr>
                <w:sz w:val="20"/>
                <w:szCs w:val="20"/>
                <w:color w:val="auto"/>
              </w:rPr>
            </w:pPr>
            <w:r>
              <w:rPr>
                <w:rFonts w:ascii="Arial" w:cs="Arial" w:eastAsia="Arial" w:hAnsi="Arial"/>
                <w:sz w:val="18"/>
                <w:szCs w:val="18"/>
                <w:b w:val="1"/>
                <w:bCs w:val="1"/>
                <w:color w:val="auto"/>
                <w:w w:val="90"/>
              </w:rPr>
              <w:t>Exhibit 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20" w:type="dxa"/>
            <w:vAlign w:val="bottom"/>
            <w:gridSpan w:val="2"/>
          </w:tcPr>
          <w:p>
            <w:pPr>
              <w:jc w:val="center"/>
              <w:ind w:right="3340"/>
              <w:spacing w:after="0"/>
              <w:rPr>
                <w:sz w:val="20"/>
                <w:szCs w:val="20"/>
                <w:color w:val="auto"/>
              </w:rPr>
            </w:pPr>
            <w:r>
              <w:rPr>
                <w:rFonts w:ascii="Arial" w:cs="Arial" w:eastAsia="Arial" w:hAnsi="Arial"/>
                <w:sz w:val="18"/>
                <w:szCs w:val="18"/>
                <w:b w:val="1"/>
                <w:bCs w:val="1"/>
                <w:color w:val="auto"/>
                <w:w w:val="87"/>
              </w:rPr>
              <w:t>U.S. Bank National Association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20" w:type="dxa"/>
            <w:vAlign w:val="bottom"/>
            <w:gridSpan w:val="2"/>
          </w:tcPr>
          <w:p>
            <w:pPr>
              <w:jc w:val="center"/>
              <w:ind w:right="3340"/>
              <w:spacing w:after="0"/>
              <w:rPr>
                <w:sz w:val="20"/>
                <w:szCs w:val="20"/>
                <w:color w:val="auto"/>
              </w:rPr>
            </w:pPr>
            <w:r>
              <w:rPr>
                <w:rFonts w:ascii="Arial" w:cs="Arial" w:eastAsia="Arial" w:hAnsi="Arial"/>
                <w:sz w:val="18"/>
                <w:szCs w:val="18"/>
                <w:b w:val="1"/>
                <w:bCs w:val="1"/>
                <w:color w:val="auto"/>
                <w:w w:val="88"/>
              </w:rPr>
              <w:t>Statement of Financial Condition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6120" w:type="dxa"/>
            <w:vAlign w:val="bottom"/>
            <w:gridSpan w:val="2"/>
          </w:tcPr>
          <w:p>
            <w:pPr>
              <w:jc w:val="center"/>
              <w:ind w:right="3340"/>
              <w:spacing w:after="0"/>
              <w:rPr>
                <w:sz w:val="20"/>
                <w:szCs w:val="20"/>
                <w:color w:val="auto"/>
              </w:rPr>
            </w:pPr>
            <w:r>
              <w:rPr>
                <w:rFonts w:ascii="Arial" w:cs="Arial" w:eastAsia="Arial" w:hAnsi="Arial"/>
                <w:sz w:val="18"/>
                <w:szCs w:val="18"/>
                <w:b w:val="1"/>
                <w:bCs w:val="1"/>
                <w:color w:val="auto"/>
                <w:w w:val="87"/>
              </w:rPr>
              <w:t>As of 9/30/2011</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4320" w:type="dxa"/>
            <w:vAlign w:val="bottom"/>
          </w:tcPr>
          <w:p>
            <w:pPr>
              <w:spacing w:after="0"/>
              <w:rPr>
                <w:sz w:val="24"/>
                <w:szCs w:val="24"/>
                <w:color w:val="auto"/>
              </w:rPr>
            </w:pPr>
          </w:p>
        </w:tc>
        <w:tc>
          <w:tcPr>
            <w:tcW w:w="6120" w:type="dxa"/>
            <w:vAlign w:val="bottom"/>
            <w:gridSpan w:val="2"/>
          </w:tcPr>
          <w:p>
            <w:pPr>
              <w:jc w:val="center"/>
              <w:ind w:right="3340"/>
              <w:spacing w:after="0"/>
              <w:rPr>
                <w:sz w:val="20"/>
                <w:szCs w:val="20"/>
                <w:color w:val="auto"/>
              </w:rPr>
            </w:pPr>
            <w:r>
              <w:rPr>
                <w:rFonts w:ascii="Arial" w:cs="Arial" w:eastAsia="Arial" w:hAnsi="Arial"/>
                <w:sz w:val="18"/>
                <w:szCs w:val="18"/>
                <w:b w:val="1"/>
                <w:bCs w:val="1"/>
                <w:color w:val="auto"/>
                <w:w w:val="86"/>
              </w:rPr>
              <w:t>($000’s)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320" w:type="dxa"/>
            <w:vAlign w:val="bottom"/>
            <w:tcBorders>
              <w:bottom w:val="single" w:sz="8" w:color="CCEEFF"/>
            </w:tcBorders>
          </w:tcPr>
          <w:p>
            <w:pPr>
              <w:spacing w:after="0"/>
              <w:rPr>
                <w:sz w:val="24"/>
                <w:szCs w:val="24"/>
                <w:color w:val="auto"/>
              </w:rPr>
            </w:pPr>
          </w:p>
        </w:tc>
        <w:tc>
          <w:tcPr>
            <w:tcW w:w="60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9/30/2011</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w w:val="91"/>
              </w:rPr>
              <w:t>Cash and Balances Due From Depository Institutions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13,707,494</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66,888,393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197,036,739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5,547,055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12,420,133</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6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23,843,503</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319,449,271</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226,338,015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7,802,656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545,669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35,170,032</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6,179,246</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6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9,493,484</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285,529,102</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1,912,544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14,136,872</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6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17,852,553</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Equity Capital</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33,920,169</w:t>
            </w:r>
          </w:p>
        </w:tc>
        <w:tc>
          <w:tcPr>
            <w:tcW w:w="100" w:type="dxa"/>
            <w:vAlign w:val="bottom"/>
            <w:shd w:val="clear" w:color="auto" w:fill="CCEEFF"/>
          </w:tcPr>
          <w:p>
            <w:pPr>
              <w:spacing w:after="0"/>
              <w:rPr>
                <w:sz w:val="18"/>
                <w:szCs w:val="18"/>
                <w:color w:val="auto"/>
              </w:rPr>
            </w:pPr>
          </w:p>
        </w:tc>
      </w:tr>
      <w:tr>
        <w:trPr>
          <w:trHeight w:val="228"/>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319,449,271</w:t>
            </w:r>
          </w:p>
        </w:tc>
        <w:tc>
          <w:tcPr>
            <w:tcW w:w="100" w:type="dxa"/>
            <w:vAlign w:val="bottom"/>
          </w:tcPr>
          <w:p>
            <w:pPr>
              <w:spacing w:after="0"/>
              <w:rPr>
                <w:sz w:val="19"/>
                <w:szCs w:val="19"/>
                <w:color w:val="auto"/>
              </w:rPr>
            </w:pPr>
          </w:p>
        </w:tc>
      </w:tr>
      <w:tr>
        <w:trPr>
          <w:trHeight w:val="350"/>
        </w:trPr>
        <w:tc>
          <w:tcPr>
            <w:tcW w:w="4320" w:type="dxa"/>
            <w:vAlign w:val="bottom"/>
          </w:tcPr>
          <w:p>
            <w:pPr>
              <w:spacing w:after="0"/>
              <w:rPr>
                <w:sz w:val="24"/>
                <w:szCs w:val="24"/>
                <w:color w:val="auto"/>
              </w:rPr>
            </w:pPr>
          </w:p>
        </w:tc>
        <w:tc>
          <w:tcPr>
            <w:tcW w:w="6040" w:type="dxa"/>
            <w:vAlign w:val="bottom"/>
          </w:tcPr>
          <w:p>
            <w:pPr>
              <w:jc w:val="right"/>
              <w:ind w:right="451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8" w:name="page139"/>
    <w:bookmarkEnd w:id="138"/>
    <w:p>
      <w:pPr>
        <w:ind w:left="10520"/>
        <w:spacing w:after="0"/>
        <w:rPr>
          <w:sz w:val="20"/>
          <w:szCs w:val="20"/>
          <w:color w:val="auto"/>
        </w:rPr>
      </w:pPr>
      <w:r>
        <w:rPr>
          <w:rFonts w:ascii="Arial" w:cs="Arial" w:eastAsia="Arial" w:hAnsi="Arial"/>
          <w:sz w:val="16"/>
          <w:szCs w:val="16"/>
          <w:b w:val="1"/>
          <w:bCs w:val="1"/>
          <w:color w:val="auto"/>
        </w:rPr>
        <w:t>Exhibit 99.1</w:t>
      </w:r>
    </w:p>
    <w:p>
      <w:pPr>
        <w:spacing w:after="0" w:line="44" w:lineRule="exact"/>
        <w:rPr>
          <w:sz w:val="20"/>
          <w:szCs w:val="20"/>
          <w:color w:val="auto"/>
        </w:rPr>
      </w:pPr>
    </w:p>
    <w:p>
      <w:pPr>
        <w:ind w:right="160" w:firstLine="456"/>
        <w:spacing w:after="0" w:line="323" w:lineRule="auto"/>
        <w:rPr>
          <w:sz w:val="20"/>
          <w:szCs w:val="20"/>
          <w:color w:val="auto"/>
        </w:rPr>
      </w:pPr>
      <w:r>
        <w:rPr>
          <w:rFonts w:ascii="Arial" w:cs="Arial" w:eastAsia="Arial" w:hAnsi="Arial"/>
          <w:sz w:val="16"/>
          <w:szCs w:val="16"/>
          <w:b w:val="1"/>
          <w:bCs w:val="1"/>
          <w:i w:val="1"/>
          <w:iCs w:val="1"/>
          <w:color w:val="auto"/>
        </w:rPr>
        <w:t>THIS DOCUMENT IS IMPORTANT AND REQUIRES YOUR IMMEDIATE ATTENTION. If you are in any doubt as to the action to be taken, you should immediately consult your broker, bank manager, lawyer, accountant, investment advisor or other professional adviser.</w:t>
      </w:r>
    </w:p>
    <w:p>
      <w:pPr>
        <w:spacing w:after="0" w:line="16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LETTER OF TRANSMITTAL</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Relating to</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SCOTTS MIRACLE-GRO COMPANY</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Offer to Exchange</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any and all of its outstanding unregistered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6.625% Senior Notes due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AJ5 and U8602T AA6)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 aggregate principal amount of its new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6.625% Senior Notes due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 810186 AK2)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This document relates to the exchange offer (the “Exchange Offer”) made by The Scotts Miracle-Gro Company (the “Company”) to exchange any and all of its unregistered $200,000,000 6.625% Senior Notes due 2020 (the “Outstanding Notes”) for new 6.625% Senior Notes due 2020 (the “Exchange Notes”) that have been registered under the Securities Act of 1933, as amended (the “Securities Act”). The Exchange Offer is described in the Prospectus dated December , 2011 (the “Prospectus”) and in this letter of transmittal (this “Letter of Transmittal”). All terms and conditions contained in, or otherwise referred to in, the Prospectus are deemed to be incorporated in, and form a part of, this Letter of Transmittal. Therefore you are urged to read carefully the Prospectus and the items referred to therein. The terms and conditions contained in the Prospectus, together with the terms and conditions governing this Letter of Transmittal and the instructions herein, are collectively referred to herein as the “terms and conditions.”</w:t>
      </w:r>
    </w:p>
    <w:p>
      <w:pPr>
        <w:spacing w:after="0" w:line="166" w:lineRule="exact"/>
        <w:rPr>
          <w:sz w:val="20"/>
          <w:szCs w:val="20"/>
          <w:color w:val="auto"/>
        </w:rPr>
      </w:pPr>
    </w:p>
    <w:p>
      <w:pPr>
        <w:ind w:left="120" w:right="140" w:firstLine="432"/>
        <w:spacing w:after="0" w:line="262" w:lineRule="auto"/>
        <w:rPr>
          <w:sz w:val="20"/>
          <w:szCs w:val="20"/>
          <w:color w:val="auto"/>
        </w:rPr>
      </w:pPr>
      <w:r>
        <w:rPr>
          <w:rFonts w:ascii="Arial" w:cs="Arial" w:eastAsia="Arial" w:hAnsi="Arial"/>
          <w:sz w:val="18"/>
          <w:szCs w:val="18"/>
          <w:b w:val="1"/>
          <w:bCs w:val="1"/>
          <w:color w:val="auto"/>
        </w:rPr>
        <w:t>The Exchange Offer will expire at 5:00 p.m., New York City time, on , 2012, unless extended by the Company (such date and time, as they may be extended, the “Expiration Date”). Tendered Outstanding Notes may be withdrawn at any time prior to the expiration of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54875" cy="531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531495"/>
                    </a:xfrm>
                    <a:prstGeom prst="rect">
                      <a:avLst/>
                    </a:prstGeom>
                    <a:noFill/>
                  </pic:spPr>
                </pic:pic>
              </a:graphicData>
            </a:graphic>
          </wp:anchor>
        </w:drawing>
      </w:r>
    </w:p>
    <w:p>
      <w:pPr>
        <w:spacing w:after="0" w:line="29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Upon the satisfaction or waiver of the conditions to the acceptance of Outstanding Notes set forth in the Prospectus under “The Exchange Offer— Conditions to the Exchange Offer”, the Company will accept for settlement Outstanding Notes that have been validly tendered (and not subsequently validly withdrawn). This acceptance date is referred to as the “Acceptance Date.” The Company will deliver the Exchange Notes on a date (the “Settlement Date”) as soon as practicable after the Expiration Date.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for the Exchange Offer is: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By Mail, Hand Delivery and Overnight Courier</w:t>
      </w:r>
    </w:p>
    <w:p>
      <w:pPr>
        <w:spacing w:after="0" w:line="38"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West Side Flats Operations Center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St Paul MN 55107</w:t>
      </w:r>
    </w:p>
    <w:p>
      <w:pPr>
        <w:spacing w:after="0" w:line="165"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120"/>
        <w:spacing w:after="0"/>
        <w:rPr>
          <w:sz w:val="20"/>
          <w:szCs w:val="20"/>
          <w:color w:val="auto"/>
        </w:rPr>
      </w:pPr>
      <w:r>
        <w:rPr>
          <w:rFonts w:ascii="Arial" w:cs="Arial" w:eastAsia="Arial" w:hAnsi="Arial"/>
          <w:sz w:val="16"/>
          <w:szCs w:val="16"/>
          <w:i w:val="1"/>
          <w:iCs w:val="1"/>
          <w:color w:val="auto"/>
        </w:rPr>
        <w:t>By Facsimile (for Eligible Institutions only):</w:t>
      </w:r>
    </w:p>
    <w:p>
      <w:pPr>
        <w:spacing w:after="0" w:line="2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651-495-8158</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Confirmation: 800-934-6802</w:t>
      </w:r>
    </w:p>
    <w:p>
      <w:pPr>
        <w:sectPr>
          <w:pgSz w:w="11900" w:h="16838" w:orient="portrait"/>
          <w:cols w:equalWidth="0" w:num="2">
            <w:col w:w="6460" w:space="720"/>
            <w:col w:w="4240"/>
          </w:cols>
          <w:pgMar w:left="240" w:top="125" w:right="239" w:bottom="1440" w:gutter="0" w:footer="0" w:header="0"/>
          <w:type w:val="continuous"/>
        </w:sectPr>
      </w:pPr>
    </w:p>
    <w:bookmarkStart w:id="139" w:name="page140"/>
    <w:bookmarkEnd w:id="139"/>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of Transmittal is to be used by holders of the Outstanding Notes. Tender of Outstanding Notes is to be made using the Automated Tender Offer Program (“ATOP”) of The Depository Trust Company (“DTC”) pursuant to the procedures set forth in the Prospectus under the caption “The Exchange Offer—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your Outstanding Notes in the Exchange Offer, the Exchange Agent must receive, prior to the Expiration Date, an agent’s message under the ATOP procedures that confirms that:</w:t>
      </w:r>
    </w:p>
    <w:p>
      <w:pPr>
        <w:spacing w:after="0" w:line="39" w:lineRule="exact"/>
        <w:rPr>
          <w:sz w:val="20"/>
          <w:szCs w:val="20"/>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DTC has received your instructions to tender your Outstanding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You agree to be bound by the terms of this Letter of Transmittal.</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Exchange Notes will be issued in full exchange for Outstanding Notes in the Exchange Offer, if consummated, on the Settlement Date and will be delivered in book–entry form.</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read the accompanying instructions carefully.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Upon the terms and subject to the conditions of the Exchange Offer, the undersigned hereby tenders to the Company the aggregate principal amount of Outstanding Notes credited by the undersigned to the Exchange Agent’s account at DTC using ATOP.</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undersigned understands that validly tendered Outstanding Notes (or defectively tendered Outstanding Notes with respect to which the Company has waived such defect or caused such defect to be waived) will be deemed to have been accepted by the Company if, as and when the Company gives oral or written notice thereof to the Exchange Agent. The undersigned understands that, subject to the terms and conditions, Outstanding Notes properly tendered and accepted (and not validly withdrawn) in accordance with the terms and conditions will be exchanged for Exchange Notes. The undersigned understands that, under certain circumstances, the Company may not be required to accept any of the Outstanding Notes tendered (including any such Outstanding Notes tendered after the Expiration Date). If any Outstanding Notes are not accepted for exchange for any reason (or if Outstanding Notes are validly withdrawn), such Outstanding Notes will be returned, without expense, to the undersigned’s account at DTC or such other account as designated herein, pursuant to the book–entry transfer procedures described in the Prospectus, as promptly as practicable after the expiration or termination of the Exchange Offer.</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By tendering Outstanding Notes in the Exchange Offer, the undersigned acknowledges that the Exchange Offer is being made based upon the Company’s understanding of an interpretation by the staff of the Securities and Exchange Commission (the “SEC”) as set forth in no–action letters issued to other parties, including </w:t>
      </w:r>
      <w:r>
        <w:rPr>
          <w:rFonts w:ascii="Arial" w:cs="Arial" w:eastAsia="Arial" w:hAnsi="Arial"/>
          <w:sz w:val="16"/>
          <w:szCs w:val="16"/>
          <w:i w:val="1"/>
          <w:iCs w:val="1"/>
          <w:color w:val="auto"/>
        </w:rPr>
        <w:t>Exxon Capital Holdings Corporation</w:t>
      </w:r>
      <w:r>
        <w:rPr>
          <w:rFonts w:ascii="Arial" w:cs="Arial" w:eastAsia="Arial" w:hAnsi="Arial"/>
          <w:sz w:val="16"/>
          <w:szCs w:val="16"/>
          <w:color w:val="auto"/>
        </w:rPr>
        <w:t xml:space="preserve">, SEC No– Action Letter (available May 13, 1988), </w:t>
      </w:r>
      <w:r>
        <w:rPr>
          <w:rFonts w:ascii="Arial" w:cs="Arial" w:eastAsia="Arial" w:hAnsi="Arial"/>
          <w:sz w:val="16"/>
          <w:szCs w:val="16"/>
          <w:i w:val="1"/>
          <w:iCs w:val="1"/>
          <w:color w:val="auto"/>
        </w:rPr>
        <w:t>Morgan Stanley &amp; Co. Incorporated</w:t>
      </w:r>
      <w:r>
        <w:rPr>
          <w:rFonts w:ascii="Arial" w:cs="Arial" w:eastAsia="Arial" w:hAnsi="Arial"/>
          <w:sz w:val="16"/>
          <w:szCs w:val="16"/>
          <w:color w:val="auto"/>
        </w:rPr>
        <w:t xml:space="preserve">, SEC No–Action Letter (available June 5, 1991) and </w:t>
      </w:r>
      <w:r>
        <w:rPr>
          <w:rFonts w:ascii="Arial" w:cs="Arial" w:eastAsia="Arial" w:hAnsi="Arial"/>
          <w:sz w:val="16"/>
          <w:szCs w:val="16"/>
          <w:i w:val="1"/>
          <w:iCs w:val="1"/>
          <w:color w:val="auto"/>
        </w:rPr>
        <w:t>Shearman &amp; Sterling</w:t>
      </w:r>
      <w:r>
        <w:rPr>
          <w:rFonts w:ascii="Arial" w:cs="Arial" w:eastAsia="Arial" w:hAnsi="Arial"/>
          <w:sz w:val="16"/>
          <w:szCs w:val="16"/>
          <w:color w:val="auto"/>
        </w:rPr>
        <w:t>, SEC No–Action Letter (available July 2, 1993), that the Exchange Notes issued in exchange for the Outstanding Notes pursuant to the Exchange Offer may be offered for resale, resold and otherwise transferred by each holder thereof (other than a broker–dealer who acquires such Exchange Notes directly from the Company for resale pursuant to Rule 144A under the Securities Act or any other available exemption under the Securities Act or any such holder that is an “affiliate” of the Company within the meaning of Rule 405 under the Securities Act), without compliance with the registration and prospectus delivery provisions of the Securities Act, provided that such Exchange Notes are acquired in the ordinary course of such holder’s business and such holder is not engaged in, and does not intend to engage in, a distribution of such Exchange Notes and has no arrangement with any person to participate in the distribution of such Exchange Notes. If the undersigned is not a broker–dealer, the undersigned represents that it acquires the Exchange Notes in the ordinary course of its business, it is not engaged in, and does not intend to engage in, a distribution of Exchange Notes and it has no arrangements or understandings with any person to participate in a distribution of the Exchange Notes. If the undersigned is a broker–dealer that will receive Exchange Notes for its own account in exchange for Outstanding Notes, it represents that the Outstanding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the undersigned will not be deemed to admit that it is an “underwriter” within the meaning of the Securities Act.</w:t>
      </w:r>
    </w:p>
    <w:p>
      <w:pPr>
        <w:spacing w:after="0" w:line="12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Upon agreement to the terms of this Letter of Transmittal pursuant to an agent’s message, the undersigned, or the beneficial holder of Outstanding Notes on behalf of which the undersigned has tendered, will, subject to that holder’s ability to withdraw its tender, and subject to the terms and conditions of the Exchange Offer generally, hereby:</w:t>
      </w:r>
    </w:p>
    <w:p>
      <w:pPr>
        <w:spacing w:after="0" w:line="59" w:lineRule="exact"/>
        <w:rPr>
          <w:sz w:val="20"/>
          <w:szCs w:val="20"/>
          <w:color w:val="auto"/>
        </w:rPr>
      </w:pPr>
    </w:p>
    <w:p>
      <w:pPr>
        <w:ind w:left="900" w:right="60" w:hanging="325"/>
        <w:spacing w:after="0" w:line="298"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irrevocably sell, assign and transfer to or upon the order of the Company or its nominee all right, title and interest in and to, and any and all claims in respect of or arising or having arisen as a result of the undersigned’s status as a holder of, all Outstanding Notes tendered hereby, such that thereafter it shall have no contractual or other rights or claims in law or equity against the Company or any fiduciary, trustee, fiscal agent or other person connected with the Outstanding Notes arising under, from or in connection with such Outstanding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1" w:name="page142"/>
    <w:bookmarkEnd w:id="141"/>
    <w:p>
      <w:pPr>
        <w:ind w:left="900" w:right="180" w:hanging="325"/>
        <w:spacing w:after="0" w:line="268"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 any and all rights with respect to the Outstanding Notes tendered hereby, including, without limitation, any existing or past defaults and their consequences in respect of such Outstanding Notes; and</w:t>
      </w:r>
    </w:p>
    <w:p>
      <w:pPr>
        <w:spacing w:after="0" w:line="50" w:lineRule="exact"/>
        <w:rPr>
          <w:rFonts w:ascii="Arial" w:cs="Arial" w:eastAsia="Arial" w:hAnsi="Arial"/>
          <w:sz w:val="18"/>
          <w:szCs w:val="18"/>
          <w:color w:val="auto"/>
        </w:rPr>
      </w:pPr>
    </w:p>
    <w:p>
      <w:pPr>
        <w:ind w:left="900" w:right="320" w:hanging="325"/>
        <w:spacing w:after="0" w:line="255"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release and discharge the Company and U.S. Bank National Association, as the trustee for the Outstanding Notes from any and all claims the undersigned may have, now or in the future, arising out of or related to the Outstanding Notes tendered hereby, including, without limitation, any claims that the undersigned is entitled to receive additional principal or interest payments with respect to the Outstanding Notes tendered hereby, other than as expressly provided in the Prospectus and in this Letter of Transmittal, or to participate in any redemption or defeasance of the Outstanding Notes tendered hereby.</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undersigned understands that tenders of Outstanding Notes pursuant to the procedures described in the Prospectus and in this Letter of Transmittal and acceptance of such Outstanding Notes by the Company will, following such acceptance, constitute a binding agreement between the undersigned and the Company upon the terms and conditions.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Outstanding Notes in the Exchange Offer, the undersigned represents, warrants and agrees that:</w:t>
      </w:r>
    </w:p>
    <w:p>
      <w:pPr>
        <w:spacing w:after="0" w:line="90"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 has received and reviewed the Prospectus;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 is the beneficial owner (as defined below) of, or a duly authorized representative of one or more beneficial owners of, the Outstanding Notes tendered hereby, and it has full power and authority to execute this Letter of Transmittal;</w:t>
      </w:r>
    </w:p>
    <w:p>
      <w:pPr>
        <w:spacing w:after="0" w:line="50"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Outstanding Notes being tendered hereby were owned as of the date of tender, free and clear of any liens, charges, claims, encumbrances, interests and restrictions of any kind, and the Company will acquire good, indefeasible and unencumbered title to such Outstanding Notes, free and clear of all liens, charges, claims, encumbrances, interests and restrictions of any kind, when the Company accepts the same;</w:t>
      </w:r>
    </w:p>
    <w:p>
      <w:pPr>
        <w:spacing w:after="0" w:line="25" w:lineRule="exact"/>
        <w:rPr>
          <w:rFonts w:ascii="Arial" w:cs="Arial" w:eastAsia="Arial" w:hAnsi="Arial"/>
          <w:sz w:val="16"/>
          <w:szCs w:val="16"/>
          <w:color w:val="auto"/>
        </w:rPr>
      </w:pPr>
    </w:p>
    <w:p>
      <w:pPr>
        <w:ind w:left="900" w:right="700" w:hanging="325"/>
        <w:spacing w:after="0" w:line="33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it will not sell, pledge, hypothecate or otherwise encumber or transfer any Outstanding Notes tendered hereby from the date of this Letter of Transmittal, and any purported sale, pledge, hypothecation or other encumbrance or transfer will be void and of no effect;</w:t>
      </w:r>
    </w:p>
    <w:p>
      <w:pPr>
        <w:spacing w:after="0" w:line="4" w:lineRule="exact"/>
        <w:rPr>
          <w:rFonts w:ascii="Arial" w:cs="Arial" w:eastAsia="Arial" w:hAnsi="Arial"/>
          <w:sz w:val="16"/>
          <w:szCs w:val="16"/>
          <w:color w:val="auto"/>
        </w:rPr>
      </w:pPr>
    </w:p>
    <w:p>
      <w:pPr>
        <w:ind w:left="900" w:right="240" w:hanging="325"/>
        <w:spacing w:after="0" w:line="298"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evaluating the Exchange Offer and in making its decision whether to participate in the Exchange Offer by tendering its Outstanding Notes, the undersigned has made its own independent appraisal of the matters referred to in the Prospectus and this Letter of Transmittal and in any related communications and it is not relying on any statement, representation or warranty, express or implied, made to such holder by the Company or the Exchange Agent, other than those contained in the Prospectus, as amended or supplemented through the Expiration Date;</w:t>
      </w:r>
    </w:p>
    <w:p>
      <w:pPr>
        <w:spacing w:after="0" w:line="31"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execution and delivery of this Letter of Transmittal shall constitute an undertaking to execute any further documents and give any further assurances that may be required in connection with any of the foregoing, in each case on and subject to the terms and conditions described or referred to in the Prospectus;</w:t>
      </w:r>
    </w:p>
    <w:p>
      <w:pPr>
        <w:spacing w:after="0" w:line="59" w:lineRule="exact"/>
        <w:rPr>
          <w:rFonts w:ascii="Arial" w:cs="Arial" w:eastAsia="Arial" w:hAnsi="Arial"/>
          <w:sz w:val="18"/>
          <w:szCs w:val="18"/>
          <w:color w:val="auto"/>
        </w:rPr>
      </w:pPr>
    </w:p>
    <w:p>
      <w:pPr>
        <w:ind w:left="900" w:right="120" w:hanging="325"/>
        <w:spacing w:after="0" w:line="289"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agreement to the terms of this Letter of Transmittal pursuant to an agent’s message shall, subject to the terms and conditions of the Exchange Offer, constitute the irrevocable appointment of the Exchange Agent as its attorney and agent and an irrevocable instruction to such attorney and agent to complete and execute all or any forms of transfer and other documents at the discretion of that attorney and agent in relation to the Outstanding Notes tendered hereby in favor of the Company or any other person or persons as the Company may direct and to deliver such forms of transfer and other documents in the attorney’s and agent’s discretion and the certificates and other documents of title relating to the registration of such Outstanding Notes and to execute all other documents and to do all other acts and things as may be in the opinion of that attorney or agent necessary or expedient for the purpose of, or in connection with, the acceptance of the Exchange Offer, and to vest in the Company or its nominees such Outstanding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2" w:name="page143"/>
    <w:bookmarkEnd w:id="142"/>
    <w:p>
      <w:pPr>
        <w:ind w:left="900" w:right="200" w:hanging="325"/>
        <w:spacing w:after="0" w:line="268"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of the Exchange Offer shall be deemed to be incorporated in, and form a part of, this Letter of Transmittal, which shall be read and construed accordingly;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it is acquiring the Exchange Notes in the ordinary course of its business;</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it is not participating in, and does not intend to participate in, a distribution of the Exchange Notes within the meaning of the Securities Act and has no arrangement or understanding with any person to participate in a distribution of the Exchange Notes within the meaning of the Securities Act;</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it is a Broker-Dealer, it acquired the original notes as a result of market-making activities or other trading activities and that it will comply with the applicable provisions of the Securities Act with respect to any resale of any exchange notes;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it is not an “affiliate” of the Company, within the meaning of Rule 405 of the Securities Act.</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representations, warranties and agreements of a holder tendering Outstanding Notes shall be deemed to be repeated and reconfirmed on and as of the Expiration Date and the Settlement Date. For purposes of this Letter of Transmittal, the “beneficial owner” of any Outstanding Notes means any holder that exercises investment discretion with respect to such Outstanding Notes.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undersigned understands that tenders may not be withdrawn at any time after the Expiration Date, except as set forth in the Prospectus, unless the Exchange Offer is amended with changes to the terms and conditions that are, in the reasonable judgment of the Company, materially adverse to the tendering holders, in which case tenders may be withdrawn under the conditions described in the extension.</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the Exchange Offer is amended in a manner determined by the Company to constitute a material change, the Company will extend the Exchange Offer for a period of two to ten business days, depending on the significance of the amendment and the manner of disclosure to such holders, if the Exchange Offer would otherwise have expired during such two to ten business day period.</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authority conferred or agreed to be conferred in this Letter of Transmittal and every obligation of the undersigned hereunder shall be binding upon the undersigned’s successors, assigns, heirs, executors, administrators, trustees in bankruptcy and legal representatives of the undersigned and shall not be affected by, and shall survive, the death or incapacity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76465" cy="1822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6465" cy="1822450"/>
                    </a:xfrm>
                    <a:prstGeom prst="rect">
                      <a:avLst/>
                    </a:prstGeom>
                    <a:noFill/>
                  </pic:spPr>
                </pic:pic>
              </a:graphicData>
            </a:graphic>
          </wp:anchor>
        </w:drawing>
      </w:r>
    </w:p>
    <w:p>
      <w:pPr>
        <w:spacing w:after="0" w:line="169" w:lineRule="exact"/>
        <w:rPr>
          <w:sz w:val="20"/>
          <w:szCs w:val="20"/>
          <w:color w:val="auto"/>
        </w:rPr>
      </w:pPr>
    </w:p>
    <w:p>
      <w:pPr>
        <w:ind w:left="120"/>
        <w:spacing w:after="0" w:line="181" w:lineRule="exact"/>
        <w:rPr>
          <w:sz w:val="20"/>
          <w:szCs w:val="20"/>
          <w:color w:val="auto"/>
        </w:rPr>
      </w:pPr>
      <w:r>
        <w:rPr>
          <w:rFonts w:ascii="MS PGothic" w:cs="MS PGothic" w:eastAsia="MS PGothic" w:hAnsi="MS PGothic"/>
          <w:sz w:val="18"/>
          <w:szCs w:val="18"/>
          <w:color w:val="auto"/>
        </w:rPr>
        <w:t>☐</w:t>
      </w:r>
    </w:p>
    <w:p>
      <w:pPr>
        <w:spacing w:after="0" w:line="285" w:lineRule="exact"/>
        <w:rPr>
          <w:sz w:val="20"/>
          <w:szCs w:val="20"/>
          <w:color w:val="auto"/>
        </w:rPr>
      </w:pPr>
    </w:p>
    <w:p>
      <w:pPr>
        <w:ind w:left="600" w:right="560"/>
        <w:spacing w:after="0" w:line="268" w:lineRule="auto"/>
        <w:rPr>
          <w:sz w:val="20"/>
          <w:szCs w:val="20"/>
          <w:color w:val="auto"/>
        </w:rPr>
      </w:pPr>
      <w:r>
        <w:rPr>
          <w:rFonts w:ascii="Arial" w:cs="Arial" w:eastAsia="Arial" w:hAnsi="Arial"/>
          <w:sz w:val="18"/>
          <w:szCs w:val="18"/>
          <w:color w:val="auto"/>
        </w:rPr>
        <w:t>CHECK HERE IF YOU ARE A BROKER–DEALER AND WISH TO RECEIVE 10 ADDITIONAL COPIES OF THE PROSPECTUS AND 10 COPIES OF ANY AMENDMENTS OR SUPPLEMENTS THERETO.</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Address: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Tendering Institution:</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Account Number: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Code Number:</w:t>
      </w:r>
    </w:p>
    <w:p>
      <w:pPr>
        <w:spacing w:after="0" w:line="2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crediting the Outstanding Notes to the Exchange Agent’s account at DTC using ATOP and by complying with applicable ATOP procedures with respect to the Exchange Offer, the participant in DTC confirms on behalf of itself and the beneficial owners of such Outstanding Notes all provisions of this Letter of Transmittal (including all representations and warranties) applicable to it and such beneficial owner as fully as if it had completed the information required herein and executed and transmitted this Letter of Transmittal to the Exchange Agent.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 FORMING PART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TERMS AND CONDITIONS OF THE EXCHANGE OFFER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Book–Entry Confirmations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confirmation of a book–entry transfer to the Exchange Agent’s account at DTC of Outstanding Notes tendered by book–entry transfer, as well as an agent’s message, and any other documents required by this Letter of Transmittal, must be received by the Exchange Agent at its address set forth on the cover page of this Letter of Transmittal prior to 5:00 p.m., New York City time, on the Expiration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Validity of Tenders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will determine in its sole discretion all questions as to the validity, form, eligibility, time of receipt, acceptance of tendered Outstanding Notes and withdrawal of tendered Outstanding Notes. The Company’s determination will be final and binding. The Company reserves the absolute right to reject any Outstanding Notes not properly tendered or any acceptance of Outstanding Notes that would, in the opinion of its counsel, be unlawful. The Company also reserves the right to waive any defect, irregularities or conditions of tender as to particular Outstanding Notes. The Company’s interpretation of the terms and conditions of the Exchange Offer, including the instructions in this Letter of Transmittal, will be final and binding on all parties. Unless waived, all defects or irregularities in connection with tenders of Outstanding Notes must be cured within such time as the Company shall determine. Although the Company intends to notify holders of defects or irregularities with respect to tenders of Outstanding Notes, none of the Company, the Exchange Agent and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through the facilities of DTC as soon as practicable after the Expiration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Waiver of Conditions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reserves the absolute right to waive, in whole or part, at any time or from time to time, any of the conditions to the Exchange Offer set forth in the Prospectus or in this Letter of Transmittal.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 Conditional Tender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alternative, conditional, irregular or contingent tender of Outstanding Notes will be accepted.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Request for Assistance or Additional Copies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Requests for assistance or for additional copies of the Prospectus or this Letter of Transmittal may be directed to the Exchange Agent at the address, telephone numbers or fax number set forth on the cover page of this Letter of Transmittal. Holders may also contact their commercial bank, broker, dealer, trust company or other nominee for assistance concerning the Exchange Offer.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Withdrawal</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Tenders of Outstanding Notes may be withdrawn at any time prior to 5:00 p.m., New York City time, on the Expiration Date. For a withdrawal to be effective you must comply with the appropriate ATOP procedures. Any notice of withdrawal must specify the name and number of the account at DTC to be credited with withdrawn Outstanding Notes and otherwise comply with the ATOP procedures. For more information, see the section of the Prospectus entitled “The Exchange Offer—Withdrawal of Tenders.”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Transfer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Holders who tender their Outstanding Notes for exchange will not be obligated to pay any transfer taxes in connection with that tender or exchange, except that holders who instruct the Company to register Exchange Notes in the name of, or request that Outstanding Notes not tendered or not accepted in the exchange offer be returned to, a person other than the registered tendering holder will be responsible for the payment of any applicable transfer tax on those Outstanding Notes.</w:t>
      </w:r>
    </w:p>
    <w:p>
      <w:pPr>
        <w:spacing w:after="0" w:line="13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IMPORTANT: 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2576195</wp:posOffset>
            </wp:positionH>
            <wp:positionV relativeFrom="page">
              <wp:posOffset>88900</wp:posOffset>
            </wp:positionV>
            <wp:extent cx="2409825" cy="4546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2409825" cy="454660"/>
                    </a:xfrm>
                    <a:prstGeom prst="rect">
                      <a:avLst/>
                    </a:prstGeom>
                    <a:noFill/>
                  </pic:spPr>
                </pic:pic>
              </a:graphicData>
            </a:graphic>
          </wp:anchor>
        </w:drawing>
        <w:t>December 14,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The Scotts Miracle-Gro Company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co-registrants (collectively the “</w:t>
      </w:r>
      <w:r>
        <w:rPr>
          <w:rFonts w:ascii="Arial" w:cs="Arial" w:eastAsia="Arial" w:hAnsi="Arial"/>
          <w:sz w:val="18"/>
          <w:szCs w:val="18"/>
          <w:b w:val="1"/>
          <w:bCs w:val="1"/>
          <w:i w:val="1"/>
          <w:iCs w:val="1"/>
          <w:color w:val="auto"/>
        </w:rPr>
        <w:t>Registrants</w:t>
      </w:r>
      <w:r>
        <w:rPr>
          <w:rFonts w:ascii="Arial" w:cs="Arial" w:eastAsia="Arial" w:hAnsi="Arial"/>
          <w:sz w:val="18"/>
          <w:szCs w:val="18"/>
          <w:color w:val="auto"/>
        </w:rPr>
        <w:t>”)</w:t>
      </w:r>
    </w:p>
    <w:p>
      <w:pPr>
        <w:sectPr>
          <w:pgSz w:w="11900" w:h="16838" w:orient="portrait"/>
          <w:cols w:equalWidth="0" w:num="1">
            <w:col w:w="11420"/>
          </w:cols>
          <w:pgMar w:left="240" w:top="1009" w:right="239" w:bottom="1440" w:gutter="0" w:footer="0" w:header="0"/>
        </w:sectPr>
      </w:pPr>
    </w:p>
    <w:p>
      <w:pPr>
        <w:spacing w:after="0" w:line="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Registration Statement on Form S-4 (File No. 333-</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2">
            <w:col w:w="4500" w:space="520"/>
            <w:col w:w="6400"/>
          </w:cols>
          <w:pgMar w:left="240" w:top="1009"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letter is provided to the staff of the Securities and Exchange Commission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in connection with the Registration Statement on Form S-4 relating to the offer to exchange the Company’s 6.625% Senior Notes due 2020 ($200,000,000 principal amount), which have been registered under the Securities Act of 1933, as amended, pursuant to such Registration Statement, for the Company’s outstanding 6.625% Senior Notes due 2020 ($200,000,000 principal amount)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 The Registrants hereby inform the Staff that they are registering the Exchange Offer in reliance on the Staff position enunciated in “Morgan Stanley &amp; Co., Incorporated,” SEC No-Action Letter (available June 5, 1991) and “Exxon Capital Holdings Corporation,” SEC No-Action Letter (available May 13, 1988) (the “</w:t>
      </w:r>
      <w:r>
        <w:rPr>
          <w:rFonts w:ascii="Arial" w:cs="Arial" w:eastAsia="Arial" w:hAnsi="Arial"/>
          <w:sz w:val="16"/>
          <w:szCs w:val="16"/>
          <w:b w:val="1"/>
          <w:bCs w:val="1"/>
          <w:i w:val="1"/>
          <w:iCs w:val="1"/>
          <w:color w:val="auto"/>
        </w:rPr>
        <w:t>Exxon Capital Letter</w:t>
      </w:r>
      <w:r>
        <w:rPr>
          <w:rFonts w:ascii="Arial" w:cs="Arial" w:eastAsia="Arial" w:hAnsi="Arial"/>
          <w:sz w:val="16"/>
          <w:szCs w:val="16"/>
          <w:color w:val="auto"/>
        </w:rPr>
        <w:t>”). Unless otherwise indicated, defined terms used herein shall have the same meaning as set forth in the above-referenced Registration Statement.</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Registrants have not entered into any arrangement or understanding with any person to distribute the exchange notes to be received in the Exchange Offer and to the best of each Registrant’s information and belief, each entity participating in the Exchange Offer is acquiring the exchange notes in its ordinary course of business and has no arrangement or understanding with any person to participate in the distribution of the exchange notes to be received in the Exchange Offer. In this regard, the Registrants will make each person participating in the Exchange Offer aware (through the Exchange Offer prospectus or otherwise) that if the Exchange Offer is being registered for the purpose of secondary resales, any securityholder using the Exchange Offer to participate in a distribution of the exchange notes to be acquired in the Exchange Offer (i) could not rely on the Staff’s position enunciated in the Exxon Capital Letter or similar letters and (ii) must comply with registration and prospectus delivery requirements of the Securities Act in connection with a secondary resale transaction. Each Registrant acknowledges that such a secondary resale transaction should be covered by an effective registration statement containing the selling securityholder information required by Item 507 of Regulation S-K.</w:t>
      </w:r>
    </w:p>
    <w:p>
      <w:pPr>
        <w:sectPr>
          <w:pgSz w:w="11900" w:h="16838" w:orient="portrait"/>
          <w:cols w:equalWidth="0" w:num="1">
            <w:col w:w="11420"/>
          </w:cols>
          <w:pgMar w:left="240" w:top="1009" w:right="239" w:bottom="1440" w:gutter="0" w:footer="0" w:header="0"/>
          <w:type w:val="continuous"/>
        </w:sectPr>
      </w:pPr>
    </w:p>
    <w:bookmarkStart w:id="146" w:name="page147"/>
    <w:bookmarkEnd w:id="146"/>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Registrants will also make each person participating in the Exchange Offer aware (through the Exchange Offer prospectus) that 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which prospectus may be the prospectus for the Exchange Offer so long as it contains a plan of distribution with respect to such resale transactions (such plan of distribution need not name the broker-dealer or disclose the amount of exchange notes held by the broker-dealer).</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Registrants will include in the transmittal letter or similar documentation to be executed by an exchange offeree in order to participate in the Exchange Offer the following additional provisions: (i) if the exchange offeree is not a broker-dealer, a representation that it is not engaged in, and does not intend to engage in, a distribution of the exchange notes; and (ii) if the exchange offeree is a broker-dealer holding original notes acquired for its own account as a result of market-making activities or other trading activities, an acknowledgment that it will deliver a prospectus meeting the requirements of the Securities Act in connection with any resale of exchange notes received in respect of such original notes pursuant to the Exchange Offer. The transmittal letter or similar documentation also will include a statement to the effect that by so acknowledging and delivering a prospectus, a broker-dealer will not be deemed to admit that it is an “underwriter” within the meaning of the Securities Act. In addition, the transmittal letter will also include a representation that the broker-dealer has not entered into any arrangement or understanding with any of the Registrants or an affiliate of any of the Registrants to distribute the exchange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7" w:name="page148"/>
    <w:bookmarkEnd w:id="147"/>
    <w:p>
      <w:pPr>
        <w:ind w:left="5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SCOTTS MIRACLE-GRO COMPANY</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C. Evans</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 Chief Financial Officer and Executive Vice</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President, Strategy and Business Development</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C. Evans</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 Chief Financial Officer and Executive Vice</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President, Strategy and Business Development</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EG SYSTEMS, INC., d/b/a SCOTTS LAWNSERVICE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GUTWEIN &amp; CO.,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HYPONEX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SCOTTS TEMECULA OPERATIONS,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SCOTTS MANUFACTURING COMPANY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SMG GROWING MEDIA, INC.</w:t>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C. Evans</w:t>
      </w:r>
    </w:p>
    <w:p>
      <w:pPr>
        <w:spacing w:after="0" w:line="15" w:lineRule="exact"/>
        <w:rPr>
          <w:sz w:val="20"/>
          <w:szCs w:val="20"/>
          <w:color w:val="auto"/>
        </w:rPr>
      </w:pPr>
    </w:p>
    <w:p>
      <w:pPr>
        <w:ind w:left="620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w:t>
      </w:r>
    </w:p>
    <w:p>
      <w:pPr>
        <w:spacing w:after="0" w:line="16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660"/>
          </w:cols>
          <w:pgMar w:left="1440" w:top="482" w:right="799" w:bottom="1440" w:gutter="0" w:footer="0" w:header="0"/>
        </w:sectPr>
      </w:pPr>
    </w:p>
    <w:bookmarkStart w:id="148" w:name="page149"/>
    <w:bookmarkEnd w:id="14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OMS INVESTMENTS,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SWISS FARMS PRODUCTS,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SMG BRANDS,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SCOTTS-SIERRA INVESTMENTS, INC.</w:t>
      </w:r>
    </w:p>
    <w:p>
      <w:pPr>
        <w:spacing w:after="0" w:line="255" w:lineRule="exact"/>
        <w:rPr>
          <w:sz w:val="20"/>
          <w:szCs w:val="20"/>
          <w:color w:val="auto"/>
        </w:rPr>
      </w:pPr>
    </w:p>
    <w:p>
      <w:pPr>
        <w:ind w:left="584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Aimee M.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Aimee M. DeLuca</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 President and CEO</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sectPr>
      <w:pgSz w:w="11900" w:h="16838" w:orient="portrait"/>
      <w:cols w:equalWidth="0" w:num="1">
        <w:col w:w="9019"/>
      </w:cols>
      <w:pgMar w:left="14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1)"/>
      <w:numFmt w:val="decimal"/>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lvl w:ilvl="1">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1)"/>
      <w:numFmt w:val="decimal"/>
      <w:start w:val="937"/>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1)"/>
      <w:numFmt w:val="decimal"/>
      <w:start w:val="6"/>
    </w:lvl>
  </w:abstractNum>
  <w:abstractNum w:abstractNumId="17">
    <w:nsid w:val="60B6DF70"/>
    <w:multiLevelType w:val="hybridMultilevel"/>
    <w:lvl w:ilvl="0">
      <w:lvlJc w:val="left"/>
      <w:lvlText w:val="(%1)"/>
      <w:numFmt w:val="lowerLetter"/>
      <w:start w:val="1"/>
    </w:lvl>
  </w:abstractNum>
  <w:abstractNum w:abstractNumId="18">
    <w:nsid w:val="6A5EE64"/>
    <w:multiLevelType w:val="hybridMultilevel"/>
    <w:lvl w:ilvl="0">
      <w:lvlJc w:val="left"/>
      <w:lvlText w:val="(%1)"/>
      <w:numFmt w:val="lowerLetter"/>
      <w:start w:val="2"/>
    </w:lvl>
  </w:abstractNum>
  <w:abstractNum w:abstractNumId="19">
    <w:nsid w:val="14330624"/>
    <w:multiLevelType w:val="hybridMultilevel"/>
    <w:lvl w:ilvl="0">
      <w:lvlJc w:val="left"/>
      <w:lvlText w:val="(%1)"/>
      <w:numFmt w:val="decimal"/>
      <w:start w:val="8"/>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1)"/>
      <w:numFmt w:val="decimal"/>
      <w:start w:val="1"/>
    </w:lvl>
  </w:abstractNum>
  <w:abstractNum w:abstractNumId="28">
    <w:nsid w:val="885E1B"/>
    <w:multiLevelType w:val="hybridMultilevel"/>
    <w:lvl w:ilvl="0">
      <w:lvlJc w:val="left"/>
      <w:lvlText w:val="(%1)"/>
      <w:numFmt w:val="decimal"/>
      <w:start w:val="1"/>
    </w:lvl>
  </w:abstractNum>
  <w:abstractNum w:abstractNumId="29">
    <w:nsid w:val="76272110"/>
    <w:multiLevelType w:val="hybridMultilevel"/>
    <w:lvl w:ilvl="0">
      <w:lvlJc w:val="left"/>
      <w:lvlText w:val="(%1)"/>
      <w:numFmt w:val="lowerRoman"/>
      <w:start w:val="2"/>
    </w:lvl>
  </w:abstractNum>
  <w:abstractNum w:abstractNumId="30">
    <w:nsid w:val="4C04A8AF"/>
    <w:multiLevelType w:val="hybridMultilevel"/>
    <w:lvl w:ilvl="0">
      <w:lvlJc w:val="left"/>
      <w:lvlText w:val="(%1)"/>
      <w:numFmt w:val="decimal"/>
      <w:start w:val="1"/>
    </w:lvl>
  </w:abstractNum>
  <w:abstractNum w:abstractNumId="31">
    <w:nsid w:val="1716703B"/>
    <w:multiLevelType w:val="hybridMultilevel"/>
    <w:lvl w:ilvl="0">
      <w:lvlJc w:val="left"/>
      <w:lvlText w:val="(%1)"/>
      <w:numFmt w:val="decimal"/>
      <w:start w:val="1"/>
    </w:lvl>
  </w:abstractNum>
  <w:abstractNum w:abstractNumId="32">
    <w:nsid w:val="14E17E33"/>
    <w:multiLevelType w:val="hybridMultilevel"/>
    <w:lvl w:ilvl="0">
      <w:lvlJc w:val="left"/>
      <w:lvlText w:val="(%1)"/>
      <w:numFmt w:val="decimal"/>
      <w:start w:val="2"/>
    </w:lvl>
  </w:abstractNum>
  <w:abstractNum w:abstractNumId="33">
    <w:nsid w:val="3222E7CD"/>
    <w:multiLevelType w:val="hybridMultilevel"/>
    <w:lvl w:ilvl="0">
      <w:lvlJc w:val="left"/>
      <w:lvlText w:val="(%1)"/>
      <w:numFmt w:val="decimal"/>
      <w:start w:val="1"/>
    </w:lvl>
  </w:abstractNum>
  <w:abstractNum w:abstractNumId="34">
    <w:nsid w:val="74DE0EE3"/>
    <w:multiLevelType w:val="hybridMultilevel"/>
    <w:lvl w:ilvl="0">
      <w:lvlJc w:val="left"/>
      <w:lvlText w:val="(%1)"/>
      <w:numFmt w:val="decimal"/>
      <w:start w:val="10"/>
    </w:lvl>
  </w:abstractNum>
  <w:abstractNum w:abstractNumId="35">
    <w:nsid w:val="68EBC550"/>
    <w:multiLevelType w:val="hybridMultilevel"/>
    <w:lvl w:ilvl="0">
      <w:lvlJc w:val="left"/>
      <w:lvlText w:val="%1"/>
      <w:numFmt w:val="decimal"/>
      <w:start w:val="60"/>
    </w:lvl>
  </w:abstractNum>
  <w:abstractNum w:abstractNumId="36">
    <w:nsid w:val="2DF6D648"/>
    <w:multiLevelType w:val="hybridMultilevel"/>
    <w:lvl w:ilvl="0">
      <w:lvlJc w:val="left"/>
      <w:lvlText w:val="(%1)"/>
      <w:numFmt w:val="decimal"/>
      <w:start w:val="1"/>
    </w:lvl>
  </w:abstractNum>
  <w:abstractNum w:abstractNumId="37">
    <w:nsid w:val="46B7D447"/>
    <w:multiLevelType w:val="hybridMultilevel"/>
    <w:lvl w:ilvl="0">
      <w:lvlJc w:val="left"/>
      <w:lvlText w:val="(%1)"/>
      <w:numFmt w:val="decimal"/>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decimal"/>
      <w:start w:val="4"/>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decimal"/>
      <w:start w:val="1"/>
    </w:lvl>
  </w:abstractNum>
  <w:abstractNum w:abstractNumId="45">
    <w:nsid w:val="7F01579B"/>
    <w:multiLevelType w:val="hybridMultilevel"/>
    <w:lvl w:ilvl="0">
      <w:lvlJc w:val="left"/>
      <w:lvlText w:val="(%1)"/>
      <w:numFmt w:val="decimal"/>
      <w:start w:val="1"/>
    </w:lvl>
  </w:abstractNum>
  <w:abstractNum w:abstractNumId="46">
    <w:nsid w:val="49DA307D"/>
    <w:multiLevelType w:val="hybridMultilevel"/>
    <w:lvl w:ilvl="0">
      <w:lvlJc w:val="left"/>
      <w:lvlText w:val="(%1)"/>
      <w:numFmt w:val="decimal"/>
      <w:start w:val="2"/>
    </w:lvl>
    <w:lvl w:ilvl="1">
      <w:lvlJc w:val="left"/>
      <w:lvlText w:val="(%2)"/>
      <w:numFmt w:val="lowerRoman"/>
      <w:start w:val="1"/>
    </w:lvl>
  </w:abstractNum>
  <w:abstractNum w:abstractNumId="47">
    <w:nsid w:val="7055A5F5"/>
    <w:multiLevelType w:val="hybridMultilevel"/>
    <w:lvl w:ilvl="0">
      <w:lvlJc w:val="left"/>
      <w:lvlText w:val="(%1)"/>
      <w:numFmt w:val="upperLetter"/>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1)"/>
      <w:numFmt w:val="decimal"/>
      <w:start w:val="1"/>
    </w:lvl>
  </w:abstractNum>
  <w:abstractNum w:abstractNumId="50">
    <w:nsid w:val="488AC1A"/>
    <w:multiLevelType w:val="hybridMultilevel"/>
    <w:lvl w:ilvl="0">
      <w:lvlJc w:val="left"/>
      <w:lvlText w:val="(%1)"/>
      <w:numFmt w:val="decimal"/>
      <w:start w:val="2"/>
    </w:lvl>
  </w:abstractNum>
  <w:abstractNum w:abstractNumId="51">
    <w:nsid w:val="5FB8011C"/>
    <w:multiLevelType w:val="hybridMultilevel"/>
    <w:lvl w:ilvl="0">
      <w:lvlJc w:val="left"/>
      <w:lvlText w:val="(%1)"/>
      <w:numFmt w:val="lowerLetter"/>
      <w:start w:val="1"/>
    </w:lvl>
    <w:lvl w:ilvl="1">
      <w:lvlJc w:val="left"/>
      <w:lvlText w:val="(%2)"/>
      <w:numFmt w:val="lowerRoman"/>
      <w:start w:val="1"/>
    </w:lvl>
  </w:abstractNum>
  <w:abstractNum w:abstractNumId="52">
    <w:nsid w:val="6AA78F7F"/>
    <w:multiLevelType w:val="hybridMultilevel"/>
    <w:lvl w:ilvl="0">
      <w:lvlJc w:val="left"/>
      <w:lvlText w:val="(%1)"/>
      <w:numFmt w:val="decimal"/>
      <w:start w:val="1"/>
    </w:lvl>
  </w:abstractNum>
  <w:abstractNum w:abstractNumId="53">
    <w:nsid w:val="7672BD23"/>
    <w:multiLevelType w:val="hybridMultilevel"/>
    <w:lvl w:ilvl="0">
      <w:lvlJc w:val="left"/>
      <w:lvlText w:val="(%1)"/>
      <w:numFmt w:val="decimal"/>
      <w:start w:val="3"/>
    </w:lvl>
  </w:abstractNum>
  <w:abstractNum w:abstractNumId="54">
    <w:nsid w:val="6FC75AF8"/>
    <w:multiLevelType w:val="hybridMultilevel"/>
    <w:lvl w:ilvl="0">
      <w:lvlJc w:val="left"/>
      <w:lvlText w:val="(%1)"/>
      <w:numFmt w:val="decimal"/>
      <w:start w:val="1"/>
    </w:lvl>
    <w:lvl w:ilvl="1">
      <w:lvlJc w:val="left"/>
      <w:lvlText w:val="(%2)"/>
      <w:numFmt w:val="lowerLetter"/>
      <w:start w:val="1"/>
    </w:lvl>
  </w:abstractNum>
  <w:abstractNum w:abstractNumId="55">
    <w:nsid w:val="6A5F7029"/>
    <w:multiLevelType w:val="hybridMultilevel"/>
    <w:lvl w:ilvl="0">
      <w:lvlJc w:val="left"/>
      <w:lvlText w:val="(%1)"/>
      <w:numFmt w:val="decimal"/>
      <w:start w:val="8"/>
    </w:lvl>
  </w:abstractNum>
  <w:abstractNum w:abstractNumId="56">
    <w:nsid w:val="7D5E18F8"/>
    <w:multiLevelType w:val="hybridMultilevel"/>
    <w:lvl w:ilvl="0">
      <w:lvlJc w:val="left"/>
      <w:lvlText w:val="(%1)"/>
      <w:numFmt w:val="decimal"/>
      <w:start w:val="1"/>
    </w:lvl>
  </w:abstractNum>
  <w:abstractNum w:abstractNumId="57">
    <w:nsid w:val="5F3534A4"/>
    <w:multiLevelType w:val="hybridMultilevel"/>
    <w:lvl w:ilvl="0">
      <w:lvlJc w:val="left"/>
      <w:lvlText w:val="(%1)"/>
      <w:numFmt w:val="decimal"/>
      <w:start w:val="1"/>
    </w:lvl>
  </w:abstractNum>
  <w:abstractNum w:abstractNumId="58">
    <w:nsid w:val="73A1821B"/>
    <w:multiLevelType w:val="hybridMultilevel"/>
    <w:lvl w:ilvl="0">
      <w:lvlJc w:val="left"/>
      <w:lvlText w:val="(%1)"/>
      <w:numFmt w:val="decimal"/>
      <w:start w:val="1"/>
    </w:lvl>
  </w:abstractNum>
  <w:abstractNum w:abstractNumId="59">
    <w:nsid w:val="7DE67713"/>
    <w:multiLevelType w:val="hybridMultilevel"/>
    <w:lvl w:ilvl="0">
      <w:lvlJc w:val="left"/>
      <w:lvlText w:val="(%1)"/>
      <w:numFmt w:val="decimal"/>
      <w:start w:val="12"/>
    </w:lvl>
  </w:abstractNum>
  <w:abstractNum w:abstractNumId="60">
    <w:nsid w:val="555C55B5"/>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4)"/>
      <w:numFmt w:val="lowerLetter"/>
      <w:start w:val="24"/>
    </w:lvl>
  </w:abstractNum>
  <w:abstractNum w:abstractNumId="61">
    <w:nsid w:val="3FA62ACA"/>
    <w:multiLevelType w:val="hybridMultilevel"/>
    <w:lvl w:ilvl="0">
      <w:lvlJc w:val="left"/>
      <w:lvlText w:val="(%1)"/>
      <w:numFmt w:val="lowerRoman"/>
      <w:start w:val="2"/>
    </w:lvl>
  </w:abstractNum>
  <w:abstractNum w:abstractNumId="62">
    <w:nsid w:val="14FCE74E"/>
    <w:multiLevelType w:val="hybridMultilevel"/>
    <w:lvl w:ilvl="0">
      <w:lvlJc w:val="left"/>
      <w:lvlText w:val="(%1)"/>
      <w:numFmt w:val="lowerLetter"/>
      <w:start w:val="2"/>
    </w:lvl>
    <w:lvl w:ilvl="1">
      <w:lvlJc w:val="left"/>
      <w:lvlText w:val="(%2)"/>
      <w:numFmt w:val="lowerRoman"/>
      <w:start w:val="1"/>
    </w:lvl>
  </w:abstractNum>
  <w:abstractNum w:abstractNumId="63">
    <w:nsid w:val="6A3DD3E8"/>
    <w:multiLevelType w:val="hybridMultilevel"/>
    <w:lvl w:ilvl="0">
      <w:lvlJc w:val="left"/>
      <w:lvlText w:val="(%1)"/>
      <w:numFmt w:val="decimal"/>
      <w:start w:val="1"/>
    </w:lvl>
    <w:lvl w:ilvl="1">
      <w:lvlJc w:val="left"/>
      <w:lvlText w:val="(%2)"/>
      <w:numFmt w:val="lowerLetter"/>
      <w:start w:val="1"/>
    </w:lvl>
  </w:abstractNum>
  <w:abstractNum w:abstractNumId="64">
    <w:nsid w:val="71C91298"/>
    <w:multiLevelType w:val="hybridMultilevel"/>
    <w:lvl w:ilvl="0">
      <w:lvlJc w:val="left"/>
      <w:lvlText w:val="(%1)"/>
      <w:numFmt w:val="lowerLetter"/>
      <w:start w:val="2"/>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lowerLetter"/>
      <w:start w:val="3"/>
    </w:lvl>
    <w:lvl w:ilvl="1">
      <w:lvlJc w:val="left"/>
      <w:lvlText w:val="(%2)"/>
      <w:numFmt w:val="lowerRoman"/>
      <w:start w:val="1"/>
    </w:lvl>
  </w:abstractNum>
  <w:abstractNum w:abstractNumId="67">
    <w:nsid w:val="1FBFE8E0"/>
    <w:multiLevelType w:val="hybridMultilevel"/>
    <w:lvl w:ilvl="0">
      <w:lvlJc w:val="left"/>
      <w:lvlText w:val="(%1)"/>
      <w:numFmt w:val="decimal"/>
      <w:start w:val="1"/>
    </w:lvl>
    <w:lvl w:ilvl="1">
      <w:lvlJc w:val="left"/>
      <w:lvlText w:val="(%2)"/>
      <w:numFmt w:val="lowerLetter"/>
      <w:start w:val="1"/>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1"/>
    </w:lvl>
  </w:abstractNum>
  <w:abstractNum w:abstractNumId="70">
    <w:nsid w:val="59ADEA3D"/>
    <w:multiLevelType w:val="hybridMultilevel"/>
    <w:lvl w:ilvl="0">
      <w:lvlJc w:val="left"/>
      <w:lvlText w:val="(%1)"/>
      <w:numFmt w:val="decimal"/>
      <w:start w:val="2"/>
    </w:lvl>
  </w:abstractNum>
  <w:abstractNum w:abstractNumId="71">
    <w:nsid w:val="288F1A34"/>
    <w:multiLevelType w:val="hybridMultilevel"/>
    <w:lvl w:ilvl="0">
      <w:lvlJc w:val="left"/>
      <w:lvlText w:val="(%1)"/>
      <w:numFmt w:val="decimal"/>
      <w:start w:val="1"/>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1)"/>
      <w:numFmt w:val="decimal"/>
      <w:start w:val="1"/>
    </w:lvl>
  </w:abstractNum>
  <w:abstractNum w:abstractNumId="74">
    <w:nsid w:val="97E1B4E"/>
    <w:multiLevelType w:val="hybridMultilevel"/>
    <w:lvl w:ilvl="0">
      <w:lvlJc w:val="left"/>
      <w:lvlText w:val="(%1)"/>
      <w:numFmt w:val="decimal"/>
      <w:start w:val="6"/>
    </w:lvl>
  </w:abstractNum>
  <w:abstractNum w:abstractNumId="75">
    <w:nsid w:val="51088277"/>
    <w:multiLevelType w:val="hybridMultilevel"/>
    <w:lvl w:ilvl="0">
      <w:lvlJc w:val="left"/>
      <w:lvlText w:val="(%1)"/>
      <w:numFmt w:val="lowerLetter"/>
      <w:start w:val="1"/>
    </w:lvl>
    <w:lvl w:ilvl="1">
      <w:lvlJc w:val="left"/>
      <w:lvlText w:val="(%2)"/>
      <w:numFmt w:val="lowerRoman"/>
      <w:start w:val="1"/>
    </w:lvl>
  </w:abstractNum>
  <w:abstractNum w:abstractNumId="76">
    <w:nsid w:val="1CA0C5FA"/>
    <w:multiLevelType w:val="hybridMultilevel"/>
    <w:lvl w:ilvl="0">
      <w:lvlJc w:val="left"/>
      <w:lvlText w:val="(%1)"/>
      <w:numFmt w:val="decimal"/>
      <w:start w:val="1"/>
    </w:lvl>
  </w:abstractNum>
  <w:abstractNum w:abstractNumId="77">
    <w:nsid w:val="53584BCB"/>
    <w:multiLevelType w:val="hybridMultilevel"/>
    <w:lvl w:ilvl="0">
      <w:lvlJc w:val="left"/>
      <w:lvlText w:val="(%1)"/>
      <w:numFmt w:val="decimal"/>
      <w:start w:val="1"/>
    </w:lvl>
  </w:abstractNum>
  <w:abstractNum w:abstractNumId="78">
    <w:nsid w:val="415E286C"/>
    <w:multiLevelType w:val="hybridMultilevel"/>
    <w:lvl w:ilvl="0">
      <w:lvlJc w:val="left"/>
      <w:lvlText w:val="(%1)"/>
      <w:numFmt w:val="decimal"/>
      <w:start w:val="5"/>
    </w:lvl>
  </w:abstractNum>
  <w:abstractNum w:abstractNumId="79">
    <w:nsid w:val="7C58FD05"/>
    <w:multiLevelType w:val="hybridMultilevel"/>
    <w:lvl w:ilvl="0">
      <w:lvlJc w:val="left"/>
      <w:lvlText w:val="(%1)"/>
      <w:numFmt w:val="decimal"/>
      <w:start w:val="1"/>
    </w:lvl>
  </w:abstractNum>
  <w:abstractNum w:abstractNumId="80">
    <w:nsid w:val="23D86AAC"/>
    <w:multiLevelType w:val="hybridMultilevel"/>
    <w:lvl w:ilvl="0">
      <w:lvlJc w:val="left"/>
      <w:lvlText w:val="(%1)"/>
      <w:numFmt w:val="decimal"/>
      <w:start w:val="1"/>
    </w:lvl>
  </w:abstractNum>
  <w:abstractNum w:abstractNumId="81">
    <w:nsid w:val="45E6D486"/>
    <w:multiLevelType w:val="hybridMultilevel"/>
    <w:lvl w:ilvl="0">
      <w:lvlJc w:val="left"/>
      <w:lvlText w:val="(%1)"/>
      <w:numFmt w:val="decimal"/>
      <w:start w:val="1"/>
    </w:lvl>
  </w:abstractNum>
  <w:abstractNum w:abstractNumId="82">
    <w:nsid w:val="5C10FE21"/>
    <w:multiLevelType w:val="hybridMultilevel"/>
    <w:lvl w:ilvl="0">
      <w:lvlJc w:val="left"/>
      <w:lvlText w:val="(%1)"/>
      <w:numFmt w:val="decimal"/>
      <w:start w:val="6"/>
    </w:lvl>
  </w:abstractNum>
  <w:abstractNum w:abstractNumId="83">
    <w:nsid w:val="E7FFA2B"/>
    <w:multiLevelType w:val="hybridMultilevel"/>
    <w:lvl w:ilvl="0">
      <w:lvlJc w:val="left"/>
      <w:lvlText w:val="(%1)"/>
      <w:numFmt w:val="decimal"/>
      <w:start w:val="1"/>
    </w:lvl>
  </w:abstractNum>
  <w:abstractNum w:abstractNumId="84">
    <w:nsid w:val="3C5991AA"/>
    <w:multiLevelType w:val="hybridMultilevel"/>
    <w:lvl w:ilvl="0">
      <w:lvlJc w:val="left"/>
      <w:lvlText w:val="(%1)"/>
      <w:numFmt w:val="lowerLetter"/>
      <w:start w:val="1"/>
    </w:lvl>
  </w:abstractNum>
  <w:abstractNum w:abstractNumId="85">
    <w:nsid w:val="4BD8591A"/>
    <w:multiLevelType w:val="hybridMultilevel"/>
    <w:lvl w:ilvl="0">
      <w:lvlJc w:val="left"/>
      <w:lvlText w:val="(%1)"/>
      <w:numFmt w:val="decimal"/>
      <w:start w:val="1"/>
    </w:lvl>
  </w:abstractNum>
  <w:abstractNum w:abstractNumId="86">
    <w:nsid w:val="78DF6A55"/>
    <w:multiLevelType w:val="hybridMultilevel"/>
    <w:lvl w:ilvl="0">
      <w:lvlJc w:val="left"/>
      <w:lvlText w:val="(%1)"/>
      <w:numFmt w:val="decimal"/>
      <w:start w:val="1"/>
    </w:lvl>
  </w:abstractNum>
  <w:abstractNum w:abstractNumId="87">
    <w:nsid w:val="39B7AAA2"/>
    <w:multiLevelType w:val="hybridMultilevel"/>
    <w:lvl w:ilvl="0">
      <w:lvlJc w:val="left"/>
      <w:lvlText w:val="(%1)"/>
      <w:numFmt w:val="decimal"/>
      <w:start w:val="1"/>
    </w:lvl>
  </w:abstractNum>
  <w:abstractNum w:abstractNumId="88">
    <w:nsid w:val="2B0D8DBE"/>
    <w:multiLevelType w:val="hybridMultilevel"/>
    <w:lvl w:ilvl="0">
      <w:lvlJc w:val="left"/>
      <w:lvlText w:val="(%1)"/>
      <w:numFmt w:val="decimal"/>
      <w:start w:val="2"/>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1)"/>
      <w:numFmt w:val="decimal"/>
      <w:start w:val="1"/>
    </w:lvl>
  </w:abstractNum>
  <w:abstractNum w:abstractNumId="91">
    <w:nsid w:val="69E373"/>
    <w:multiLevelType w:val="hybridMultilevel"/>
    <w:lvl w:ilvl="0">
      <w:lvlJc w:val="left"/>
      <w:lvlText w:val="(%1)"/>
      <w:numFmt w:val="decimal"/>
      <w:start w:val="2"/>
    </w:lvl>
  </w:abstractNum>
  <w:abstractNum w:abstractNumId="92">
    <w:nsid w:val="2C27173B"/>
    <w:multiLevelType w:val="hybridMultilevel"/>
    <w:lvl w:ilvl="0">
      <w:lvlJc w:val="left"/>
      <w:lvlText w:val="(%1)"/>
      <w:numFmt w:val="decimal"/>
      <w:start w:val="1"/>
    </w:lvl>
  </w:abstractNum>
  <w:abstractNum w:abstractNumId="93">
    <w:nsid w:val="4C9B0904"/>
    <w:multiLevelType w:val="hybridMultilevel"/>
    <w:lvl w:ilvl="0">
      <w:lvlJc w:val="left"/>
      <w:lvlText w:val="(%1)"/>
      <w:numFmt w:val="decimal"/>
      <w:start w:val="1"/>
    </w:lvl>
  </w:abstractNum>
  <w:abstractNum w:abstractNumId="94">
    <w:nsid w:val="6AA7B75C"/>
    <w:multiLevelType w:val="hybridMultilevel"/>
    <w:lvl w:ilvl="0">
      <w:lvlJc w:val="left"/>
      <w:lvlText w:val="(%1)"/>
      <w:numFmt w:val="decimal"/>
      <w:start w:val="2"/>
    </w:lvl>
  </w:abstractNum>
  <w:abstractNum w:abstractNumId="95">
    <w:nsid w:val="1DF029D3"/>
    <w:multiLevelType w:val="hybridMultilevel"/>
    <w:lvl w:ilvl="0">
      <w:lvlJc w:val="left"/>
      <w:lvlText w:val="(%1)"/>
      <w:numFmt w:val="lowerRoman"/>
      <w:start w:val="1"/>
    </w:lvl>
  </w:abstractNum>
  <w:abstractNum w:abstractNumId="96">
    <w:nsid w:val="5675FF36"/>
    <w:multiLevelType w:val="hybridMultilevel"/>
    <w:lvl w:ilvl="0">
      <w:lvlJc w:val="left"/>
      <w:lvlText w:val="(%1)"/>
      <w:numFmt w:val="lowerLetter"/>
      <w:start w:val="1"/>
    </w:lvl>
  </w:abstractNum>
  <w:abstractNum w:abstractNumId="97">
    <w:nsid w:val="3DD15094"/>
    <w:multiLevelType w:val="hybridMultilevel"/>
    <w:lvl w:ilvl="0">
      <w:lvlJc w:val="left"/>
      <w:lvlText w:val="(%1)"/>
      <w:numFmt w:val="lowerLetter"/>
      <w:start w:val="3"/>
    </w:lvl>
  </w:abstractNum>
  <w:abstractNum w:abstractNumId="98">
    <w:nsid w:val="3DB012B3"/>
    <w:multiLevelType w:val="hybridMultilevel"/>
    <w:lvl w:ilvl="0">
      <w:lvlJc w:val="left"/>
      <w:lvlText w:val="(%1)"/>
      <w:numFmt w:val="lowerRoman"/>
      <w:start w:val="2"/>
    </w:lvl>
  </w:abstractNum>
  <w:abstractNum w:abstractNumId="99">
    <w:nsid w:val="2708C9AF"/>
    <w:multiLevelType w:val="hybridMultilevel"/>
    <w:lvl w:ilvl="0">
      <w:lvlJc w:val="left"/>
      <w:lvlText w:val="(%1)"/>
      <w:numFmt w:val="decimal"/>
      <w:start w:val="1"/>
    </w:lvl>
  </w:abstractNum>
  <w:abstractNum w:abstractNumId="100">
    <w:nsid w:val="5B25ACE2"/>
    <w:multiLevelType w:val="hybridMultilevel"/>
    <w:lvl w:ilvl="0">
      <w:lvlJc w:val="left"/>
      <w:lvlText w:val="(%1)"/>
      <w:numFmt w:val="decimal"/>
      <w:start w:val="1"/>
    </w:lvl>
  </w:abstractNum>
  <w:abstractNum w:abstractNumId="101">
    <w:nsid w:val="175DFCF0"/>
    <w:multiLevelType w:val="hybridMultilevel"/>
    <w:lvl w:ilvl="0">
      <w:lvlJc w:val="left"/>
      <w:lvlText w:val="(%1)"/>
      <w:numFmt w:val="decimal"/>
      <w:start w:val="1"/>
    </w:lvl>
  </w:abstractNum>
  <w:abstractNum w:abstractNumId="102">
    <w:nsid w:val="4F97E3E4"/>
    <w:multiLevelType w:val="hybridMultilevel"/>
    <w:lvl w:ilvl="0">
      <w:lvlJc w:val="left"/>
      <w:lvlText w:val="(%1)"/>
      <w:numFmt w:val="decimal"/>
      <w:start w:val="1"/>
    </w:lvl>
    <w:lvl w:ilvl="1">
      <w:lvlJc w:val="left"/>
      <w:lvlText w:val="(%2)"/>
      <w:numFmt w:val="lowerLetter"/>
      <w:start w:val="1"/>
    </w:lvl>
  </w:abstractNum>
  <w:abstractNum w:abstractNumId="103">
    <w:nsid w:val="53B0A9E"/>
    <w:multiLevelType w:val="hybridMultilevel"/>
    <w:lvl w:ilvl="0">
      <w:lvlJc w:val="left"/>
      <w:lvlText w:val="(%1)"/>
      <w:numFmt w:val="decimal"/>
      <w:start w:val="4"/>
    </w:lvl>
  </w:abstractNum>
  <w:abstractNum w:abstractNumId="104">
    <w:nsid w:val="34FD6B4F"/>
    <w:multiLevelType w:val="hybridMultilevel"/>
    <w:lvl w:ilvl="0">
      <w:lvlJc w:val="left"/>
      <w:lvlText w:val="(%1)"/>
      <w:numFmt w:val="decimal"/>
      <w:start w:val="1"/>
    </w:lvl>
  </w:abstractNum>
  <w:abstractNum w:abstractNumId="105">
    <w:nsid w:val="5915FF32"/>
    <w:multiLevelType w:val="hybridMultilevel"/>
    <w:lvl w:ilvl="0">
      <w:lvlJc w:val="left"/>
      <w:lvlText w:val="(%1)"/>
      <w:numFmt w:val="decimal"/>
      <w:start w:val="6"/>
    </w:lvl>
  </w:abstractNum>
  <w:abstractNum w:abstractNumId="106">
    <w:nsid w:val="56438D15"/>
    <w:multiLevelType w:val="hybridMultilevel"/>
    <w:lvl w:ilvl="0">
      <w:lvlJc w:val="left"/>
      <w:lvlText w:val="(%1)"/>
      <w:numFmt w:val="decimal"/>
      <w:start w:val="20"/>
    </w:lvl>
  </w:abstractNum>
  <w:abstractNum w:abstractNumId="107">
    <w:nsid w:val="519E3149"/>
    <w:multiLevelType w:val="hybridMultilevel"/>
    <w:lvl w:ilvl="0">
      <w:lvlJc w:val="left"/>
      <w:lvlText w:val="(%1)"/>
      <w:numFmt w:val="decimal"/>
      <w:start w:val="1"/>
    </w:lvl>
  </w:abstractNum>
  <w:abstractNum w:abstractNumId="108">
    <w:nsid w:val="2C6E4AFD"/>
    <w:multiLevelType w:val="hybridMultilevel"/>
    <w:lvl w:ilvl="0">
      <w:lvlJc w:val="left"/>
      <w:lvlText w:val="(%1)"/>
      <w:numFmt w:val="decimal"/>
      <w:start w:val="1"/>
    </w:lvl>
  </w:abstractNum>
  <w:abstractNum w:abstractNumId="109">
    <w:nsid w:val="17A1B582"/>
    <w:multiLevelType w:val="hybridMultilevel"/>
    <w:lvl w:ilvl="0">
      <w:lvlJc w:val="left"/>
      <w:lvlText w:val="(%1)"/>
      <w:numFmt w:val="decimal"/>
      <w:start w:val="1"/>
    </w:lvl>
  </w:abstractNum>
  <w:abstractNum w:abstractNumId="110">
    <w:nsid w:val="4DF72E4E"/>
    <w:multiLevelType w:val="hybridMultilevel"/>
    <w:lvl w:ilvl="0">
      <w:lvlJc w:val="left"/>
      <w:lvlText w:val="(%1)"/>
      <w:numFmt w:val="decimal"/>
      <w:start w:val="1"/>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1)"/>
      <w:numFmt w:val="decimal"/>
      <w:start w:val="1"/>
    </w:lvl>
    <w:lvl w:ilvl="1">
      <w:lvlJc w:val="left"/>
      <w:lvlText w:val="(%2)"/>
      <w:numFmt w:val="lowerLetter"/>
      <w:start w:val="1"/>
    </w:lvl>
  </w:abstractNum>
  <w:abstractNum w:abstractNumId="113">
    <w:nsid w:val="2A082C70"/>
    <w:multiLevelType w:val="hybridMultilevel"/>
    <w:lvl w:ilvl="0">
      <w:lvlJc w:val="left"/>
      <w:lvlText w:val="(%1)"/>
      <w:numFmt w:val="lowerLetter"/>
      <w:start w:val="2"/>
    </w:lvl>
  </w:abstractNum>
  <w:abstractNum w:abstractNumId="114">
    <w:nsid w:val="5EC6AFD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19E21BB2"/>
    <w:multiLevelType w:val="hybridMultilevel"/>
    <w:lvl w:ilvl="0">
      <w:lvlJc w:val="left"/>
      <w:lvlText w:val="(%1)"/>
      <w:numFmt w:val="decimal"/>
      <w:start w:val="8"/>
    </w:lvl>
  </w:abstractNum>
  <w:abstractNum w:abstractNumId="116">
    <w:nsid w:val="75E0858A"/>
    <w:multiLevelType w:val="hybridMultilevel"/>
    <w:lvl w:ilvl="0">
      <w:lvlJc w:val="left"/>
      <w:lvlText w:val="(%1)"/>
      <w:numFmt w:val="upperLetter"/>
      <w:start w:val="1"/>
    </w:lvl>
  </w:abstractNum>
  <w:abstractNum w:abstractNumId="117">
    <w:nsid w:val="57A61A29"/>
    <w:multiLevelType w:val="hybridMultilevel"/>
    <w:lvl w:ilvl="0">
      <w:lvlJc w:val="left"/>
      <w:lvlText w:val="(%1)"/>
      <w:numFmt w:val="upperLetter"/>
      <w:start w:val="4"/>
    </w:lvl>
  </w:abstractNum>
  <w:abstractNum w:abstractNumId="118">
    <w:nsid w:val="5399C654"/>
    <w:multiLevelType w:val="hybridMultilevel"/>
    <w:lvl w:ilvl="0">
      <w:lvlJc w:val="left"/>
      <w:lvlText w:val="(%1)"/>
      <w:numFmt w:val="upperLetter"/>
      <w:start w:val="1"/>
    </w:lvl>
  </w:abstractNum>
  <w:abstractNum w:abstractNumId="119">
    <w:nsid w:val="20EE1348"/>
    <w:multiLevelType w:val="hybridMultilevel"/>
    <w:lvl w:ilvl="0">
      <w:lvlJc w:val="left"/>
      <w:lvlText w:val="(%1)"/>
      <w:numFmt w:val="upperLetter"/>
      <w:start w:val="1"/>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1"/>
      <w:numFmt w:val="decimal"/>
      <w:start w:val="1"/>
    </w:lvl>
    <w:lvl w:ilvl="1">
      <w:lvlJc w:val="left"/>
      <w:lvlText w:val="(%2)"/>
      <w:numFmt w:val="lowerRoman"/>
      <w:start w:val="1"/>
    </w:lvl>
  </w:abstractNum>
  <w:abstractNum w:abstractNumId="122">
    <w:nsid w:val="2157F6BC"/>
    <w:multiLevelType w:val="hybridMultilevel"/>
    <w:lvl w:ilvl="0">
      <w:lvlJc w:val="left"/>
      <w:lvlText w:val="(%1)"/>
      <w:numFmt w:val="decimal"/>
      <w:start w:val="2"/>
    </w:lvl>
    <w:lvl w:ilvl="1">
      <w:lvlJc w:val="left"/>
      <w:lvlText w:val="%2"/>
      <w:numFmt w:val="lowerRoman"/>
      <w:start w:val="1"/>
    </w:lvl>
  </w:abstractNum>
  <w:abstractNum w:abstractNumId="123">
    <w:nsid w:val="704E1DD5"/>
    <w:multiLevelType w:val="hybridMultilevel"/>
    <w:lvl w:ilvl="0">
      <w:lvlJc w:val="left"/>
      <w:lvlText w:val="(%1)"/>
      <w:numFmt w:val="lowerLetter"/>
      <w:start w:val="2"/>
    </w:lvl>
  </w:abstractNum>
  <w:abstractNum w:abstractNumId="124">
    <w:nsid w:val="57D2F10E"/>
    <w:multiLevelType w:val="hybridMultilevel"/>
    <w:lvl w:ilvl="0">
      <w:lvlJc w:val="left"/>
      <w:lvlText w:val="(%1)"/>
      <w:numFmt w:val="lowerLetter"/>
      <w:start w:val="3"/>
    </w:lvl>
  </w:abstractNum>
  <w:abstractNum w:abstractNumId="125">
    <w:nsid w:val="BFFAE18"/>
    <w:multiLevelType w:val="hybridMultilevel"/>
    <w:lvl w:ilvl="0">
      <w:lvlJc w:val="left"/>
      <w:lvlText w:val="%1"/>
      <w:numFmt w:val="lowerLetter"/>
      <w:start w:val="1"/>
    </w:lvl>
    <w:lvl w:ilvl="1">
      <w:lvlJc w:val="left"/>
      <w:lvlText w:val="(%2)"/>
      <w:numFmt w:val="lowerRoman"/>
      <w:start w:val="1"/>
    </w:lvl>
  </w:abstractNum>
  <w:abstractNum w:abstractNumId="126">
    <w:nsid w:val="E3E47A8"/>
    <w:multiLevelType w:val="hybridMultilevel"/>
    <w:lvl w:ilvl="0">
      <w:lvlJc w:val="left"/>
      <w:lvlText w:val="(%1)"/>
      <w:numFmt w:val="lowerLetter"/>
      <w:start w:val="4"/>
    </w:lvl>
    <w:lvl w:ilvl="1">
      <w:lvlJc w:val="left"/>
      <w:lvlText w:val="%2"/>
      <w:numFmt w:val="lowerRoman"/>
      <w:start w:val="1"/>
    </w:lvl>
  </w:abstractNum>
  <w:abstractNum w:abstractNumId="127">
    <w:nsid w:val="2E48F044"/>
    <w:multiLevelType w:val="hybridMultilevel"/>
    <w:lvl w:ilvl="0">
      <w:lvlJc w:val="left"/>
      <w:lvlText w:val="%1."/>
      <w:numFmt w:val="decimal"/>
      <w:start w:val="1"/>
    </w:lvl>
  </w:abstractNum>
  <w:abstractNum w:abstractNumId="128">
    <w:nsid w:val="49D0FEAC"/>
    <w:multiLevelType w:val="hybridMultilevel"/>
    <w:lvl w:ilvl="0">
      <w:lvlJc w:val="left"/>
      <w:lvlText w:val="%1."/>
      <w:numFmt w:val="upperLetter"/>
      <w:start w:val="1"/>
    </w:lvl>
  </w:abstractNum>
  <w:abstractNum w:abstractNumId="129">
    <w:nsid w:val="4BEE5A5B"/>
    <w:multiLevelType w:val="hybridMultilevel"/>
    <w:lvl w:ilvl="0">
      <w:lvlJc w:val="left"/>
      <w:lvlText w:val="%1."/>
      <w:numFmt w:val="decimal"/>
      <w:start w:val="1"/>
    </w:lvl>
  </w:abstractNum>
  <w:abstractNum w:abstractNumId="130">
    <w:nsid w:val="5551B9F3"/>
    <w:multiLevelType w:val="hybridMultilevel"/>
    <w:lvl w:ilvl="0">
      <w:lvlJc w:val="left"/>
      <w:lvlText w:val="%1."/>
      <w:numFmt w:val="upperLetter"/>
      <w:start w:val="1"/>
    </w:lvl>
  </w:abstractNum>
  <w:abstractNum w:abstractNumId="131">
    <w:nsid w:val="24F6AB8E"/>
    <w:multiLevelType w:val="hybridMultilevel"/>
    <w:lvl w:ilvl="0">
      <w:lvlJc w:val="left"/>
      <w:lvlText w:val="%1."/>
      <w:numFmt w:val="upperLetter"/>
      <w:start w:val="3"/>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1)"/>
      <w:numFmt w:val="decimal"/>
      <w:start w:val="1"/>
    </w:lvl>
  </w:abstractNum>
  <w:abstractNum w:abstractNumId="134">
    <w:nsid w:val="2A31B62D"/>
    <w:multiLevelType w:val="hybridMultilevel"/>
    <w:lvl w:ilvl="0">
      <w:lvlJc w:val="left"/>
      <w:lvlText w:val="%1)"/>
      <w:numFmt w:val="lowerLetter"/>
      <w:start w:val="1"/>
    </w:lvl>
  </w:abstractNum>
  <w:abstractNum w:abstractNumId="135">
    <w:nsid w:val="1849C29B"/>
    <w:multiLevelType w:val="hybridMultilevel"/>
    <w:lvl w:ilvl="0">
      <w:lvlJc w:val="left"/>
      <w:lvlText w:val="*"/>
      <w:numFmt w:val="bullet"/>
      <w:start w:val="1"/>
    </w:lvl>
    <w:lvl w:ilvl="1">
      <w:lvlJc w:val="left"/>
      <w:lvlText w:val="%2."/>
      <w:numFmt w:val="decimal"/>
      <w:start w:val="1"/>
    </w:lvl>
  </w:abstractNum>
  <w:abstractNum w:abstractNumId="136">
    <w:nsid w:val="7DFF9D09"/>
    <w:multiLevelType w:val="hybridMultilevel"/>
    <w:lvl w:ilvl="0">
      <w:lvlJc w:val="left"/>
      <w:lvlText w:val="**"/>
      <w:numFmt w:val="bullet"/>
      <w:start w:val="1"/>
    </w:lvl>
    <w:lvl w:ilvl="1">
      <w:lvlJc w:val="left"/>
      <w:lvlText w:val="%2"/>
      <w:numFmt w:val="decimal"/>
      <w:start w:val="1"/>
    </w:lvl>
  </w:abstractNum>
  <w:abstractNum w:abstractNumId="137">
    <w:nsid w:val="754342"/>
    <w:multiLevelType w:val="hybridMultilevel"/>
    <w:lvl w:ilvl="0">
      <w:lvlJc w:val="left"/>
      <w:lvlText w:val="%1."/>
      <w:numFmt w:val="decimal"/>
      <w:start w:val="1"/>
    </w:lvl>
  </w:abstractNum>
  <w:abstractNum w:abstractNumId="138">
    <w:nsid w:val="69E7F3E5"/>
    <w:multiLevelType w:val="hybridMultilevel"/>
    <w:lvl w:ilvl="0">
      <w:lvlJc w:val="left"/>
      <w:lvlText w:val="%1."/>
      <w:numFmt w:val="decimal"/>
      <w:start w:val="1"/>
    </w:lvl>
  </w:abstractNum>
  <w:abstractNum w:abstractNumId="139">
    <w:nsid w:val="2A6DE806"/>
    <w:multiLevelType w:val="hybridMultilevel"/>
    <w:lvl w:ilvl="0">
      <w:lvlJc w:val="left"/>
      <w:lvlText w:val="•"/>
      <w:numFmt w:val="bullet"/>
      <w:start w:val="1"/>
    </w:lvl>
  </w:abstractNum>
  <w:abstractNum w:abstractNumId="140">
    <w:nsid w:val="1816F8C4"/>
    <w:multiLevelType w:val="hybridMultilevel"/>
    <w:lvl w:ilvl="0">
      <w:lvlJc w:val="left"/>
      <w:lvlText w:val="•"/>
      <w:numFmt w:val="bullet"/>
      <w:start w:val="1"/>
    </w:lvl>
  </w:abstractNum>
  <w:abstractNum w:abstractNumId="141">
    <w:nsid w:val="37DF2233"/>
    <w:multiLevelType w:val="hybridMultilevel"/>
    <w:lvl w:ilvl="0">
      <w:lvlJc w:val="left"/>
      <w:lvlText w:val="•"/>
      <w:numFmt w:val="bullet"/>
      <w:start w:val="1"/>
    </w:lvl>
  </w:abstractNum>
  <w:abstractNum w:abstractNumId="142">
    <w:nsid w:val="7AB49DAF"/>
    <w:multiLevelType w:val="hybridMultilevel"/>
    <w:lvl w:ilvl="0">
      <w:lvlJc w:val="left"/>
      <w:lvlText w:val="•"/>
      <w:numFmt w:val="bullet"/>
      <w:start w:val="1"/>
    </w:lvl>
  </w:abstractNum>
  <w:abstractNum w:abstractNumId="143">
    <w:nsid w:val="759F82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2019-12-20T20:09:11Z</dcterms:created>
  <dcterms:modified xsi:type="dcterms:W3CDTF">2019-12-20T20:09:11Z</dcterms:modified>
</cp:coreProperties>
</file>