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1</w:t>
      </w:r>
    </w:p>
    <w:p>
      <w:pPr>
        <w:jc w:val="center"/>
        <w:ind w:right="34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439"/>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(Mark One)</w:t>
      </w:r>
    </w:p>
    <w:p>
      <w:pPr>
        <w:spacing w:after="0" w:line="175" w:lineRule="exact"/>
        <w:rPr>
          <w:sz w:val="24"/>
          <w:szCs w:val="24"/>
          <w:color w:val="auto"/>
        </w:rPr>
      </w:pPr>
    </w:p>
    <w:p>
      <w:pPr>
        <w:ind w:left="1940" w:right="4499" w:hanging="887"/>
        <w:spacing w:after="0" w:line="235" w:lineRule="auto"/>
        <w:tabs>
          <w:tab w:leader="none" w:pos="141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 1934</w:t>
      </w:r>
    </w:p>
    <w:p>
      <w:pPr>
        <w:spacing w:after="0" w:line="170"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For the fiscal year ended December 31, 1997</w:t>
      </w:r>
    </w:p>
    <w:p>
      <w:pPr>
        <w:spacing w:after="0" w:line="339"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OR</w:t>
      </w:r>
    </w:p>
    <w:p>
      <w:pPr>
        <w:spacing w:after="0" w:line="344" w:lineRule="exact"/>
        <w:rPr>
          <w:sz w:val="24"/>
          <w:szCs w:val="24"/>
          <w:color w:val="auto"/>
        </w:rPr>
      </w:pPr>
    </w:p>
    <w:p>
      <w:pPr>
        <w:jc w:val="center"/>
        <w:ind w:left="1940" w:right="4319" w:hanging="1064"/>
        <w:spacing w:after="0" w:line="235" w:lineRule="auto"/>
        <w:tabs>
          <w:tab w:leader="none" w:pos="105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15(d) OF THE SECURITIES EXCHANGE ACT OF 1934</w:t>
      </w:r>
    </w:p>
    <w:p>
      <w:pPr>
        <w:spacing w:after="0" w:line="170" w:lineRule="exact"/>
        <w:rPr>
          <w:sz w:val="24"/>
          <w:szCs w:val="24"/>
          <w:color w:val="auto"/>
        </w:rPr>
      </w:pPr>
    </w:p>
    <w:p>
      <w:pPr>
        <w:ind w:left="700"/>
        <w:spacing w:after="0"/>
        <w:tabs>
          <w:tab w:leader="none" w:pos="456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ind w:left="3340"/>
        <w:spacing w:after="0"/>
        <w:tabs>
          <w:tab w:leader="none" w:pos="4740" w:val="left"/>
        </w:tabs>
        <w:rPr>
          <w:sz w:val="20"/>
          <w:szCs w:val="20"/>
          <w:color w:val="auto"/>
        </w:rPr>
      </w:pPr>
      <w:r>
        <w:rPr>
          <w:rFonts w:ascii="Courier New" w:cs="Courier New" w:eastAsia="Courier New" w:hAnsi="Courier New"/>
          <w:sz w:val="15"/>
          <w:szCs w:val="15"/>
          <w:color w:val="auto"/>
        </w:rPr>
        <w:t>--------------</w:t>
        <w:tab/>
        <w:t>--------------</w:t>
      </w:r>
    </w:p>
    <w:p>
      <w:pPr>
        <w:spacing w:after="0" w:line="169"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Commission file number 33-47073</w:t>
      </w:r>
    </w:p>
    <w:p>
      <w:pPr>
        <w:spacing w:after="0" w:line="344" w:lineRule="exact"/>
        <w:rPr>
          <w:sz w:val="24"/>
          <w:szCs w:val="24"/>
          <w:color w:val="auto"/>
        </w:rPr>
      </w:pPr>
    </w:p>
    <w:p>
      <w:pPr>
        <w:ind w:left="1500" w:right="3699" w:hanging="447"/>
        <w:spacing w:after="0" w:line="235" w:lineRule="auto"/>
        <w:tabs>
          <w:tab w:leader="none" w:pos="15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title of the plan and the address of the plan, if different from that of the issuer named below:</w:t>
      </w:r>
    </w:p>
    <w:p>
      <w:pPr>
        <w:spacing w:after="0" w:line="170"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The Scotts Company</w:t>
      </w:r>
    </w:p>
    <w:p>
      <w:pPr>
        <w:ind w:left="1940"/>
        <w:spacing w:after="0"/>
        <w:rPr>
          <w:sz w:val="20"/>
          <w:szCs w:val="20"/>
          <w:color w:val="auto"/>
        </w:rPr>
      </w:pPr>
      <w:r>
        <w:rPr>
          <w:rFonts w:ascii="Courier New" w:cs="Courier New" w:eastAsia="Courier New" w:hAnsi="Courier New"/>
          <w:sz w:val="15"/>
          <w:szCs w:val="15"/>
          <w:color w:val="auto"/>
        </w:rPr>
        <w:t>Profit Sharing and Savings Plan</w:t>
      </w:r>
    </w:p>
    <w:p>
      <w:pPr>
        <w:spacing w:after="0" w:line="169" w:lineRule="exact"/>
        <w:rPr>
          <w:sz w:val="24"/>
          <w:szCs w:val="24"/>
          <w:color w:val="auto"/>
        </w:rPr>
      </w:pPr>
    </w:p>
    <w:p>
      <w:pPr>
        <w:ind w:left="1140" w:hanging="440"/>
        <w:spacing w:after="0"/>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issuer of the securities held pursuant to the</w:t>
      </w:r>
    </w:p>
    <w:p>
      <w:pPr>
        <w:jc w:val="right"/>
        <w:ind w:right="3619"/>
        <w:spacing w:after="0"/>
        <w:rPr>
          <w:sz w:val="20"/>
          <w:szCs w:val="20"/>
          <w:color w:val="auto"/>
        </w:rPr>
      </w:pPr>
      <w:r>
        <w:rPr>
          <w:rFonts w:ascii="Courier New" w:cs="Courier New" w:eastAsia="Courier New" w:hAnsi="Courier New"/>
          <w:sz w:val="15"/>
          <w:szCs w:val="15"/>
          <w:color w:val="auto"/>
        </w:rPr>
        <w:t>plan and the address of its principle executive office:</w:t>
      </w:r>
    </w:p>
    <w:p>
      <w:pPr>
        <w:spacing w:after="0" w:line="169"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The Scotts Company</w:t>
      </w:r>
    </w:p>
    <w:p>
      <w:pPr>
        <w:ind w:left="2380"/>
        <w:spacing w:after="0"/>
        <w:rPr>
          <w:sz w:val="20"/>
          <w:szCs w:val="20"/>
          <w:color w:val="auto"/>
        </w:rPr>
      </w:pPr>
      <w:r>
        <w:rPr>
          <w:rFonts w:ascii="Courier New" w:cs="Courier New" w:eastAsia="Courier New" w:hAnsi="Courier New"/>
          <w:sz w:val="15"/>
          <w:szCs w:val="15"/>
          <w:color w:val="auto"/>
        </w:rPr>
        <w:t>14111 Scottslawn Road</w:t>
      </w:r>
    </w:p>
    <w:p>
      <w:pPr>
        <w:ind w:left="2280"/>
        <w:spacing w:after="0"/>
        <w:rPr>
          <w:sz w:val="20"/>
          <w:szCs w:val="20"/>
          <w:color w:val="auto"/>
        </w:rPr>
      </w:pPr>
      <w:r>
        <w:rPr>
          <w:rFonts w:ascii="Courier New" w:cs="Courier New" w:eastAsia="Courier New" w:hAnsi="Courier New"/>
          <w:sz w:val="15"/>
          <w:szCs w:val="15"/>
          <w:color w:val="auto"/>
        </w:rPr>
        <w:t>Marysville, Ohio 43041</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1660"/>
        <w:spacing w:after="0"/>
        <w:rPr>
          <w:sz w:val="20"/>
          <w:szCs w:val="20"/>
          <w:color w:val="auto"/>
        </w:rPr>
      </w:pPr>
      <w:r>
        <w:rPr>
          <w:rFonts w:ascii="Courier New" w:cs="Courier New" w:eastAsia="Courier New" w:hAnsi="Courier New"/>
          <w:sz w:val="15"/>
          <w:szCs w:val="15"/>
          <w:color w:val="auto"/>
        </w:rPr>
        <w:t>Index to Exhibits appears on Page 17</w:t>
      </w:r>
    </w:p>
    <w:p>
      <w:pPr>
        <w:sectPr>
          <w:pgSz w:w="11900" w:h="16838" w:orient="portrait"/>
          <w:cols w:equalWidth="0" w:num="1">
            <w:col w:w="9959"/>
          </w:cols>
          <w:pgMar w:left="500" w:top="226"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REQUIRED INFORMATION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following financial statements and schedules for The Scotts Company Profit Sharing and Savings Plan are being filed herewith: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900" w:type="dxa"/>
            <w:vAlign w:val="bottom"/>
          </w:tcPr>
          <w:p>
            <w:pPr>
              <w:jc w:val="center"/>
              <w:ind w:right="1867"/>
              <w:spacing w:after="0"/>
              <w:rPr>
                <w:sz w:val="20"/>
                <w:szCs w:val="20"/>
                <w:color w:val="auto"/>
              </w:rPr>
            </w:pPr>
            <w:r>
              <w:rPr>
                <w:rFonts w:ascii="Courier New" w:cs="Courier New" w:eastAsia="Courier New" w:hAnsi="Courier New"/>
                <w:sz w:val="15"/>
                <w:szCs w:val="15"/>
                <w:color w:val="auto"/>
                <w:w w:val="96"/>
              </w:rPr>
              <w:t>Description</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70"/>
        </w:trPr>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900" w:type="dxa"/>
            <w:vAlign w:val="bottom"/>
          </w:tcPr>
          <w:p>
            <w:pPr>
              <w:jc w:val="center"/>
              <w:ind w:right="1867"/>
              <w:spacing w:after="0"/>
              <w:rPr>
                <w:sz w:val="20"/>
                <w:szCs w:val="20"/>
                <w:color w:val="auto"/>
              </w:rPr>
            </w:pPr>
            <w:r>
              <w:rPr>
                <w:rFonts w:ascii="Courier New" w:cs="Courier New" w:eastAsia="Courier New" w:hAnsi="Courier New"/>
                <w:sz w:val="15"/>
                <w:szCs w:val="15"/>
                <w:color w:val="auto"/>
                <w:w w:val="96"/>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740" w:type="dxa"/>
            <w:vAlign w:val="bottom"/>
            <w:gridSpan w:val="3"/>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w:t>
            </w:r>
          </w:p>
        </w:tc>
      </w:tr>
      <w:tr>
        <w:trPr>
          <w:trHeight w:val="339"/>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w w:val="96"/>
              </w:rPr>
              <w:t>Financial Statements:</w:t>
            </w:r>
          </w:p>
        </w:tc>
        <w:tc>
          <w:tcPr>
            <w:tcW w:w="59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9"/>
        </w:trPr>
        <w:tc>
          <w:tcPr>
            <w:tcW w:w="480" w:type="dxa"/>
            <w:vAlign w:val="bottom"/>
          </w:tcPr>
          <w:p>
            <w:pPr>
              <w:spacing w:after="0"/>
              <w:rPr>
                <w:sz w:val="24"/>
                <w:szCs w:val="24"/>
                <w:color w:val="auto"/>
              </w:rPr>
            </w:pPr>
          </w:p>
        </w:tc>
        <w:tc>
          <w:tcPr>
            <w:tcW w:w="7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Net Assets Available for Benefits</w:t>
            </w:r>
          </w:p>
        </w:tc>
        <w:tc>
          <w:tcPr>
            <w:tcW w:w="176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72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as of December 31, 1997 and 1996</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w:t>
            </w:r>
          </w:p>
        </w:tc>
      </w:tr>
      <w:tr>
        <w:trPr>
          <w:trHeight w:val="339"/>
        </w:trPr>
        <w:tc>
          <w:tcPr>
            <w:tcW w:w="480" w:type="dxa"/>
            <w:vAlign w:val="bottom"/>
          </w:tcPr>
          <w:p>
            <w:pPr>
              <w:spacing w:after="0"/>
              <w:rPr>
                <w:sz w:val="24"/>
                <w:szCs w:val="24"/>
                <w:color w:val="auto"/>
              </w:rPr>
            </w:pPr>
          </w:p>
        </w:tc>
        <w:tc>
          <w:tcPr>
            <w:tcW w:w="7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Changes in Net Assets Available for Benefits</w:t>
            </w:r>
          </w:p>
        </w:tc>
        <w:tc>
          <w:tcPr>
            <w:tcW w:w="176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72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for the years ended December 31, 1997 and 1996</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w:t>
            </w:r>
          </w:p>
        </w:tc>
      </w:tr>
      <w:tr>
        <w:trPr>
          <w:trHeight w:val="339"/>
        </w:trPr>
        <w:tc>
          <w:tcPr>
            <w:tcW w:w="480" w:type="dxa"/>
            <w:vAlign w:val="bottom"/>
          </w:tcPr>
          <w:p>
            <w:pPr>
              <w:spacing w:after="0"/>
              <w:rPr>
                <w:sz w:val="24"/>
                <w:szCs w:val="24"/>
                <w:color w:val="auto"/>
              </w:rPr>
            </w:pPr>
          </w:p>
        </w:tc>
        <w:tc>
          <w:tcPr>
            <w:tcW w:w="7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Notes to the Financial Statements</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7-14</w:t>
            </w:r>
          </w:p>
        </w:tc>
      </w:tr>
      <w:tr>
        <w:trPr>
          <w:trHeight w:val="339"/>
        </w:trPr>
        <w:tc>
          <w:tcPr>
            <w:tcW w:w="7740" w:type="dxa"/>
            <w:vAlign w:val="bottom"/>
            <w:gridSpan w:val="3"/>
          </w:tcPr>
          <w:p>
            <w:pPr>
              <w:spacing w:after="0"/>
              <w:rPr>
                <w:sz w:val="20"/>
                <w:szCs w:val="20"/>
                <w:color w:val="auto"/>
              </w:rPr>
            </w:pPr>
            <w:r>
              <w:rPr>
                <w:rFonts w:ascii="Courier New" w:cs="Courier New" w:eastAsia="Courier New" w:hAnsi="Courier New"/>
                <w:sz w:val="15"/>
                <w:szCs w:val="15"/>
                <w:color w:val="auto"/>
              </w:rPr>
              <w:t>Supplemental Schedules:</w:t>
            </w:r>
          </w:p>
        </w:tc>
        <w:tc>
          <w:tcPr>
            <w:tcW w:w="1760" w:type="dxa"/>
            <w:vAlign w:val="bottom"/>
          </w:tcPr>
          <w:p>
            <w:pPr>
              <w:spacing w:after="0"/>
              <w:rPr>
                <w:sz w:val="24"/>
                <w:szCs w:val="24"/>
                <w:color w:val="auto"/>
              </w:rPr>
            </w:pPr>
          </w:p>
        </w:tc>
      </w:tr>
      <w:tr>
        <w:trPr>
          <w:trHeight w:val="339"/>
        </w:trPr>
        <w:tc>
          <w:tcPr>
            <w:tcW w:w="480" w:type="dxa"/>
            <w:vAlign w:val="bottom"/>
          </w:tcPr>
          <w:p>
            <w:pPr>
              <w:spacing w:after="0"/>
              <w:rPr>
                <w:sz w:val="24"/>
                <w:szCs w:val="24"/>
                <w:color w:val="auto"/>
              </w:rPr>
            </w:pPr>
          </w:p>
        </w:tc>
        <w:tc>
          <w:tcPr>
            <w:tcW w:w="7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Item 27(a) - Schedule of Assets Held for Investment</w:t>
            </w:r>
          </w:p>
        </w:tc>
        <w:tc>
          <w:tcPr>
            <w:tcW w:w="176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72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Purposes as of December 31, 1997</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w:t>
            </w:r>
          </w:p>
        </w:tc>
      </w:tr>
      <w:tr>
        <w:trPr>
          <w:trHeight w:val="339"/>
        </w:trPr>
        <w:tc>
          <w:tcPr>
            <w:tcW w:w="480" w:type="dxa"/>
            <w:vAlign w:val="bottom"/>
          </w:tcPr>
          <w:p>
            <w:pPr>
              <w:spacing w:after="0"/>
              <w:rPr>
                <w:sz w:val="24"/>
                <w:szCs w:val="24"/>
                <w:color w:val="auto"/>
              </w:rPr>
            </w:pPr>
          </w:p>
        </w:tc>
        <w:tc>
          <w:tcPr>
            <w:tcW w:w="7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Item 27(d) - Schedule of Reportable Transactions for</w:t>
            </w:r>
          </w:p>
        </w:tc>
        <w:tc>
          <w:tcPr>
            <w:tcW w:w="176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72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the year ended December 31, 1997</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7260" w:type="dxa"/>
            <w:vAlign w:val="bottom"/>
            <w:gridSpan w:val="2"/>
          </w:tcPr>
          <w:p>
            <w:pPr>
              <w:jc w:val="center"/>
              <w:ind w:right="507"/>
              <w:spacing w:after="0"/>
              <w:rPr>
                <w:sz w:val="20"/>
                <w:szCs w:val="20"/>
                <w:color w:val="auto"/>
              </w:rPr>
            </w:pPr>
            <w:r>
              <w:rPr>
                <w:rFonts w:ascii="Courier New" w:cs="Courier New" w:eastAsia="Courier New" w:hAnsi="Courier New"/>
                <w:sz w:val="15"/>
                <w:szCs w:val="15"/>
                <w:color w:val="auto"/>
                <w:w w:val="97"/>
              </w:rPr>
              <w:t>Supplemental schedules required by the Employee Retirement Income</w:t>
            </w:r>
          </w:p>
        </w:tc>
        <w:tc>
          <w:tcPr>
            <w:tcW w:w="176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7260" w:type="dxa"/>
            <w:vAlign w:val="bottom"/>
            <w:gridSpan w:val="2"/>
          </w:tcPr>
          <w:p>
            <w:pPr>
              <w:jc w:val="center"/>
              <w:ind w:right="847"/>
              <w:spacing w:after="0"/>
              <w:rPr>
                <w:sz w:val="20"/>
                <w:szCs w:val="20"/>
                <w:color w:val="auto"/>
              </w:rPr>
            </w:pPr>
            <w:r>
              <w:rPr>
                <w:rFonts w:ascii="Courier New" w:cs="Courier New" w:eastAsia="Courier New" w:hAnsi="Courier New"/>
                <w:sz w:val="15"/>
                <w:szCs w:val="15"/>
                <w:color w:val="auto"/>
                <w:w w:val="97"/>
              </w:rPr>
              <w:t>Security Act of 1974 that have not been included here are not</w:t>
            </w:r>
          </w:p>
        </w:tc>
        <w:tc>
          <w:tcPr>
            <w:tcW w:w="176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7260" w:type="dxa"/>
            <w:vAlign w:val="bottom"/>
            <w:gridSpan w:val="2"/>
          </w:tcPr>
          <w:p>
            <w:pPr>
              <w:jc w:val="center"/>
              <w:ind w:right="507"/>
              <w:spacing w:after="0"/>
              <w:rPr>
                <w:sz w:val="20"/>
                <w:szCs w:val="20"/>
                <w:color w:val="auto"/>
              </w:rPr>
            </w:pPr>
            <w:r>
              <w:rPr>
                <w:rFonts w:ascii="Courier New" w:cs="Courier New" w:eastAsia="Courier New" w:hAnsi="Courier New"/>
                <w:sz w:val="15"/>
                <w:szCs w:val="15"/>
                <w:color w:val="auto"/>
                <w:w w:val="97"/>
              </w:rPr>
              <w:t>applicable to The Scotts Company Profit Sharing and Savings Plan.</w:t>
            </w:r>
          </w:p>
        </w:tc>
        <w:tc>
          <w:tcPr>
            <w:tcW w:w="1760" w:type="dxa"/>
            <w:vAlign w:val="bottom"/>
          </w:tcPr>
          <w:p>
            <w:pPr>
              <w:spacing w:after="0"/>
              <w:rPr>
                <w:sz w:val="14"/>
                <w:szCs w:val="14"/>
                <w:color w:val="auto"/>
              </w:rPr>
            </w:pPr>
          </w:p>
        </w:tc>
      </w:tr>
      <w:tr>
        <w:trPr>
          <w:trHeight w:val="848"/>
        </w:trPr>
        <w:tc>
          <w:tcPr>
            <w:tcW w:w="18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Exhibit No.</w:t>
            </w:r>
          </w:p>
        </w:tc>
        <w:tc>
          <w:tcPr>
            <w:tcW w:w="5900" w:type="dxa"/>
            <w:vAlign w:val="bottom"/>
          </w:tcPr>
          <w:p>
            <w:pPr>
              <w:ind w:left="2120"/>
              <w:spacing w:after="0"/>
              <w:rPr>
                <w:sz w:val="20"/>
                <w:szCs w:val="20"/>
                <w:color w:val="auto"/>
              </w:rPr>
            </w:pPr>
            <w:r>
              <w:rPr>
                <w:rFonts w:ascii="Courier New" w:cs="Courier New" w:eastAsia="Courier New" w:hAnsi="Courier New"/>
                <w:sz w:val="15"/>
                <w:szCs w:val="15"/>
                <w:color w:val="auto"/>
              </w:rPr>
              <w:t>Description</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70"/>
        </w:trPr>
        <w:tc>
          <w:tcPr>
            <w:tcW w:w="18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900" w:type="dxa"/>
            <w:vAlign w:val="bottom"/>
          </w:tcPr>
          <w:p>
            <w:pPr>
              <w:ind w:left="212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0" w:type="dxa"/>
            <w:vAlign w:val="bottom"/>
          </w:tcPr>
          <w:p>
            <w:pPr>
              <w:spacing w:after="0"/>
              <w:rPr>
                <w:sz w:val="24"/>
                <w:szCs w:val="24"/>
                <w:color w:val="auto"/>
              </w:rPr>
            </w:pPr>
          </w:p>
        </w:tc>
        <w:tc>
          <w:tcPr>
            <w:tcW w:w="13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w:t>
            </w:r>
          </w:p>
        </w:tc>
        <w:tc>
          <w:tcPr>
            <w:tcW w:w="5900" w:type="dxa"/>
            <w:vAlign w:val="bottom"/>
          </w:tcPr>
          <w:p>
            <w:pPr>
              <w:jc w:val="center"/>
              <w:ind w:right="2207"/>
              <w:spacing w:after="0"/>
              <w:rPr>
                <w:sz w:val="20"/>
                <w:szCs w:val="20"/>
                <w:color w:val="auto"/>
              </w:rPr>
            </w:pPr>
            <w:r>
              <w:rPr>
                <w:rFonts w:ascii="Courier New" w:cs="Courier New" w:eastAsia="Courier New" w:hAnsi="Courier New"/>
                <w:sz w:val="15"/>
                <w:szCs w:val="15"/>
                <w:color w:val="auto"/>
                <w:w w:val="98"/>
              </w:rPr>
              <w:t>Consent of Independent Public Accountants</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19"/>
          </w:cols>
          <w:pgMar w:left="24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THE SCOTTS COMPANY</w:t>
      </w:r>
    </w:p>
    <w:p>
      <w:pPr>
        <w:ind w:left="3700"/>
        <w:spacing w:after="0"/>
        <w:rPr>
          <w:sz w:val="20"/>
          <w:szCs w:val="20"/>
          <w:color w:val="auto"/>
        </w:rPr>
      </w:pPr>
      <w:r>
        <w:rPr>
          <w:rFonts w:ascii="Courier New" w:cs="Courier New" w:eastAsia="Courier New" w:hAnsi="Courier New"/>
          <w:sz w:val="15"/>
          <w:szCs w:val="15"/>
          <w:color w:val="auto"/>
        </w:rPr>
        <w:t>PROFIT SHARING AND SAVINGS PLAN</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June 29,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ROSEMARY SMITH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Human Resources</w:t>
      </w:r>
    </w:p>
    <w:p>
      <w:pPr>
        <w:spacing w:after="0"/>
        <w:rPr>
          <w:sz w:val="20"/>
          <w:szCs w:val="20"/>
          <w:color w:val="auto"/>
        </w:rPr>
      </w:pPr>
      <w:r>
        <w:rPr>
          <w:rFonts w:ascii="Courier New" w:cs="Courier New" w:eastAsia="Courier New" w:hAnsi="Courier New"/>
          <w:sz w:val="15"/>
          <w:szCs w:val="15"/>
          <w:color w:val="auto"/>
        </w:rPr>
        <w:t>Plan Administration Committee</w:t>
      </w:r>
    </w:p>
    <w:p>
      <w:pPr>
        <w:spacing w:after="0"/>
        <w:rPr>
          <w:sz w:val="20"/>
          <w:szCs w:val="20"/>
          <w:color w:val="auto"/>
        </w:rPr>
      </w:pPr>
      <w:r>
        <w:rPr>
          <w:rFonts w:ascii="Courier New" w:cs="Courier New" w:eastAsia="Courier New" w:hAnsi="Courier New"/>
          <w:sz w:val="15"/>
          <w:szCs w:val="15"/>
          <w:color w:val="auto"/>
        </w:rPr>
        <w:t>The Scotts Company</w:t>
      </w:r>
    </w:p>
    <w:p>
      <w:pPr>
        <w:spacing w:after="0" w:line="238" w:lineRule="auto"/>
        <w:rPr>
          <w:sz w:val="20"/>
          <w:szCs w:val="20"/>
          <w:color w:val="auto"/>
        </w:rPr>
      </w:pPr>
      <w:r>
        <w:rPr>
          <w:rFonts w:ascii="Courier New" w:cs="Courier New" w:eastAsia="Courier New" w:hAnsi="Courier New"/>
          <w:sz w:val="15"/>
          <w:szCs w:val="15"/>
          <w:color w:val="auto"/>
        </w:rPr>
        <w:t>Profit Sharing and Savings Plan</w:t>
      </w:r>
    </w:p>
    <w:p>
      <w:pPr>
        <w:spacing w:after="0" w:line="200" w:lineRule="exact"/>
        <w:rPr>
          <w:sz w:val="20"/>
          <w:szCs w:val="20"/>
          <w:color w:val="auto"/>
        </w:rPr>
      </w:pPr>
    </w:p>
    <w:p>
      <w:pPr>
        <w:sectPr>
          <w:pgSz w:w="11900" w:h="16838" w:orient="portrait"/>
          <w:cols w:equalWidth="0" w:num="3">
            <w:col w:w="440" w:space="0"/>
            <w:col w:w="2540" w:space="720"/>
            <w:col w:w="6519"/>
          </w:cols>
          <w:pgMar w:left="24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219"/>
          </w:cols>
          <w:pgMar w:left="240" w:top="283"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Administrative Committee of</w:t>
      </w: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Profit Sharing and Savings Plan</w:t>
      </w:r>
    </w:p>
    <w:p>
      <w:pPr>
        <w:spacing w:after="0" w:line="238" w:lineRule="auto"/>
        <w:rPr>
          <w:sz w:val="20"/>
          <w:szCs w:val="20"/>
          <w:color w:val="auto"/>
        </w:rPr>
      </w:pPr>
      <w:r>
        <w:rPr>
          <w:rFonts w:ascii="Courier New" w:cs="Courier New" w:eastAsia="Courier New" w:hAnsi="Courier New"/>
          <w:sz w:val="15"/>
          <w:szCs w:val="15"/>
          <w:color w:val="auto"/>
        </w:rPr>
        <w:t>Marysville, Ohio</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have audited the accompanying statements of net assets available for benefits of The Scotts Company Profit Sharing and Savings Plan (the Plan) as of December 31, 1997 and 1996,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net assets available for benefits of the Plan as of December 31, 1997 and 1996, and changes in net assets available for benefits for the years then ended in conformity with generally accepted accounting principles.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audits were performed for the purpose of forming an opinion on the basic financial statements taken as a whole. The supplemental schedules of assets held for investment purposes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rPr>
          <w:sz w:val="20"/>
          <w:szCs w:val="20"/>
          <w:color w:val="auto"/>
        </w:rPr>
      </w:pPr>
      <w:r>
        <w:rPr>
          <w:rFonts w:ascii="Courier New" w:cs="Courier New" w:eastAsia="Courier New" w:hAnsi="Courier New"/>
          <w:sz w:val="15"/>
          <w:szCs w:val="15"/>
          <w:color w:val="auto"/>
        </w:rPr>
        <w:t>June 16,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PROFIT SHARING AND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NET ASSETS AVAILABLE FOR BENEFITS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1997 and 1996</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82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 (see Note 9)</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$65,744,292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$ 2,957,035</w:t>
            </w: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Investments, at fair value:</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Equity securities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2,424,046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47,635,915</w:t>
            </w:r>
          </w:p>
        </w:tc>
      </w:tr>
      <w:tr>
        <w:trPr>
          <w:trHeight w:val="170"/>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Fixed income securities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9,239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7,241,425</w:t>
            </w:r>
          </w:p>
        </w:tc>
      </w:tr>
      <w:tr>
        <w:trPr>
          <w:trHeight w:val="170"/>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Loans to participants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634,915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610,333</w:t>
            </w:r>
          </w:p>
        </w:tc>
      </w:tr>
      <w:tr>
        <w:trPr>
          <w:trHeight w:val="170"/>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Mutual funds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4,273,812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4,452,797</w:t>
            </w:r>
          </w:p>
        </w:tc>
      </w:tr>
      <w:tr>
        <w:trPr>
          <w:trHeight w:val="170"/>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Guaranteed investment contracts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1,244,422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1,370,350</w:t>
            </w:r>
          </w:p>
        </w:tc>
      </w:tr>
      <w:tr>
        <w:trPr>
          <w:trHeight w:val="170"/>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Pooled seperate investment account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1,562,696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1,010,614</w:t>
            </w: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Employer contribution receivable</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1,104,640</w:t>
            </w:r>
          </w:p>
        </w:tc>
        <w:tc>
          <w:tcPr>
            <w:tcW w:w="1200" w:type="dxa"/>
            <w:vAlign w:val="bottom"/>
          </w:tcPr>
          <w:p>
            <w:pPr>
              <w:spacing w:after="0"/>
              <w:rPr>
                <w:sz w:val="14"/>
                <w:szCs w:val="14"/>
                <w:color w:val="auto"/>
              </w:rPr>
            </w:pP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Accrued interest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160,761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170,906</w:t>
            </w:r>
          </w:p>
        </w:tc>
      </w:tr>
      <w:tr>
        <w:trPr>
          <w:trHeight w:val="170"/>
        </w:trPr>
        <w:tc>
          <w:tcPr>
            <w:tcW w:w="38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77,158,823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65,449,375</w:t>
            </w:r>
          </w:p>
        </w:tc>
      </w:tr>
      <w:tr>
        <w:trPr>
          <w:trHeight w:val="170"/>
        </w:trPr>
        <w:tc>
          <w:tcPr>
            <w:tcW w:w="38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Payable for purchase of investments</w:t>
            </w:r>
          </w:p>
        </w:tc>
        <w:tc>
          <w:tcPr>
            <w:tcW w:w="1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57,375</w:t>
            </w: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Accrued expenses</w:t>
            </w:r>
          </w:p>
        </w:tc>
        <w:tc>
          <w:tcPr>
            <w:tcW w:w="1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20,695</w:t>
            </w:r>
          </w:p>
        </w:tc>
      </w:tr>
      <w:tr>
        <w:trPr>
          <w:trHeight w:val="170"/>
        </w:trPr>
        <w:tc>
          <w:tcPr>
            <w:tcW w:w="38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78,070</w:t>
            </w:r>
          </w:p>
        </w:tc>
      </w:tr>
      <w:tr>
        <w:trPr>
          <w:trHeight w:val="170"/>
        </w:trPr>
        <w:tc>
          <w:tcPr>
            <w:tcW w:w="38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Net assets available for benefits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$77,158,823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$65,371,305</w:t>
            </w:r>
          </w:p>
        </w:tc>
      </w:tr>
      <w:tr>
        <w:trPr>
          <w:trHeight w:val="170"/>
        </w:trPr>
        <w:tc>
          <w:tcPr>
            <w:tcW w:w="38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PROFIT SHARING AND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CHANGES IN NET ASSETS AVAILABLE FOR BENEFITS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December 31, 1997 and 1996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060" w:type="dxa"/>
            <w:vAlign w:val="bottom"/>
          </w:tcPr>
          <w:p>
            <w:pPr>
              <w:spacing w:after="0"/>
              <w:rPr>
                <w:sz w:val="14"/>
                <w:szCs w:val="14"/>
                <w:color w:val="auto"/>
              </w:rPr>
            </w:pP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rPr>
              <w:t>Increases:</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Interest and dividends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$ 2,047,082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$ 2,218,325</w:t>
            </w: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Net appreciation in fair value of investments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13,642,244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8,337,424</w:t>
            </w: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Employer contributions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1,104,640</w:t>
            </w:r>
          </w:p>
        </w:tc>
        <w:tc>
          <w:tcPr>
            <w:tcW w:w="1200" w:type="dxa"/>
            <w:vAlign w:val="bottom"/>
          </w:tcPr>
          <w:p>
            <w:pPr>
              <w:spacing w:after="0"/>
              <w:rPr>
                <w:sz w:val="14"/>
                <w:szCs w:val="14"/>
                <w:color w:val="auto"/>
              </w:rPr>
            </w:pP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Employee contributions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3,225,777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2,499,131</w:t>
            </w:r>
          </w:p>
        </w:tc>
      </w:tr>
      <w:tr>
        <w:trPr>
          <w:trHeight w:val="170"/>
        </w:trPr>
        <w:tc>
          <w:tcPr>
            <w:tcW w:w="5060" w:type="dxa"/>
            <w:vAlign w:val="bottom"/>
          </w:tcPr>
          <w:p>
            <w:pPr>
              <w:spacing w:after="0"/>
              <w:rPr>
                <w:sz w:val="14"/>
                <w:szCs w:val="1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60" w:type="dxa"/>
            <w:vAlign w:val="bottom"/>
          </w:tcPr>
          <w:p>
            <w:pPr>
              <w:ind w:left="520"/>
              <w:spacing w:after="0"/>
              <w:rPr>
                <w:sz w:val="20"/>
                <w:szCs w:val="20"/>
                <w:color w:val="auto"/>
              </w:rPr>
            </w:pPr>
            <w:r>
              <w:rPr>
                <w:rFonts w:ascii="Courier New" w:cs="Courier New" w:eastAsia="Courier New" w:hAnsi="Courier New"/>
                <w:sz w:val="15"/>
                <w:szCs w:val="15"/>
                <w:color w:val="auto"/>
              </w:rPr>
              <w:t>Total increases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20,019,743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13,054,880</w:t>
            </w: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rPr>
              <w:t>Decreases:</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Distributions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7,912,454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6,929,249</w:t>
            </w: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Investment management and administrative fees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319,771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292,470</w:t>
            </w:r>
          </w:p>
        </w:tc>
      </w:tr>
      <w:tr>
        <w:trPr>
          <w:trHeight w:val="170"/>
        </w:trPr>
        <w:tc>
          <w:tcPr>
            <w:tcW w:w="5060" w:type="dxa"/>
            <w:vAlign w:val="bottom"/>
          </w:tcPr>
          <w:p>
            <w:pPr>
              <w:spacing w:after="0"/>
              <w:rPr>
                <w:sz w:val="14"/>
                <w:szCs w:val="1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60" w:type="dxa"/>
            <w:vAlign w:val="bottom"/>
          </w:tcPr>
          <w:p>
            <w:pPr>
              <w:ind w:left="520"/>
              <w:spacing w:after="0"/>
              <w:rPr>
                <w:sz w:val="20"/>
                <w:szCs w:val="20"/>
                <w:color w:val="auto"/>
              </w:rPr>
            </w:pPr>
            <w:r>
              <w:rPr>
                <w:rFonts w:ascii="Courier New" w:cs="Courier New" w:eastAsia="Courier New" w:hAnsi="Courier New"/>
                <w:sz w:val="15"/>
                <w:szCs w:val="15"/>
                <w:color w:val="auto"/>
              </w:rPr>
              <w:t>Total decreases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8,232,225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7,221,719</w:t>
            </w:r>
          </w:p>
        </w:tc>
      </w:tr>
      <w:tr>
        <w:trPr>
          <w:trHeight w:val="170"/>
        </w:trPr>
        <w:tc>
          <w:tcPr>
            <w:tcW w:w="5060" w:type="dxa"/>
            <w:vAlign w:val="bottom"/>
          </w:tcPr>
          <w:p>
            <w:pPr>
              <w:spacing w:after="0"/>
              <w:rPr>
                <w:sz w:val="14"/>
                <w:szCs w:val="1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60" w:type="dxa"/>
            <w:vAlign w:val="bottom"/>
          </w:tcPr>
          <w:p>
            <w:pPr>
              <w:ind w:left="520"/>
              <w:spacing w:after="0"/>
              <w:rPr>
                <w:sz w:val="20"/>
                <w:szCs w:val="20"/>
                <w:color w:val="auto"/>
              </w:rPr>
            </w:pPr>
            <w:r>
              <w:rPr>
                <w:rFonts w:ascii="Courier New" w:cs="Courier New" w:eastAsia="Courier New" w:hAnsi="Courier New"/>
                <w:sz w:val="15"/>
                <w:szCs w:val="15"/>
                <w:color w:val="auto"/>
              </w:rPr>
              <w:t>Net increase in net assets available for benefits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11,787,518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5,833,161</w:t>
            </w: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 beginning of year</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65,371,305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59,538,144</w:t>
            </w:r>
          </w:p>
        </w:tc>
      </w:tr>
      <w:tr>
        <w:trPr>
          <w:trHeight w:val="170"/>
        </w:trPr>
        <w:tc>
          <w:tcPr>
            <w:tcW w:w="5060" w:type="dxa"/>
            <w:vAlign w:val="bottom"/>
          </w:tcPr>
          <w:p>
            <w:pPr>
              <w:spacing w:after="0"/>
              <w:rPr>
                <w:sz w:val="14"/>
                <w:szCs w:val="1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60" w:type="dxa"/>
            <w:vAlign w:val="bottom"/>
          </w:tcPr>
          <w:p>
            <w:pPr>
              <w:ind w:left="520"/>
              <w:spacing w:after="0"/>
              <w:rPr>
                <w:sz w:val="20"/>
                <w:szCs w:val="20"/>
                <w:color w:val="auto"/>
              </w:rPr>
            </w:pPr>
            <w:r>
              <w:rPr>
                <w:rFonts w:ascii="Courier New" w:cs="Courier New" w:eastAsia="Courier New" w:hAnsi="Courier New"/>
                <w:sz w:val="15"/>
                <w:szCs w:val="15"/>
                <w:color w:val="auto"/>
              </w:rPr>
              <w:t>Net assets available for benefits, end of year</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$77,158,823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$65,371,305</w:t>
            </w:r>
          </w:p>
        </w:tc>
      </w:tr>
      <w:tr>
        <w:trPr>
          <w:trHeight w:val="170"/>
        </w:trPr>
        <w:tc>
          <w:tcPr>
            <w:tcW w:w="5060" w:type="dxa"/>
            <w:vAlign w:val="bottom"/>
          </w:tcPr>
          <w:p>
            <w:pPr>
              <w:spacing w:after="0"/>
              <w:rPr>
                <w:sz w:val="14"/>
                <w:szCs w:val="1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PROFIT SHARING AND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THE FINANCIAL STATEMENTS</w:t>
      </w:r>
    </w:p>
    <w:p>
      <w:pPr>
        <w:spacing w:after="0" w:line="339" w:lineRule="exact"/>
        <w:rPr>
          <w:sz w:val="20"/>
          <w:szCs w:val="20"/>
          <w:color w:val="auto"/>
        </w:rPr>
      </w:pPr>
    </w:p>
    <w:p>
      <w:pPr>
        <w:ind w:left="600" w:hanging="433"/>
        <w:spacing w:after="0"/>
        <w:tabs>
          <w:tab w:leader="none" w:pos="6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DESCRIPTION:</w:t>
      </w:r>
    </w:p>
    <w:p>
      <w:pPr>
        <w:spacing w:after="0" w:line="174" w:lineRule="exact"/>
        <w:rPr>
          <w:rFonts w:ascii="Courier New" w:cs="Courier New" w:eastAsia="Courier New" w:hAnsi="Courier New"/>
          <w:sz w:val="15"/>
          <w:szCs w:val="15"/>
          <w:color w:val="auto"/>
        </w:rPr>
      </w:pPr>
    </w:p>
    <w:p>
      <w:pPr>
        <w:ind w:left="60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(the Company) Profit Sharing and Savings Plan (the Plan) is a contributory defined contribution benefit plan. A summary plan description is provided to every eligible participant and includes significant provisions of the Plan, including eligibility, participant and company contribution limits, and distribution of benefits.</w:t>
      </w:r>
    </w:p>
    <w:p>
      <w:pPr>
        <w:spacing w:after="0" w:line="178" w:lineRule="exact"/>
        <w:rPr>
          <w:rFonts w:ascii="Courier New" w:cs="Courier New" w:eastAsia="Courier New" w:hAnsi="Courier New"/>
          <w:sz w:val="15"/>
          <w:szCs w:val="15"/>
          <w:color w:val="auto"/>
        </w:rPr>
      </w:pPr>
    </w:p>
    <w:p>
      <w:pPr>
        <w:ind w:left="60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Associates of the Company become participants of the Plan on the first day of the month immediately following or coincident with their date of employment. Associates are not eligible to receive any portion of the employer contribution until they have completed one year of service. Associates must complete 1,000 hours of service in order to be credited with one year of eligibility service. The annual employer contribution is determined at the discretion of the Board of Directors and is allocated to participants proportionately based upon their eligible wages. In lieu of all employer contributions being made to the Plan, participants may elect to receive one-half of the otherwise employer contribution in cash directly from the Company. The Plan also provides for participant tax-deferred savings contributions up to 15% of eligible wages. Aggregate contributions may not exceed the limit specified by the Internal Revenue Code. Participants are always fully vested in their contributions to the Plan, as well as the employer's contribution to the Plan on their behalf.</w:t>
      </w:r>
    </w:p>
    <w:p>
      <w:pPr>
        <w:spacing w:after="0" w:line="159" w:lineRule="exact"/>
        <w:rPr>
          <w:rFonts w:ascii="Courier New" w:cs="Courier New" w:eastAsia="Courier New" w:hAnsi="Courier New"/>
          <w:sz w:val="15"/>
          <w:szCs w:val="15"/>
          <w:color w:val="auto"/>
        </w:rPr>
      </w:pPr>
    </w:p>
    <w:p>
      <w:pPr>
        <w:ind w:left="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provides for maintenance of five separate funds, as follows:</w:t>
      </w:r>
    </w:p>
    <w:p>
      <w:pPr>
        <w:spacing w:after="0" w:line="174" w:lineRule="exact"/>
        <w:rPr>
          <w:rFonts w:ascii="Courier New" w:cs="Courier New" w:eastAsia="Courier New" w:hAnsi="Courier New"/>
          <w:sz w:val="15"/>
          <w:szCs w:val="15"/>
          <w:color w:val="auto"/>
        </w:rPr>
      </w:pPr>
    </w:p>
    <w:p>
      <w:pPr>
        <w:ind w:left="880" w:right="3179" w:hanging="273"/>
        <w:spacing w:after="0" w:line="237" w:lineRule="auto"/>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AND INCOME FUND: Assets may be invested in common or capital stock, bonds, notes, debentures or preferred stock, real estate, mortgages secured by real estate, interests in commingled trust funds, cash equivalents, and Company common stock.</w:t>
      </w:r>
    </w:p>
    <w:p>
      <w:pPr>
        <w:spacing w:after="0" w:line="176" w:lineRule="exact"/>
        <w:rPr>
          <w:rFonts w:ascii="Courier New" w:cs="Courier New" w:eastAsia="Courier New" w:hAnsi="Courier New"/>
          <w:sz w:val="15"/>
          <w:szCs w:val="15"/>
          <w:color w:val="auto"/>
        </w:rPr>
      </w:pPr>
    </w:p>
    <w:p>
      <w:pPr>
        <w:ind w:left="880" w:right="3179" w:hanging="273"/>
        <w:spacing w:after="0" w:line="235" w:lineRule="auto"/>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STOCK FUND: Assets consist entirely of Company common stock and cash equivalents.</w:t>
      </w:r>
    </w:p>
    <w:p>
      <w:pPr>
        <w:spacing w:after="0" w:line="175" w:lineRule="exact"/>
        <w:rPr>
          <w:rFonts w:ascii="Courier New" w:cs="Courier New" w:eastAsia="Courier New" w:hAnsi="Courier New"/>
          <w:sz w:val="15"/>
          <w:szCs w:val="15"/>
          <w:color w:val="auto"/>
        </w:rPr>
      </w:pPr>
    </w:p>
    <w:p>
      <w:pPr>
        <w:ind w:left="880" w:right="3179" w:hanging="273"/>
        <w:spacing w:after="0" w:line="238" w:lineRule="auto"/>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BOND FUND: Assets may be invested in certificates of deposit and interest-bearing savings accounts with recognized financial institutions, short-term obligations of the U.S. government, corporate obligations rated "A" or higher maturing in 10 years or less, prime rate commercial paper of less than one-year maturity, and cash equivalents.</w:t>
      </w:r>
    </w:p>
    <w:p>
      <w:pPr>
        <w:spacing w:after="0" w:line="175" w:lineRule="exact"/>
        <w:rPr>
          <w:rFonts w:ascii="Courier New" w:cs="Courier New" w:eastAsia="Courier New" w:hAnsi="Courier New"/>
          <w:sz w:val="15"/>
          <w:szCs w:val="15"/>
          <w:color w:val="auto"/>
        </w:rPr>
      </w:pPr>
    </w:p>
    <w:p>
      <w:pPr>
        <w:ind w:left="880" w:right="3259" w:hanging="273"/>
        <w:spacing w:after="0" w:line="237" w:lineRule="auto"/>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MANAGEMENT FUND: Assets may be invested in short-term money market investments with a high degree of marketability and liquidity. These investments include, but are not limited to, commercial paper, demand notes, and short-term obligations of the U.S. government of less than 90-days maturity.</w:t>
      </w:r>
    </w:p>
    <w:p>
      <w:pPr>
        <w:spacing w:after="0" w:line="178" w:lineRule="exact"/>
        <w:rPr>
          <w:rFonts w:ascii="Courier New" w:cs="Courier New" w:eastAsia="Courier New" w:hAnsi="Courier New"/>
          <w:sz w:val="15"/>
          <w:szCs w:val="15"/>
          <w:color w:val="auto"/>
        </w:rPr>
      </w:pPr>
    </w:p>
    <w:p>
      <w:pPr>
        <w:ind w:left="880" w:right="3179" w:hanging="273"/>
        <w:spacing w:after="0" w:line="238" w:lineRule="auto"/>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TO PARTICIPANTS: Assets consist of loans made to participants from their savings contribution account. Participants are permitted to borrow no more than the lesser of $50,000, reduced by the excess of the highest outstanding balance of Plan loans during the previous year, or 50% of the value of the participants' accounts. Interest paid on the loans is included as income to the fund. Interest rates range from 7.0% to 10.0%.</w:t>
      </w:r>
    </w:p>
    <w:p>
      <w:pPr>
        <w:spacing w:after="0" w:line="177" w:lineRule="exact"/>
        <w:rPr>
          <w:sz w:val="20"/>
          <w:szCs w:val="20"/>
          <w:color w:val="auto"/>
        </w:rPr>
      </w:pPr>
    </w:p>
    <w:p>
      <w:pPr>
        <w:ind w:left="700" w:right="3259"/>
        <w:spacing w:after="0" w:line="237" w:lineRule="auto"/>
        <w:rPr>
          <w:sz w:val="20"/>
          <w:szCs w:val="20"/>
          <w:color w:val="auto"/>
        </w:rPr>
      </w:pPr>
      <w:r>
        <w:rPr>
          <w:rFonts w:ascii="Courier New" w:cs="Courier New" w:eastAsia="Courier New" w:hAnsi="Courier New"/>
          <w:sz w:val="15"/>
          <w:szCs w:val="15"/>
          <w:color w:val="auto"/>
        </w:rPr>
        <w:t>Additionally, the Plan also has the following 2 funds which can be invested in by employees of Scotts Miracle-Gro Products, Inc., a wholly owned subsidiary of the Company:</w:t>
      </w:r>
    </w:p>
    <w:p>
      <w:pPr>
        <w:spacing w:after="0" w:line="175" w:lineRule="exact"/>
        <w:rPr>
          <w:sz w:val="20"/>
          <w:szCs w:val="20"/>
          <w:color w:val="auto"/>
        </w:rPr>
      </w:pPr>
    </w:p>
    <w:p>
      <w:pPr>
        <w:ind w:left="1220" w:right="3799" w:hanging="348"/>
        <w:spacing w:after="0" w:line="235" w:lineRule="auto"/>
        <w:tabs>
          <w:tab w:leader="none" w:pos="12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GUARANTEED INVESTMENT CONTRACTS: Assets consist entirely of MassMutual guaranteed investments contracts.</w:t>
      </w:r>
    </w:p>
    <w:p>
      <w:pPr>
        <w:spacing w:after="0" w:line="175" w:lineRule="exact"/>
        <w:rPr>
          <w:rFonts w:ascii="Courier New" w:cs="Courier New" w:eastAsia="Courier New" w:hAnsi="Courier New"/>
          <w:sz w:val="15"/>
          <w:szCs w:val="15"/>
          <w:color w:val="auto"/>
        </w:rPr>
      </w:pPr>
    </w:p>
    <w:p>
      <w:pPr>
        <w:ind w:left="1220" w:right="3539" w:hanging="348"/>
        <w:spacing w:after="0" w:line="265" w:lineRule="auto"/>
        <w:tabs>
          <w:tab w:leader="none" w:pos="12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POOLED SEPARATE INVESTMENT ACCOUNT: Assets consist entirely of units of participation in the MassMutual Core Equity Fund.</w:t>
      </w:r>
    </w:p>
    <w:p>
      <w:pPr>
        <w:sectPr>
          <w:pgSz w:w="11900" w:h="16838" w:orient="portrait"/>
          <w:cols w:equalWidth="0" w:num="1">
            <w:col w:w="10219"/>
          </w:cols>
          <w:pgMar w:left="240" w:top="283" w:right="1440" w:bottom="4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Page 7</w:t>
      </w:r>
    </w:p>
    <w:p>
      <w:pPr>
        <w:sectPr>
          <w:pgSz w:w="11900" w:h="16838" w:orient="portrait"/>
          <w:cols w:equalWidth="0" w:num="1">
            <w:col w:w="10219"/>
          </w:cols>
          <w:pgMar w:left="240" w:top="283" w:right="1440" w:bottom="402"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PROFIT SHARING AND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THE FINANCIAL STATEMENTS, CONTINUED</w:t>
      </w:r>
    </w:p>
    <w:p>
      <w:pPr>
        <w:spacing w:after="0" w:line="33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Participants can change their contribution levels and/or their</w:t>
      </w:r>
    </w:p>
    <w:p>
      <w:pPr>
        <w:spacing w:after="0" w:line="5" w:lineRule="exact"/>
        <w:rPr>
          <w:sz w:val="20"/>
          <w:szCs w:val="20"/>
          <w:color w:val="auto"/>
        </w:rPr>
      </w:pPr>
    </w:p>
    <w:p>
      <w:pPr>
        <w:ind w:left="600" w:right="3179"/>
        <w:spacing w:after="0" w:line="257" w:lineRule="auto"/>
        <w:rPr>
          <w:sz w:val="20"/>
          <w:szCs w:val="20"/>
          <w:color w:val="auto"/>
        </w:rPr>
      </w:pPr>
      <w:r>
        <w:rPr>
          <w:rFonts w:ascii="Courier New" w:cs="Courier New" w:eastAsia="Courier New" w:hAnsi="Courier New"/>
          <w:sz w:val="14"/>
          <w:szCs w:val="14"/>
          <w:color w:val="auto"/>
        </w:rPr>
        <w:t>investment selection on a quarterly basis. The Plan entitles participants to retirement, death benefits, hardship withdrawals, and in-service distributions. The amount of the retirement and death benefits are equal to the undistributed balance in the participants' accounts determined as of the applicable valuation date as defined in the Plan. The Plan allows for in-service distributions to participants who have completed more than five years of participation in the Plan and attained age 59 1/2. Hardship distributions of participants' savings contributions are allowed when the participant has met the Internal Revenue Service criteria for hardship. Loans can be made to participants from their savings contribution account subject to the terms of the Plan.</w:t>
      </w:r>
    </w:p>
    <w:p>
      <w:pPr>
        <w:spacing w:after="0" w:line="200" w:lineRule="exact"/>
        <w:rPr>
          <w:sz w:val="20"/>
          <w:szCs w:val="20"/>
          <w:color w:val="auto"/>
        </w:rPr>
      </w:pPr>
    </w:p>
    <w:p>
      <w:pPr>
        <w:spacing w:after="0" w:line="299" w:lineRule="exact"/>
        <w:rPr>
          <w:sz w:val="20"/>
          <w:szCs w:val="20"/>
          <w:color w:val="auto"/>
        </w:rPr>
      </w:pPr>
    </w:p>
    <w:p>
      <w:pPr>
        <w:ind w:left="600" w:hanging="433"/>
        <w:spacing w:after="0"/>
        <w:tabs>
          <w:tab w:leader="none" w:pos="6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4" w:lineRule="exact"/>
        <w:rPr>
          <w:rFonts w:ascii="Courier New" w:cs="Courier New" w:eastAsia="Courier New" w:hAnsi="Courier New"/>
          <w:sz w:val="15"/>
          <w:szCs w:val="15"/>
          <w:color w:val="auto"/>
        </w:rPr>
      </w:pPr>
    </w:p>
    <w:p>
      <w:pPr>
        <w:ind w:left="880" w:right="3179" w:hanging="273"/>
        <w:spacing w:after="0" w:line="235" w:lineRule="auto"/>
        <w:tabs>
          <w:tab w:leader="none" w:pos="8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ACCOUNTING: The financial statements have been prepared under the accrual method of accounting.</w:t>
      </w:r>
    </w:p>
    <w:p>
      <w:pPr>
        <w:spacing w:after="0" w:line="175" w:lineRule="exact"/>
        <w:rPr>
          <w:rFonts w:ascii="Courier New" w:cs="Courier New" w:eastAsia="Courier New" w:hAnsi="Courier New"/>
          <w:sz w:val="15"/>
          <w:szCs w:val="15"/>
          <w:color w:val="auto"/>
        </w:rPr>
      </w:pPr>
    </w:p>
    <w:p>
      <w:pPr>
        <w:ind w:left="880" w:right="3179" w:hanging="273"/>
        <w:spacing w:after="0" w:line="257" w:lineRule="auto"/>
        <w:tabs>
          <w:tab w:leader="none" w:pos="88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VALUATION: Investments other than participant loans and investment contracts are stated at quoted market values. Loans to participants are valued at cost, which approximates market value. The Plan's Guaranteed Investment Contracts with MassMutual are valued based on the contract value, which approximates fair value. Contract value represents contributions made under the contract, plus earnings, less withdrawls and administrative expenses. The contracts provide for a guaranteed return on principal. The guaranteed return is adjusted annually based on the actual return of the asset pool. Purchases and sales of investments are reflected on a trade-date basis.</w:t>
      </w:r>
    </w:p>
    <w:p>
      <w:pPr>
        <w:spacing w:after="0" w:line="166" w:lineRule="exact"/>
        <w:rPr>
          <w:rFonts w:ascii="Courier New" w:cs="Courier New" w:eastAsia="Courier New" w:hAnsi="Courier New"/>
          <w:sz w:val="14"/>
          <w:szCs w:val="14"/>
          <w:color w:val="auto"/>
        </w:rPr>
      </w:pPr>
    </w:p>
    <w:p>
      <w:pPr>
        <w:ind w:left="88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Gains and losses on sales of investments are based on specific identification of cost. Dividend income is recorded on the ex-dividend date. Income from other investments is recorded as earned on the accrual basis.</w:t>
      </w:r>
    </w:p>
    <w:p>
      <w:pPr>
        <w:spacing w:after="0" w:line="176" w:lineRule="exact"/>
        <w:rPr>
          <w:rFonts w:ascii="Courier New" w:cs="Courier New" w:eastAsia="Courier New" w:hAnsi="Courier New"/>
          <w:sz w:val="14"/>
          <w:szCs w:val="14"/>
          <w:color w:val="auto"/>
        </w:rPr>
      </w:pPr>
    </w:p>
    <w:p>
      <w:pPr>
        <w:ind w:left="88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Plan presents in the statement of changes in net assets available for benefits the net appreciation in the fair value of its investments, which consists of the realized gains or losses and the unrealized appreciation (depreciation) on those investments.</w:t>
      </w:r>
    </w:p>
    <w:p>
      <w:pPr>
        <w:spacing w:after="0" w:line="170" w:lineRule="exact"/>
        <w:rPr>
          <w:rFonts w:ascii="Courier New" w:cs="Courier New" w:eastAsia="Courier New" w:hAnsi="Courier New"/>
          <w:sz w:val="14"/>
          <w:szCs w:val="14"/>
          <w:color w:val="auto"/>
        </w:rPr>
      </w:pPr>
    </w:p>
    <w:p>
      <w:pPr>
        <w:ind w:left="880" w:hanging="273"/>
        <w:spacing w:after="0"/>
        <w:tabs>
          <w:tab w:leader="none" w:pos="8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All administrative expenses are paid by the Plan.</w:t>
      </w:r>
    </w:p>
    <w:p>
      <w:pPr>
        <w:spacing w:after="0" w:line="174" w:lineRule="exact"/>
        <w:rPr>
          <w:rFonts w:ascii="Courier New" w:cs="Courier New" w:eastAsia="Courier New" w:hAnsi="Courier New"/>
          <w:sz w:val="15"/>
          <w:szCs w:val="15"/>
          <w:color w:val="auto"/>
        </w:rPr>
      </w:pPr>
    </w:p>
    <w:p>
      <w:pPr>
        <w:ind w:left="880" w:right="3259" w:hanging="273"/>
        <w:spacing w:after="0" w:line="238" w:lineRule="auto"/>
        <w:tabs>
          <w:tab w:leader="none" w:pos="8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 The preparation of the Plan's financial statements in conformity with generally accepted accounting principles requires the plan administrator to make significant estimates and assumptions that affect the reported amounts of net assets available for benefits at the date of the financial statements and the changes in net assets available for benefits during the reporting period and, when applicable, disclosures of contingent assets and liabilities at the date of the financial statements. Actual results could differ from those estimates.</w:t>
      </w:r>
    </w:p>
    <w:p>
      <w:pPr>
        <w:spacing w:after="0" w:line="178" w:lineRule="exact"/>
        <w:rPr>
          <w:rFonts w:ascii="Courier New" w:cs="Courier New" w:eastAsia="Courier New" w:hAnsi="Courier New"/>
          <w:sz w:val="15"/>
          <w:szCs w:val="15"/>
          <w:color w:val="auto"/>
        </w:rPr>
      </w:pPr>
    </w:p>
    <w:p>
      <w:pPr>
        <w:ind w:left="880" w:right="3259" w:hanging="273"/>
        <w:spacing w:after="0" w:line="259" w:lineRule="auto"/>
        <w:tabs>
          <w:tab w:leader="none" w:pos="88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AND UNCERTAINTIES: The Plan provides for various investment options in any combination of stocks, bonds, fixed income securities, and other investment securities. Investment securities are exposed to various risks, such as interest rate, market, and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PROFIT SHARING AND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THE FINANCIAL STATEMENTS, CONTINUED</w:t>
      </w:r>
    </w:p>
    <w:p>
      <w:pPr>
        <w:spacing w:after="0" w:line="175" w:lineRule="exact"/>
        <w:rPr>
          <w:sz w:val="20"/>
          <w:szCs w:val="20"/>
          <w:color w:val="auto"/>
        </w:rPr>
      </w:pPr>
    </w:p>
    <w:p>
      <w:pPr>
        <w:ind w:left="960" w:right="620"/>
        <w:spacing w:after="0" w:line="238" w:lineRule="auto"/>
        <w:rPr>
          <w:sz w:val="20"/>
          <w:szCs w:val="20"/>
          <w:color w:val="auto"/>
        </w:rPr>
      </w:pPr>
      <w:r>
        <w:rPr>
          <w:rFonts w:ascii="Courier New" w:cs="Courier New" w:eastAsia="Courier New" w:hAnsi="Courier New"/>
          <w:sz w:val="15"/>
          <w:szCs w:val="15"/>
          <w:color w:val="auto"/>
        </w:rPr>
        <w:t>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 of net assets available for benefits.</w:t>
      </w:r>
    </w:p>
    <w:p>
      <w:pPr>
        <w:spacing w:after="0" w:line="200" w:lineRule="exact"/>
        <w:rPr>
          <w:sz w:val="20"/>
          <w:szCs w:val="20"/>
          <w:color w:val="auto"/>
        </w:rPr>
      </w:pPr>
    </w:p>
    <w:p>
      <w:pPr>
        <w:spacing w:after="0" w:line="309" w:lineRule="exact"/>
        <w:rPr>
          <w:sz w:val="20"/>
          <w:szCs w:val="20"/>
          <w:color w:val="auto"/>
        </w:rPr>
      </w:pPr>
    </w:p>
    <w:p>
      <w:pPr>
        <w:ind w:left="600" w:hanging="433"/>
        <w:spacing w:after="0"/>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THE SCOTTS COMPANY:</w:t>
      </w:r>
    </w:p>
    <w:p>
      <w:pPr>
        <w:spacing w:after="0" w:line="174" w:lineRule="exact"/>
        <w:rPr>
          <w:rFonts w:ascii="Courier New" w:cs="Courier New" w:eastAsia="Courier New" w:hAnsi="Courier New"/>
          <w:sz w:val="15"/>
          <w:szCs w:val="15"/>
          <w:color w:val="auto"/>
        </w:rPr>
      </w:pPr>
    </w:p>
    <w:p>
      <w:pPr>
        <w:ind w:left="600" w:right="70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1997 and 1996, the Plan had investments in the Company's common stock, as follows:</w:t>
      </w:r>
    </w:p>
    <w:p>
      <w:pPr>
        <w:spacing w:after="0" w:line="200" w:lineRule="exact"/>
        <w:rPr>
          <w:sz w:val="20"/>
          <w:szCs w:val="20"/>
          <w:color w:val="auto"/>
        </w:rPr>
      </w:pPr>
    </w:p>
    <w:p>
      <w:pPr>
        <w:spacing w:after="0" w:line="309"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1997</w:t>
      </w:r>
    </w:p>
    <w:p>
      <w:pPr>
        <w:spacing w:after="0" w:line="5"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6520"/>
        <w:spacing w:after="0"/>
        <w:rPr>
          <w:sz w:val="20"/>
          <w:szCs w:val="20"/>
          <w:color w:val="auto"/>
        </w:rPr>
      </w:pPr>
      <w:r>
        <w:rPr>
          <w:rFonts w:ascii="Courier New" w:cs="Courier New" w:eastAsia="Courier New" w:hAnsi="Courier New"/>
          <w:sz w:val="15"/>
          <w:szCs w:val="15"/>
          <w:color w:val="auto"/>
        </w:rPr>
        <w:t>FAIR MARKET</w:t>
      </w:r>
    </w:p>
    <w:p>
      <w:pPr>
        <w:jc w:val="both"/>
        <w:ind w:left="5280"/>
        <w:spacing w:after="0"/>
        <w:tabs>
          <w:tab w:leader="none" w:pos="67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VALUE</w:t>
      </w:r>
    </w:p>
    <w:p>
      <w:pPr>
        <w:spacing w:after="0" w:line="5" w:lineRule="exact"/>
        <w:rPr>
          <w:sz w:val="20"/>
          <w:szCs w:val="20"/>
          <w:color w:val="auto"/>
        </w:rPr>
      </w:pPr>
    </w:p>
    <w:p>
      <w:pPr>
        <w:ind w:left="5020"/>
        <w:spacing w:after="0"/>
        <w:tabs>
          <w:tab w:leader="none" w:pos="6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Growth and Income Fund</w:t>
      </w:r>
    </w:p>
    <w:p>
      <w:pPr>
        <w:spacing w:after="0" w:line="169" w:lineRule="exact"/>
        <w:rPr>
          <w:sz w:val="20"/>
          <w:szCs w:val="20"/>
          <w:color w:val="auto"/>
        </w:rPr>
      </w:pPr>
    </w:p>
    <w:p>
      <w:pPr>
        <w:jc w:val="right"/>
        <w:ind w:right="80"/>
        <w:spacing w:after="0"/>
        <w:tabs>
          <w:tab w:leader="none" w:pos="2000" w:val="left"/>
          <w:tab w:leader="none" w:pos="1120" w:val="left"/>
          <w:tab w:leader="none" w:pos="860" w:val="left"/>
        </w:tabs>
        <w:rPr>
          <w:sz w:val="20"/>
          <w:szCs w:val="20"/>
          <w:color w:val="auto"/>
        </w:rPr>
      </w:pPr>
      <w:r>
        <w:rPr>
          <w:rFonts w:ascii="Courier New" w:cs="Courier New" w:eastAsia="Courier New" w:hAnsi="Courier New"/>
          <w:sz w:val="15"/>
          <w:szCs w:val="15"/>
          <w:color w:val="auto"/>
        </w:rPr>
        <w:t>Scotts Stock Fund</w:t>
      </w:r>
      <w:r>
        <w:rPr>
          <w:sz w:val="20"/>
          <w:szCs w:val="20"/>
          <w:color w:val="auto"/>
        </w:rPr>
        <w:tab/>
      </w:r>
      <w:r>
        <w:rPr>
          <w:rFonts w:ascii="Courier New" w:cs="Courier New" w:eastAsia="Courier New" w:hAnsi="Courier New"/>
          <w:sz w:val="15"/>
          <w:szCs w:val="15"/>
          <w:color w:val="auto"/>
        </w:rPr>
        <w:t>80,130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2,423,933</w:t>
      </w:r>
    </w:p>
    <w:p>
      <w:pPr>
        <w:spacing w:after="0" w:line="5" w:lineRule="exact"/>
        <w:rPr>
          <w:sz w:val="20"/>
          <w:szCs w:val="20"/>
          <w:color w:val="auto"/>
        </w:rPr>
      </w:pPr>
    </w:p>
    <w:p>
      <w:pPr>
        <w:ind w:left="5020"/>
        <w:spacing w:after="0"/>
        <w:tabs>
          <w:tab w:leader="none" w:pos="6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jc w:val="both"/>
        <w:ind w:left="5640"/>
        <w:spacing w:after="0"/>
        <w:tabs>
          <w:tab w:leader="none" w:pos="6500" w:val="left"/>
          <w:tab w:leader="none" w:pos="6760" w:val="left"/>
        </w:tabs>
        <w:rPr>
          <w:sz w:val="20"/>
          <w:szCs w:val="20"/>
          <w:color w:val="auto"/>
        </w:rPr>
      </w:pPr>
      <w:r>
        <w:rPr>
          <w:rFonts w:ascii="Courier New" w:cs="Courier New" w:eastAsia="Courier New" w:hAnsi="Courier New"/>
          <w:sz w:val="15"/>
          <w:szCs w:val="15"/>
          <w:color w:val="auto"/>
        </w:rPr>
        <w:t>80,130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2,423,933</w:t>
      </w:r>
    </w:p>
    <w:p>
      <w:pPr>
        <w:jc w:val="both"/>
        <w:ind w:left="5020"/>
        <w:spacing w:after="0"/>
        <w:tabs>
          <w:tab w:leader="none" w:pos="6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4" w:lineRule="exact"/>
        <w:rPr>
          <w:sz w:val="20"/>
          <w:szCs w:val="20"/>
          <w:color w:val="auto"/>
        </w:rPr>
      </w:pPr>
    </w:p>
    <w:p>
      <w:pPr>
        <w:ind w:left="600" w:right="620"/>
        <w:spacing w:after="0" w:line="237" w:lineRule="auto"/>
        <w:rPr>
          <w:sz w:val="20"/>
          <w:szCs w:val="20"/>
          <w:color w:val="auto"/>
        </w:rPr>
      </w:pPr>
      <w:r>
        <w:rPr>
          <w:rFonts w:ascii="Courier New" w:cs="Courier New" w:eastAsia="Courier New" w:hAnsi="Courier New"/>
          <w:sz w:val="15"/>
          <w:szCs w:val="15"/>
          <w:color w:val="auto"/>
        </w:rPr>
        <w:t>The Company's common stock is valued at quoted market prices, which were $30.25 and $19.88 per share at December 31, 1997 and 1996,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FAIR MARKET</w:t>
            </w:r>
          </w:p>
        </w:tc>
      </w:tr>
      <w:tr>
        <w:trPr>
          <w:trHeight w:val="170"/>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250,500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4,978,688</w:t>
            </w:r>
          </w:p>
        </w:tc>
      </w:tr>
      <w:tr>
        <w:trPr>
          <w:trHeight w:val="339"/>
        </w:trPr>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81,190</w:t>
            </w:r>
          </w:p>
        </w:tc>
        <w:tc>
          <w:tcPr>
            <w:tcW w:w="180" w:type="dxa"/>
            <w:vAlign w:val="bottom"/>
          </w:tcPr>
          <w:p>
            <w:pPr>
              <w:spacing w:after="0"/>
              <w:rPr>
                <w:sz w:val="24"/>
                <w:szCs w:val="24"/>
                <w:color w:val="auto"/>
              </w:rPr>
            </w:pP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1,613,651</w:t>
            </w:r>
          </w:p>
        </w:tc>
      </w:tr>
      <w:tr>
        <w:trPr>
          <w:trHeight w:val="170"/>
        </w:trPr>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331,690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6,592,339</w:t>
            </w:r>
          </w:p>
        </w:tc>
      </w:tr>
      <w:tr>
        <w:trPr>
          <w:trHeight w:val="170"/>
        </w:trPr>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r>
    </w:tbl>
    <w:p>
      <w:pPr>
        <w:sectPr>
          <w:pgSz w:w="11900" w:h="16838" w:orient="portrait"/>
          <w:cols w:equalWidth="0" w:num="2">
            <w:col w:w="7660" w:space="260"/>
            <w:col w:w="2640"/>
          </w:cols>
          <w:pgMar w:left="240" w:top="283" w:right="1099" w:bottom="1440" w:gutter="0" w:footer="0" w:header="0"/>
        </w:sectPr>
      </w:pPr>
    </w:p>
    <w:bookmarkStart w:id="9" w:name="page10"/>
    <w:bookmarkEnd w:id="9"/>
    <w:p>
      <w:pPr>
        <w:ind w:left="1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0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SCOTTS COMPANY</w:t>
      </w:r>
    </w:p>
    <w:p>
      <w:pPr>
        <w:ind w:left="520"/>
        <w:spacing w:after="0"/>
        <w:rPr>
          <w:sz w:val="20"/>
          <w:szCs w:val="20"/>
          <w:color w:val="auto"/>
        </w:rPr>
      </w:pPr>
      <w:r>
        <w:rPr>
          <w:rFonts w:ascii="Courier New" w:cs="Courier New" w:eastAsia="Courier New" w:hAnsi="Courier New"/>
          <w:sz w:val="15"/>
          <w:szCs w:val="15"/>
          <w:color w:val="auto"/>
        </w:rPr>
        <w:t>PROFIT SHARING AND SAVINGS PLAN</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THE FINANCIAL STATEMENTS, CONTINUED</w:t>
      </w:r>
    </w:p>
    <w:p>
      <w:pPr>
        <w:spacing w:after="0" w:line="175" w:lineRule="exact"/>
        <w:rPr>
          <w:sz w:val="20"/>
          <w:szCs w:val="20"/>
          <w:color w:val="auto"/>
        </w:rPr>
      </w:pPr>
    </w:p>
    <w:p>
      <w:pPr>
        <w:ind w:left="960" w:right="3179" w:hanging="433"/>
        <w:spacing w:after="0" w:line="235" w:lineRule="auto"/>
        <w:tabs>
          <w:tab w:leader="none" w:pos="9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CHANGES IN NET ASSETS AVAILABLE FOR BENEFITS WITH FUND INFORMATION:</w:t>
      </w:r>
    </w:p>
    <w:p>
      <w:pPr>
        <w:spacing w:after="0" w:line="176" w:lineRule="exact"/>
        <w:rPr>
          <w:sz w:val="20"/>
          <w:szCs w:val="20"/>
          <w:color w:val="auto"/>
        </w:rPr>
      </w:pPr>
    </w:p>
    <w:p>
      <w:pPr>
        <w:ind w:left="520" w:right="3179"/>
        <w:spacing w:after="0" w:line="265" w:lineRule="auto"/>
        <w:rPr>
          <w:sz w:val="20"/>
          <w:szCs w:val="20"/>
          <w:color w:val="auto"/>
        </w:rPr>
      </w:pPr>
      <w:r>
        <w:rPr>
          <w:rFonts w:ascii="Courier New" w:cs="Courier New" w:eastAsia="Courier New" w:hAnsi="Courier New"/>
          <w:sz w:val="14"/>
          <w:szCs w:val="14"/>
          <w:color w:val="auto"/>
        </w:rPr>
        <w:t>Changes in net assets available for benefits for the years ended December 31, 1997 and 1996, summarized by investment fund, are as follows: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180" w:type="dxa"/>
            <w:vAlign w:val="bottom"/>
            <w:gridSpan w:val="9"/>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GROWTH AND</w:t>
            </w:r>
          </w:p>
        </w:tc>
        <w:tc>
          <w:tcPr>
            <w:tcW w:w="28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SCOTTS</w:t>
            </w:r>
          </w:p>
        </w:tc>
        <w:tc>
          <w:tcPr>
            <w:tcW w:w="1280" w:type="dxa"/>
            <w:vAlign w:val="bottom"/>
          </w:tcPr>
          <w:p>
            <w:pPr>
              <w:spacing w:after="0"/>
              <w:rPr>
                <w:sz w:val="14"/>
                <w:szCs w:val="1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MANAGEMENT</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LOANS TO</w:t>
            </w: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 FUND</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STOCK FUND</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BOND FUND</w:t>
            </w:r>
          </w:p>
        </w:tc>
        <w:tc>
          <w:tcPr>
            <w:tcW w:w="18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FUND</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PARTICIPANTS</w:t>
            </w: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Increases:</w:t>
            </w: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Interest and dividends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1,258,630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3,163</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637,675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5,915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54,053</w:t>
            </w:r>
          </w:p>
        </w:tc>
      </w:tr>
      <w:tr>
        <w:trPr>
          <w:trHeight w:val="170"/>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Net appreciation in fair</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value of investments</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11,954,583</w:t>
            </w:r>
          </w:p>
        </w:tc>
        <w:tc>
          <w:tcPr>
            <w:tcW w:w="2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1,099,960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13,485</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250,980</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Employer contributions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Employee contributions</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2,183,725</w:t>
            </w:r>
          </w:p>
        </w:tc>
        <w:tc>
          <w:tcPr>
            <w:tcW w:w="2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204,949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361,285</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228,584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Total increases</w:t>
            </w:r>
          </w:p>
        </w:tc>
        <w:tc>
          <w:tcPr>
            <w:tcW w:w="3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15,396,938</w:t>
            </w:r>
          </w:p>
        </w:tc>
        <w:tc>
          <w:tcPr>
            <w:tcW w:w="2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1,308,072</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1,012,445</w:t>
            </w:r>
          </w:p>
        </w:tc>
        <w:tc>
          <w:tcPr>
            <w:tcW w:w="18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485,479</w:t>
            </w:r>
          </w:p>
        </w:tc>
        <w:tc>
          <w:tcPr>
            <w:tcW w:w="18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54,053</w:t>
            </w: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Decreases:</w:t>
            </w: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Distributions</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5,379,651</w:t>
            </w:r>
          </w:p>
        </w:tc>
        <w:tc>
          <w:tcPr>
            <w:tcW w:w="2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203,414</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1,094,423</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950,877</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62,367</w:t>
            </w:r>
          </w:p>
        </w:tc>
      </w:tr>
      <w:tr>
        <w:trPr>
          <w:trHeight w:val="170"/>
        </w:trPr>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Investment</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management and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administrative fees</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217,989</w:t>
            </w:r>
          </w:p>
        </w:tc>
        <w:tc>
          <w:tcPr>
            <w:tcW w:w="2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5,808</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52,402</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15,049</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12,897</w:t>
            </w: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Total decreases</w:t>
            </w:r>
          </w:p>
        </w:tc>
        <w:tc>
          <w:tcPr>
            <w:tcW w:w="3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5,597,640</w:t>
            </w:r>
          </w:p>
        </w:tc>
        <w:tc>
          <w:tcPr>
            <w:tcW w:w="2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209,222</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1,146,825</w:t>
            </w:r>
          </w:p>
        </w:tc>
        <w:tc>
          <w:tcPr>
            <w:tcW w:w="18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965,926</w:t>
            </w:r>
          </w:p>
        </w:tc>
        <w:tc>
          <w:tcPr>
            <w:tcW w:w="18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75,264</w:t>
            </w: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Net increase (decrease) in net</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08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assets available for</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9,799,298</w:t>
            </w:r>
          </w:p>
        </w:tc>
        <w:tc>
          <w:tcPr>
            <w:tcW w:w="2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1,098,850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(134,380)</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(480,447)</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(21,211)</w:t>
            </w:r>
          </w:p>
        </w:tc>
      </w:tr>
      <w:tr>
        <w:trPr>
          <w:trHeight w:val="170"/>
        </w:trPr>
        <w:tc>
          <w:tcPr>
            <w:tcW w:w="30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benefits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Participant exchanges among</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(3,287,491)</w:t>
            </w:r>
          </w:p>
        </w:tc>
        <w:tc>
          <w:tcPr>
            <w:tcW w:w="2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(141,849)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2,329,290</w:t>
            </w:r>
          </w:p>
        </w:tc>
        <w:tc>
          <w:tcPr>
            <w:tcW w:w="18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1,044,288</w:t>
            </w:r>
          </w:p>
        </w:tc>
        <w:tc>
          <w:tcPr>
            <w:tcW w:w="18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50,376</w:t>
            </w:r>
          </w:p>
        </w:tc>
      </w:tr>
      <w:tr>
        <w:trPr>
          <w:trHeight w:val="170"/>
        </w:trPr>
        <w:tc>
          <w:tcPr>
            <w:tcW w:w="1320" w:type="dxa"/>
            <w:vAlign w:val="bottom"/>
          </w:tcPr>
          <w:p>
            <w:pPr>
              <w:ind w:left="800"/>
              <w:spacing w:after="0"/>
              <w:rPr>
                <w:sz w:val="20"/>
                <w:szCs w:val="20"/>
                <w:color w:val="auto"/>
              </w:rPr>
            </w:pPr>
            <w:r>
              <w:rPr>
                <w:rFonts w:ascii="Courier New" w:cs="Courier New" w:eastAsia="Courier New" w:hAnsi="Courier New"/>
                <w:sz w:val="15"/>
                <w:szCs w:val="15"/>
                <w:color w:val="auto"/>
              </w:rPr>
              <w:t>funds</w:t>
            </w: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9"/>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Net assets available for</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0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benefits,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8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beginning of year</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48,806,970</w:t>
            </w:r>
          </w:p>
        </w:tc>
        <w:tc>
          <w:tcPr>
            <w:tcW w:w="2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1,552,042</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8,249,217</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3,776,362</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605,750</w:t>
            </w: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Net assets available for</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0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benefits,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8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end of year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55,318,777</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$2,509,043</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$10,444,127</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$ 4,340,203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634,915</w:t>
            </w: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848"/>
        </w:trPr>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20" w:type="dxa"/>
            <w:vAlign w:val="bottom"/>
            <w:gridSpan w:val="7"/>
          </w:tcPr>
          <w:p>
            <w:pPr>
              <w:ind w:left="260"/>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GUARANTEED</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EQUITY</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INVESTMENT</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FUND</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CONTRACTS</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Increases:</w:t>
            </w: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Interest and dividends</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3,925</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83,721</w:t>
            </w:r>
          </w:p>
        </w:tc>
        <w:tc>
          <w:tcPr>
            <w:tcW w:w="12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$ 2,047,082</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Net appreciation in fair</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value of investments</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323,236</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13,642,244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Employer contributions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1,104,640</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1,104,640</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Employee contributions</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124,624</w:t>
            </w:r>
          </w:p>
        </w:tc>
        <w:tc>
          <w:tcPr>
            <w:tcW w:w="2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122,610</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3,225,777</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Total increases</w:t>
            </w:r>
          </w:p>
        </w:tc>
        <w:tc>
          <w:tcPr>
            <w:tcW w:w="3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451,785</w:t>
            </w:r>
          </w:p>
        </w:tc>
        <w:tc>
          <w:tcPr>
            <w:tcW w:w="2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206,331</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1,104,640</w:t>
            </w:r>
          </w:p>
        </w:tc>
        <w:tc>
          <w:tcPr>
            <w:tcW w:w="18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20,019,743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Decreases:</w:t>
            </w: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Distributions</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23,158</w:t>
            </w:r>
          </w:p>
        </w:tc>
        <w:tc>
          <w:tcPr>
            <w:tcW w:w="2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198,564</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7,912,454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Investment</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management and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administrative fees</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7,915</w:t>
            </w:r>
          </w:p>
        </w:tc>
        <w:tc>
          <w:tcPr>
            <w:tcW w:w="2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7,711</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319,771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Total decreases</w:t>
            </w:r>
          </w:p>
        </w:tc>
        <w:tc>
          <w:tcPr>
            <w:tcW w:w="3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31,073</w:t>
            </w:r>
          </w:p>
        </w:tc>
        <w:tc>
          <w:tcPr>
            <w:tcW w:w="2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206,275</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8,232,225</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30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Net increase (decrease) in net</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08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assets available for</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420,712</w:t>
            </w:r>
          </w:p>
        </w:tc>
        <w:tc>
          <w:tcPr>
            <w:tcW w:w="2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1,104,640</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11,787,518</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benefits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ectPr>
          <w:pgSz w:w="11900" w:h="16838" w:orient="portrait"/>
          <w:cols w:equalWidth="0" w:num="1">
            <w:col w:w="10139"/>
          </w:cols>
          <w:pgMar w:left="320" w:top="283"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Participant exchanges among</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131,370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(125,984)</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funds</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09"/>
        </w:trPr>
        <w:tc>
          <w:tcPr>
            <w:tcW w:w="26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Net assets available for</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benefits,</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2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beginning of year</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1,010,614</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1,370,350</w:t>
            </w:r>
          </w:p>
        </w:tc>
        <w:tc>
          <w:tcPr>
            <w:tcW w:w="1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65,371,305</w:t>
            </w:r>
          </w:p>
        </w:tc>
      </w:tr>
      <w:tr>
        <w:trPr>
          <w:trHeight w:val="170"/>
        </w:trPr>
        <w:tc>
          <w:tcPr>
            <w:tcW w:w="2680" w:type="dxa"/>
            <w:vAlign w:val="bottom"/>
          </w:tcPr>
          <w:p>
            <w:pPr>
              <w:spacing w:after="0"/>
              <w:rPr>
                <w:sz w:val="14"/>
                <w:szCs w:val="14"/>
                <w:color w:val="auto"/>
              </w:rPr>
            </w:pP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6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Net assets available for</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benefits,</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end of year</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$ 1,562,696</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$ 1,244,422</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$ 1,104,640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$77,158,823</w:t>
            </w:r>
          </w:p>
        </w:tc>
      </w:tr>
      <w:tr>
        <w:trPr>
          <w:trHeight w:val="170"/>
        </w:trPr>
        <w:tc>
          <w:tcPr>
            <w:tcW w:w="2680" w:type="dxa"/>
            <w:vAlign w:val="bottom"/>
          </w:tcPr>
          <w:p>
            <w:pPr>
              <w:spacing w:after="0"/>
              <w:rPr>
                <w:sz w:val="14"/>
                <w:szCs w:val="14"/>
                <w:color w:val="auto"/>
              </w:rPr>
            </w:pP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9779"/>
          </w:cols>
          <w:pgMar w:left="680" w:top="30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PROFIT SHARING AND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THE FINANCIAL STATEMENTS, CONTINUED</w:t>
      </w:r>
    </w:p>
    <w:p>
      <w:pPr>
        <w:spacing w:after="0" w:line="200" w:lineRule="exact"/>
        <w:rPr>
          <w:sz w:val="20"/>
          <w:szCs w:val="20"/>
          <w:color w:val="auto"/>
        </w:rPr>
      </w:pPr>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860" w:type="dxa"/>
            <w:vAlign w:val="bottom"/>
          </w:tcPr>
          <w:p>
            <w:pPr>
              <w:spacing w:after="0"/>
              <w:rPr>
                <w:sz w:val="14"/>
                <w:szCs w:val="14"/>
                <w:color w:val="auto"/>
              </w:rPr>
            </w:pPr>
          </w:p>
        </w:tc>
        <w:tc>
          <w:tcPr>
            <w:tcW w:w="4980" w:type="dxa"/>
            <w:vAlign w:val="bottom"/>
            <w:gridSpan w:val="7"/>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CASH</w:t>
            </w:r>
          </w:p>
        </w:tc>
      </w:tr>
      <w:tr>
        <w:trPr>
          <w:trHeight w:val="170"/>
        </w:trPr>
        <w:tc>
          <w:tcPr>
            <w:tcW w:w="586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GROWTH AND</w:t>
            </w:r>
          </w:p>
        </w:tc>
        <w:tc>
          <w:tcPr>
            <w:tcW w:w="1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SCOTTS</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MANAGEMENT</w:t>
            </w:r>
          </w:p>
        </w:tc>
      </w:tr>
      <w:tr>
        <w:trPr>
          <w:trHeight w:val="170"/>
        </w:trPr>
        <w:tc>
          <w:tcPr>
            <w:tcW w:w="5860" w:type="dxa"/>
            <w:vAlign w:val="bottom"/>
          </w:tcPr>
          <w:p>
            <w:pPr>
              <w:spacing w:after="0"/>
              <w:rPr>
                <w:sz w:val="14"/>
                <w:szCs w:val="14"/>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INCOME FUND</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STOCK FUND</w:t>
            </w:r>
          </w:p>
        </w:tc>
        <w:tc>
          <w:tcPr>
            <w:tcW w:w="16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BOND FUND</w:t>
            </w:r>
          </w:p>
        </w:tc>
        <w:tc>
          <w:tcPr>
            <w:tcW w:w="2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FUND</w:t>
            </w:r>
          </w:p>
        </w:tc>
      </w:tr>
      <w:tr>
        <w:trPr>
          <w:trHeight w:val="170"/>
        </w:trPr>
        <w:tc>
          <w:tcPr>
            <w:tcW w:w="5860" w:type="dxa"/>
            <w:vAlign w:val="bottom"/>
          </w:tcPr>
          <w:p>
            <w:pPr>
              <w:spacing w:after="0"/>
              <w:rPr>
                <w:sz w:val="14"/>
                <w:szCs w:val="14"/>
                <w:color w:val="auto"/>
              </w:rPr>
            </w:pP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Increases: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Interest and dividends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$ 1,168,416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10,298</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680,123</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223,082</w:t>
            </w:r>
          </w:p>
        </w:tc>
      </w:tr>
      <w:tr>
        <w:trPr>
          <w:trHeight w:val="170"/>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Net appreciation (depreciation) in fair value of investments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8,256,827</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50,966</w:t>
            </w:r>
          </w:p>
        </w:tc>
        <w:tc>
          <w:tcPr>
            <w:tcW w:w="16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(160,646)</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32,618</w:t>
            </w:r>
          </w:p>
        </w:tc>
      </w:tr>
      <w:tr>
        <w:trPr>
          <w:trHeight w:val="170"/>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Employee contributions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1,584,620</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125,593</w:t>
            </w:r>
          </w:p>
        </w:tc>
        <w:tc>
          <w:tcPr>
            <w:tcW w:w="1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310,853</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243,715</w:t>
            </w:r>
          </w:p>
        </w:tc>
      </w:tr>
      <w:tr>
        <w:trPr>
          <w:trHeight w:val="170"/>
        </w:trPr>
        <w:tc>
          <w:tcPr>
            <w:tcW w:w="5860" w:type="dxa"/>
            <w:vAlign w:val="bottom"/>
          </w:tcPr>
          <w:p>
            <w:pPr>
              <w:spacing w:after="0"/>
              <w:rPr>
                <w:sz w:val="14"/>
                <w:szCs w:val="14"/>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ind w:left="800"/>
              <w:spacing w:after="0"/>
              <w:rPr>
                <w:sz w:val="20"/>
                <w:szCs w:val="20"/>
                <w:color w:val="auto"/>
              </w:rPr>
            </w:pPr>
            <w:r>
              <w:rPr>
                <w:rFonts w:ascii="Courier New" w:cs="Courier New" w:eastAsia="Courier New" w:hAnsi="Courier New"/>
                <w:sz w:val="15"/>
                <w:szCs w:val="15"/>
                <w:color w:val="auto"/>
              </w:rPr>
              <w:t>Total increases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11,009,863</w:t>
            </w:r>
          </w:p>
        </w:tc>
        <w:tc>
          <w:tcPr>
            <w:tcW w:w="18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186,857</w:t>
            </w:r>
          </w:p>
        </w:tc>
        <w:tc>
          <w:tcPr>
            <w:tcW w:w="160" w:type="dxa"/>
            <w:vAlign w:val="bottom"/>
          </w:tcPr>
          <w:p>
            <w:pPr>
              <w:spacing w:after="0"/>
              <w:rPr>
                <w:sz w:val="24"/>
                <w:szCs w:val="2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830,330</w:t>
            </w:r>
          </w:p>
        </w:tc>
        <w:tc>
          <w:tcPr>
            <w:tcW w:w="22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499,415</w:t>
            </w:r>
          </w:p>
        </w:tc>
      </w:tr>
      <w:tr>
        <w:trPr>
          <w:trHeight w:val="170"/>
        </w:trPr>
        <w:tc>
          <w:tcPr>
            <w:tcW w:w="5860" w:type="dxa"/>
            <w:vAlign w:val="bottom"/>
          </w:tcPr>
          <w:p>
            <w:pPr>
              <w:spacing w:after="0"/>
              <w:rPr>
                <w:sz w:val="14"/>
                <w:szCs w:val="14"/>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Decreases:</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Distributions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4,299,142</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136,868</w:t>
            </w:r>
          </w:p>
        </w:tc>
        <w:tc>
          <w:tcPr>
            <w:tcW w:w="1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1,776,182</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698,818</w:t>
            </w:r>
          </w:p>
        </w:tc>
      </w:tr>
      <w:tr>
        <w:trPr>
          <w:trHeight w:val="170"/>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Investment  management and administrative fees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227,613</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1,575</w:t>
            </w:r>
          </w:p>
        </w:tc>
        <w:tc>
          <w:tcPr>
            <w:tcW w:w="1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33,899</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16,729</w:t>
            </w:r>
          </w:p>
        </w:tc>
      </w:tr>
      <w:tr>
        <w:trPr>
          <w:trHeight w:val="170"/>
        </w:trPr>
        <w:tc>
          <w:tcPr>
            <w:tcW w:w="5860" w:type="dxa"/>
            <w:vAlign w:val="bottom"/>
          </w:tcPr>
          <w:p>
            <w:pPr>
              <w:spacing w:after="0"/>
              <w:rPr>
                <w:sz w:val="14"/>
                <w:szCs w:val="14"/>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ind w:left="800"/>
              <w:spacing w:after="0"/>
              <w:rPr>
                <w:sz w:val="20"/>
                <w:szCs w:val="20"/>
                <w:color w:val="auto"/>
              </w:rPr>
            </w:pPr>
            <w:r>
              <w:rPr>
                <w:rFonts w:ascii="Courier New" w:cs="Courier New" w:eastAsia="Courier New" w:hAnsi="Courier New"/>
                <w:sz w:val="15"/>
                <w:szCs w:val="15"/>
                <w:color w:val="auto"/>
              </w:rPr>
              <w:t>Total decreases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4,526,755</w:t>
            </w:r>
          </w:p>
        </w:tc>
        <w:tc>
          <w:tcPr>
            <w:tcW w:w="18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138,443</w:t>
            </w:r>
          </w:p>
        </w:tc>
        <w:tc>
          <w:tcPr>
            <w:tcW w:w="160" w:type="dxa"/>
            <w:vAlign w:val="bottom"/>
          </w:tcPr>
          <w:p>
            <w:pPr>
              <w:spacing w:after="0"/>
              <w:rPr>
                <w:sz w:val="24"/>
                <w:szCs w:val="2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1,810,081</w:t>
            </w:r>
          </w:p>
        </w:tc>
        <w:tc>
          <w:tcPr>
            <w:tcW w:w="22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715,547</w:t>
            </w:r>
          </w:p>
        </w:tc>
      </w:tr>
      <w:tr>
        <w:trPr>
          <w:trHeight w:val="170"/>
        </w:trPr>
        <w:tc>
          <w:tcPr>
            <w:tcW w:w="5860" w:type="dxa"/>
            <w:vAlign w:val="bottom"/>
          </w:tcPr>
          <w:p>
            <w:pPr>
              <w:spacing w:after="0"/>
              <w:rPr>
                <w:sz w:val="14"/>
                <w:szCs w:val="14"/>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ind w:left="800"/>
              <w:spacing w:after="0"/>
              <w:rPr>
                <w:sz w:val="20"/>
                <w:szCs w:val="20"/>
                <w:color w:val="auto"/>
              </w:rPr>
            </w:pPr>
            <w:r>
              <w:rPr>
                <w:rFonts w:ascii="Courier New" w:cs="Courier New" w:eastAsia="Courier New" w:hAnsi="Courier New"/>
                <w:sz w:val="15"/>
                <w:szCs w:val="15"/>
                <w:color w:val="auto"/>
              </w:rPr>
              <w:t>Net increase (decrease) in net assets</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5860" w:type="dxa"/>
            <w:vAlign w:val="bottom"/>
          </w:tcPr>
          <w:p>
            <w:pPr>
              <w:ind w:left="1240"/>
              <w:spacing w:after="0"/>
              <w:rPr>
                <w:sz w:val="20"/>
                <w:szCs w:val="20"/>
                <w:color w:val="auto"/>
              </w:rPr>
            </w:pPr>
            <w:r>
              <w:rPr>
                <w:rFonts w:ascii="Courier New" w:cs="Courier New" w:eastAsia="Courier New" w:hAnsi="Courier New"/>
                <w:sz w:val="15"/>
                <w:szCs w:val="15"/>
                <w:color w:val="auto"/>
              </w:rPr>
              <w:t>available for benefits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6,483,108</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48,414</w:t>
            </w:r>
          </w:p>
        </w:tc>
        <w:tc>
          <w:tcPr>
            <w:tcW w:w="16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(979,751)</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(216,132)</w:t>
            </w:r>
          </w:p>
        </w:tc>
      </w:tr>
      <w:tr>
        <w:trPr>
          <w:trHeight w:val="339"/>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Participant exchanges among funds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3,023,121</w:t>
            </w:r>
          </w:p>
        </w:tc>
        <w:tc>
          <w:tcPr>
            <w:tcW w:w="18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(202,012)</w:t>
            </w:r>
          </w:p>
        </w:tc>
        <w:tc>
          <w:tcPr>
            <w:tcW w:w="160" w:type="dxa"/>
            <w:vAlign w:val="bottom"/>
          </w:tcPr>
          <w:p>
            <w:pPr>
              <w:spacing w:after="0"/>
              <w:rPr>
                <w:sz w:val="24"/>
                <w:szCs w:val="2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(2,522,081)</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(281,422)</w:t>
            </w:r>
          </w:p>
        </w:tc>
      </w:tr>
      <w:tr>
        <w:trPr>
          <w:trHeight w:val="509"/>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Net assets available for benefits, beginning of year</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39,300,741</w:t>
            </w:r>
          </w:p>
        </w:tc>
        <w:tc>
          <w:tcPr>
            <w:tcW w:w="18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1,705,640</w:t>
            </w:r>
          </w:p>
        </w:tc>
        <w:tc>
          <w:tcPr>
            <w:tcW w:w="160" w:type="dxa"/>
            <w:vAlign w:val="bottom"/>
          </w:tcPr>
          <w:p>
            <w:pPr>
              <w:spacing w:after="0"/>
              <w:rPr>
                <w:sz w:val="24"/>
                <w:szCs w:val="2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11,751,049</w:t>
            </w:r>
          </w:p>
        </w:tc>
        <w:tc>
          <w:tcPr>
            <w:tcW w:w="22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4,273,916</w:t>
            </w:r>
          </w:p>
        </w:tc>
      </w:tr>
      <w:tr>
        <w:trPr>
          <w:trHeight w:val="170"/>
        </w:trPr>
        <w:tc>
          <w:tcPr>
            <w:tcW w:w="5860" w:type="dxa"/>
            <w:vAlign w:val="bottom"/>
          </w:tcPr>
          <w:p>
            <w:pPr>
              <w:spacing w:after="0"/>
              <w:rPr>
                <w:sz w:val="14"/>
                <w:szCs w:val="14"/>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860" w:type="dxa"/>
            <w:vAlign w:val="bottom"/>
          </w:tcPr>
          <w:p>
            <w:pPr>
              <w:ind w:left="800"/>
              <w:spacing w:after="0"/>
              <w:rPr>
                <w:sz w:val="20"/>
                <w:szCs w:val="20"/>
                <w:color w:val="auto"/>
              </w:rPr>
            </w:pPr>
            <w:r>
              <w:rPr>
                <w:rFonts w:ascii="Courier New" w:cs="Courier New" w:eastAsia="Courier New" w:hAnsi="Courier New"/>
                <w:sz w:val="15"/>
                <w:szCs w:val="15"/>
                <w:color w:val="auto"/>
              </w:rPr>
              <w:t>Net assets available for benefits, end of year</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$48,806,970</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$1,552,042</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8,249,217</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$ 3,776,362</w:t>
            </w:r>
          </w:p>
        </w:tc>
      </w:tr>
      <w:tr>
        <w:trPr>
          <w:trHeight w:val="170"/>
        </w:trPr>
        <w:tc>
          <w:tcPr>
            <w:tcW w:w="5860" w:type="dxa"/>
            <w:vAlign w:val="bottom"/>
          </w:tcPr>
          <w:p>
            <w:pPr>
              <w:spacing w:after="0"/>
              <w:rPr>
                <w:sz w:val="14"/>
                <w:szCs w:val="14"/>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120" w:type="dxa"/>
            <w:vAlign w:val="bottom"/>
          </w:tcPr>
          <w:p>
            <w:pPr>
              <w:spacing w:after="0"/>
              <w:rPr>
                <w:sz w:val="14"/>
                <w:szCs w:val="14"/>
                <w:color w:val="auto"/>
              </w:rPr>
            </w:pPr>
          </w:p>
        </w:tc>
        <w:tc>
          <w:tcPr>
            <w:tcW w:w="5080" w:type="dxa"/>
            <w:vAlign w:val="bottom"/>
            <w:gridSpan w:val="6"/>
          </w:tcPr>
          <w:p>
            <w:pPr>
              <w:ind w:left="4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GUARANTEED</w:t>
            </w:r>
          </w:p>
        </w:tc>
        <w:tc>
          <w:tcPr>
            <w:tcW w:w="1160" w:type="dxa"/>
            <w:vAlign w:val="bottom"/>
          </w:tcPr>
          <w:p>
            <w:pPr>
              <w:spacing w:after="0"/>
              <w:rPr>
                <w:sz w:val="14"/>
                <w:szCs w:val="14"/>
                <w:color w:val="auto"/>
              </w:rPr>
            </w:pPr>
          </w:p>
        </w:tc>
      </w:tr>
      <w:tr>
        <w:trPr>
          <w:trHeight w:val="170"/>
        </w:trPr>
        <w:tc>
          <w:tcPr>
            <w:tcW w:w="6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LOANS TO</w:t>
            </w:r>
          </w:p>
        </w:tc>
        <w:tc>
          <w:tcPr>
            <w:tcW w:w="22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EQUITY</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INVESTMENT</w:t>
            </w:r>
          </w:p>
        </w:tc>
        <w:tc>
          <w:tcPr>
            <w:tcW w:w="1160" w:type="dxa"/>
            <w:vAlign w:val="bottom"/>
          </w:tcPr>
          <w:p>
            <w:pPr>
              <w:spacing w:after="0"/>
              <w:rPr>
                <w:sz w:val="14"/>
                <w:szCs w:val="14"/>
                <w:color w:val="auto"/>
              </w:rPr>
            </w:pPr>
          </w:p>
        </w:tc>
      </w:tr>
      <w:tr>
        <w:trPr>
          <w:trHeight w:val="170"/>
        </w:trPr>
        <w:tc>
          <w:tcPr>
            <w:tcW w:w="6120" w:type="dxa"/>
            <w:vAlign w:val="bottom"/>
          </w:tcPr>
          <w:p>
            <w:pPr>
              <w:spacing w:after="0"/>
              <w:rPr>
                <w:sz w:val="14"/>
                <w:szCs w:val="14"/>
                <w:color w:val="auto"/>
              </w:rPr>
            </w:pP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PARTICIPANTS</w:t>
            </w:r>
          </w:p>
        </w:tc>
        <w:tc>
          <w:tcPr>
            <w:tcW w:w="22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FUND</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CONTRACTS</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6120" w:type="dxa"/>
            <w:vAlign w:val="bottom"/>
          </w:tcPr>
          <w:p>
            <w:pPr>
              <w:spacing w:after="0"/>
              <w:rPr>
                <w:sz w:val="14"/>
                <w:szCs w:val="14"/>
                <w:color w:val="auto"/>
              </w:rPr>
            </w:pPr>
          </w:p>
        </w:tc>
        <w:tc>
          <w:tcPr>
            <w:tcW w:w="164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Increases:</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6120" w:type="dxa"/>
            <w:vAlign w:val="bottom"/>
          </w:tcPr>
          <w:p>
            <w:pPr>
              <w:ind w:left="360"/>
              <w:spacing w:after="0"/>
              <w:rPr>
                <w:sz w:val="20"/>
                <w:szCs w:val="20"/>
                <w:color w:val="auto"/>
              </w:rPr>
            </w:pPr>
            <w:r>
              <w:rPr>
                <w:rFonts w:ascii="Courier New" w:cs="Courier New" w:eastAsia="Courier New" w:hAnsi="Courier New"/>
                <w:sz w:val="15"/>
                <w:szCs w:val="15"/>
                <w:color w:val="auto"/>
              </w:rPr>
              <w:t>Interest and dividends</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47,989</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1,730</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   86,687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$ 2,218,325</w:t>
            </w:r>
          </w:p>
        </w:tc>
      </w:tr>
      <w:tr>
        <w:trPr>
          <w:trHeight w:val="170"/>
        </w:trPr>
        <w:tc>
          <w:tcPr>
            <w:tcW w:w="6120" w:type="dxa"/>
            <w:vAlign w:val="bottom"/>
          </w:tcPr>
          <w:p>
            <w:pPr>
              <w:ind w:left="360"/>
              <w:spacing w:after="0"/>
              <w:rPr>
                <w:sz w:val="20"/>
                <w:szCs w:val="20"/>
                <w:color w:val="auto"/>
              </w:rPr>
            </w:pPr>
            <w:r>
              <w:rPr>
                <w:rFonts w:ascii="Courier New" w:cs="Courier New" w:eastAsia="Courier New" w:hAnsi="Courier New"/>
                <w:sz w:val="15"/>
                <w:szCs w:val="15"/>
                <w:color w:val="auto"/>
              </w:rPr>
              <w:t>Net appreciation (depreciation) in fair value of investments</w:t>
            </w: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157,659</w:t>
            </w:r>
          </w:p>
        </w:tc>
        <w:tc>
          <w:tcPr>
            <w:tcW w:w="106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8,337,424</w:t>
            </w:r>
          </w:p>
        </w:tc>
      </w:tr>
      <w:tr>
        <w:trPr>
          <w:trHeight w:val="170"/>
        </w:trPr>
        <w:tc>
          <w:tcPr>
            <w:tcW w:w="6120" w:type="dxa"/>
            <w:vAlign w:val="bottom"/>
          </w:tcPr>
          <w:p>
            <w:pPr>
              <w:ind w:left="360"/>
              <w:spacing w:after="0"/>
              <w:rPr>
                <w:sz w:val="20"/>
                <w:szCs w:val="20"/>
                <w:color w:val="auto"/>
              </w:rPr>
            </w:pPr>
            <w:r>
              <w:rPr>
                <w:rFonts w:ascii="Courier New" w:cs="Courier New" w:eastAsia="Courier New" w:hAnsi="Courier New"/>
                <w:sz w:val="15"/>
                <w:szCs w:val="15"/>
                <w:color w:val="auto"/>
              </w:rPr>
              <w:t>Employee contributions</w:t>
            </w: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118,491</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115,859</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2,499,131</w:t>
            </w:r>
          </w:p>
        </w:tc>
      </w:tr>
      <w:tr>
        <w:trPr>
          <w:trHeight w:val="170"/>
        </w:trPr>
        <w:tc>
          <w:tcPr>
            <w:tcW w:w="6120" w:type="dxa"/>
            <w:vAlign w:val="bottom"/>
          </w:tcPr>
          <w:p>
            <w:pPr>
              <w:spacing w:after="0"/>
              <w:rPr>
                <w:sz w:val="14"/>
                <w:szCs w:val="14"/>
                <w:color w:val="auto"/>
              </w:rPr>
            </w:pPr>
          </w:p>
        </w:tc>
        <w:tc>
          <w:tcPr>
            <w:tcW w:w="1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ind w:left="800"/>
              <w:spacing w:after="0"/>
              <w:rPr>
                <w:sz w:val="20"/>
                <w:szCs w:val="20"/>
                <w:color w:val="auto"/>
              </w:rPr>
            </w:pPr>
            <w:r>
              <w:rPr>
                <w:rFonts w:ascii="Courier New" w:cs="Courier New" w:eastAsia="Courier New" w:hAnsi="Courier New"/>
                <w:sz w:val="15"/>
                <w:szCs w:val="15"/>
                <w:color w:val="auto"/>
              </w:rPr>
              <w:t>Total increases</w:t>
            </w:r>
          </w:p>
        </w:tc>
        <w:tc>
          <w:tcPr>
            <w:tcW w:w="58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47,989</w:t>
            </w:r>
          </w:p>
        </w:tc>
        <w:tc>
          <w:tcPr>
            <w:tcW w:w="22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277,880</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202,546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13,054,880</w:t>
            </w:r>
          </w:p>
        </w:tc>
      </w:tr>
      <w:tr>
        <w:trPr>
          <w:trHeight w:val="170"/>
        </w:trPr>
        <w:tc>
          <w:tcPr>
            <w:tcW w:w="6120" w:type="dxa"/>
            <w:vAlign w:val="bottom"/>
          </w:tcPr>
          <w:p>
            <w:pPr>
              <w:spacing w:after="0"/>
              <w:rPr>
                <w:sz w:val="14"/>
                <w:szCs w:val="14"/>
                <w:color w:val="auto"/>
              </w:rPr>
            </w:pPr>
          </w:p>
        </w:tc>
        <w:tc>
          <w:tcPr>
            <w:tcW w:w="1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Decreases:</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6120" w:type="dxa"/>
            <w:vAlign w:val="bottom"/>
          </w:tcPr>
          <w:p>
            <w:pPr>
              <w:ind w:left="360"/>
              <w:spacing w:after="0"/>
              <w:rPr>
                <w:sz w:val="20"/>
                <w:szCs w:val="20"/>
                <w:color w:val="auto"/>
              </w:rPr>
            </w:pPr>
            <w:r>
              <w:rPr>
                <w:rFonts w:ascii="Courier New" w:cs="Courier New" w:eastAsia="Courier New" w:hAnsi="Courier New"/>
                <w:sz w:val="15"/>
                <w:szCs w:val="15"/>
                <w:color w:val="auto"/>
              </w:rPr>
              <w:t>Distributions</w:t>
            </w:r>
          </w:p>
        </w:tc>
        <w:tc>
          <w:tcPr>
            <w:tcW w:w="5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6,169</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12,070</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6,929,249</w:t>
            </w:r>
          </w:p>
        </w:tc>
      </w:tr>
      <w:tr>
        <w:trPr>
          <w:trHeight w:val="170"/>
        </w:trPr>
        <w:tc>
          <w:tcPr>
            <w:tcW w:w="6120" w:type="dxa"/>
            <w:vAlign w:val="bottom"/>
          </w:tcPr>
          <w:p>
            <w:pPr>
              <w:ind w:left="360"/>
              <w:spacing w:after="0"/>
              <w:rPr>
                <w:sz w:val="20"/>
                <w:szCs w:val="20"/>
                <w:color w:val="auto"/>
              </w:rPr>
            </w:pPr>
            <w:r>
              <w:rPr>
                <w:rFonts w:ascii="Courier New" w:cs="Courier New" w:eastAsia="Courier New" w:hAnsi="Courier New"/>
                <w:sz w:val="15"/>
                <w:szCs w:val="15"/>
                <w:color w:val="auto"/>
              </w:rPr>
              <w:t>Investment  management and administrative fees</w:t>
            </w: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5,118</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7,536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292,470</w:t>
            </w:r>
          </w:p>
        </w:tc>
      </w:tr>
      <w:tr>
        <w:trPr>
          <w:trHeight w:val="170"/>
        </w:trPr>
        <w:tc>
          <w:tcPr>
            <w:tcW w:w="6120" w:type="dxa"/>
            <w:vAlign w:val="bottom"/>
          </w:tcPr>
          <w:p>
            <w:pPr>
              <w:spacing w:after="0"/>
              <w:rPr>
                <w:sz w:val="14"/>
                <w:szCs w:val="14"/>
                <w:color w:val="auto"/>
              </w:rPr>
            </w:pPr>
          </w:p>
        </w:tc>
        <w:tc>
          <w:tcPr>
            <w:tcW w:w="1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ind w:left="800"/>
              <w:spacing w:after="0"/>
              <w:rPr>
                <w:sz w:val="20"/>
                <w:szCs w:val="20"/>
                <w:color w:val="auto"/>
              </w:rPr>
            </w:pPr>
            <w:r>
              <w:rPr>
                <w:rFonts w:ascii="Courier New" w:cs="Courier New" w:eastAsia="Courier New" w:hAnsi="Courier New"/>
                <w:sz w:val="15"/>
                <w:szCs w:val="15"/>
                <w:color w:val="auto"/>
              </w:rPr>
              <w:t>Total decreases</w:t>
            </w:r>
          </w:p>
        </w:tc>
        <w:tc>
          <w:tcPr>
            <w:tcW w:w="58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6,169</w:t>
            </w:r>
          </w:p>
        </w:tc>
        <w:tc>
          <w:tcPr>
            <w:tcW w:w="22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5,118</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19,606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7,221,719</w:t>
            </w:r>
          </w:p>
        </w:tc>
      </w:tr>
      <w:tr>
        <w:trPr>
          <w:trHeight w:val="170"/>
        </w:trPr>
        <w:tc>
          <w:tcPr>
            <w:tcW w:w="6120" w:type="dxa"/>
            <w:vAlign w:val="bottom"/>
          </w:tcPr>
          <w:p>
            <w:pPr>
              <w:spacing w:after="0"/>
              <w:rPr>
                <w:sz w:val="14"/>
                <w:szCs w:val="14"/>
                <w:color w:val="auto"/>
              </w:rPr>
            </w:pPr>
          </w:p>
        </w:tc>
        <w:tc>
          <w:tcPr>
            <w:tcW w:w="1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ind w:left="800"/>
              <w:spacing w:after="0"/>
              <w:rPr>
                <w:sz w:val="20"/>
                <w:szCs w:val="20"/>
                <w:color w:val="auto"/>
              </w:rPr>
            </w:pPr>
            <w:r>
              <w:rPr>
                <w:rFonts w:ascii="Courier New" w:cs="Courier New" w:eastAsia="Courier New" w:hAnsi="Courier New"/>
                <w:sz w:val="15"/>
                <w:szCs w:val="15"/>
                <w:color w:val="auto"/>
              </w:rPr>
              <w:t>Net increase (decrease) in net assets</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6120" w:type="dxa"/>
            <w:vAlign w:val="bottom"/>
          </w:tcPr>
          <w:p>
            <w:pPr>
              <w:ind w:left="1240"/>
              <w:spacing w:after="0"/>
              <w:rPr>
                <w:sz w:val="20"/>
                <w:szCs w:val="20"/>
                <w:color w:val="auto"/>
              </w:rPr>
            </w:pPr>
            <w:r>
              <w:rPr>
                <w:rFonts w:ascii="Courier New" w:cs="Courier New" w:eastAsia="Courier New" w:hAnsi="Courier New"/>
                <w:sz w:val="15"/>
                <w:szCs w:val="15"/>
                <w:color w:val="auto"/>
              </w:rPr>
              <w:t>available for benefits</w:t>
            </w:r>
          </w:p>
        </w:tc>
        <w:tc>
          <w:tcPr>
            <w:tcW w:w="5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41,820</w:t>
            </w:r>
          </w:p>
        </w:tc>
        <w:tc>
          <w:tcPr>
            <w:tcW w:w="22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272,762</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182,940</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5,833,161</w:t>
            </w:r>
          </w:p>
        </w:tc>
      </w:tr>
      <w:tr>
        <w:trPr>
          <w:trHeight w:val="339"/>
        </w:trPr>
        <w:tc>
          <w:tcPr>
            <w:tcW w:w="6120" w:type="dxa"/>
            <w:vAlign w:val="bottom"/>
          </w:tcPr>
          <w:p>
            <w:pPr>
              <w:ind w:left="360"/>
              <w:spacing w:after="0"/>
              <w:rPr>
                <w:sz w:val="20"/>
                <w:szCs w:val="20"/>
                <w:color w:val="auto"/>
              </w:rPr>
            </w:pPr>
            <w:r>
              <w:rPr>
                <w:rFonts w:ascii="Courier New" w:cs="Courier New" w:eastAsia="Courier New" w:hAnsi="Courier New"/>
                <w:sz w:val="15"/>
                <w:szCs w:val="15"/>
                <w:color w:val="auto"/>
              </w:rPr>
              <w:t>Participant exchanges among funds</w:t>
            </w:r>
          </w:p>
        </w:tc>
        <w:tc>
          <w:tcPr>
            <w:tcW w:w="58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(5,231)</w:t>
            </w:r>
          </w:p>
        </w:tc>
        <w:tc>
          <w:tcPr>
            <w:tcW w:w="22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101,051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(113,426)</w:t>
            </w:r>
          </w:p>
        </w:tc>
        <w:tc>
          <w:tcPr>
            <w:tcW w:w="1160" w:type="dxa"/>
            <w:vAlign w:val="bottom"/>
          </w:tcPr>
          <w:p>
            <w:pPr>
              <w:spacing w:after="0"/>
              <w:rPr>
                <w:sz w:val="24"/>
                <w:szCs w:val="24"/>
                <w:color w:val="auto"/>
              </w:rPr>
            </w:pPr>
          </w:p>
        </w:tc>
      </w:tr>
      <w:tr>
        <w:trPr>
          <w:trHeight w:val="509"/>
        </w:trPr>
        <w:tc>
          <w:tcPr>
            <w:tcW w:w="6120" w:type="dxa"/>
            <w:vAlign w:val="bottom"/>
          </w:tcPr>
          <w:p>
            <w:pPr>
              <w:ind w:left="360"/>
              <w:spacing w:after="0"/>
              <w:rPr>
                <w:sz w:val="20"/>
                <w:szCs w:val="20"/>
                <w:color w:val="auto"/>
              </w:rPr>
            </w:pPr>
            <w:r>
              <w:rPr>
                <w:rFonts w:ascii="Courier New" w:cs="Courier New" w:eastAsia="Courier New" w:hAnsi="Courier New"/>
                <w:sz w:val="15"/>
                <w:szCs w:val="15"/>
                <w:color w:val="auto"/>
              </w:rPr>
              <w:t>Net assets available for benefits, beginning of year</w:t>
            </w:r>
          </w:p>
        </w:tc>
        <w:tc>
          <w:tcPr>
            <w:tcW w:w="58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569,161</w:t>
            </w:r>
          </w:p>
        </w:tc>
        <w:tc>
          <w:tcPr>
            <w:tcW w:w="22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636,801</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1,300,836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59,538,144</w:t>
            </w:r>
          </w:p>
        </w:tc>
      </w:tr>
      <w:tr>
        <w:trPr>
          <w:trHeight w:val="170"/>
        </w:trPr>
        <w:tc>
          <w:tcPr>
            <w:tcW w:w="6120" w:type="dxa"/>
            <w:vAlign w:val="bottom"/>
          </w:tcPr>
          <w:p>
            <w:pPr>
              <w:spacing w:after="0"/>
              <w:rPr>
                <w:sz w:val="14"/>
                <w:szCs w:val="14"/>
                <w:color w:val="auto"/>
              </w:rPr>
            </w:pPr>
          </w:p>
        </w:tc>
        <w:tc>
          <w:tcPr>
            <w:tcW w:w="1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6120" w:type="dxa"/>
            <w:vAlign w:val="bottom"/>
          </w:tcPr>
          <w:p>
            <w:pPr>
              <w:ind w:left="800"/>
              <w:spacing w:after="0"/>
              <w:rPr>
                <w:sz w:val="20"/>
                <w:szCs w:val="20"/>
                <w:color w:val="auto"/>
              </w:rPr>
            </w:pPr>
            <w:r>
              <w:rPr>
                <w:rFonts w:ascii="Courier New" w:cs="Courier New" w:eastAsia="Courier New" w:hAnsi="Courier New"/>
                <w:sz w:val="15"/>
                <w:szCs w:val="15"/>
                <w:color w:val="auto"/>
              </w:rPr>
              <w:t>Net assets available for benefits, end of year</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605,750</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$1,010,614</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$1,370,350</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$65,371,305</w:t>
            </w:r>
          </w:p>
        </w:tc>
      </w:tr>
      <w:tr>
        <w:trPr>
          <w:trHeight w:val="170"/>
        </w:trPr>
        <w:tc>
          <w:tcPr>
            <w:tcW w:w="6120" w:type="dxa"/>
            <w:vAlign w:val="bottom"/>
          </w:tcPr>
          <w:p>
            <w:pPr>
              <w:spacing w:after="0"/>
              <w:rPr>
                <w:sz w:val="14"/>
                <w:szCs w:val="14"/>
                <w:color w:val="auto"/>
              </w:rPr>
            </w:pPr>
          </w:p>
        </w:tc>
        <w:tc>
          <w:tcPr>
            <w:tcW w:w="1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280"/>
          </w:cols>
          <w:pgMar w:left="240" w:top="283" w:right="379" w:bottom="904" w:gutter="0" w:footer="0" w:header="0"/>
        </w:sectPr>
      </w:pPr>
    </w:p>
    <w:bookmarkStart w:id="12" w:name="page13"/>
    <w:bookmarkEnd w:id="12"/>
    <w:p>
      <w:pPr>
        <w:spacing w:after="0" w:line="397"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Page 11</w:t>
      </w:r>
    </w:p>
    <w:p>
      <w:pPr>
        <w:sectPr>
          <w:pgSz w:w="11900" w:h="16838" w:orient="portrait"/>
          <w:cols w:equalWidth="0" w:num="1">
            <w:col w:w="9019"/>
          </w:cols>
          <w:pgMar w:left="1440" w:top="1440"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PROFIT SHARING AND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THE FINANCIAL STATEMENTS, CONTINUED</w:t>
      </w:r>
    </w:p>
    <w:p>
      <w:pPr>
        <w:spacing w:after="0" w:line="344" w:lineRule="exact"/>
        <w:rPr>
          <w:sz w:val="20"/>
          <w:szCs w:val="20"/>
          <w:color w:val="auto"/>
        </w:rPr>
      </w:pPr>
    </w:p>
    <w:p>
      <w:pPr>
        <w:ind w:left="600" w:right="3879" w:hanging="433"/>
        <w:spacing w:after="0" w:line="235" w:lineRule="auto"/>
        <w:tabs>
          <w:tab w:leader="none" w:pos="6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THAT REPRESENT 5% OR MORE OF NET ASSETS AVAILABLE FOR BENEFITS:</w:t>
      </w:r>
    </w:p>
    <w:p>
      <w:pPr>
        <w:spacing w:after="0" w:line="175" w:lineRule="exact"/>
        <w:rPr>
          <w:rFonts w:ascii="Courier New" w:cs="Courier New" w:eastAsia="Courier New" w:hAnsi="Courier New"/>
          <w:sz w:val="15"/>
          <w:szCs w:val="15"/>
          <w:color w:val="auto"/>
        </w:rPr>
      </w:pPr>
    </w:p>
    <w:p>
      <w:pPr>
        <w:ind w:left="60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1997 and 1996, the following investments had a fair value in excess of 5% of net assets available for benefits:</w:t>
      </w:r>
    </w:p>
    <w:p>
      <w:pPr>
        <w:spacing w:after="0" w:line="200" w:lineRule="exact"/>
        <w:rPr>
          <w:sz w:val="20"/>
          <w:szCs w:val="20"/>
          <w:color w:val="auto"/>
        </w:rPr>
      </w:pPr>
    </w:p>
    <w:p>
      <w:pPr>
        <w:spacing w:after="0" w:line="309"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720" w:type="dxa"/>
            <w:vAlign w:val="bottom"/>
          </w:tcPr>
          <w:p>
            <w:pPr>
              <w:spacing w:after="0"/>
              <w:rPr>
                <w:sz w:val="14"/>
                <w:szCs w:val="14"/>
                <w:color w:val="auto"/>
              </w:rPr>
            </w:pPr>
          </w:p>
        </w:tc>
        <w:tc>
          <w:tcPr>
            <w:tcW w:w="1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FAIR VALUE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FAIR VALUE</w:t>
            </w:r>
          </w:p>
        </w:tc>
      </w:tr>
      <w:tr>
        <w:trPr>
          <w:trHeight w:val="509"/>
        </w:trPr>
        <w:tc>
          <w:tcPr>
            <w:tcW w:w="3720" w:type="dxa"/>
            <w:vAlign w:val="bottom"/>
          </w:tcPr>
          <w:p>
            <w:pPr>
              <w:spacing w:after="0"/>
              <w:rPr>
                <w:sz w:val="20"/>
                <w:szCs w:val="20"/>
                <w:color w:val="auto"/>
              </w:rPr>
            </w:pPr>
            <w:r>
              <w:rPr>
                <w:rFonts w:ascii="Courier New" w:cs="Courier New" w:eastAsia="Courier New" w:hAnsi="Courier New"/>
                <w:sz w:val="15"/>
                <w:szCs w:val="15"/>
                <w:color w:val="auto"/>
              </w:rPr>
              <w:t>The Scotts Company Common Stock</w:t>
            </w:r>
          </w:p>
        </w:tc>
        <w:tc>
          <w:tcPr>
            <w:tcW w:w="19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$6,592,339</w:t>
            </w:r>
          </w:p>
        </w:tc>
      </w:t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One Group Prime Money Market</w:t>
            </w:r>
          </w:p>
        </w:tc>
        <w:tc>
          <w:tcPr>
            <w:tcW w:w="1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720" w:type="dxa"/>
            <w:vAlign w:val="bottom"/>
          </w:tcPr>
          <w:p>
            <w:pPr>
              <w:ind w:left="540"/>
              <w:spacing w:after="0"/>
              <w:rPr>
                <w:sz w:val="20"/>
                <w:szCs w:val="20"/>
                <w:color w:val="auto"/>
              </w:rPr>
            </w:pPr>
            <w:r>
              <w:rPr>
                <w:rFonts w:ascii="Courier New" w:cs="Courier New" w:eastAsia="Courier New" w:hAnsi="Courier New"/>
                <w:sz w:val="15"/>
                <w:szCs w:val="15"/>
                <w:color w:val="auto"/>
              </w:rPr>
              <w:t>Fund</w:t>
            </w:r>
          </w:p>
        </w:tc>
        <w:tc>
          <w:tcPr>
            <w:tcW w:w="1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65,388,221</w:t>
            </w:r>
          </w:p>
        </w:tc>
        <w:tc>
          <w:tcPr>
            <w:tcW w:w="1060" w:type="dxa"/>
            <w:vAlign w:val="bottom"/>
          </w:tcPr>
          <w:p>
            <w:pPr>
              <w:spacing w:after="0"/>
              <w:rPr>
                <w:sz w:val="14"/>
                <w:szCs w:val="14"/>
                <w:color w:val="auto"/>
              </w:rPr>
            </w:pPr>
          </w:p>
        </w:tc>
      </w:t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Northern Trust Company Short-Term</w:t>
            </w:r>
          </w:p>
        </w:tc>
        <w:tc>
          <w:tcPr>
            <w:tcW w:w="1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720" w:type="dxa"/>
            <w:vAlign w:val="bottom"/>
          </w:tcPr>
          <w:p>
            <w:pPr>
              <w:ind w:left="540"/>
              <w:spacing w:after="0"/>
              <w:rPr>
                <w:sz w:val="20"/>
                <w:szCs w:val="20"/>
                <w:color w:val="auto"/>
              </w:rPr>
            </w:pPr>
            <w:r>
              <w:rPr>
                <w:rFonts w:ascii="Courier New" w:cs="Courier New" w:eastAsia="Courier New" w:hAnsi="Courier New"/>
                <w:sz w:val="15"/>
                <w:szCs w:val="15"/>
                <w:color w:val="auto"/>
              </w:rPr>
              <w:t>Extendable Portfolio Fund</w:t>
            </w:r>
          </w:p>
        </w:tc>
        <w:tc>
          <w:tcPr>
            <w:tcW w:w="1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4,273,812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4,452,797</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0" w:hanging="433"/>
        <w:spacing w:after="0"/>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STATUS:</w:t>
      </w:r>
    </w:p>
    <w:p>
      <w:pPr>
        <w:spacing w:after="0" w:line="174" w:lineRule="exact"/>
        <w:rPr>
          <w:rFonts w:ascii="Courier New" w:cs="Courier New" w:eastAsia="Courier New" w:hAnsi="Courier New"/>
          <w:sz w:val="15"/>
          <w:szCs w:val="15"/>
          <w:color w:val="auto"/>
        </w:rPr>
      </w:pPr>
    </w:p>
    <w:p>
      <w:pPr>
        <w:ind w:left="60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has received a favorable letter of determination from the Internal Revenue Service. Accordingly, the Plan is exempt under Section 401(a) of the Internal Revenue Code, and thus is not subject to income taxes.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600" w:hanging="433"/>
        <w:spacing w:after="0"/>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TERMINATION:</w:t>
      </w:r>
    </w:p>
    <w:p>
      <w:pPr>
        <w:spacing w:after="0" w:line="174" w:lineRule="exact"/>
        <w:rPr>
          <w:rFonts w:ascii="Courier New" w:cs="Courier New" w:eastAsia="Courier New" w:hAnsi="Courier New"/>
          <w:sz w:val="15"/>
          <w:szCs w:val="15"/>
          <w:color w:val="auto"/>
        </w:rPr>
      </w:pPr>
    </w:p>
    <w:p>
      <w:pPr>
        <w:ind w:left="60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While the Company has not expressed any intent to discontinue the Plan or its contributions, it is free to do so at any time, subject to the penalties set forth in the Employee Retirement Income Security Act of 1974. In the event the Plan is terminated, the Plan provides that all participants would become fully vested and the Company would have the option to either maintain participant accounts in trust until such time as the participant would otherwise be entitled to a distribution under the Plan, or to immediately distribute participant accounts.</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600" w:hanging="433"/>
        <w:spacing w:after="0"/>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PAYABLE:</w:t>
      </w:r>
    </w:p>
    <w:p>
      <w:pPr>
        <w:spacing w:after="0" w:line="174" w:lineRule="exact"/>
        <w:rPr>
          <w:rFonts w:ascii="Courier New" w:cs="Courier New" w:eastAsia="Courier New" w:hAnsi="Courier New"/>
          <w:sz w:val="15"/>
          <w:szCs w:val="15"/>
          <w:color w:val="auto"/>
        </w:rPr>
      </w:pPr>
    </w:p>
    <w:p>
      <w:pPr>
        <w:ind w:left="60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were payable to Plan participants at December 31, 1997 and 1996 of $583,015 and $74,830,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PROFIT SHARING AND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THE FINANCIAL STATEMENTS, CONTINUED</w:t>
      </w:r>
    </w:p>
    <w:p>
      <w:pPr>
        <w:spacing w:after="0" w:line="175" w:lineRule="exact"/>
        <w:rPr>
          <w:sz w:val="20"/>
          <w:szCs w:val="20"/>
          <w:color w:val="auto"/>
        </w:rPr>
      </w:pPr>
    </w:p>
    <w:p>
      <w:pPr>
        <w:ind w:left="600" w:right="3439"/>
        <w:spacing w:after="0" w:line="235" w:lineRule="auto"/>
        <w:rPr>
          <w:sz w:val="20"/>
          <w:szCs w:val="20"/>
          <w:color w:val="auto"/>
        </w:rPr>
      </w:pPr>
      <w:r>
        <w:rPr>
          <w:rFonts w:ascii="Courier New" w:cs="Courier New" w:eastAsia="Courier New" w:hAnsi="Courier New"/>
          <w:sz w:val="15"/>
          <w:szCs w:val="15"/>
          <w:color w:val="auto"/>
        </w:rPr>
        <w:t>The following is a reconciliation of net assets available for benefits per the financial statements to Form 5500:</w:t>
      </w:r>
    </w:p>
    <w:p>
      <w:pPr>
        <w:spacing w:after="0" w:line="200" w:lineRule="exact"/>
        <w:rPr>
          <w:sz w:val="20"/>
          <w:szCs w:val="20"/>
          <w:color w:val="auto"/>
        </w:rPr>
      </w:pPr>
    </w:p>
    <w:p>
      <w:pPr>
        <w:spacing w:after="0" w:line="309"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8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920" w:type="dxa"/>
            <w:vAlign w:val="bottom"/>
          </w:tcPr>
          <w:p>
            <w:pPr>
              <w:spacing w:after="0"/>
              <w:rPr>
                <w:sz w:val="14"/>
                <w:szCs w:val="14"/>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920" w:type="dxa"/>
            <w:vAlign w:val="bottom"/>
          </w:tcPr>
          <w:p>
            <w:pPr>
              <w:spacing w:after="0"/>
              <w:rPr>
                <w:sz w:val="14"/>
                <w:szCs w:val="14"/>
                <w:color w:val="auto"/>
              </w:rPr>
            </w:pP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 per</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the financial statements</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$77,158,823</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$65,371,305</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Amounts allocated to withdrawing</w:t>
            </w: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participants</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(583,015)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(74,830)</w:t>
            </w:r>
          </w:p>
        </w:tc>
      </w:tr>
      <w:tr>
        <w:trPr>
          <w:trHeight w:val="170"/>
        </w:trPr>
        <w:tc>
          <w:tcPr>
            <w:tcW w:w="3920" w:type="dxa"/>
            <w:vAlign w:val="bottom"/>
          </w:tcPr>
          <w:p>
            <w:pPr>
              <w:spacing w:after="0"/>
              <w:rPr>
                <w:sz w:val="14"/>
                <w:szCs w:val="14"/>
                <w:color w:val="auto"/>
              </w:rPr>
            </w:pP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Net assets available for benefits</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920" w:type="dxa"/>
            <w:vAlign w:val="bottom"/>
          </w:tcPr>
          <w:p>
            <w:pPr>
              <w:ind w:left="1060"/>
              <w:spacing w:after="0"/>
              <w:rPr>
                <w:sz w:val="20"/>
                <w:szCs w:val="20"/>
                <w:color w:val="auto"/>
              </w:rPr>
            </w:pPr>
            <w:r>
              <w:rPr>
                <w:rFonts w:ascii="Courier New" w:cs="Courier New" w:eastAsia="Courier New" w:hAnsi="Courier New"/>
                <w:sz w:val="15"/>
                <w:szCs w:val="15"/>
                <w:color w:val="auto"/>
              </w:rPr>
              <w:t>per Form 5500</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$76,575,808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$65,296,475</w:t>
            </w:r>
          </w:p>
        </w:tc>
      </w:tr>
      <w:tr>
        <w:trPr>
          <w:trHeight w:val="170"/>
        </w:trPr>
        <w:tc>
          <w:tcPr>
            <w:tcW w:w="3920" w:type="dxa"/>
            <w:vAlign w:val="bottom"/>
          </w:tcPr>
          <w:p>
            <w:pPr>
              <w:spacing w:after="0"/>
              <w:rPr>
                <w:sz w:val="14"/>
                <w:szCs w:val="14"/>
                <w:color w:val="auto"/>
              </w:rPr>
            </w:pP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600" w:right="3439"/>
        <w:spacing w:after="0" w:line="235" w:lineRule="auto"/>
        <w:rPr>
          <w:sz w:val="20"/>
          <w:szCs w:val="20"/>
          <w:color w:val="auto"/>
        </w:rPr>
      </w:pPr>
      <w:r>
        <w:rPr>
          <w:rFonts w:ascii="Courier New" w:cs="Courier New" w:eastAsia="Courier New" w:hAnsi="Courier New"/>
          <w:sz w:val="15"/>
          <w:szCs w:val="15"/>
          <w:color w:val="auto"/>
        </w:rPr>
        <w:t>The following is a reconciliation of benefits paid to participants per the financial statements to Form 5500:</w:t>
      </w:r>
    </w:p>
    <w:p>
      <w:pPr>
        <w:spacing w:after="0" w:line="170"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YEAR ENDED</w:t>
      </w:r>
    </w:p>
    <w:p>
      <w:pPr>
        <w:ind w:left="5800"/>
        <w:spacing w:after="0"/>
        <w:rPr>
          <w:sz w:val="20"/>
          <w:szCs w:val="20"/>
          <w:color w:val="auto"/>
        </w:rPr>
      </w:pPr>
      <w:r>
        <w:rPr>
          <w:rFonts w:ascii="Courier New" w:cs="Courier New" w:eastAsia="Courier New" w:hAnsi="Courier New"/>
          <w:sz w:val="15"/>
          <w:szCs w:val="15"/>
          <w:color w:val="auto"/>
        </w:rPr>
        <w:t>DECEMBER 31,</w:t>
      </w:r>
    </w:p>
    <w:p>
      <w:pPr>
        <w:ind w:left="6080"/>
        <w:spacing w:after="0"/>
        <w:rPr>
          <w:sz w:val="20"/>
          <w:szCs w:val="20"/>
          <w:color w:val="auto"/>
        </w:rPr>
      </w:pPr>
      <w:r>
        <w:rPr>
          <w:rFonts w:ascii="Courier New" w:cs="Courier New" w:eastAsia="Courier New" w:hAnsi="Courier New"/>
          <w:sz w:val="15"/>
          <w:szCs w:val="15"/>
          <w:color w:val="auto"/>
        </w:rPr>
        <w:t>1997</w:t>
      </w:r>
    </w:p>
    <w:p>
      <w:pPr>
        <w:ind w:left="580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Benefits paid to participants per the</w:t>
      </w:r>
    </w:p>
    <w:p>
      <w:pPr>
        <w:sectPr>
          <w:pgSz w:w="11900" w:h="16838" w:orient="portrait"/>
          <w:cols w:equalWidth="0" w:num="1">
            <w:col w:w="10219"/>
          </w:cols>
          <w:pgMar w:left="240" w:top="283" w:right="1440" w:bottom="1440" w:gutter="0" w:footer="0" w:header="0"/>
        </w:sectPr>
      </w:pP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$7,912,454</w:t>
      </w:r>
    </w:p>
    <w:p>
      <w:pPr>
        <w:spacing w:after="0" w:line="11" w:lineRule="exact"/>
        <w:rPr>
          <w:sz w:val="20"/>
          <w:szCs w:val="20"/>
          <w:color w:val="auto"/>
        </w:rPr>
      </w:pPr>
    </w:p>
    <w:p>
      <w:pPr>
        <w:sectPr>
          <w:pgSz w:w="11900" w:h="16838" w:orient="portrait"/>
          <w:cols w:equalWidth="0" w:num="2">
            <w:col w:w="5080" w:space="720"/>
            <w:col w:w="4419"/>
          </w:cols>
          <w:pgMar w:left="240" w:top="283" w:right="1440" w:bottom="1440" w:gutter="0" w:footer="0" w:header="0"/>
          <w:type w:val="continuous"/>
        </w:sectPr>
      </w:pPr>
    </w:p>
    <w:p>
      <w:pPr>
        <w:ind w:left="1140"/>
        <w:spacing w:after="0"/>
        <w:rPr>
          <w:sz w:val="20"/>
          <w:szCs w:val="20"/>
          <w:color w:val="auto"/>
        </w:rPr>
      </w:pPr>
      <w:r>
        <w:rPr>
          <w:rFonts w:ascii="Courier New" w:cs="Courier New" w:eastAsia="Courier New" w:hAnsi="Courier New"/>
          <w:sz w:val="14"/>
          <w:szCs w:val="14"/>
          <w:color w:val="auto"/>
        </w:rPr>
        <w:t>Add: Amounts allocated to withdrawing</w:t>
      </w:r>
    </w:p>
    <w:p>
      <w:pPr>
        <w:sectPr>
          <w:pgSz w:w="11900" w:h="16838" w:orient="portrait"/>
          <w:cols w:equalWidth="0" w:num="1">
            <w:col w:w="10219"/>
          </w:cols>
          <w:pgMar w:left="240" w:top="283" w:right="1440" w:bottom="1440" w:gutter="0" w:footer="0" w:header="0"/>
          <w:type w:val="continuous"/>
        </w:sectPr>
      </w:pPr>
    </w:p>
    <w:p>
      <w:pPr>
        <w:spacing w:after="0" w:line="11"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participants at December 31,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583,015</w:t>
      </w:r>
    </w:p>
    <w:p>
      <w:pPr>
        <w:spacing w:after="0" w:line="11" w:lineRule="exact"/>
        <w:rPr>
          <w:sz w:val="20"/>
          <w:szCs w:val="20"/>
          <w:color w:val="auto"/>
        </w:rPr>
      </w:pPr>
    </w:p>
    <w:p>
      <w:pPr>
        <w:sectPr>
          <w:pgSz w:w="11900" w:h="16838" w:orient="portrait"/>
          <w:cols w:equalWidth="0" w:num="2">
            <w:col w:w="5360" w:space="720"/>
            <w:col w:w="4139"/>
          </w:cols>
          <w:pgMar w:left="240" w:top="283" w:right="1440" w:bottom="1440" w:gutter="0" w:footer="0" w:header="0"/>
          <w:type w:val="continuous"/>
        </w:sectPr>
      </w:pPr>
    </w:p>
    <w:p>
      <w:pPr>
        <w:ind w:left="1140"/>
        <w:spacing w:after="0"/>
        <w:rPr>
          <w:sz w:val="20"/>
          <w:szCs w:val="20"/>
          <w:color w:val="auto"/>
        </w:rPr>
      </w:pPr>
      <w:r>
        <w:rPr>
          <w:rFonts w:ascii="Courier New" w:cs="Courier New" w:eastAsia="Courier New" w:hAnsi="Courier New"/>
          <w:sz w:val="14"/>
          <w:szCs w:val="14"/>
          <w:color w:val="auto"/>
        </w:rPr>
        <w:t>Less: Amounts allocated to withdrawing</w:t>
      </w:r>
    </w:p>
    <w:p>
      <w:pPr>
        <w:sectPr>
          <w:pgSz w:w="11900" w:h="16838" w:orient="portrait"/>
          <w:cols w:equalWidth="0" w:num="1">
            <w:col w:w="10219"/>
          </w:cols>
          <w:pgMar w:left="240" w:top="283" w:right="1440" w:bottom="1440" w:gutter="0" w:footer="0" w:header="0"/>
          <w:type w:val="continuous"/>
        </w:sectPr>
      </w:pPr>
    </w:p>
    <w:p>
      <w:pPr>
        <w:spacing w:after="0" w:line="11"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participants at December 31, 1996</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4"/>
          <w:szCs w:val="14"/>
          <w:color w:val="auto"/>
        </w:rPr>
        <w:t>(74,830)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sectPr>
          <w:pgSz w:w="11900" w:h="16838" w:orient="portrait"/>
          <w:cols w:equalWidth="0" w:num="2">
            <w:col w:w="5080" w:space="720"/>
            <w:col w:w="4419"/>
          </w:cols>
          <w:pgMar w:left="240" w:top="283" w:right="1440" w:bottom="1440" w:gutter="0" w:footer="0" w:header="0"/>
          <w:type w:val="continuous"/>
        </w:sectPr>
      </w:pPr>
    </w:p>
    <w:p>
      <w:pPr>
        <w:ind w:left="1660"/>
        <w:spacing w:after="0"/>
        <w:rPr>
          <w:sz w:val="20"/>
          <w:szCs w:val="20"/>
          <w:color w:val="auto"/>
        </w:rPr>
      </w:pPr>
      <w:r>
        <w:rPr>
          <w:rFonts w:ascii="Courier New" w:cs="Courier New" w:eastAsia="Courier New" w:hAnsi="Courier New"/>
          <w:sz w:val="14"/>
          <w:szCs w:val="14"/>
          <w:color w:val="auto"/>
        </w:rPr>
        <w:t>Benefits paid to participants per Form 5500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$8,420,639</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460" w:space="340"/>
            <w:col w:w="4419"/>
          </w:cols>
          <w:pgMar w:left="240" w:top="283" w:right="1440" w:bottom="1440" w:gutter="0" w:footer="0" w:header="0"/>
          <w:type w:val="continuous"/>
        </w:sectPr>
      </w:pPr>
    </w:p>
    <w:p>
      <w:pPr>
        <w:spacing w:after="0" w:line="150"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Amounts allocated to withdrawing participants are recorded on Form 5500 for benefits claims that have been processed and approved for payment prior to year end but not yet paid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19"/>
          </w:cols>
          <w:pgMar w:left="240" w:top="283"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PROFIT SHARING AND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THE FINANCIAL STATEMENTS, CONTINUED</w:t>
      </w:r>
    </w:p>
    <w:p>
      <w:pPr>
        <w:spacing w:after="0" w:line="339" w:lineRule="exact"/>
        <w:rPr>
          <w:sz w:val="20"/>
          <w:szCs w:val="20"/>
          <w:color w:val="auto"/>
        </w:rPr>
      </w:pPr>
    </w:p>
    <w:p>
      <w:pPr>
        <w:ind w:left="600" w:hanging="521"/>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4" w:lineRule="exact"/>
        <w:rPr>
          <w:rFonts w:ascii="Courier New" w:cs="Courier New" w:eastAsia="Courier New" w:hAnsi="Courier New"/>
          <w:sz w:val="15"/>
          <w:szCs w:val="15"/>
          <w:color w:val="auto"/>
        </w:rPr>
      </w:pPr>
    </w:p>
    <w:p>
      <w:pPr>
        <w:ind w:left="60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1998, the Plan was amended to reflect the mergers of the Scotts-Sierra Horticultural Products Company Salaried Employees Savings and Investment Plan and the Hyponex Corporation and Subsidiaries Profit Sharing Plan and Trust with the Plan. Subsequent to January 1, 1998, net assets of approximately $16.5 million were transferred to the Plan in conjunction with the mergers. These mergers had no effect on participants' rights under the Plan.</w:t>
      </w:r>
    </w:p>
    <w:p>
      <w:pPr>
        <w:spacing w:after="0" w:line="176" w:lineRule="exact"/>
        <w:rPr>
          <w:rFonts w:ascii="Courier New" w:cs="Courier New" w:eastAsia="Courier New" w:hAnsi="Courier New"/>
          <w:sz w:val="15"/>
          <w:szCs w:val="15"/>
          <w:color w:val="auto"/>
        </w:rPr>
      </w:pPr>
    </w:p>
    <w:p>
      <w:pPr>
        <w:ind w:left="60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the merger of the plans, participants of the Plan were notified that Fidelity Institutional Retirement Services Company had been appointed as the new Plan trustee, and that new investment options would be offered in replacement of the existing investment options specified in Note 1. Prior to the transfer of funds to the new investment accounts, the existing Plan trustee liquidated a significant portion of the existing investment accounts and placed the proceeds in the One Group Prime Money Market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19"/>
          </w:cols>
          <w:pgMar w:left="240" w:top="283"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8"/>
        </w:trPr>
        <w:tc>
          <w:tcPr>
            <w:tcW w:w="5720" w:type="dxa"/>
            <w:vAlign w:val="bottom"/>
          </w:tcPr>
          <w:p>
            <w:pPr>
              <w:spacing w:after="0"/>
              <w:rPr>
                <w:sz w:val="20"/>
                <w:szCs w:val="20"/>
                <w:color w:val="auto"/>
              </w:rPr>
            </w:pPr>
            <w:r>
              <w:rPr>
                <w:rFonts w:ascii="Courier New" w:cs="Courier New" w:eastAsia="Courier New" w:hAnsi="Courier New"/>
                <w:sz w:val="15"/>
                <w:szCs w:val="15"/>
                <w:color w:val="auto"/>
              </w:rPr>
              <w:t>THE SCOTTS COMPANY</w:t>
            </w: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PROFIT SHARING AND SAVINGS PLAN</w:t>
            </w: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ITEM 27A--SCHEDULE OF ASSETS HELD FOR INVESTMENT PURPOSES</w:t>
            </w: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as of December 31, 1997</w:t>
            </w: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8"/>
        </w:trPr>
        <w:tc>
          <w:tcPr>
            <w:tcW w:w="5720" w:type="dxa"/>
            <w:vAlign w:val="bottom"/>
          </w:tcPr>
          <w:p>
            <w:pPr>
              <w:spacing w:after="0"/>
              <w:rPr>
                <w:sz w:val="24"/>
                <w:szCs w:val="24"/>
                <w:color w:val="auto"/>
              </w:rPr>
            </w:pP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SHARES/PAR</w:t>
            </w:r>
          </w:p>
        </w:tc>
        <w:tc>
          <w:tcPr>
            <w:tcW w:w="102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CURRENT</w:t>
            </w:r>
          </w:p>
        </w:tc>
      </w:tr>
      <w:tr>
        <w:trPr>
          <w:trHeight w:val="170"/>
        </w:trPr>
        <w:tc>
          <w:tcPr>
            <w:tcW w:w="5720" w:type="dxa"/>
            <w:vAlign w:val="bottom"/>
          </w:tcPr>
          <w:p>
            <w:pPr>
              <w:ind w:left="2100"/>
              <w:spacing w:after="0"/>
              <w:rPr>
                <w:sz w:val="20"/>
                <w:szCs w:val="20"/>
                <w:color w:val="auto"/>
              </w:rPr>
            </w:pPr>
            <w:r>
              <w:rPr>
                <w:rFonts w:ascii="Courier New" w:cs="Courier New" w:eastAsia="Courier New" w:hAnsi="Courier New"/>
                <w:sz w:val="15"/>
                <w:szCs w:val="15"/>
                <w:color w:val="auto"/>
              </w:rPr>
              <w:t>DESCRIPTION</w:t>
            </w:r>
          </w:p>
        </w:tc>
        <w:tc>
          <w:tcPr>
            <w:tcW w:w="19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VALUE</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COST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VALUE</w:t>
            </w:r>
          </w:p>
        </w:tc>
      </w:tr>
      <w:tr>
        <w:trPr>
          <w:trHeight w:val="339"/>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Cash and cash equivalents:</w:t>
            </w: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Cash</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356,071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356,071</w:t>
            </w:r>
          </w:p>
        </w:tc>
      </w:tr>
      <w:tr>
        <w:trPr>
          <w:trHeight w:val="170"/>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One Group Prime Money Market Fund</w:t>
            </w:r>
          </w:p>
        </w:tc>
        <w:tc>
          <w:tcPr>
            <w:tcW w:w="19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65,388,221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65,388,221</w:t>
            </w:r>
          </w:p>
        </w:tc>
      </w:tr>
      <w:tr>
        <w:trPr>
          <w:trHeight w:val="170"/>
        </w:trPr>
        <w:tc>
          <w:tcPr>
            <w:tcW w:w="572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65,744,292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65,744,292</w:t>
            </w:r>
          </w:p>
        </w:tc>
      </w:tr>
      <w:tr>
        <w:trPr>
          <w:trHeight w:val="170"/>
        </w:trPr>
        <w:tc>
          <w:tcPr>
            <w:tcW w:w="572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Common Stocks:</w:t>
            </w: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Hilton Hotels Corporation</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The Scotts Company</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80,130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1,226,362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2,423,932</w:t>
            </w:r>
          </w:p>
        </w:tc>
      </w:tr>
      <w:tr>
        <w:trPr>
          <w:trHeight w:val="170"/>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Travelers Group Inc.</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572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1,226,374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2,424,046</w:t>
            </w:r>
          </w:p>
        </w:tc>
      </w:tr>
      <w:tr>
        <w:trPr>
          <w:trHeight w:val="170"/>
        </w:trPr>
        <w:tc>
          <w:tcPr>
            <w:tcW w:w="572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Fixed income securities:</w:t>
            </w: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Federal Home Loan Mtg. Corp. 10.15%, due 4/15/06</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9,073</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9,193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9,239</w:t>
            </w:r>
          </w:p>
        </w:tc>
      </w:tr>
      <w:tr>
        <w:trPr>
          <w:trHeight w:val="170"/>
        </w:trPr>
        <w:tc>
          <w:tcPr>
            <w:tcW w:w="572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Other investments:</w:t>
            </w: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Participant loans with interest rates ranging from</w:t>
            </w: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20" w:type="dxa"/>
            <w:vAlign w:val="bottom"/>
          </w:tcPr>
          <w:p>
            <w:pPr>
              <w:ind w:left="880"/>
              <w:spacing w:after="0"/>
              <w:rPr>
                <w:sz w:val="20"/>
                <w:szCs w:val="20"/>
                <w:color w:val="auto"/>
              </w:rPr>
            </w:pPr>
            <w:r>
              <w:rPr>
                <w:rFonts w:ascii="Courier New" w:cs="Courier New" w:eastAsia="Courier New" w:hAnsi="Courier New"/>
                <w:sz w:val="15"/>
                <w:szCs w:val="15"/>
                <w:color w:val="auto"/>
              </w:rPr>
              <w:t>7.0% to 10.0%</w:t>
            </w:r>
          </w:p>
        </w:tc>
        <w:tc>
          <w:tcPr>
            <w:tcW w:w="19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634,915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634,915</w:t>
            </w:r>
          </w:p>
        </w:tc>
      </w:tr>
      <w:tr>
        <w:trPr>
          <w:trHeight w:val="170"/>
        </w:trPr>
        <w:tc>
          <w:tcPr>
            <w:tcW w:w="572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Mutual funds:</w:t>
            </w: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Northern Trust Company Short-Term Extendable</w:t>
            </w: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20" w:type="dxa"/>
            <w:vAlign w:val="bottom"/>
          </w:tcPr>
          <w:p>
            <w:pPr>
              <w:ind w:left="880"/>
              <w:spacing w:after="0"/>
              <w:rPr>
                <w:sz w:val="20"/>
                <w:szCs w:val="20"/>
                <w:color w:val="auto"/>
              </w:rPr>
            </w:pPr>
            <w:r>
              <w:rPr>
                <w:rFonts w:ascii="Courier New" w:cs="Courier New" w:eastAsia="Courier New" w:hAnsi="Courier New"/>
                <w:sz w:val="15"/>
                <w:szCs w:val="15"/>
                <w:color w:val="auto"/>
              </w:rPr>
              <w:t>Portfolio Fund</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2,905,379</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4,038,586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4,273,812</w:t>
            </w:r>
          </w:p>
        </w:tc>
      </w:tr>
      <w:tr>
        <w:trPr>
          <w:trHeight w:val="170"/>
        </w:trPr>
        <w:tc>
          <w:tcPr>
            <w:tcW w:w="572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MassMutual Guaranteed Investment</w:t>
            </w: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720" w:type="dxa"/>
            <w:vAlign w:val="bottom"/>
          </w:tcPr>
          <w:p>
            <w:pPr>
              <w:ind w:left="600"/>
              <w:spacing w:after="0"/>
              <w:rPr>
                <w:sz w:val="20"/>
                <w:szCs w:val="20"/>
                <w:color w:val="auto"/>
              </w:rPr>
            </w:pPr>
            <w:r>
              <w:rPr>
                <w:rFonts w:ascii="Courier New" w:cs="Courier New" w:eastAsia="Courier New" w:hAnsi="Courier New"/>
                <w:sz w:val="15"/>
                <w:szCs w:val="15"/>
                <w:color w:val="auto"/>
              </w:rPr>
              <w:t>Contract, 6%, no set maturity</w:t>
            </w:r>
          </w:p>
        </w:tc>
        <w:tc>
          <w:tcPr>
            <w:tcW w:w="19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1,224,422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1,224,422</w:t>
            </w:r>
          </w:p>
        </w:tc>
      </w:tr>
      <w:tr>
        <w:trPr>
          <w:trHeight w:val="170"/>
        </w:trPr>
        <w:tc>
          <w:tcPr>
            <w:tcW w:w="572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Pooled Separate Investment Account:</w:t>
            </w: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720" w:type="dxa"/>
            <w:vAlign w:val="bottom"/>
          </w:tcPr>
          <w:p>
            <w:pPr>
              <w:ind w:left="600"/>
              <w:spacing w:after="0"/>
              <w:rPr>
                <w:sz w:val="20"/>
                <w:szCs w:val="20"/>
                <w:color w:val="auto"/>
              </w:rPr>
            </w:pPr>
            <w:r>
              <w:rPr>
                <w:rFonts w:ascii="Courier New" w:cs="Courier New" w:eastAsia="Courier New" w:hAnsi="Courier New"/>
                <w:sz w:val="15"/>
                <w:szCs w:val="15"/>
                <w:color w:val="auto"/>
              </w:rPr>
              <w:t>MassMutual Value Equity Fund</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353</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879,443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1,562,696</w:t>
            </w:r>
          </w:p>
        </w:tc>
      </w:tr>
      <w:tr>
        <w:trPr>
          <w:trHeight w:val="170"/>
        </w:trPr>
        <w:tc>
          <w:tcPr>
            <w:tcW w:w="572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720" w:type="dxa"/>
            <w:vAlign w:val="bottom"/>
          </w:tcPr>
          <w:p>
            <w:pPr>
              <w:ind w:left="600"/>
              <w:spacing w:after="0"/>
              <w:rPr>
                <w:sz w:val="20"/>
                <w:szCs w:val="20"/>
                <w:color w:val="auto"/>
              </w:rPr>
            </w:pPr>
            <w:r>
              <w:rPr>
                <w:rFonts w:ascii="Courier New" w:cs="Courier New" w:eastAsia="Courier New" w:hAnsi="Courier New"/>
                <w:sz w:val="15"/>
                <w:szCs w:val="15"/>
                <w:color w:val="auto"/>
              </w:rPr>
              <w:t>Total assets held for investment purposes</w:t>
            </w: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$73,777,225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$75,893,422</w:t>
            </w:r>
          </w:p>
        </w:tc>
      </w:tr>
      <w:tr>
        <w:trPr>
          <w:trHeight w:val="170"/>
        </w:trPr>
        <w:tc>
          <w:tcPr>
            <w:tcW w:w="572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19"/>
          </w:cols>
          <w:pgMar w:left="24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PROFIT SHARING AND SAVINGS PLAN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27D--SCHEDULE OF REPORTABLE TRANSACTIONS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200" w:lineRule="exact"/>
        <w:rPr>
          <w:sz w:val="20"/>
          <w:szCs w:val="20"/>
          <w:color w:val="auto"/>
        </w:rPr>
      </w:pPr>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spacing w:after="0"/>
              <w:rPr>
                <w:sz w:val="14"/>
                <w:szCs w:val="14"/>
                <w:color w:val="auto"/>
              </w:rPr>
            </w:pPr>
          </w:p>
        </w:tc>
      </w:tr>
      <w:tr>
        <w:trPr>
          <w:trHeight w:val="170"/>
        </w:trPr>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NUMBER OF</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NUMBER OF</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DOLLAR</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DOLLAR</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NET GAIN</w:t>
            </w:r>
          </w:p>
        </w:tc>
      </w:tr>
      <w:tr>
        <w:trPr>
          <w:trHeight w:val="170"/>
        </w:trPr>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PURCHASES</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SALES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VALUE OF</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VALUE OF</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OR (LOSS)</w:t>
            </w:r>
          </w:p>
        </w:tc>
      </w:tr>
      <w:tr>
        <w:trPr>
          <w:trHeight w:val="170"/>
        </w:trPr>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PURCHASES</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SALES</w:t>
            </w:r>
          </w:p>
        </w:tc>
        <w:tc>
          <w:tcPr>
            <w:tcW w:w="1100" w:type="dxa"/>
            <w:vAlign w:val="bottom"/>
          </w:tcPr>
          <w:p>
            <w:pPr>
              <w:spacing w:after="0"/>
              <w:rPr>
                <w:sz w:val="14"/>
                <w:szCs w:val="14"/>
                <w:color w:val="auto"/>
              </w:rPr>
            </w:pPr>
          </w:p>
        </w:tc>
      </w:tr>
      <w:tr>
        <w:trPr>
          <w:trHeight w:val="339"/>
        </w:trPr>
        <w:tc>
          <w:tcPr>
            <w:tcW w:w="580" w:type="dxa"/>
            <w:vAlign w:val="bottom"/>
          </w:tcPr>
          <w:p>
            <w:pPr>
              <w:spacing w:after="0"/>
              <w:rPr>
                <w:sz w:val="20"/>
                <w:szCs w:val="20"/>
                <w:color w:val="auto"/>
              </w:rPr>
            </w:pPr>
            <w:r>
              <w:rPr>
                <w:rFonts w:ascii="Courier New" w:cs="Courier New" w:eastAsia="Courier New" w:hAnsi="Courier New"/>
                <w:sz w:val="15"/>
                <w:szCs w:val="15"/>
                <w:color w:val="auto"/>
              </w:rPr>
              <w:t>Single</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Transactions:</w:t>
            </w: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The</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One Group Prime</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Money Market Fund</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$ 53,797,776</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The</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One Group Prime</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Money Market Fund</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3,738,610</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580" w:type="dxa"/>
            <w:vAlign w:val="bottom"/>
          </w:tcPr>
          <w:p>
            <w:pPr>
              <w:spacing w:after="0"/>
              <w:rPr>
                <w:sz w:val="20"/>
                <w:szCs w:val="20"/>
                <w:color w:val="auto"/>
              </w:rPr>
            </w:pPr>
            <w:r>
              <w:rPr>
                <w:rFonts w:ascii="Courier New" w:cs="Courier New" w:eastAsia="Courier New" w:hAnsi="Courier New"/>
                <w:sz w:val="15"/>
                <w:szCs w:val="15"/>
                <w:color w:val="auto"/>
              </w:rPr>
              <w:t>Series</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w w:val="95"/>
              </w:rPr>
              <w:t>of Transactions:</w:t>
            </w: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The</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One Group Prime</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Money Market Fund</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319</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93,299,404</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$30,743,822</w:t>
            </w:r>
          </w:p>
        </w:tc>
        <w:tc>
          <w:tcPr>
            <w:tcW w:w="1100" w:type="dxa"/>
            <w:vAlign w:val="bottom"/>
          </w:tcPr>
          <w:p>
            <w:pPr>
              <w:spacing w:after="0"/>
              <w:rPr>
                <w:sz w:val="14"/>
                <w:szCs w:val="14"/>
                <w:color w:val="auto"/>
              </w:rPr>
            </w:pPr>
          </w:p>
        </w:tc>
      </w:tr>
      <w:tr>
        <w:trPr>
          <w:trHeight w:val="170"/>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The</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Scotts Company</w:t>
            </w:r>
          </w:p>
        </w:tc>
        <w:tc>
          <w:tcPr>
            <w:tcW w:w="1900" w:type="dxa"/>
            <w:vAlign w:val="bottom"/>
          </w:tcPr>
          <w:p>
            <w:pPr>
              <w:spacing w:after="0"/>
              <w:rPr>
                <w:sz w:val="14"/>
                <w:szCs w:val="1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1,139,432</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7,860,155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$ 6,634,349</w:t>
            </w:r>
          </w:p>
        </w:tc>
      </w:tr>
      <w:tr>
        <w:trPr>
          <w:trHeight w:val="170"/>
        </w:trPr>
        <w:tc>
          <w:tcPr>
            <w:tcW w:w="2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Dresser Industries,</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1,688,056</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1,665,884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(22,172)</w:t>
            </w:r>
          </w:p>
        </w:tc>
      </w:tr>
      <w:tr>
        <w:trPr>
          <w:trHeight w:val="170"/>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GTE</w:t>
            </w:r>
          </w:p>
        </w:tc>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1,648,125</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1,843,163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195,035</w:t>
            </w:r>
          </w:p>
        </w:tc>
      </w:tr>
      <w:tr>
        <w:trPr>
          <w:trHeight w:val="170"/>
        </w:trPr>
        <w:tc>
          <w:tcPr>
            <w:tcW w:w="2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Sears Roebuck &amp; Co.</w:t>
            </w:r>
          </w:p>
        </w:tc>
        <w:tc>
          <w:tcPr>
            <w:tcW w:w="1900" w:type="dxa"/>
            <w:vAlign w:val="bottom"/>
          </w:tcPr>
          <w:p>
            <w:pPr>
              <w:spacing w:after="0"/>
              <w:rPr>
                <w:sz w:val="14"/>
                <w:szCs w:val="1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1,969,835</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1,511,062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(458,772)</w:t>
            </w:r>
          </w:p>
        </w:tc>
      </w:tr>
      <w:tr>
        <w:trPr>
          <w:trHeight w:val="170"/>
        </w:trPr>
        <w:tc>
          <w:tcPr>
            <w:tcW w:w="39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Waste Management, Inc.</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1,604,098</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1,867,466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263,368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480"/>
          </w:cols>
          <w:pgMar w:left="240" w:top="283" w:right="117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17</w:t>
      </w:r>
    </w:p>
    <w:p>
      <w:pPr>
        <w:ind w:left="2460"/>
        <w:spacing w:after="0"/>
        <w:rPr>
          <w:sz w:val="20"/>
          <w:szCs w:val="20"/>
          <w:color w:val="auto"/>
        </w:rPr>
      </w:pPr>
      <w:r>
        <w:rPr>
          <w:rFonts w:ascii="Courier New" w:cs="Courier New" w:eastAsia="Courier New" w:hAnsi="Courier New"/>
          <w:sz w:val="15"/>
          <w:szCs w:val="15"/>
          <w:color w:val="auto"/>
        </w:rPr>
        <w:t>THE SCOTTS COMPANY</w:t>
      </w:r>
    </w:p>
    <w:p>
      <w:pPr>
        <w:ind w:left="1940"/>
        <w:spacing w:after="0"/>
        <w:rPr>
          <w:sz w:val="20"/>
          <w:szCs w:val="20"/>
          <w:color w:val="auto"/>
        </w:rPr>
      </w:pPr>
      <w:r>
        <w:rPr>
          <w:rFonts w:ascii="Courier New" w:cs="Courier New" w:eastAsia="Courier New" w:hAnsi="Courier New"/>
          <w:sz w:val="15"/>
          <w:szCs w:val="15"/>
          <w:color w:val="auto"/>
        </w:rPr>
        <w:t>PROFIT SHARING AND SAVINGS PLAN</w:t>
      </w:r>
    </w:p>
    <w:p>
      <w:pPr>
        <w:ind w:left="2120"/>
        <w:spacing w:after="0" w:line="238" w:lineRule="auto"/>
        <w:rPr>
          <w:sz w:val="20"/>
          <w:szCs w:val="20"/>
          <w:color w:val="auto"/>
        </w:rPr>
      </w:pPr>
      <w:r>
        <w:rPr>
          <w:rFonts w:ascii="Courier New" w:cs="Courier New" w:eastAsia="Courier New" w:hAnsi="Courier New"/>
          <w:sz w:val="15"/>
          <w:szCs w:val="15"/>
          <w:color w:val="auto"/>
        </w:rPr>
        <w:t>ANNUAL REPORT ON FORM 11-K</w:t>
      </w:r>
    </w:p>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For fiscal year ended December 31, 1997</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INDEX TO THE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200" w:type="dxa"/>
            <w:vAlign w:val="bottom"/>
          </w:tcPr>
          <w:p>
            <w:pPr>
              <w:spacing w:after="0"/>
              <w:rPr>
                <w:sz w:val="14"/>
                <w:szCs w:val="14"/>
                <w:color w:val="auto"/>
              </w:rPr>
            </w:pPr>
          </w:p>
        </w:tc>
        <w:tc>
          <w:tcPr>
            <w:tcW w:w="15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Page</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2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8"/>
              </w:rPr>
              <w:t>Description</w:t>
            </w:r>
          </w:p>
        </w:tc>
        <w:tc>
          <w:tcPr>
            <w:tcW w:w="15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6"/>
              </w:rPr>
              <w:t>Number</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1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w:t>
            </w:r>
          </w:p>
        </w:tc>
        <w:tc>
          <w:tcPr>
            <w:tcW w:w="52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8"/>
              </w:rPr>
              <w:t>Consent of Independent Public Accountants</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9959"/>
          </w:cols>
          <w:pgMar w:left="50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1</w:t>
      </w:r>
    </w:p>
    <w:p>
      <w:pPr>
        <w:spacing w:after="0" w:line="33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of The Scotts Company on Form S-8 (No. 33-47073) of our report dated June 16, 1998 of the statements of net assets available for benefits of The Scotts Company Profit Sharing and Savings Plan as of December 31, 1997 and 1996 and the related statements of changes in net assets available for benefits for the years then ended which report is included in this Form 11-K.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rPr>
          <w:sz w:val="20"/>
          <w:szCs w:val="20"/>
          <w:color w:val="auto"/>
        </w:rPr>
      </w:pPr>
      <w:r>
        <w:rPr>
          <w:rFonts w:ascii="Courier New" w:cs="Courier New" w:eastAsia="Courier New" w:hAnsi="Courier New"/>
          <w:sz w:val="15"/>
          <w:szCs w:val="15"/>
          <w:color w:val="auto"/>
        </w:rPr>
        <w:t>June 29, 1998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upperLetter"/>
      <w:start w:val="2"/>
    </w:lvl>
  </w:abstractNum>
  <w:abstractNum w:abstractNumId="4">
    <w:nsid w:val="515F007C"/>
    <w:multiLevelType w:val="hybridMultilevel"/>
    <w:lvl w:ilvl="0">
      <w:lvlJc w:val="left"/>
      <w:lvlText w:val="%1."/>
      <w:numFmt w:val="decimal"/>
      <w:start w:val="1"/>
    </w:lvl>
    <w:lvl w:ilvl="1">
      <w:lvlJc w:val="left"/>
      <w:lvlText w:val="%2."/>
      <w:numFmt w:val="upperLetter"/>
      <w:start w:val="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decimal"/>
      <w:start w:val="2"/>
    </w:lvl>
    <w:lvl w:ilvl="1">
      <w:lvlJc w:val="left"/>
      <w:lvlText w:val="%2."/>
      <w:numFmt w:val="upperLetter"/>
      <w:start w:val="1"/>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4"/>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1."/>
      <w:numFmt w:val="decimal"/>
      <w:start w:val="6"/>
    </w:lvl>
  </w:abstractNum>
  <w:abstractNum w:abstractNumId="11">
    <w:nsid w:val="66EF438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2019-12-20T06:37:06Z</dcterms:created>
  <dcterms:modified xsi:type="dcterms:W3CDTF">2019-12-20T06:37:06Z</dcterms:modified>
</cp:coreProperties>
</file>