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0"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6"/>
          <w:szCs w:val="16"/>
          <w:color w:val="auto"/>
        </w:rPr>
        <w:t>_____________________________________</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10-K</w:t>
      </w:r>
    </w:p>
    <w:p>
      <w:pPr>
        <w:spacing w:after="0" w:line="4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6"/>
          <w:szCs w:val="16"/>
          <w:color w:val="auto"/>
        </w:rPr>
        <w:t>_____________________________________</w:t>
      </w:r>
    </w:p>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31" w:lineRule="exact"/>
        <w:rPr>
          <w:sz w:val="24"/>
          <w:szCs w:val="24"/>
          <w:color w:val="auto"/>
        </w:rPr>
      </w:pPr>
    </w:p>
    <w:p>
      <w:pPr>
        <w:ind w:left="420" w:hanging="397"/>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ind w:left="420" w:hanging="397"/>
        <w:spacing w:after="0"/>
        <w:tabs>
          <w:tab w:leader="none" w:pos="42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68" w:lineRule="exact"/>
        <w:rPr>
          <w:sz w:val="24"/>
          <w:szCs w:val="24"/>
          <w:color w:val="auto"/>
        </w:rPr>
      </w:pPr>
    </w:p>
    <w:tbl>
      <w:tblPr>
        <w:tblLayout w:type="fixed"/>
        <w:tblInd w:w="880" w:type="dxa"/>
        <w:tblCellMar>
          <w:top w:w="0" w:type="dxa"/>
          <w:left w:w="0" w:type="dxa"/>
          <w:bottom w:w="0" w:type="dxa"/>
          <w:right w:w="0" w:type="dxa"/>
        </w:tblCellMar>
      </w:tblPr>
      <w:tr>
        <w:trPr>
          <w:trHeight w:val="199"/>
        </w:trPr>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16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7"/>
              </w:rPr>
              <w:t>Commission file number 001-11593</w:t>
            </w:r>
          </w:p>
        </w:tc>
        <w:tc>
          <w:tcPr>
            <w:tcW w:w="2760" w:type="dxa"/>
            <w:vAlign w:val="bottom"/>
          </w:tcPr>
          <w:p>
            <w:pPr>
              <w:spacing w:after="0"/>
              <w:rPr>
                <w:sz w:val="17"/>
                <w:szCs w:val="17"/>
                <w:color w:val="auto"/>
              </w:rPr>
            </w:pPr>
          </w:p>
        </w:tc>
      </w:tr>
      <w:tr>
        <w:trPr>
          <w:trHeight w:val="159"/>
        </w:trPr>
        <w:tc>
          <w:tcPr>
            <w:tcW w:w="9600" w:type="dxa"/>
            <w:vAlign w:val="bottom"/>
            <w:gridSpan w:val="7"/>
          </w:tcPr>
          <w:p>
            <w:pPr>
              <w:jc w:val="right"/>
              <w:ind w:right="2385"/>
              <w:spacing w:after="0" w:line="158" w:lineRule="exact"/>
              <w:rPr>
                <w:sz w:val="20"/>
                <w:szCs w:val="20"/>
                <w:color w:val="auto"/>
              </w:rPr>
            </w:pPr>
            <w:r>
              <w:rPr>
                <w:rFonts w:ascii="Times New Roman" w:cs="Times New Roman" w:eastAsia="Times New Roman" w:hAnsi="Times New Roman"/>
                <w:sz w:val="16"/>
                <w:szCs w:val="16"/>
                <w:color w:val="auto"/>
              </w:rPr>
              <w:t>______________________________________________________________</w:t>
            </w:r>
          </w:p>
        </w:tc>
      </w:tr>
      <w:tr>
        <w:trPr>
          <w:trHeight w:val="484"/>
        </w:trPr>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780" w:type="dxa"/>
            <w:vAlign w:val="bottom"/>
            <w:gridSpan w:val="5"/>
          </w:tcPr>
          <w:p>
            <w:pPr>
              <w:jc w:val="center"/>
              <w:ind w:right="1865"/>
              <w:spacing w:after="0"/>
              <w:rPr>
                <w:sz w:val="20"/>
                <w:szCs w:val="20"/>
                <w:color w:val="auto"/>
              </w:rPr>
            </w:pPr>
            <w:r>
              <w:rPr>
                <w:rFonts w:ascii="Times New Roman" w:cs="Times New Roman" w:eastAsia="Times New Roman" w:hAnsi="Times New Roman"/>
                <w:sz w:val="39"/>
                <w:szCs w:val="39"/>
                <w:b w:val="1"/>
                <w:bCs w:val="1"/>
                <w:color w:val="auto"/>
                <w:w w:val="98"/>
              </w:rPr>
              <w:t>The Scotts Miracle-Gro Company</w:t>
            </w:r>
          </w:p>
        </w:tc>
      </w:tr>
      <w:tr>
        <w:trPr>
          <w:trHeight w:val="209"/>
        </w:trPr>
        <w:tc>
          <w:tcPr>
            <w:tcW w:w="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16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(Exact name of registrant as specified in its charter)</w:t>
            </w:r>
          </w:p>
        </w:tc>
        <w:tc>
          <w:tcPr>
            <w:tcW w:w="2760" w:type="dxa"/>
            <w:vAlign w:val="bottom"/>
          </w:tcPr>
          <w:p>
            <w:pPr>
              <w:spacing w:after="0"/>
              <w:rPr>
                <w:sz w:val="18"/>
                <w:szCs w:val="18"/>
                <w:color w:val="auto"/>
              </w:rPr>
            </w:pPr>
          </w:p>
        </w:tc>
      </w:tr>
      <w:tr>
        <w:trPr>
          <w:trHeight w:val="230"/>
        </w:trPr>
        <w:tc>
          <w:tcPr>
            <w:tcW w:w="700" w:type="dxa"/>
            <w:vAlign w:val="bottom"/>
          </w:tcPr>
          <w:p>
            <w:pPr>
              <w:spacing w:after="0"/>
              <w:rPr>
                <w:sz w:val="19"/>
                <w:szCs w:val="19"/>
                <w:color w:val="auto"/>
              </w:rPr>
            </w:pPr>
          </w:p>
        </w:tc>
        <w:tc>
          <w:tcPr>
            <w:tcW w:w="1980" w:type="dxa"/>
            <w:vAlign w:val="bottom"/>
            <w:gridSpan w:val="2"/>
          </w:tcPr>
          <w:p>
            <w:pPr>
              <w:jc w:val="center"/>
              <w:ind w:right="647"/>
              <w:spacing w:after="0"/>
              <w:rPr>
                <w:sz w:val="20"/>
                <w:szCs w:val="20"/>
                <w:color w:val="auto"/>
              </w:rPr>
            </w:pPr>
            <w:r>
              <w:rPr>
                <w:rFonts w:ascii="Times New Roman" w:cs="Times New Roman" w:eastAsia="Times New Roman" w:hAnsi="Times New Roman"/>
                <w:sz w:val="16"/>
                <w:szCs w:val="16"/>
                <w:b w:val="1"/>
                <w:bCs w:val="1"/>
                <w:color w:val="auto"/>
              </w:rPr>
              <w:t>Ohio</w:t>
            </w:r>
          </w:p>
        </w:tc>
        <w:tc>
          <w:tcPr>
            <w:tcW w:w="1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31-1414921</w:t>
            </w:r>
          </w:p>
        </w:tc>
      </w:tr>
      <w:tr>
        <w:trPr>
          <w:trHeight w:val="143"/>
        </w:trPr>
        <w:tc>
          <w:tcPr>
            <w:tcW w:w="2680" w:type="dxa"/>
            <w:vAlign w:val="bottom"/>
            <w:gridSpan w:val="3"/>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1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76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5"/>
        </w:trPr>
        <w:tc>
          <w:tcPr>
            <w:tcW w:w="2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1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4"/>
        </w:trPr>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16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14111 Scottslawn Road, Marysville, Ohio 43041</w:t>
            </w:r>
          </w:p>
        </w:tc>
        <w:tc>
          <w:tcPr>
            <w:tcW w:w="2760" w:type="dxa"/>
            <w:vAlign w:val="bottom"/>
          </w:tcPr>
          <w:p>
            <w:pPr>
              <w:spacing w:after="0"/>
              <w:rPr>
                <w:sz w:val="24"/>
                <w:szCs w:val="24"/>
                <w:color w:val="auto"/>
              </w:rPr>
            </w:pPr>
          </w:p>
        </w:tc>
      </w:tr>
      <w:tr>
        <w:trPr>
          <w:trHeight w:val="191"/>
        </w:trPr>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1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(Address of principal executive offices) (Zip Code)</w:t>
            </w:r>
          </w:p>
        </w:tc>
        <w:tc>
          <w:tcPr>
            <w:tcW w:w="2760" w:type="dxa"/>
            <w:vAlign w:val="bottom"/>
          </w:tcPr>
          <w:p>
            <w:pPr>
              <w:spacing w:after="0"/>
              <w:rPr>
                <w:sz w:val="16"/>
                <w:szCs w:val="16"/>
                <w:color w:val="auto"/>
              </w:rPr>
            </w:pPr>
          </w:p>
        </w:tc>
      </w:tr>
      <w:tr>
        <w:trPr>
          <w:trHeight w:val="413"/>
        </w:trPr>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16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Registrant’s telephone number, including area code:</w:t>
            </w:r>
          </w:p>
        </w:tc>
        <w:tc>
          <w:tcPr>
            <w:tcW w:w="2760" w:type="dxa"/>
            <w:vAlign w:val="bottom"/>
          </w:tcPr>
          <w:p>
            <w:pPr>
              <w:spacing w:after="0"/>
              <w:rPr>
                <w:sz w:val="24"/>
                <w:szCs w:val="24"/>
                <w:color w:val="auto"/>
              </w:rPr>
            </w:pPr>
          </w:p>
        </w:tc>
      </w:tr>
      <w:tr>
        <w:trPr>
          <w:trHeight w:val="213"/>
        </w:trPr>
        <w:tc>
          <w:tcPr>
            <w:tcW w:w="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gridSpan w:val="2"/>
          </w:tcPr>
          <w:p>
            <w:pPr>
              <w:jc w:val="center"/>
              <w:ind w:left="1423"/>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7"/>
                <w:szCs w:val="17"/>
                <w:color w:val="auto"/>
              </w:rPr>
              <w:t>937</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7"/>
                <w:szCs w:val="17"/>
                <w:color w:val="auto"/>
              </w:rPr>
              <w:t>644-0011</w:t>
            </w:r>
          </w:p>
        </w:tc>
        <w:tc>
          <w:tcPr>
            <w:tcW w:w="154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09"/>
        </w:trPr>
        <w:tc>
          <w:tcPr>
            <w:tcW w:w="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16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Securities registered pursuant to Section 12(b) of the Act:</w:t>
            </w:r>
          </w:p>
        </w:tc>
        <w:tc>
          <w:tcPr>
            <w:tcW w:w="2760" w:type="dxa"/>
            <w:vAlign w:val="bottom"/>
          </w:tcPr>
          <w:p>
            <w:pPr>
              <w:spacing w:after="0"/>
              <w:rPr>
                <w:sz w:val="18"/>
                <w:szCs w:val="18"/>
                <w:color w:val="auto"/>
              </w:rPr>
            </w:pPr>
          </w:p>
        </w:tc>
      </w:tr>
      <w:tr>
        <w:trPr>
          <w:trHeight w:val="162"/>
        </w:trPr>
        <w:tc>
          <w:tcPr>
            <w:tcW w:w="700" w:type="dxa"/>
            <w:vAlign w:val="bottom"/>
          </w:tcPr>
          <w:p>
            <w:pPr>
              <w:spacing w:after="0"/>
              <w:rPr>
                <w:sz w:val="14"/>
                <w:szCs w:val="14"/>
                <w:color w:val="auto"/>
              </w:rPr>
            </w:pPr>
          </w:p>
        </w:tc>
        <w:tc>
          <w:tcPr>
            <w:tcW w:w="1980" w:type="dxa"/>
            <w:vAlign w:val="bottom"/>
            <w:gridSpan w:val="2"/>
          </w:tcPr>
          <w:p>
            <w:pPr>
              <w:jc w:val="center"/>
              <w:ind w:right="667"/>
              <w:spacing w:after="0"/>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41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7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r>
      <w:tr>
        <w:trPr>
          <w:trHeight w:val="255"/>
        </w:trPr>
        <w:tc>
          <w:tcPr>
            <w:tcW w:w="26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Common Shares, $0.01 stated value</w:t>
            </w:r>
          </w:p>
        </w:tc>
        <w:tc>
          <w:tcPr>
            <w:tcW w:w="1500" w:type="dxa"/>
            <w:vAlign w:val="bottom"/>
          </w:tcPr>
          <w:p>
            <w:pPr>
              <w:spacing w:after="0"/>
              <w:rPr>
                <w:sz w:val="22"/>
                <w:szCs w:val="22"/>
                <w:color w:val="auto"/>
              </w:rPr>
            </w:pPr>
          </w:p>
        </w:tc>
        <w:tc>
          <w:tcPr>
            <w:tcW w:w="26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color w:val="auto"/>
                <w:w w:val="97"/>
              </w:rPr>
              <w:t>SMG</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NYSE</w:t>
            </w:r>
          </w:p>
        </w:tc>
      </w:tr>
    </w:tbl>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5"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w:t>
      </w:r>
    </w:p>
    <w:p>
      <w:pPr>
        <w:sectPr>
          <w:pgSz w:w="11900" w:h="16838" w:orient="portrait"/>
          <w:cols w:equalWidth="0" w:num="1">
            <w:col w:w="11240"/>
          </w:cols>
          <w:pgMar w:left="320" w:top="226" w:right="339" w:bottom="1440" w:gutter="0" w:footer="0" w:header="0"/>
        </w:sectPr>
      </w:pPr>
    </w:p>
    <w:p>
      <w:pPr>
        <w:spacing w:after="0" w:line="100"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Yes</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No</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108" w:lineRule="exact"/>
        <w:rPr>
          <w:sz w:val="24"/>
          <w:szCs w:val="24"/>
          <w:color w:val="auto"/>
        </w:rPr>
      </w:pPr>
    </w:p>
    <w:p>
      <w:pPr>
        <w:sectPr>
          <w:pgSz w:w="11900" w:h="16838" w:orient="portrait"/>
          <w:cols w:equalWidth="0" w:num="5">
            <w:col w:w="6900" w:space="140"/>
            <w:col w:w="200" w:space="60"/>
            <w:col w:w="140" w:space="140"/>
            <w:col w:w="160" w:space="80"/>
            <w:col w:w="3420"/>
          </w:cols>
          <w:pgMar w:left="320" w:top="226" w:right="339" w:bottom="1440" w:gutter="0" w:footer="0" w:header="0"/>
          <w:type w:val="continuous"/>
        </w:sectPr>
      </w:pPr>
    </w:p>
    <w:p>
      <w:pPr>
        <w:spacing w:after="0" w:line="2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Yes</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77" w:lineRule="exact"/>
        <w:rPr>
          <w:sz w:val="24"/>
          <w:szCs w:val="24"/>
          <w:color w:val="auto"/>
        </w:rPr>
      </w:pPr>
    </w:p>
    <w:p>
      <w:pPr>
        <w:sectPr>
          <w:pgSz w:w="11900" w:h="16838" w:orient="portrait"/>
          <w:cols w:equalWidth="0" w:num="5">
            <w:col w:w="7020" w:space="140"/>
            <w:col w:w="200" w:space="80"/>
            <w:col w:w="120" w:space="140"/>
            <w:col w:w="160" w:space="80"/>
            <w:col w:w="3300"/>
          </w:cols>
          <w:pgMar w:left="320" w:top="226" w:right="339" w:bottom="1440" w:gutter="0" w:footer="0" w:header="0"/>
          <w:type w:val="continuous"/>
        </w:sectPr>
      </w:pPr>
    </w:p>
    <w:p>
      <w:pPr>
        <w:ind w:firstLine="315"/>
        <w:spacing w:after="0" w:line="19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65" w:lineRule="exact"/>
        <w:rPr>
          <w:sz w:val="24"/>
          <w:szCs w:val="24"/>
          <w:color w:val="auto"/>
        </w:rPr>
      </w:pPr>
    </w:p>
    <w:p>
      <w:pPr>
        <w:ind w:firstLine="315"/>
        <w:spacing w:after="0" w:line="19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78" w:lineRule="exact"/>
        <w:rPr>
          <w:sz w:val="24"/>
          <w:szCs w:val="24"/>
          <w:color w:val="auto"/>
        </w:rPr>
      </w:pPr>
    </w:p>
    <w:p>
      <w:pPr>
        <w:ind w:firstLine="315"/>
        <w:spacing w:after="0" w:line="27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92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540" w:type="dxa"/>
            <w:vAlign w:val="bottom"/>
          </w:tcPr>
          <w:p>
            <w:pPr>
              <w:ind w:left="2060"/>
              <w:spacing w:after="0"/>
              <w:rPr>
                <w:sz w:val="20"/>
                <w:szCs w:val="20"/>
                <w:color w:val="auto"/>
              </w:rPr>
            </w:pPr>
            <w:r>
              <w:rPr>
                <w:rFonts w:ascii="Times New Roman" w:cs="Times New Roman" w:eastAsia="Times New Roman" w:hAnsi="Times New Roman"/>
                <w:sz w:val="14"/>
                <w:szCs w:val="14"/>
                <w:color w:val="auto"/>
              </w:rPr>
              <w:t>Accelerated filer</w:t>
            </w:r>
          </w:p>
        </w:tc>
        <w:tc>
          <w:tcPr>
            <w:tcW w:w="1080" w:type="dxa"/>
            <w:vAlign w:val="bottom"/>
          </w:tcPr>
          <w:p>
            <w:pPr>
              <w:ind w:left="9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3"/>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92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540" w:type="dxa"/>
            <w:vAlign w:val="bottom"/>
          </w:tcPr>
          <w:p>
            <w:pPr>
              <w:ind w:left="20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080" w:type="dxa"/>
            <w:vAlign w:val="bottom"/>
          </w:tcPr>
          <w:p>
            <w:pPr>
              <w:ind w:left="9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6"/>
        </w:trPr>
        <w:tc>
          <w:tcPr>
            <w:tcW w:w="196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4540" w:type="dxa"/>
            <w:vAlign w:val="bottom"/>
          </w:tcPr>
          <w:p>
            <w:pPr>
              <w:ind w:left="2060"/>
              <w:spacing w:after="0"/>
              <w:rPr>
                <w:sz w:val="20"/>
                <w:szCs w:val="20"/>
                <w:color w:val="auto"/>
              </w:rPr>
            </w:pPr>
            <w:r>
              <w:rPr>
                <w:rFonts w:ascii="Times New Roman" w:cs="Times New Roman" w:eastAsia="Times New Roman" w:hAnsi="Times New Roman"/>
                <w:sz w:val="14"/>
                <w:szCs w:val="14"/>
                <w:color w:val="auto"/>
              </w:rPr>
              <w:t>Emerging growth company</w:t>
            </w:r>
          </w:p>
        </w:tc>
        <w:tc>
          <w:tcPr>
            <w:tcW w:w="1080" w:type="dxa"/>
            <w:vAlign w:val="bottom"/>
          </w:tcPr>
          <w:p>
            <w:pPr>
              <w:ind w:left="9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24" w:lineRule="exact"/>
        <w:rPr>
          <w:sz w:val="24"/>
          <w:szCs w:val="24"/>
          <w:color w:val="auto"/>
        </w:rPr>
      </w:pPr>
    </w:p>
    <w:p>
      <w:pPr>
        <w:ind w:right="540" w:firstLine="315"/>
        <w:spacing w:after="0" w:line="303"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60" w:firstLine="315"/>
        <w:spacing w:after="0" w:line="21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7"/>
          <w:szCs w:val="17"/>
          <w:color w:val="auto"/>
        </w:rPr>
        <w:t>☑</w:t>
      </w:r>
    </w:p>
    <w:p>
      <w:pPr>
        <w:spacing w:after="0" w:line="4" w:lineRule="exact"/>
        <w:rPr>
          <w:sz w:val="24"/>
          <w:szCs w:val="24"/>
          <w:color w:val="auto"/>
        </w:rPr>
      </w:pPr>
    </w:p>
    <w:p>
      <w:pPr>
        <w:ind w:left="320"/>
        <w:spacing w:after="0" w:line="161" w:lineRule="exact"/>
        <w:tabs>
          <w:tab w:leader="none" w:pos="6220" w:val="left"/>
          <w:tab w:leader="none" w:pos="67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23" w:lineRule="exact"/>
        <w:rPr>
          <w:sz w:val="24"/>
          <w:szCs w:val="24"/>
          <w:color w:val="auto"/>
        </w:rPr>
      </w:pPr>
    </w:p>
    <w:p>
      <w:pPr>
        <w:ind w:firstLine="315"/>
        <w:spacing w:after="0" w:line="287" w:lineRule="auto"/>
        <w:rPr>
          <w:sz w:val="20"/>
          <w:szCs w:val="20"/>
          <w:color w:val="auto"/>
        </w:rPr>
      </w:pPr>
      <w:r>
        <w:rPr>
          <w:rFonts w:ascii="Times New Roman" w:cs="Times New Roman" w:eastAsia="Times New Roman" w:hAnsi="Times New Roman"/>
          <w:sz w:val="14"/>
          <w:szCs w:val="14"/>
          <w:color w:val="auto"/>
        </w:rPr>
        <w:t>The aggregate market value of Common Shares (the only common equity of the registrant) held by non-affiliates (for this purpose, executive officers and directors of the registrant are considered affiliates) as of April 1, 2022 (the last business day of the most recently completed second quarter) was approximately $5,115,863,599.</w:t>
      </w:r>
    </w:p>
    <w:p>
      <w:pPr>
        <w:spacing w:after="0" w:line="62"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There were 55,464,721 Common Shares of the registrant outstanding as of November 18, 2022.</w:t>
      </w:r>
    </w:p>
    <w:p>
      <w:pPr>
        <w:spacing w:after="0" w:line="22"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64" w:lineRule="exact"/>
        <w:rPr>
          <w:sz w:val="24"/>
          <w:szCs w:val="24"/>
          <w:color w:val="auto"/>
        </w:rPr>
      </w:pPr>
    </w:p>
    <w:p>
      <w:pPr>
        <w:ind w:firstLine="315"/>
        <w:spacing w:after="0" w:line="287" w:lineRule="auto"/>
        <w:rPr>
          <w:sz w:val="20"/>
          <w:szCs w:val="20"/>
          <w:color w:val="auto"/>
        </w:rPr>
      </w:pPr>
      <w:r>
        <w:rPr>
          <w:rFonts w:ascii="Times New Roman" w:cs="Times New Roman" w:eastAsia="Times New Roman" w:hAnsi="Times New Roman"/>
          <w:sz w:val="14"/>
          <w:szCs w:val="14"/>
          <w:color w:val="auto"/>
        </w:rPr>
        <w:t>Portions of the definitive Proxy Statement for the registrant’s 2023 Annual Meeting of Shareholders are incorporated by reference into Part III of this Annual Report on Form 10-K. Such Proxy Statement will be filed with the Securities and Exchange Commission within 120 days of the registrant’s fiscal year ended September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191135</wp:posOffset>
            </wp:positionV>
            <wp:extent cx="71615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2300" w:type="dxa"/>
            <w:vAlign w:val="bottom"/>
            <w:gridSpan w:val="8"/>
          </w:tcPr>
          <w:p>
            <w:pPr>
              <w:spacing w:after="0"/>
              <w:rPr>
                <w:sz w:val="20"/>
                <w:szCs w:val="20"/>
                <w:color w:val="auto"/>
              </w:rPr>
            </w:pPr>
            <w:r>
              <w:rPr>
                <w:rFonts w:ascii="Times New Roman" w:cs="Times New Roman" w:eastAsia="Times New Roman" w:hAnsi="Times New Roman"/>
                <w:sz w:val="18"/>
                <w:szCs w:val="18"/>
                <w:color w:val="FFFFFF"/>
              </w:rPr>
              <w:t>Table of Contents</w:t>
            </w: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29"/>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60" w:type="dxa"/>
            <w:vAlign w:val="bottom"/>
            <w:gridSpan w:val="20"/>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7"/>
              </w:rPr>
              <w:t>The Scotts Miracle-Gro Company</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960" w:type="dxa"/>
            <w:vAlign w:val="bottom"/>
            <w:gridSpan w:val="18"/>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w w:val="97"/>
              </w:rPr>
              <w:t>Annual Report on Form 10-K</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20" w:type="dxa"/>
            <w:vAlign w:val="bottom"/>
            <w:gridSpan w:val="23"/>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w w:val="96"/>
              </w:rPr>
              <w:t>For the Fiscal Year Ended September 30, 2022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520" w:type="dxa"/>
            <w:vAlign w:val="bottom"/>
            <w:gridSpan w:val="15"/>
          </w:tcPr>
          <w:p>
            <w:pPr>
              <w:jc w:val="center"/>
              <w:ind w:right="416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940" w:type="dxa"/>
            <w:vAlign w:val="bottom"/>
            <w:gridSpan w:val="3"/>
          </w:tcPr>
          <w:p>
            <w:pPr>
              <w:spacing w:after="0" w:line="178" w:lineRule="exact"/>
              <w:rPr>
                <w:sz w:val="20"/>
                <w:szCs w:val="20"/>
                <w:color w:val="auto"/>
              </w:rPr>
            </w:pPr>
            <w:r>
              <w:rPr>
                <w:rFonts w:ascii="Times New Roman" w:cs="Times New Roman" w:eastAsia="Times New Roman" w:hAnsi="Times New Roman"/>
                <w:sz w:val="18"/>
                <w:szCs w:val="18"/>
                <w:color w:val="0000FF"/>
              </w:rPr>
              <w:t>Part I</w:t>
            </w:r>
          </w:p>
        </w:tc>
        <w:tc>
          <w:tcPr>
            <w:tcW w:w="1320" w:type="dxa"/>
            <w:vAlign w:val="bottom"/>
            <w:gridSpan w:val="4"/>
          </w:tcPr>
          <w:p>
            <w:pPr>
              <w:spacing w:after="0" w:line="178" w:lineRule="exact"/>
              <w:rPr>
                <w:sz w:val="20"/>
                <w:szCs w:val="20"/>
                <w:color w:val="auto"/>
              </w:rPr>
            </w:pPr>
            <w:r>
              <w:rPr>
                <w:rFonts w:ascii="Times New Roman" w:cs="Times New Roman" w:eastAsia="Times New Roman" w:hAnsi="Times New Roman"/>
                <w:sz w:val="18"/>
                <w:szCs w:val="18"/>
                <w:color w:val="0000FF"/>
              </w:rPr>
              <w:t>Item 1.</w:t>
            </w:r>
          </w:p>
        </w:tc>
        <w:tc>
          <w:tcPr>
            <w:tcW w:w="920" w:type="dxa"/>
            <w:vAlign w:val="bottom"/>
          </w:tcPr>
          <w:p>
            <w:pPr>
              <w:spacing w:after="0"/>
              <w:rPr>
                <w:sz w:val="15"/>
                <w:szCs w:val="15"/>
                <w:color w:val="auto"/>
              </w:rPr>
            </w:pPr>
          </w:p>
        </w:tc>
        <w:tc>
          <w:tcPr>
            <w:tcW w:w="7240" w:type="dxa"/>
            <w:vAlign w:val="bottom"/>
            <w:gridSpan w:val="24"/>
          </w:tcPr>
          <w:p>
            <w:pPr>
              <w:spacing w:after="0" w:line="178" w:lineRule="exact"/>
              <w:rPr>
                <w:sz w:val="20"/>
                <w:szCs w:val="20"/>
                <w:color w:val="auto"/>
              </w:rPr>
            </w:pPr>
            <w:r>
              <w:rPr>
                <w:rFonts w:ascii="Times New Roman" w:cs="Times New Roman" w:eastAsia="Times New Roman" w:hAnsi="Times New Roman"/>
                <w:sz w:val="18"/>
                <w:szCs w:val="18"/>
                <w:color w:val="0000FF"/>
              </w:rPr>
              <w:t>Business</w:t>
            </w:r>
          </w:p>
        </w:tc>
        <w:tc>
          <w:tcPr>
            <w:tcW w:w="420" w:type="dxa"/>
            <w:vAlign w:val="bottom"/>
            <w:tcBorders>
              <w:top w:val="single" w:sz="8" w:color="auto"/>
            </w:tcBorders>
            <w:gridSpan w:val="3"/>
          </w:tcPr>
          <w:p>
            <w:pPr>
              <w:jc w:val="center"/>
              <w:ind w:left="252"/>
              <w:spacing w:after="0" w:line="178" w:lineRule="exact"/>
              <w:rPr>
                <w:sz w:val="20"/>
                <w:szCs w:val="20"/>
                <w:color w:val="auto"/>
              </w:rPr>
            </w:pPr>
            <w:r>
              <w:rPr>
                <w:rFonts w:ascii="Times New Roman" w:cs="Times New Roman" w:eastAsia="Times New Roman" w:hAnsi="Times New Roman"/>
                <w:sz w:val="18"/>
                <w:szCs w:val="18"/>
                <w:color w:val="0000FF"/>
                <w:w w:val="88"/>
              </w:rPr>
              <w:t>2</w:t>
            </w: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0000FF"/>
                <w:w w:val="87"/>
              </w:rPr>
              <w:t>Item 1A.</w:t>
            </w: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40" w:type="dxa"/>
            <w:vAlign w:val="bottom"/>
            <w:gridSpan w:val="24"/>
          </w:tcPr>
          <w:p>
            <w:pPr>
              <w:spacing w:after="0" w:line="203" w:lineRule="exact"/>
              <w:rPr>
                <w:sz w:val="20"/>
                <w:szCs w:val="20"/>
                <w:color w:val="auto"/>
              </w:rPr>
            </w:pPr>
            <w:r>
              <w:rPr>
                <w:rFonts w:ascii="Times New Roman" w:cs="Times New Roman" w:eastAsia="Times New Roman" w:hAnsi="Times New Roman"/>
                <w:sz w:val="18"/>
                <w:szCs w:val="18"/>
                <w:color w:val="0000FF"/>
              </w:rPr>
              <w:t>Risk Factors</w:t>
            </w:r>
          </w:p>
        </w:tc>
        <w:tc>
          <w:tcPr>
            <w:tcW w:w="420" w:type="dxa"/>
            <w:vAlign w:val="bottom"/>
            <w:gridSpan w:val="3"/>
          </w:tcPr>
          <w:p>
            <w:pPr>
              <w:jc w:val="center"/>
              <w:ind w:left="252"/>
              <w:spacing w:after="0" w:line="203" w:lineRule="exact"/>
              <w:rPr>
                <w:sz w:val="20"/>
                <w:szCs w:val="20"/>
                <w:color w:val="auto"/>
              </w:rPr>
            </w:pPr>
            <w:r>
              <w:rPr>
                <w:rFonts w:ascii="Times New Roman" w:cs="Times New Roman" w:eastAsia="Times New Roman" w:hAnsi="Times New Roman"/>
                <w:sz w:val="18"/>
                <w:szCs w:val="18"/>
                <w:color w:val="0000FF"/>
                <w:w w:val="88"/>
              </w:rPr>
              <w:t>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0000FF"/>
                <w:w w:val="88"/>
              </w:rPr>
              <w:t>Item 1B.</w:t>
            </w: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0" w:type="dxa"/>
            <w:vAlign w:val="bottom"/>
            <w:gridSpan w:val="11"/>
          </w:tcPr>
          <w:p>
            <w:pPr>
              <w:spacing w:after="0" w:line="203" w:lineRule="exact"/>
              <w:rPr>
                <w:sz w:val="20"/>
                <w:szCs w:val="20"/>
                <w:color w:val="auto"/>
              </w:rPr>
            </w:pPr>
            <w:r>
              <w:rPr>
                <w:rFonts w:ascii="Times New Roman" w:cs="Times New Roman" w:eastAsia="Times New Roman" w:hAnsi="Times New Roman"/>
                <w:sz w:val="18"/>
                <w:szCs w:val="18"/>
                <w:color w:val="0000FF"/>
                <w:w w:val="96"/>
              </w:rPr>
              <w:t>Unresolved Staff Comments</w:t>
            </w:r>
          </w:p>
        </w:tc>
        <w:tc>
          <w:tcPr>
            <w:tcW w:w="5240" w:type="dxa"/>
            <w:vAlign w:val="bottom"/>
            <w:gridSpan w:val="13"/>
          </w:tcPr>
          <w:p>
            <w:pPr>
              <w:spacing w:after="0"/>
              <w:rPr>
                <w:sz w:val="17"/>
                <w:szCs w:val="17"/>
                <w:color w:val="auto"/>
              </w:rPr>
            </w:pPr>
          </w:p>
        </w:tc>
        <w:tc>
          <w:tcPr>
            <w:tcW w:w="340" w:type="dxa"/>
            <w:vAlign w:val="bottom"/>
            <w:gridSpan w:val="2"/>
          </w:tcPr>
          <w:p>
            <w:pPr>
              <w:spacing w:after="0"/>
              <w:rPr>
                <w:sz w:val="17"/>
                <w:szCs w:val="17"/>
                <w:color w:val="auto"/>
              </w:rPr>
            </w:pPr>
          </w:p>
        </w:tc>
        <w:tc>
          <w:tcPr>
            <w:tcW w:w="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0000FF"/>
                <w:w w:val="74"/>
              </w:rPr>
              <w:t>21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0000FF"/>
                <w:w w:val="94"/>
              </w:rPr>
              <w:t>Item 2.</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0000FF"/>
                <w:w w:val="90"/>
              </w:rPr>
              <w:t>Properties</w:t>
            </w:r>
          </w:p>
        </w:tc>
        <w:tc>
          <w:tcPr>
            <w:tcW w:w="1300" w:type="dxa"/>
            <w:vAlign w:val="bottom"/>
            <w:gridSpan w:val="9"/>
          </w:tcPr>
          <w:p>
            <w:pPr>
              <w:spacing w:after="0"/>
              <w:rPr>
                <w:sz w:val="17"/>
                <w:szCs w:val="17"/>
                <w:color w:val="auto"/>
              </w:rPr>
            </w:pPr>
          </w:p>
        </w:tc>
        <w:tc>
          <w:tcPr>
            <w:tcW w:w="5240" w:type="dxa"/>
            <w:vAlign w:val="bottom"/>
            <w:gridSpan w:val="13"/>
          </w:tcPr>
          <w:p>
            <w:pPr>
              <w:spacing w:after="0"/>
              <w:rPr>
                <w:sz w:val="17"/>
                <w:szCs w:val="17"/>
                <w:color w:val="auto"/>
              </w:rPr>
            </w:pPr>
          </w:p>
        </w:tc>
        <w:tc>
          <w:tcPr>
            <w:tcW w:w="340" w:type="dxa"/>
            <w:vAlign w:val="bottom"/>
            <w:gridSpan w:val="2"/>
          </w:tcPr>
          <w:p>
            <w:pPr>
              <w:spacing w:after="0"/>
              <w:rPr>
                <w:sz w:val="17"/>
                <w:szCs w:val="17"/>
                <w:color w:val="auto"/>
              </w:rPr>
            </w:pPr>
          </w:p>
        </w:tc>
        <w:tc>
          <w:tcPr>
            <w:tcW w:w="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0000FF"/>
                <w:w w:val="74"/>
              </w:rPr>
              <w:t>21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0000FF"/>
                <w:w w:val="94"/>
              </w:rPr>
              <w:t>Item 3.</w:t>
            </w:r>
          </w:p>
        </w:tc>
        <w:tc>
          <w:tcPr>
            <w:tcW w:w="80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7240" w:type="dxa"/>
            <w:vAlign w:val="bottom"/>
            <w:gridSpan w:val="24"/>
          </w:tcPr>
          <w:p>
            <w:pPr>
              <w:spacing w:after="0" w:line="203" w:lineRule="exact"/>
              <w:rPr>
                <w:sz w:val="20"/>
                <w:szCs w:val="20"/>
                <w:color w:val="auto"/>
              </w:rPr>
            </w:pPr>
            <w:r>
              <w:rPr>
                <w:rFonts w:ascii="Times New Roman" w:cs="Times New Roman" w:eastAsia="Times New Roman" w:hAnsi="Times New Roman"/>
                <w:sz w:val="18"/>
                <w:szCs w:val="18"/>
                <w:color w:val="0000FF"/>
              </w:rPr>
              <w:t>Legal Proceedings</w:t>
            </w:r>
          </w:p>
        </w:tc>
        <w:tc>
          <w:tcPr>
            <w:tcW w:w="500" w:type="dxa"/>
            <w:vAlign w:val="bottom"/>
            <w:gridSpan w:val="4"/>
          </w:tcPr>
          <w:p>
            <w:pPr>
              <w:jc w:val="center"/>
              <w:ind w:left="152"/>
              <w:spacing w:after="0" w:line="203" w:lineRule="exact"/>
              <w:rPr>
                <w:sz w:val="20"/>
                <w:szCs w:val="20"/>
                <w:color w:val="auto"/>
              </w:rPr>
            </w:pPr>
            <w:r>
              <w:rPr>
                <w:rFonts w:ascii="Times New Roman" w:cs="Times New Roman" w:eastAsia="Times New Roman" w:hAnsi="Times New Roman"/>
                <w:sz w:val="18"/>
                <w:szCs w:val="18"/>
                <w:color w:val="0000FF"/>
                <w:w w:val="99"/>
              </w:rPr>
              <w:t>22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Borders>
              <w:bottom w:val="single" w:sz="8" w:color="0000FF"/>
            </w:tcBorders>
            <w:gridSpan w:val="2"/>
          </w:tcPr>
          <w:p>
            <w:pPr>
              <w:spacing w:after="0" w:line="203" w:lineRule="exact"/>
              <w:rPr>
                <w:sz w:val="20"/>
                <w:szCs w:val="20"/>
                <w:color w:val="auto"/>
              </w:rPr>
            </w:pPr>
            <w:r>
              <w:rPr>
                <w:rFonts w:ascii="Times New Roman" w:cs="Times New Roman" w:eastAsia="Times New Roman" w:hAnsi="Times New Roman"/>
                <w:sz w:val="18"/>
                <w:szCs w:val="18"/>
                <w:color w:val="0000FF"/>
                <w:w w:val="94"/>
              </w:rPr>
              <w:t>Item 4.</w:t>
            </w:r>
          </w:p>
        </w:tc>
        <w:tc>
          <w:tcPr>
            <w:tcW w:w="80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660" w:type="dxa"/>
            <w:vAlign w:val="bottom"/>
            <w:tcBorders>
              <w:bottom w:val="single" w:sz="8" w:color="0000FF"/>
            </w:tcBorders>
            <w:gridSpan w:val="8"/>
          </w:tcPr>
          <w:p>
            <w:pPr>
              <w:spacing w:after="0" w:line="203" w:lineRule="exact"/>
              <w:rPr>
                <w:sz w:val="20"/>
                <w:szCs w:val="20"/>
                <w:color w:val="auto"/>
              </w:rPr>
            </w:pPr>
            <w:r>
              <w:rPr>
                <w:rFonts w:ascii="Times New Roman" w:cs="Times New Roman" w:eastAsia="Times New Roman" w:hAnsi="Times New Roman"/>
                <w:sz w:val="18"/>
                <w:szCs w:val="18"/>
                <w:color w:val="0000FF"/>
                <w:w w:val="96"/>
              </w:rPr>
              <w:t>Mine Safety Disclosure</w:t>
            </w:r>
          </w:p>
        </w:tc>
        <w:tc>
          <w:tcPr>
            <w:tcW w:w="5580" w:type="dxa"/>
            <w:vAlign w:val="bottom"/>
            <w:gridSpan w:val="16"/>
          </w:tcPr>
          <w:p>
            <w:pPr>
              <w:spacing w:after="0"/>
              <w:rPr>
                <w:sz w:val="17"/>
                <w:szCs w:val="17"/>
                <w:color w:val="auto"/>
              </w:rPr>
            </w:pPr>
          </w:p>
        </w:tc>
        <w:tc>
          <w:tcPr>
            <w:tcW w:w="500" w:type="dxa"/>
            <w:vAlign w:val="bottom"/>
            <w:gridSpan w:val="4"/>
          </w:tcPr>
          <w:p>
            <w:pPr>
              <w:jc w:val="center"/>
              <w:ind w:left="152"/>
              <w:spacing w:after="0" w:line="203" w:lineRule="exact"/>
              <w:rPr>
                <w:sz w:val="20"/>
                <w:szCs w:val="20"/>
                <w:color w:val="auto"/>
              </w:rPr>
            </w:pPr>
            <w:r>
              <w:rPr>
                <w:rFonts w:ascii="Times New Roman" w:cs="Times New Roman" w:eastAsia="Times New Roman" w:hAnsi="Times New Roman"/>
                <w:sz w:val="18"/>
                <w:szCs w:val="18"/>
                <w:color w:val="0000FF"/>
                <w:w w:val="99"/>
              </w:rPr>
              <w:t>22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gridSpan w:val="4"/>
          </w:tcPr>
          <w:p>
            <w:pPr>
              <w:spacing w:after="0" w:line="203" w:lineRule="exact"/>
              <w:rPr>
                <w:sz w:val="20"/>
                <w:szCs w:val="20"/>
                <w:color w:val="auto"/>
              </w:rPr>
            </w:pPr>
            <w:r>
              <w:rPr>
                <w:rFonts w:ascii="Times New Roman" w:cs="Times New Roman" w:eastAsia="Times New Roman" w:hAnsi="Times New Roman"/>
                <w:sz w:val="18"/>
                <w:szCs w:val="18"/>
                <w:color w:val="0000FF"/>
                <w:w w:val="95"/>
              </w:rPr>
              <w:t>Supplemental Item</w:t>
            </w:r>
          </w:p>
        </w:tc>
        <w:tc>
          <w:tcPr>
            <w:tcW w:w="920" w:type="dxa"/>
            <w:vAlign w:val="bottom"/>
          </w:tcPr>
          <w:p>
            <w:pPr>
              <w:spacing w:after="0"/>
              <w:rPr>
                <w:sz w:val="17"/>
                <w:szCs w:val="17"/>
                <w:color w:val="auto"/>
              </w:rPr>
            </w:pPr>
          </w:p>
        </w:tc>
        <w:tc>
          <w:tcPr>
            <w:tcW w:w="7240" w:type="dxa"/>
            <w:vAlign w:val="bottom"/>
            <w:gridSpan w:val="24"/>
          </w:tcPr>
          <w:p>
            <w:pPr>
              <w:spacing w:after="0" w:line="203" w:lineRule="exact"/>
              <w:rPr>
                <w:sz w:val="20"/>
                <w:szCs w:val="20"/>
                <w:color w:val="auto"/>
              </w:rPr>
            </w:pPr>
            <w:r>
              <w:rPr>
                <w:rFonts w:ascii="Times New Roman" w:cs="Times New Roman" w:eastAsia="Times New Roman" w:hAnsi="Times New Roman"/>
                <w:sz w:val="18"/>
                <w:szCs w:val="18"/>
                <w:color w:val="0000FF"/>
              </w:rPr>
              <w:t>Executive Officers of the Registrant</w:t>
            </w:r>
          </w:p>
        </w:tc>
        <w:tc>
          <w:tcPr>
            <w:tcW w:w="500" w:type="dxa"/>
            <w:vAlign w:val="bottom"/>
            <w:gridSpan w:val="4"/>
          </w:tcPr>
          <w:p>
            <w:pPr>
              <w:jc w:val="center"/>
              <w:ind w:left="152"/>
              <w:spacing w:after="0" w:line="203" w:lineRule="exact"/>
              <w:rPr>
                <w:sz w:val="20"/>
                <w:szCs w:val="20"/>
                <w:color w:val="auto"/>
              </w:rPr>
            </w:pPr>
            <w:r>
              <w:rPr>
                <w:rFonts w:ascii="Times New Roman" w:cs="Times New Roman" w:eastAsia="Times New Roman" w:hAnsi="Times New Roman"/>
                <w:sz w:val="18"/>
                <w:szCs w:val="18"/>
                <w:color w:val="0000FF"/>
                <w:w w:val="99"/>
              </w:rPr>
              <w:t>23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40" w:type="dxa"/>
            <w:vAlign w:val="bottom"/>
            <w:gridSpan w:val="24"/>
          </w:tcPr>
          <w:p>
            <w:pPr>
              <w:spacing w:after="0" w:line="203" w:lineRule="exact"/>
              <w:rPr>
                <w:sz w:val="20"/>
                <w:szCs w:val="20"/>
                <w:color w:val="auto"/>
              </w:rPr>
            </w:pPr>
            <w:r>
              <w:rPr>
                <w:rFonts w:ascii="Times New Roman" w:cs="Times New Roman" w:eastAsia="Times New Roman" w:hAnsi="Times New Roman"/>
                <w:sz w:val="18"/>
                <w:szCs w:val="18"/>
                <w:color w:val="0000FF"/>
                <w:w w:val="98"/>
              </w:rPr>
              <w:t>Market for Registrant’s Common Equity, Related Stockholder Matters and Issuer Purchases of Equity</w:t>
            </w:r>
          </w:p>
        </w:tc>
        <w:tc>
          <w:tcPr>
            <w:tcW w:w="500" w:type="dxa"/>
            <w:vAlign w:val="bottom"/>
            <w:gridSpan w:val="4"/>
            <w:vMerge w:val="restart"/>
          </w:tcPr>
          <w:p>
            <w:pPr>
              <w:jc w:val="center"/>
              <w:ind w:left="152"/>
              <w:spacing w:after="0"/>
              <w:rPr>
                <w:sz w:val="20"/>
                <w:szCs w:val="20"/>
                <w:color w:val="auto"/>
              </w:rPr>
            </w:pPr>
            <w:r>
              <w:rPr>
                <w:rFonts w:ascii="Times New Roman" w:cs="Times New Roman" w:eastAsia="Times New Roman" w:hAnsi="Times New Roman"/>
                <w:sz w:val="18"/>
                <w:szCs w:val="18"/>
                <w:color w:val="0000FF"/>
                <w:w w:val="99"/>
              </w:rPr>
              <w:t>24</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940" w:type="dxa"/>
            <w:vAlign w:val="bottom"/>
            <w:gridSpan w:val="3"/>
            <w:vMerge w:val="restart"/>
          </w:tcPr>
          <w:p>
            <w:pPr>
              <w:spacing w:after="0" w:line="138" w:lineRule="exact"/>
              <w:rPr>
                <w:sz w:val="20"/>
                <w:szCs w:val="20"/>
                <w:color w:val="auto"/>
              </w:rPr>
            </w:pPr>
            <w:r>
              <w:rPr>
                <w:rFonts w:ascii="Times New Roman" w:cs="Times New Roman" w:eastAsia="Times New Roman" w:hAnsi="Times New Roman"/>
                <w:sz w:val="15"/>
                <w:szCs w:val="15"/>
                <w:color w:val="0000FF"/>
              </w:rPr>
              <w:t>Part II</w:t>
            </w:r>
          </w:p>
        </w:tc>
        <w:tc>
          <w:tcPr>
            <w:tcW w:w="1320" w:type="dxa"/>
            <w:vAlign w:val="bottom"/>
            <w:gridSpan w:val="4"/>
            <w:vMerge w:val="restart"/>
          </w:tcPr>
          <w:p>
            <w:pPr>
              <w:spacing w:after="0" w:line="138" w:lineRule="exact"/>
              <w:rPr>
                <w:sz w:val="20"/>
                <w:szCs w:val="20"/>
                <w:color w:val="auto"/>
              </w:rPr>
            </w:pPr>
            <w:r>
              <w:rPr>
                <w:rFonts w:ascii="Times New Roman" w:cs="Times New Roman" w:eastAsia="Times New Roman" w:hAnsi="Times New Roman"/>
                <w:sz w:val="15"/>
                <w:szCs w:val="15"/>
                <w:color w:val="0000FF"/>
              </w:rPr>
              <w:t>Item 5.</w:t>
            </w:r>
          </w:p>
        </w:tc>
        <w:tc>
          <w:tcPr>
            <w:tcW w:w="920" w:type="dxa"/>
            <w:vAlign w:val="bottom"/>
          </w:tcPr>
          <w:p>
            <w:pPr>
              <w:spacing w:after="0"/>
              <w:rPr>
                <w:sz w:val="6"/>
                <w:szCs w:val="6"/>
                <w:color w:val="auto"/>
              </w:rPr>
            </w:pPr>
          </w:p>
        </w:tc>
        <w:tc>
          <w:tcPr>
            <w:tcW w:w="7120" w:type="dxa"/>
            <w:vAlign w:val="bottom"/>
            <w:tcBorders>
              <w:top w:val="single" w:sz="8" w:color="0000FF"/>
            </w:tcBorders>
            <w:gridSpan w:val="23"/>
            <w:vMerge w:val="restart"/>
          </w:tcPr>
          <w:p>
            <w:pPr>
              <w:spacing w:after="0" w:line="138" w:lineRule="exact"/>
              <w:rPr>
                <w:sz w:val="20"/>
                <w:szCs w:val="20"/>
                <w:color w:val="auto"/>
              </w:rPr>
            </w:pPr>
            <w:r>
              <w:rPr>
                <w:rFonts w:ascii="Times New Roman" w:cs="Times New Roman" w:eastAsia="Times New Roman" w:hAnsi="Times New Roman"/>
                <w:sz w:val="15"/>
                <w:szCs w:val="15"/>
                <w:color w:val="0000FF"/>
              </w:rPr>
              <w:t>Securities</w:t>
            </w:r>
          </w:p>
        </w:tc>
        <w:tc>
          <w:tcPr>
            <w:tcW w:w="120" w:type="dxa"/>
            <w:vAlign w:val="bottom"/>
            <w:vMerge w:val="restart"/>
          </w:tcPr>
          <w:p>
            <w:pPr>
              <w:spacing w:after="0"/>
              <w:rPr>
                <w:sz w:val="6"/>
                <w:szCs w:val="6"/>
                <w:color w:val="auto"/>
              </w:rPr>
            </w:pPr>
          </w:p>
        </w:tc>
        <w:tc>
          <w:tcPr>
            <w:tcW w:w="500" w:type="dxa"/>
            <w:vAlign w:val="bottom"/>
            <w:gridSpan w:val="4"/>
            <w:vMerge w:val="continue"/>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1320" w:type="dxa"/>
            <w:vAlign w:val="bottom"/>
            <w:gridSpan w:val="4"/>
            <w:vMerge w:val="continue"/>
          </w:tcPr>
          <w:p>
            <w:pPr>
              <w:spacing w:after="0"/>
              <w:rPr>
                <w:sz w:val="5"/>
                <w:szCs w:val="5"/>
                <w:color w:val="auto"/>
              </w:rPr>
            </w:pPr>
          </w:p>
        </w:tc>
        <w:tc>
          <w:tcPr>
            <w:tcW w:w="920" w:type="dxa"/>
            <w:vAlign w:val="bottom"/>
          </w:tcPr>
          <w:p>
            <w:pPr>
              <w:spacing w:after="0"/>
              <w:rPr>
                <w:sz w:val="5"/>
                <w:szCs w:val="5"/>
                <w:color w:val="auto"/>
              </w:rPr>
            </w:pPr>
          </w:p>
        </w:tc>
        <w:tc>
          <w:tcPr>
            <w:tcW w:w="7120" w:type="dxa"/>
            <w:vAlign w:val="bottom"/>
            <w:tcBorders>
              <w:top w:val="single" w:sz="8" w:color="0000FF"/>
            </w:tcBorders>
            <w:gridSpan w:val="23"/>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40" w:type="dxa"/>
            <w:vAlign w:val="bottom"/>
            <w:tcBorders>
              <w:left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gridSpan w:val="2"/>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6.</w:t>
            </w:r>
          </w:p>
        </w:tc>
        <w:tc>
          <w:tcPr>
            <w:tcW w:w="2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[Reserved]</w:t>
            </w:r>
          </w:p>
        </w:tc>
        <w:tc>
          <w:tcPr>
            <w:tcW w:w="6460" w:type="dxa"/>
            <w:vAlign w:val="bottom"/>
            <w:gridSpan w:val="21"/>
          </w:tcPr>
          <w:p>
            <w:pPr>
              <w:spacing w:after="0"/>
              <w:rPr>
                <w:sz w:val="18"/>
                <w:szCs w:val="18"/>
                <w:color w:val="auto"/>
              </w:rPr>
            </w:pPr>
          </w:p>
        </w:tc>
        <w:tc>
          <w:tcPr>
            <w:tcW w:w="340" w:type="dxa"/>
            <w:vAlign w:val="bottom"/>
            <w:gridSpan w:val="2"/>
          </w:tcPr>
          <w:p>
            <w:pPr>
              <w:spacing w:after="0"/>
              <w:rPr>
                <w:sz w:val="18"/>
                <w:szCs w:val="18"/>
                <w:color w:val="auto"/>
              </w:rPr>
            </w:pPr>
          </w:p>
        </w:tc>
        <w:tc>
          <w:tcPr>
            <w:tcW w:w="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0000FF"/>
                <w:w w:val="74"/>
              </w:rPr>
              <w:t>25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0000FF"/>
                <w:w w:val="94"/>
              </w:rPr>
              <w:t>Item 7.</w:t>
            </w:r>
          </w:p>
        </w:tc>
        <w:tc>
          <w:tcPr>
            <w:tcW w:w="80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7240" w:type="dxa"/>
            <w:vAlign w:val="bottom"/>
            <w:gridSpan w:val="24"/>
          </w:tcPr>
          <w:p>
            <w:pPr>
              <w:spacing w:after="0" w:line="203"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00" w:type="dxa"/>
            <w:vAlign w:val="bottom"/>
            <w:gridSpan w:val="4"/>
          </w:tcPr>
          <w:p>
            <w:pPr>
              <w:jc w:val="center"/>
              <w:ind w:left="152"/>
              <w:spacing w:after="0" w:line="203" w:lineRule="exact"/>
              <w:rPr>
                <w:sz w:val="20"/>
                <w:szCs w:val="20"/>
                <w:color w:val="auto"/>
              </w:rPr>
            </w:pPr>
            <w:r>
              <w:rPr>
                <w:rFonts w:ascii="Times New Roman" w:cs="Times New Roman" w:eastAsia="Times New Roman" w:hAnsi="Times New Roman"/>
                <w:sz w:val="18"/>
                <w:szCs w:val="18"/>
                <w:color w:val="0000FF"/>
                <w:w w:val="99"/>
              </w:rPr>
              <w:t>26</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0000FF"/>
                <w:w w:val="87"/>
              </w:rPr>
              <w:t>Item 7A.</w:t>
            </w: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300" w:type="dxa"/>
            <w:vAlign w:val="bottom"/>
            <w:gridSpan w:val="17"/>
          </w:tcPr>
          <w:p>
            <w:pPr>
              <w:spacing w:after="0" w:line="203" w:lineRule="exact"/>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2940" w:type="dxa"/>
            <w:vAlign w:val="bottom"/>
            <w:gridSpan w:val="7"/>
          </w:tcPr>
          <w:p>
            <w:pPr>
              <w:spacing w:after="0"/>
              <w:rPr>
                <w:sz w:val="17"/>
                <w:szCs w:val="17"/>
                <w:color w:val="auto"/>
              </w:rPr>
            </w:pPr>
          </w:p>
        </w:tc>
        <w:tc>
          <w:tcPr>
            <w:tcW w:w="340" w:type="dxa"/>
            <w:vAlign w:val="bottom"/>
            <w:gridSpan w:val="2"/>
          </w:tcPr>
          <w:p>
            <w:pPr>
              <w:spacing w:after="0"/>
              <w:rPr>
                <w:sz w:val="17"/>
                <w:szCs w:val="17"/>
                <w:color w:val="auto"/>
              </w:rPr>
            </w:pPr>
          </w:p>
        </w:tc>
        <w:tc>
          <w:tcPr>
            <w:tcW w:w="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0000FF"/>
                <w:w w:val="74"/>
              </w:rPr>
              <w:t>48</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0000FF"/>
                <w:w w:val="94"/>
              </w:rPr>
              <w:t>Item 8.</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300" w:type="dxa"/>
            <w:vAlign w:val="bottom"/>
            <w:gridSpan w:val="17"/>
          </w:tcPr>
          <w:p>
            <w:pPr>
              <w:spacing w:after="0" w:line="203"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2940" w:type="dxa"/>
            <w:vAlign w:val="bottom"/>
            <w:gridSpan w:val="7"/>
          </w:tcPr>
          <w:p>
            <w:pPr>
              <w:spacing w:after="0"/>
              <w:rPr>
                <w:sz w:val="17"/>
                <w:szCs w:val="17"/>
                <w:color w:val="auto"/>
              </w:rPr>
            </w:pPr>
          </w:p>
        </w:tc>
        <w:tc>
          <w:tcPr>
            <w:tcW w:w="340" w:type="dxa"/>
            <w:vAlign w:val="bottom"/>
            <w:gridSpan w:val="2"/>
          </w:tcPr>
          <w:p>
            <w:pPr>
              <w:spacing w:after="0"/>
              <w:rPr>
                <w:sz w:val="17"/>
                <w:szCs w:val="17"/>
                <w:color w:val="auto"/>
              </w:rPr>
            </w:pPr>
          </w:p>
        </w:tc>
        <w:tc>
          <w:tcPr>
            <w:tcW w:w="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0000FF"/>
                <w:w w:val="74"/>
              </w:rPr>
              <w:t>49</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0000FF"/>
                <w:w w:val="94"/>
              </w:rPr>
              <w:t>Item 9.</w:t>
            </w:r>
          </w:p>
        </w:tc>
        <w:tc>
          <w:tcPr>
            <w:tcW w:w="80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7240" w:type="dxa"/>
            <w:vAlign w:val="bottom"/>
            <w:gridSpan w:val="24"/>
          </w:tcPr>
          <w:p>
            <w:pPr>
              <w:spacing w:after="0" w:line="203"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500" w:type="dxa"/>
            <w:vAlign w:val="bottom"/>
            <w:gridSpan w:val="4"/>
          </w:tcPr>
          <w:p>
            <w:pPr>
              <w:jc w:val="center"/>
              <w:ind w:left="152"/>
              <w:spacing w:after="0" w:line="203" w:lineRule="exact"/>
              <w:rPr>
                <w:sz w:val="20"/>
                <w:szCs w:val="20"/>
                <w:color w:val="auto"/>
              </w:rPr>
            </w:pPr>
            <w:r>
              <w:rPr>
                <w:rFonts w:ascii="Times New Roman" w:cs="Times New Roman" w:eastAsia="Times New Roman" w:hAnsi="Times New Roman"/>
                <w:sz w:val="18"/>
                <w:szCs w:val="18"/>
                <w:color w:val="0000FF"/>
                <w:w w:val="99"/>
              </w:rPr>
              <w:t>50</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0000FF"/>
                <w:w w:val="87"/>
              </w:rPr>
              <w:t>Item 9A.</w:t>
            </w: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40" w:type="dxa"/>
            <w:vAlign w:val="bottom"/>
            <w:gridSpan w:val="24"/>
          </w:tcPr>
          <w:p>
            <w:pPr>
              <w:spacing w:after="0" w:line="203" w:lineRule="exact"/>
              <w:rPr>
                <w:sz w:val="20"/>
                <w:szCs w:val="20"/>
                <w:color w:val="auto"/>
              </w:rPr>
            </w:pPr>
            <w:r>
              <w:rPr>
                <w:rFonts w:ascii="Times New Roman" w:cs="Times New Roman" w:eastAsia="Times New Roman" w:hAnsi="Times New Roman"/>
                <w:sz w:val="18"/>
                <w:szCs w:val="18"/>
                <w:color w:val="0000FF"/>
              </w:rPr>
              <w:t>Controls and Procedures</w:t>
            </w:r>
          </w:p>
        </w:tc>
        <w:tc>
          <w:tcPr>
            <w:tcW w:w="500" w:type="dxa"/>
            <w:vAlign w:val="bottom"/>
            <w:gridSpan w:val="4"/>
          </w:tcPr>
          <w:p>
            <w:pPr>
              <w:jc w:val="center"/>
              <w:ind w:left="152"/>
              <w:spacing w:after="0" w:line="203" w:lineRule="exact"/>
              <w:rPr>
                <w:sz w:val="20"/>
                <w:szCs w:val="20"/>
                <w:color w:val="auto"/>
              </w:rPr>
            </w:pPr>
            <w:r>
              <w:rPr>
                <w:rFonts w:ascii="Times New Roman" w:cs="Times New Roman" w:eastAsia="Times New Roman" w:hAnsi="Times New Roman"/>
                <w:sz w:val="18"/>
                <w:szCs w:val="18"/>
                <w:color w:val="0000FF"/>
                <w:w w:val="99"/>
              </w:rPr>
              <w:t>50</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0000FF"/>
                <w:w w:val="88"/>
              </w:rPr>
              <w:t>Item 9B.</w:t>
            </w: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20" w:type="dxa"/>
            <w:vAlign w:val="bottom"/>
            <w:gridSpan w:val="9"/>
          </w:tcPr>
          <w:p>
            <w:pPr>
              <w:spacing w:after="0" w:line="203" w:lineRule="exact"/>
              <w:rPr>
                <w:sz w:val="20"/>
                <w:szCs w:val="20"/>
                <w:color w:val="auto"/>
              </w:rPr>
            </w:pPr>
            <w:r>
              <w:rPr>
                <w:rFonts w:ascii="Times New Roman" w:cs="Times New Roman" w:eastAsia="Times New Roman" w:hAnsi="Times New Roman"/>
                <w:sz w:val="18"/>
                <w:szCs w:val="18"/>
                <w:color w:val="0000FF"/>
              </w:rPr>
              <w:t>Other Information</w:t>
            </w:r>
          </w:p>
        </w:tc>
        <w:tc>
          <w:tcPr>
            <w:tcW w:w="5520" w:type="dxa"/>
            <w:vAlign w:val="bottom"/>
            <w:gridSpan w:val="15"/>
          </w:tcPr>
          <w:p>
            <w:pPr>
              <w:spacing w:after="0"/>
              <w:rPr>
                <w:sz w:val="17"/>
                <w:szCs w:val="17"/>
                <w:color w:val="auto"/>
              </w:rPr>
            </w:pPr>
          </w:p>
        </w:tc>
        <w:tc>
          <w:tcPr>
            <w:tcW w:w="340" w:type="dxa"/>
            <w:vAlign w:val="bottom"/>
            <w:gridSpan w:val="2"/>
          </w:tcPr>
          <w:p>
            <w:pPr>
              <w:spacing w:after="0"/>
              <w:rPr>
                <w:sz w:val="17"/>
                <w:szCs w:val="17"/>
                <w:color w:val="auto"/>
              </w:rPr>
            </w:pPr>
          </w:p>
        </w:tc>
        <w:tc>
          <w:tcPr>
            <w:tcW w:w="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0000FF"/>
                <w:w w:val="74"/>
              </w:rPr>
              <w:t>50</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0000FF"/>
                <w:w w:val="88"/>
              </w:rPr>
              <w:t>Item 9C.</w:t>
            </w: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40" w:type="dxa"/>
            <w:vAlign w:val="bottom"/>
            <w:gridSpan w:val="24"/>
          </w:tcPr>
          <w:p>
            <w:pPr>
              <w:spacing w:after="0" w:line="203"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500" w:type="dxa"/>
            <w:vAlign w:val="bottom"/>
            <w:gridSpan w:val="4"/>
          </w:tcPr>
          <w:p>
            <w:pPr>
              <w:jc w:val="center"/>
              <w:ind w:left="152"/>
              <w:spacing w:after="0" w:line="203" w:lineRule="exact"/>
              <w:rPr>
                <w:sz w:val="20"/>
                <w:szCs w:val="20"/>
                <w:color w:val="auto"/>
              </w:rPr>
            </w:pPr>
            <w:r>
              <w:rPr>
                <w:rFonts w:ascii="Times New Roman" w:cs="Times New Roman" w:eastAsia="Times New Roman" w:hAnsi="Times New Roman"/>
                <w:sz w:val="18"/>
                <w:szCs w:val="18"/>
                <w:color w:val="0000FF"/>
                <w:w w:val="99"/>
              </w:rPr>
              <w:t>50</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4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0000FF"/>
              </w:rPr>
              <w:t>Part III</w:t>
            </w:r>
          </w:p>
        </w:tc>
        <w:tc>
          <w:tcPr>
            <w:tcW w:w="600" w:type="dxa"/>
            <w:vAlign w:val="bottom"/>
            <w:tcBorders>
              <w:top w:val="single" w:sz="8" w:color="0000FF"/>
            </w:tcBorders>
            <w:gridSpan w:val="3"/>
          </w:tcPr>
          <w:p>
            <w:pPr>
              <w:spacing w:after="0" w:line="203" w:lineRule="exact"/>
              <w:rPr>
                <w:sz w:val="20"/>
                <w:szCs w:val="20"/>
                <w:color w:val="auto"/>
              </w:rPr>
            </w:pPr>
            <w:r>
              <w:rPr>
                <w:rFonts w:ascii="Times New Roman" w:cs="Times New Roman" w:eastAsia="Times New Roman" w:hAnsi="Times New Roman"/>
                <w:sz w:val="18"/>
                <w:szCs w:val="18"/>
                <w:color w:val="0000FF"/>
                <w:w w:val="93"/>
              </w:rPr>
              <w:t>Item 10.</w:t>
            </w: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780" w:type="dxa"/>
            <w:vAlign w:val="bottom"/>
            <w:tcBorders>
              <w:top w:val="single" w:sz="8" w:color="0000FF"/>
            </w:tcBorders>
            <w:gridSpan w:val="18"/>
          </w:tcPr>
          <w:p>
            <w:pPr>
              <w:spacing w:after="0" w:line="203"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2460" w:type="dxa"/>
            <w:vAlign w:val="bottom"/>
            <w:gridSpan w:val="6"/>
          </w:tcPr>
          <w:p>
            <w:pPr>
              <w:spacing w:after="0"/>
              <w:rPr>
                <w:sz w:val="17"/>
                <w:szCs w:val="17"/>
                <w:color w:val="auto"/>
              </w:rPr>
            </w:pPr>
          </w:p>
        </w:tc>
        <w:tc>
          <w:tcPr>
            <w:tcW w:w="500" w:type="dxa"/>
            <w:vAlign w:val="bottom"/>
            <w:gridSpan w:val="4"/>
          </w:tcPr>
          <w:p>
            <w:pPr>
              <w:jc w:val="center"/>
              <w:ind w:left="152"/>
              <w:spacing w:after="0" w:line="203" w:lineRule="exact"/>
              <w:rPr>
                <w:sz w:val="20"/>
                <w:szCs w:val="20"/>
                <w:color w:val="auto"/>
              </w:rPr>
            </w:pPr>
            <w:r>
              <w:rPr>
                <w:rFonts w:ascii="Times New Roman" w:cs="Times New Roman" w:eastAsia="Times New Roman" w:hAnsi="Times New Roman"/>
                <w:sz w:val="18"/>
                <w:szCs w:val="18"/>
                <w:color w:val="0000FF"/>
                <w:w w:val="99"/>
              </w:rPr>
              <w:t>51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Borders>
              <w:top w:val="single" w:sz="8" w:color="0000FF"/>
              <w:bottom w:val="single" w:sz="8" w:color="0000FF"/>
            </w:tcBorders>
            <w:gridSpan w:val="2"/>
          </w:tcPr>
          <w:p>
            <w:pPr>
              <w:spacing w:after="0" w:line="203" w:lineRule="exact"/>
              <w:rPr>
                <w:sz w:val="20"/>
                <w:szCs w:val="20"/>
                <w:color w:val="auto"/>
              </w:rPr>
            </w:pPr>
            <w:r>
              <w:rPr>
                <w:rFonts w:ascii="Times New Roman" w:cs="Times New Roman" w:eastAsia="Times New Roman" w:hAnsi="Times New Roman"/>
                <w:sz w:val="18"/>
                <w:szCs w:val="18"/>
                <w:color w:val="0000FF"/>
                <w:w w:val="79"/>
              </w:rPr>
              <w:t>Item 11.</w:t>
            </w:r>
          </w:p>
        </w:tc>
        <w:tc>
          <w:tcPr>
            <w:tcW w:w="80" w:type="dxa"/>
            <w:vAlign w:val="bottom"/>
            <w:tcBorders>
              <w:bottom w:val="single" w:sz="8" w:color="0000FF"/>
            </w:tcBorders>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Borders>
              <w:top w:val="single" w:sz="8" w:color="0000FF"/>
              <w:bottom w:val="single" w:sz="8" w:color="0000FF"/>
            </w:tcBorders>
            <w:gridSpan w:val="10"/>
          </w:tcPr>
          <w:p>
            <w:pPr>
              <w:spacing w:after="0" w:line="203" w:lineRule="exact"/>
              <w:rPr>
                <w:sz w:val="20"/>
                <w:szCs w:val="20"/>
                <w:color w:val="auto"/>
              </w:rPr>
            </w:pPr>
            <w:r>
              <w:rPr>
                <w:rFonts w:ascii="Times New Roman" w:cs="Times New Roman" w:eastAsia="Times New Roman" w:hAnsi="Times New Roman"/>
                <w:sz w:val="18"/>
                <w:szCs w:val="18"/>
                <w:color w:val="0000FF"/>
                <w:w w:val="96"/>
              </w:rPr>
              <w:t>Executive Compensation</w:t>
            </w:r>
          </w:p>
        </w:tc>
        <w:tc>
          <w:tcPr>
            <w:tcW w:w="2280" w:type="dxa"/>
            <w:vAlign w:val="bottom"/>
            <w:tcBorders>
              <w:top w:val="single" w:sz="8" w:color="0000FF"/>
            </w:tcBorders>
            <w:gridSpan w:val="6"/>
          </w:tcPr>
          <w:p>
            <w:pPr>
              <w:spacing w:after="0"/>
              <w:rPr>
                <w:sz w:val="17"/>
                <w:szCs w:val="17"/>
                <w:color w:val="auto"/>
              </w:rPr>
            </w:pPr>
          </w:p>
        </w:tc>
        <w:tc>
          <w:tcPr>
            <w:tcW w:w="3200" w:type="dxa"/>
            <w:vAlign w:val="bottom"/>
            <w:gridSpan w:val="8"/>
          </w:tcPr>
          <w:p>
            <w:pPr>
              <w:spacing w:after="0"/>
              <w:rPr>
                <w:sz w:val="17"/>
                <w:szCs w:val="17"/>
                <w:color w:val="auto"/>
              </w:rPr>
            </w:pPr>
          </w:p>
        </w:tc>
        <w:tc>
          <w:tcPr>
            <w:tcW w:w="500" w:type="dxa"/>
            <w:vAlign w:val="bottom"/>
            <w:gridSpan w:val="4"/>
          </w:tcPr>
          <w:p>
            <w:pPr>
              <w:jc w:val="center"/>
              <w:ind w:left="152"/>
              <w:spacing w:after="0" w:line="203" w:lineRule="exact"/>
              <w:rPr>
                <w:sz w:val="20"/>
                <w:szCs w:val="20"/>
                <w:color w:val="auto"/>
              </w:rPr>
            </w:pPr>
            <w:r>
              <w:rPr>
                <w:rFonts w:ascii="Times New Roman" w:cs="Times New Roman" w:eastAsia="Times New Roman" w:hAnsi="Times New Roman"/>
                <w:sz w:val="18"/>
                <w:szCs w:val="18"/>
                <w:color w:val="0000FF"/>
                <w:w w:val="99"/>
              </w:rPr>
              <w:t>52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0000FF"/>
                <w:w w:val="93"/>
              </w:rPr>
              <w:t>Item 12.</w:t>
            </w: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40" w:type="dxa"/>
            <w:vAlign w:val="bottom"/>
            <w:gridSpan w:val="24"/>
          </w:tcPr>
          <w:p>
            <w:pPr>
              <w:spacing w:after="0" w:line="203" w:lineRule="exact"/>
              <w:rPr>
                <w:sz w:val="20"/>
                <w:szCs w:val="20"/>
                <w:color w:val="auto"/>
              </w:rPr>
            </w:pPr>
            <w:r>
              <w:rPr>
                <w:rFonts w:ascii="Times New Roman" w:cs="Times New Roman" w:eastAsia="Times New Roman" w:hAnsi="Times New Roman"/>
                <w:sz w:val="18"/>
                <w:szCs w:val="18"/>
                <w:color w:val="0000FF"/>
                <w:w w:val="98"/>
              </w:rPr>
              <w:t>Security Ownership of Certain Beneficial Owners and Management and Related Stockholder Matters</w:t>
            </w:r>
          </w:p>
        </w:tc>
        <w:tc>
          <w:tcPr>
            <w:tcW w:w="500" w:type="dxa"/>
            <w:vAlign w:val="bottom"/>
            <w:gridSpan w:val="4"/>
          </w:tcPr>
          <w:p>
            <w:pPr>
              <w:jc w:val="center"/>
              <w:ind w:left="152"/>
              <w:spacing w:after="0" w:line="203" w:lineRule="exact"/>
              <w:rPr>
                <w:sz w:val="20"/>
                <w:szCs w:val="20"/>
                <w:color w:val="auto"/>
              </w:rPr>
            </w:pPr>
            <w:r>
              <w:rPr>
                <w:rFonts w:ascii="Times New Roman" w:cs="Times New Roman" w:eastAsia="Times New Roman" w:hAnsi="Times New Roman"/>
                <w:sz w:val="18"/>
                <w:szCs w:val="18"/>
                <w:color w:val="0000FF"/>
                <w:w w:val="99"/>
              </w:rPr>
              <w:t>52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20" w:type="dxa"/>
            <w:vAlign w:val="bottom"/>
            <w:gridSpan w:val="5"/>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0000FF"/>
                <w:w w:val="93"/>
              </w:rPr>
              <w:t>Item 13.</w:t>
            </w: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100" w:type="dxa"/>
            <w:vAlign w:val="bottom"/>
            <w:gridSpan w:val="22"/>
          </w:tcPr>
          <w:p>
            <w:pPr>
              <w:spacing w:after="0" w:line="203"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40" w:type="dxa"/>
            <w:vAlign w:val="bottom"/>
            <w:gridSpan w:val="2"/>
          </w:tcPr>
          <w:p>
            <w:pPr>
              <w:spacing w:after="0"/>
              <w:rPr>
                <w:sz w:val="17"/>
                <w:szCs w:val="17"/>
                <w:color w:val="auto"/>
              </w:rPr>
            </w:pPr>
          </w:p>
        </w:tc>
        <w:tc>
          <w:tcPr>
            <w:tcW w:w="340" w:type="dxa"/>
            <w:vAlign w:val="bottom"/>
            <w:gridSpan w:val="2"/>
          </w:tcPr>
          <w:p>
            <w:pPr>
              <w:spacing w:after="0"/>
              <w:rPr>
                <w:sz w:val="17"/>
                <w:szCs w:val="17"/>
                <w:color w:val="auto"/>
              </w:rPr>
            </w:pPr>
          </w:p>
        </w:tc>
        <w:tc>
          <w:tcPr>
            <w:tcW w:w="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0000FF"/>
                <w:w w:val="74"/>
              </w:rPr>
              <w:t>52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20" w:type="dxa"/>
            <w:vAlign w:val="bottom"/>
            <w:gridSpan w:val="5"/>
            <w:shd w:val="clear" w:color="auto" w:fill="0000FF"/>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0000FF"/>
                <w:w w:val="93"/>
              </w:rPr>
              <w:t>Item 14.</w:t>
            </w: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300" w:type="dxa"/>
            <w:vAlign w:val="bottom"/>
            <w:gridSpan w:val="19"/>
          </w:tcPr>
          <w:p>
            <w:pPr>
              <w:spacing w:after="0" w:line="203"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1940" w:type="dxa"/>
            <w:vAlign w:val="bottom"/>
            <w:gridSpan w:val="5"/>
          </w:tcPr>
          <w:p>
            <w:pPr>
              <w:spacing w:after="0"/>
              <w:rPr>
                <w:sz w:val="17"/>
                <w:szCs w:val="17"/>
                <w:color w:val="auto"/>
              </w:rPr>
            </w:pPr>
          </w:p>
        </w:tc>
        <w:tc>
          <w:tcPr>
            <w:tcW w:w="340" w:type="dxa"/>
            <w:vAlign w:val="bottom"/>
            <w:gridSpan w:val="2"/>
          </w:tcPr>
          <w:p>
            <w:pPr>
              <w:spacing w:after="0"/>
              <w:rPr>
                <w:sz w:val="17"/>
                <w:szCs w:val="17"/>
                <w:color w:val="auto"/>
              </w:rPr>
            </w:pPr>
          </w:p>
        </w:tc>
        <w:tc>
          <w:tcPr>
            <w:tcW w:w="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0000FF"/>
                <w:w w:val="74"/>
              </w:rPr>
              <w:t>52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160" w:type="dxa"/>
            <w:vAlign w:val="bottom"/>
            <w:gridSpan w:val="1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0000FF"/>
                <w:w w:val="91"/>
              </w:rPr>
              <w:t>Part IV</w:t>
            </w:r>
          </w:p>
        </w:tc>
        <w:tc>
          <w:tcPr>
            <w:tcW w:w="420" w:type="dxa"/>
            <w:vAlign w:val="bottom"/>
          </w:tcPr>
          <w:p>
            <w:pPr>
              <w:spacing w:after="0"/>
              <w:rPr>
                <w:sz w:val="17"/>
                <w:szCs w:val="17"/>
                <w:color w:val="auto"/>
              </w:rPr>
            </w:pPr>
          </w:p>
        </w:tc>
        <w:tc>
          <w:tcPr>
            <w:tcW w:w="5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0000FF"/>
                <w:w w:val="79"/>
              </w:rPr>
              <w:t>Item 15.</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80" w:type="dxa"/>
            <w:vAlign w:val="bottom"/>
            <w:gridSpan w:val="14"/>
          </w:tcPr>
          <w:p>
            <w:pPr>
              <w:spacing w:after="0" w:line="203" w:lineRule="exact"/>
              <w:rPr>
                <w:sz w:val="20"/>
                <w:szCs w:val="20"/>
                <w:color w:val="auto"/>
              </w:rPr>
            </w:pPr>
            <w:r>
              <w:rPr>
                <w:rFonts w:ascii="Times New Roman" w:cs="Times New Roman" w:eastAsia="Times New Roman" w:hAnsi="Times New Roman"/>
                <w:sz w:val="18"/>
                <w:szCs w:val="18"/>
                <w:color w:val="0000FF"/>
                <w:w w:val="96"/>
              </w:rPr>
              <w:t>Exhibits and Financial Statement Schedules</w:t>
            </w:r>
          </w:p>
        </w:tc>
        <w:tc>
          <w:tcPr>
            <w:tcW w:w="4160" w:type="dxa"/>
            <w:vAlign w:val="bottom"/>
            <w:gridSpan w:val="10"/>
          </w:tcPr>
          <w:p>
            <w:pPr>
              <w:spacing w:after="0"/>
              <w:rPr>
                <w:sz w:val="17"/>
                <w:szCs w:val="17"/>
                <w:color w:val="auto"/>
              </w:rPr>
            </w:pPr>
          </w:p>
        </w:tc>
        <w:tc>
          <w:tcPr>
            <w:tcW w:w="340" w:type="dxa"/>
            <w:vAlign w:val="bottom"/>
            <w:gridSpan w:val="2"/>
          </w:tcPr>
          <w:p>
            <w:pPr>
              <w:spacing w:after="0"/>
              <w:rPr>
                <w:sz w:val="17"/>
                <w:szCs w:val="17"/>
                <w:color w:val="auto"/>
              </w:rPr>
            </w:pPr>
          </w:p>
        </w:tc>
        <w:tc>
          <w:tcPr>
            <w:tcW w:w="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0000FF"/>
                <w:w w:val="74"/>
              </w:rPr>
              <w:t>53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4160" w:type="dxa"/>
            <w:vAlign w:val="bottom"/>
            <w:gridSpan w:val="1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0000FF"/>
                <w:w w:val="79"/>
              </w:rPr>
              <w:t>Item 16.</w:t>
            </w:r>
          </w:p>
        </w:tc>
        <w:tc>
          <w:tcPr>
            <w:tcW w:w="80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gridSpan w:val="7"/>
          </w:tcPr>
          <w:p>
            <w:pPr>
              <w:spacing w:after="0" w:line="203" w:lineRule="exact"/>
              <w:rPr>
                <w:sz w:val="20"/>
                <w:szCs w:val="20"/>
                <w:color w:val="auto"/>
              </w:rPr>
            </w:pPr>
            <w:r>
              <w:rPr>
                <w:rFonts w:ascii="Times New Roman" w:cs="Times New Roman" w:eastAsia="Times New Roman" w:hAnsi="Times New Roman"/>
                <w:sz w:val="18"/>
                <w:szCs w:val="18"/>
                <w:color w:val="0000FF"/>
                <w:w w:val="96"/>
              </w:rPr>
              <w:t>Form 10-K Summary</w:t>
            </w:r>
          </w:p>
        </w:tc>
        <w:tc>
          <w:tcPr>
            <w:tcW w:w="1560" w:type="dxa"/>
            <w:vAlign w:val="bottom"/>
            <w:gridSpan w:val="7"/>
          </w:tcPr>
          <w:p>
            <w:pPr>
              <w:spacing w:after="0"/>
              <w:rPr>
                <w:sz w:val="17"/>
                <w:szCs w:val="17"/>
                <w:color w:val="auto"/>
              </w:rPr>
            </w:pPr>
          </w:p>
        </w:tc>
        <w:tc>
          <w:tcPr>
            <w:tcW w:w="4160" w:type="dxa"/>
            <w:vAlign w:val="bottom"/>
            <w:gridSpan w:val="10"/>
          </w:tcPr>
          <w:p>
            <w:pPr>
              <w:spacing w:after="0"/>
              <w:rPr>
                <w:sz w:val="17"/>
                <w:szCs w:val="17"/>
                <w:color w:val="auto"/>
              </w:rPr>
            </w:pPr>
          </w:p>
        </w:tc>
        <w:tc>
          <w:tcPr>
            <w:tcW w:w="340" w:type="dxa"/>
            <w:vAlign w:val="bottom"/>
            <w:gridSpan w:val="2"/>
          </w:tcPr>
          <w:p>
            <w:pPr>
              <w:spacing w:after="0"/>
              <w:rPr>
                <w:sz w:val="17"/>
                <w:szCs w:val="17"/>
                <w:color w:val="auto"/>
              </w:rPr>
            </w:pPr>
          </w:p>
        </w:tc>
        <w:tc>
          <w:tcPr>
            <w:tcW w:w="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0000FF"/>
                <w:w w:val="74"/>
              </w:rPr>
              <w:t>53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720" w:type="dxa"/>
            <w:vAlign w:val="bottom"/>
            <w:gridSpan w:val="1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gridSpan w:val="7"/>
          </w:tcPr>
          <w:p>
            <w:pPr>
              <w:spacing w:after="0" w:line="203" w:lineRule="exact"/>
              <w:rPr>
                <w:sz w:val="20"/>
                <w:szCs w:val="20"/>
                <w:color w:val="auto"/>
              </w:rPr>
            </w:pPr>
            <w:r>
              <w:rPr>
                <w:rFonts w:ascii="Times New Roman" w:cs="Times New Roman" w:eastAsia="Times New Roman" w:hAnsi="Times New Roman"/>
                <w:sz w:val="18"/>
                <w:szCs w:val="18"/>
                <w:color w:val="0000FF"/>
              </w:rPr>
              <w:t>Signatures</w:t>
            </w:r>
          </w:p>
        </w:tc>
        <w:tc>
          <w:tcPr>
            <w:tcW w:w="5720" w:type="dxa"/>
            <w:vAlign w:val="bottom"/>
            <w:gridSpan w:val="17"/>
          </w:tcPr>
          <w:p>
            <w:pPr>
              <w:spacing w:after="0"/>
              <w:rPr>
                <w:sz w:val="17"/>
                <w:szCs w:val="17"/>
                <w:color w:val="auto"/>
              </w:rPr>
            </w:pPr>
          </w:p>
        </w:tc>
        <w:tc>
          <w:tcPr>
            <w:tcW w:w="340" w:type="dxa"/>
            <w:vAlign w:val="bottom"/>
            <w:gridSpan w:val="2"/>
          </w:tcPr>
          <w:p>
            <w:pPr>
              <w:spacing w:after="0"/>
              <w:rPr>
                <w:sz w:val="17"/>
                <w:szCs w:val="17"/>
                <w:color w:val="auto"/>
              </w:rPr>
            </w:pPr>
          </w:p>
        </w:tc>
        <w:tc>
          <w:tcPr>
            <w:tcW w:w="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0000FF"/>
                <w:w w:val="74"/>
              </w:rPr>
              <w:t>54</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40" w:type="dxa"/>
            <w:vAlign w:val="bottom"/>
            <w:gridSpan w:val="24"/>
          </w:tcPr>
          <w:p>
            <w:pPr>
              <w:spacing w:after="0" w:line="203" w:lineRule="exact"/>
              <w:rPr>
                <w:sz w:val="20"/>
                <w:szCs w:val="20"/>
                <w:color w:val="auto"/>
              </w:rPr>
            </w:pPr>
            <w:r>
              <w:rPr>
                <w:rFonts w:ascii="Times New Roman" w:cs="Times New Roman" w:eastAsia="Times New Roman" w:hAnsi="Times New Roman"/>
                <w:sz w:val="18"/>
                <w:szCs w:val="18"/>
                <w:color w:val="0000FF"/>
              </w:rPr>
              <w:t>Index to Exhibits</w:t>
            </w:r>
          </w:p>
        </w:tc>
        <w:tc>
          <w:tcPr>
            <w:tcW w:w="760" w:type="dxa"/>
            <w:vAlign w:val="bottom"/>
            <w:gridSpan w:val="5"/>
          </w:tcPr>
          <w:p>
            <w:pPr>
              <w:jc w:val="center"/>
              <w:ind w:right="20"/>
              <w:spacing w:after="0" w:line="203" w:lineRule="exact"/>
              <w:rPr>
                <w:sz w:val="20"/>
                <w:szCs w:val="20"/>
                <w:color w:val="auto"/>
              </w:rPr>
            </w:pPr>
            <w:r>
              <w:rPr>
                <w:rFonts w:ascii="Times New Roman" w:cs="Times New Roman" w:eastAsia="Times New Roman" w:hAnsi="Times New Roman"/>
                <w:sz w:val="18"/>
                <w:szCs w:val="18"/>
                <w:color w:val="0000FF"/>
                <w:w w:val="96"/>
              </w:rPr>
              <w:t>109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09"/>
        </w:trPr>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3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u w:val="single" w:color="auto"/>
          <w:color w:val="auto"/>
        </w:rPr>
        <w:t>ITEM 1.</w:t>
      </w:r>
      <w:r>
        <w:rPr>
          <w:sz w:val="20"/>
          <w:szCs w:val="20"/>
          <w:color w:val="auto"/>
        </w:rPr>
        <w:tab/>
      </w:r>
      <w:r>
        <w:rPr>
          <w:rFonts w:ascii="Times New Roman" w:cs="Times New Roman" w:eastAsia="Times New Roman" w:hAnsi="Times New Roman"/>
          <w:sz w:val="16"/>
          <w:szCs w:val="16"/>
          <w:b w:val="1"/>
          <w:bCs w:val="1"/>
          <w:i w:val="1"/>
          <w:iCs w:val="1"/>
          <w:u w:val="single" w:color="auto"/>
          <w:color w:val="auto"/>
        </w:rPr>
        <w:t>BUSINESS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Description and Development of the Business</w:t>
      </w:r>
    </w:p>
    <w:p>
      <w:pPr>
        <w:spacing w:after="0" w:line="97"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The discussion below describes the business conducted by The Scotts Miracle-Gro Company, an Ohio corporation (“Scotts Miracle-Gro” and, together with its subsidiaries, the “Company,” “we” or “us”), including general developments in our business during fiscal 2022. Each reference in this Annual Report on Form 10-K (“Form 10-K”) to a “fiscal” year is to our fiscal year ended or ending, as applicable, on September 30 of the referenced year. For additional information on recent business developments, see “ITEM 7. MANAGEMENT’S DISCUSSION AND ANALYSIS OF FINANCIAL CONDITION AND RESULTS OF OPERATIONS” of this Form 10-K.</w:t>
      </w:r>
    </w:p>
    <w:p>
      <w:pPr>
        <w:spacing w:after="0" w:line="57" w:lineRule="exact"/>
        <w:rPr>
          <w:sz w:val="20"/>
          <w:szCs w:val="20"/>
          <w:color w:val="auto"/>
        </w:rPr>
      </w:pPr>
    </w:p>
    <w:p>
      <w:pPr>
        <w:jc w:val="both"/>
        <w:ind w:firstLine="434"/>
        <w:spacing w:after="0" w:line="230" w:lineRule="auto"/>
        <w:rPr>
          <w:sz w:val="20"/>
          <w:szCs w:val="20"/>
          <w:color w:val="auto"/>
        </w:rPr>
      </w:pPr>
      <w:r>
        <w:rPr>
          <w:rFonts w:ascii="Times New Roman" w:cs="Times New Roman" w:eastAsia="Times New Roman" w:hAnsi="Times New Roman"/>
          <w:sz w:val="17"/>
          <w:szCs w:val="17"/>
          <w:color w:val="auto"/>
        </w:rPr>
        <w:t>Through our U.S. Consumer and Other segments, we are the leading manufacturer and marketer of branded consumer lawn and garden products in North America. Our products are marketed under some of the most recognized brand names in the industry. Our key consumer lawn and garden brands include Scotts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and Turf Builder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lawn fertilizer and Scotts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grass seed products; Miracle-Gro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soil, plant food and gardening products; Ortho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herbicide and pesticide products; and Tomcat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rodent control and animal repellent products. We also have a presence in similar branded consumer products in China. We are the exclusive agent of the Monsanto Company, a subsidiary of Bayer AG (“Monsanto”), for the marketing and distribution of certain of Monsanto’s consumer Roundup</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7"/>
          <w:szCs w:val="17"/>
          <w:color w:val="auto"/>
        </w:rPr>
        <w:t xml:space="preserve"> branded products within the United States and certain other specified countries. In addition, we have an equity interest in Bonnie Plants, LLC, a joint venture with Alabama Farmers Cooperative, Inc. (“AFC”), focused on planting, growing, developing, distributing, marketing, and selling live plants.</w:t>
      </w:r>
    </w:p>
    <w:p>
      <w:pPr>
        <w:spacing w:after="0" w:line="76" w:lineRule="exact"/>
        <w:rPr>
          <w:sz w:val="20"/>
          <w:szCs w:val="20"/>
          <w:color w:val="auto"/>
        </w:rPr>
      </w:pPr>
    </w:p>
    <w:p>
      <w:pPr>
        <w:jc w:val="both"/>
        <w:ind w:firstLine="434"/>
        <w:spacing w:after="0" w:line="242" w:lineRule="auto"/>
        <w:rPr>
          <w:sz w:val="20"/>
          <w:szCs w:val="20"/>
          <w:color w:val="auto"/>
        </w:rPr>
      </w:pPr>
      <w:r>
        <w:rPr>
          <w:rFonts w:ascii="Times New Roman" w:cs="Times New Roman" w:eastAsia="Times New Roman" w:hAnsi="Times New Roman"/>
          <w:sz w:val="18"/>
          <w:szCs w:val="18"/>
          <w:color w:val="auto"/>
        </w:rPr>
        <w:t>Through our Hawthorne segment, we are a leading manufacturer, marketer and distributor of lighting, nutrients, growing media, growing environments and hardware products for indoor and hydroponic gardening in North America. Our key brands include General Hydroponics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Gavita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Botanicare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Agrolux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Can-Filters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Gro Pro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Mother Earth</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Hurricane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Grower’s Edge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HydroLogic</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and Cyco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jc w:val="both"/>
        <w:ind w:firstLine="434"/>
        <w:spacing w:after="0" w:line="227" w:lineRule="auto"/>
        <w:rPr>
          <w:sz w:val="20"/>
          <w:szCs w:val="20"/>
          <w:color w:val="auto"/>
        </w:rPr>
      </w:pPr>
      <w:r>
        <w:rPr>
          <w:rFonts w:ascii="Times New Roman" w:cs="Times New Roman" w:eastAsia="Times New Roman" w:hAnsi="Times New Roman"/>
          <w:sz w:val="18"/>
          <w:szCs w:val="18"/>
          <w:color w:val="auto"/>
        </w:rPr>
        <w:t>Scotts Miracle-Gro traces its heritage to a company founded by O.M. Scott in Marysville, Ohio in 1868. In the mid-1900s, we became widely known for the development of quality lawn fertilizers and grass seeds that led to the creation of a new industry – consumer lawn care. In the 1990s, we significantly expanded our product offering with three leading brands in the U.S. home lawn and garden industry. In fiscal 1995, through a merger with Stern’s Miracle-Gro Products, Inc., which was founded by Horace Hagedorn and Otto Stern in Long Island, New York in 1951, we acquired the Miracle-Gro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brand, the industry leader in water-soluble garden plant foods. In fiscal 1999, we acquired the Ortho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brand in the United States and obtained exclusive rights to market Monsanto’s consumer Roundup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brand within the United States and other contractually specified countries, thereby adding industry-leading weed, pest and disease control products to our portfolio. Today, the Scotts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Turf Builder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Miracle-Gro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Ortho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Roundup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brands make us the most widely recognized company in the consumer lawn and garden industry in the United States.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divide our business into the following reportable segments:</w:t>
      </w:r>
    </w:p>
    <w:p>
      <w:pPr>
        <w:spacing w:after="0" w:line="56" w:lineRule="exact"/>
        <w:rPr>
          <w:sz w:val="20"/>
          <w:szCs w:val="20"/>
          <w:color w:val="auto"/>
        </w:rPr>
      </w:pPr>
    </w:p>
    <w:p>
      <w:pPr>
        <w:ind w:left="1260" w:hanging="624"/>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Consumer</w:t>
      </w:r>
    </w:p>
    <w:p>
      <w:pPr>
        <w:spacing w:after="0" w:line="55" w:lineRule="exact"/>
        <w:rPr>
          <w:rFonts w:ascii="Times New Roman" w:cs="Times New Roman" w:eastAsia="Times New Roman" w:hAnsi="Times New Roman"/>
          <w:sz w:val="18"/>
          <w:szCs w:val="18"/>
          <w:color w:val="auto"/>
        </w:rPr>
      </w:pPr>
    </w:p>
    <w:p>
      <w:pPr>
        <w:ind w:left="1260" w:hanging="624"/>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Hawthorne</w:t>
      </w:r>
    </w:p>
    <w:p>
      <w:pPr>
        <w:spacing w:after="0" w:line="55" w:lineRule="exact"/>
        <w:rPr>
          <w:rFonts w:ascii="Times New Roman" w:cs="Times New Roman" w:eastAsia="Times New Roman" w:hAnsi="Times New Roman"/>
          <w:sz w:val="18"/>
          <w:szCs w:val="18"/>
          <w:color w:val="auto"/>
        </w:rPr>
      </w:pPr>
    </w:p>
    <w:p>
      <w:pPr>
        <w:ind w:left="1260" w:hanging="624"/>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t>
      </w:r>
    </w:p>
    <w:p>
      <w:pPr>
        <w:spacing w:after="0" w:line="95"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U.S. Consumer consists of our consumer lawn and garden business in the United States. Hawthorne consists of our indoor and hydroponic gardening business. Other primarily consists of our consumer lawn and garden business outside the United States. This division of reportable segments is consistent with how the segments report to and are managed by our Chief Executive Officer (the chief operating decision maker of the Company). In addition, Corporate consists of general and administrative expenses and certain other income and expense items not allocated to the business segments. Financial information about these segments for each of the three fiscal years ended September 30, 2022, 2021 and 2020 is presented in “NOTE 21. SEGMENT INFORMATION” of the Notes to Consolidated Financial Statements included in this Form 10-K.</w:t>
      </w: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1" w:lineRule="exact"/>
        <w:rPr>
          <w:sz w:val="20"/>
          <w:szCs w:val="20"/>
          <w:color w:val="auto"/>
        </w:rPr>
      </w:pPr>
    </w:p>
    <w:p>
      <w:pPr>
        <w:ind w:left="120" w:hanging="84"/>
        <w:spacing w:after="0"/>
        <w:tabs>
          <w:tab w:leader="none" w:pos="120"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Roundup</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 xml:space="preserve"> is a registered trademark of Monsanto Technology LLC, a company affiliated with Monsanto Company.</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Products and Services</w:t>
      </w:r>
    </w:p>
    <w:p>
      <w:pPr>
        <w:spacing w:after="0" w:line="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our reportable segments, we manufacture, market and sell lawn and garden products in the following categories:</w:t>
      </w:r>
    </w:p>
    <w:p>
      <w:pPr>
        <w:spacing w:after="0" w:line="80" w:lineRule="exact"/>
        <w:rPr>
          <w:sz w:val="20"/>
          <w:szCs w:val="20"/>
          <w:color w:val="auto"/>
        </w:rPr>
      </w:pPr>
    </w:p>
    <w:p>
      <w:pPr>
        <w:jc w:val="both"/>
        <w:ind w:firstLine="867"/>
        <w:spacing w:after="0" w:line="226" w:lineRule="auto"/>
        <w:rPr>
          <w:sz w:val="20"/>
          <w:szCs w:val="20"/>
          <w:color w:val="auto"/>
        </w:rPr>
      </w:pPr>
      <w:r>
        <w:rPr>
          <w:rFonts w:ascii="Times New Roman" w:cs="Times New Roman" w:eastAsia="Times New Roman" w:hAnsi="Times New Roman"/>
          <w:sz w:val="18"/>
          <w:szCs w:val="18"/>
          <w:i w:val="1"/>
          <w:iCs w:val="1"/>
          <w:color w:val="auto"/>
        </w:rPr>
        <w:t xml:space="preserve">Lawn Care: </w:t>
      </w:r>
      <w:r>
        <w:rPr>
          <w:rFonts w:ascii="Times New Roman" w:cs="Times New Roman" w:eastAsia="Times New Roman" w:hAnsi="Times New Roman"/>
          <w:sz w:val="18"/>
          <w:szCs w:val="18"/>
          <w:color w:val="auto"/>
        </w:rPr>
        <w:t>The lawn care category is designed to help users grow and enjoy the lawn they want. Products within this category include lawn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fertilizer products under the Scotts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Turf Builder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brand names; grass seed products under the Scotts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Turf Builder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EZ Seed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PatchMaster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Thick’R Lawn</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brand and sub-brand names; and lawn-related weed, pest and disease control products primarily under the Scotts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brand name, including sub-brands such as GrubEx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The lawn care category also includes spreaders and other durables under the Scotts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brand name, including Turf Builder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EdgeGuard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spreaders and Handy Green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II handheld spreaders. In addition, we market outdoor cleaners under the Scotts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brand name.</w:t>
      </w:r>
    </w:p>
    <w:p>
      <w:pPr>
        <w:spacing w:after="0" w:line="5" w:lineRule="exact"/>
        <w:rPr>
          <w:sz w:val="20"/>
          <w:szCs w:val="20"/>
          <w:color w:val="auto"/>
        </w:rPr>
      </w:pPr>
    </w:p>
    <w:p>
      <w:pPr>
        <w:jc w:val="both"/>
        <w:ind w:firstLine="867"/>
        <w:spacing w:after="0" w:line="210" w:lineRule="auto"/>
        <w:rPr>
          <w:sz w:val="20"/>
          <w:szCs w:val="20"/>
          <w:color w:val="auto"/>
        </w:rPr>
      </w:pPr>
      <w:r>
        <w:rPr>
          <w:rFonts w:ascii="Times New Roman" w:cs="Times New Roman" w:eastAsia="Times New Roman" w:hAnsi="Times New Roman"/>
          <w:sz w:val="18"/>
          <w:szCs w:val="18"/>
          <w:i w:val="1"/>
          <w:iCs w:val="1"/>
          <w:color w:val="auto"/>
        </w:rPr>
        <w:t xml:space="preserve">Gardening and Landscape: </w:t>
      </w:r>
      <w:r>
        <w:rPr>
          <w:rFonts w:ascii="Times New Roman" w:cs="Times New Roman" w:eastAsia="Times New Roman" w:hAnsi="Times New Roman"/>
          <w:sz w:val="18"/>
          <w:szCs w:val="18"/>
          <w:color w:val="auto"/>
        </w:rPr>
        <w:t>The gardening and landscape category is designed to help consumers grow and enjoy flower and vegetable gardens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beautify landscaped areas. Products within this category include a complete line of water-soluble plant foods under the Miracle-Gro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brand and sub-brands such as LiquaFeed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continuous-release plant foods under the Miracle-Gro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brand and sub-brands such as Shake ‘N Feed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potting mixes, garden soils, ground cover and mulches under the Miracle-Gro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Scotts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Hyponex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Earthgro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brand names; plant-related pest and disease control products under the Ortho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brand; organic garden products under the Miracle-Gro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Performance Organics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Miracle-Gro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Organic Choice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Scotts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Whitney Farms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EcoScraps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brand names; and live goods and seeding solutions under the Miracle-Gro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brand. Hydroponic and indoor gardening focused growing media and nutrients products are marketed under the Mother Earth</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Botanicare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General Hydroponics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Vermicrop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Cyco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brand names as well as brands owned by third parties for which we serve as distributor.</w:t>
      </w:r>
    </w:p>
    <w:p>
      <w:pPr>
        <w:spacing w:after="0" w:line="75" w:lineRule="exact"/>
        <w:rPr>
          <w:sz w:val="20"/>
          <w:szCs w:val="20"/>
          <w:color w:val="auto"/>
        </w:rPr>
      </w:pPr>
    </w:p>
    <w:p>
      <w:pPr>
        <w:jc w:val="both"/>
        <w:ind w:firstLine="867"/>
        <w:spacing w:after="0" w:line="236" w:lineRule="auto"/>
        <w:rPr>
          <w:sz w:val="20"/>
          <w:szCs w:val="20"/>
          <w:color w:val="auto"/>
        </w:rPr>
      </w:pPr>
      <w:r>
        <w:rPr>
          <w:rFonts w:ascii="Times New Roman" w:cs="Times New Roman" w:eastAsia="Times New Roman" w:hAnsi="Times New Roman"/>
          <w:sz w:val="18"/>
          <w:szCs w:val="18"/>
          <w:i w:val="1"/>
          <w:iCs w:val="1"/>
          <w:color w:val="auto"/>
        </w:rPr>
        <w:t>Hydroponic hardware and growing environments</w:t>
      </w:r>
      <w:r>
        <w:rPr>
          <w:rFonts w:ascii="Times New Roman" w:cs="Times New Roman" w:eastAsia="Times New Roman" w:hAnsi="Times New Roman"/>
          <w:sz w:val="18"/>
          <w:szCs w:val="18"/>
          <w:color w:val="auto"/>
        </w:rPr>
        <w:t>: This category is designed to provide durable goods to grow plants, flowers and vegetables 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little or no soil. Products within this category include growing systems, trays, fans, filters, humidifiers, dehumidifiers, timers, instruments, water pumps, irrigation supplies and hand tools, and are marketed under the Botanicare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Can-Filters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Gro Pro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Hurricane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AeroGarden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HydroLogic</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brand names as well as brands owned by third parties for which we serve as distributor.</w:t>
      </w:r>
    </w:p>
    <w:p>
      <w:pPr>
        <w:spacing w:after="0" w:line="61" w:lineRule="exact"/>
        <w:rPr>
          <w:sz w:val="20"/>
          <w:szCs w:val="20"/>
          <w:color w:val="auto"/>
        </w:rPr>
      </w:pPr>
    </w:p>
    <w:p>
      <w:pPr>
        <w:jc w:val="both"/>
        <w:ind w:firstLine="867"/>
        <w:spacing w:after="0" w:line="237" w:lineRule="auto"/>
        <w:rPr>
          <w:sz w:val="20"/>
          <w:szCs w:val="20"/>
          <w:color w:val="auto"/>
        </w:rPr>
      </w:pPr>
      <w:r>
        <w:rPr>
          <w:rFonts w:ascii="Times New Roman" w:cs="Times New Roman" w:eastAsia="Times New Roman" w:hAnsi="Times New Roman"/>
          <w:sz w:val="18"/>
          <w:szCs w:val="18"/>
          <w:i w:val="1"/>
          <w:iCs w:val="1"/>
          <w:color w:val="auto"/>
        </w:rPr>
        <w:t>Lighting</w:t>
      </w:r>
      <w:r>
        <w:rPr>
          <w:rFonts w:ascii="Times New Roman" w:cs="Times New Roman" w:eastAsia="Times New Roman" w:hAnsi="Times New Roman"/>
          <w:sz w:val="18"/>
          <w:szCs w:val="18"/>
          <w:color w:val="auto"/>
        </w:rPr>
        <w:t>: The lighting category is designed to provide growers a complete selection of lighting systems and components for use in hydroponic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indoor gardening applications. Products in this category include lighting sensors, controls, fixtures, reflectors, lamps, cords and hangars, and are marketed under the Gavita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Agrolux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Titan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brand names as well as brands owned by third parties for which we serve as distributor. During the fourth quarter of fiscal 2022, the Company decided it would discontinue and exit the market for certain Hawthorne lighting products and brands, including Luxx Lighting, Inc. (“Luxx Lighting”).</w:t>
      </w:r>
    </w:p>
    <w:p>
      <w:pPr>
        <w:spacing w:after="0" w:line="76" w:lineRule="exact"/>
        <w:rPr>
          <w:sz w:val="20"/>
          <w:szCs w:val="20"/>
          <w:color w:val="auto"/>
        </w:rPr>
      </w:pPr>
    </w:p>
    <w:p>
      <w:pPr>
        <w:jc w:val="both"/>
        <w:ind w:firstLine="867"/>
        <w:spacing w:after="0" w:line="224" w:lineRule="auto"/>
        <w:rPr>
          <w:sz w:val="20"/>
          <w:szCs w:val="20"/>
          <w:color w:val="auto"/>
        </w:rPr>
      </w:pPr>
      <w:r>
        <w:rPr>
          <w:rFonts w:ascii="Times New Roman" w:cs="Times New Roman" w:eastAsia="Times New Roman" w:hAnsi="Times New Roman"/>
          <w:sz w:val="18"/>
          <w:szCs w:val="18"/>
          <w:i w:val="1"/>
          <w:iCs w:val="1"/>
          <w:color w:val="auto"/>
        </w:rPr>
        <w:t xml:space="preserve">Controls: </w:t>
      </w:r>
      <w:r>
        <w:rPr>
          <w:rFonts w:ascii="Times New Roman" w:cs="Times New Roman" w:eastAsia="Times New Roman" w:hAnsi="Times New Roman"/>
          <w:sz w:val="18"/>
          <w:szCs w:val="18"/>
          <w:color w:val="auto"/>
        </w:rPr>
        <w:t>The controls category is designed to help consumers protect their homes from pests and maintain external home areas. Insect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are marketed under the Ortho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brand name, including Ortho Max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Home Defense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Bug B Gon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sub-brands; rodent control products are marketed under the Tomcat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Ortho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brands; selective weed control products are marketed under the Ortho Weed B Gon</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sub-brand; and non-selective weed killer products are marketed under the Groundclear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brand name. Hydroponic gardening focused controls products are marketed under the Alchemist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General Hydroponics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brand names as well as brands owned by third parties for which we serve as distributor.</w:t>
      </w:r>
    </w:p>
    <w:p>
      <w:pPr>
        <w:spacing w:after="0" w:line="5" w:lineRule="exact"/>
        <w:rPr>
          <w:sz w:val="20"/>
          <w:szCs w:val="20"/>
          <w:color w:val="auto"/>
        </w:rPr>
      </w:pPr>
    </w:p>
    <w:p>
      <w:pPr>
        <w:jc w:val="both"/>
        <w:ind w:firstLine="867"/>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Marketing Agreement: </w:t>
      </w:r>
      <w:r>
        <w:rPr>
          <w:rFonts w:ascii="Times New Roman" w:cs="Times New Roman" w:eastAsia="Times New Roman" w:hAnsi="Times New Roman"/>
          <w:sz w:val="18"/>
          <w:szCs w:val="18"/>
          <w:color w:val="auto"/>
        </w:rPr>
        <w:t>We are Monsanto’s exclusive agent for the marketing and distribution of certain of Monsanto’s consumer Roundup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branded products in the United States and certain other specified countries. On May 15, 2015, we entered into an amendment (the “Marketing Agreement Amendment”) to the Amended and Restated Exclusive Agency and Marketing Agreement (as amended, the “Original Marketing Agreement”) with Monsanto and also entered into a lawn and garden brand extension agreement (the “Brand Extension Agreement”) and a commercialization and technology agreement (the “Commercialization and Technology Agreement”) with Monsanto. On August 31, 2017, in connection with the sale of our consumer lawn and garden businesses located in Australia, Austria, Belgium, Luxembourg, Czech Republic, France, Germany, Poland and the United Kingdom (the “International Business”), we entered into the Second Amended and Restated Agency and Marketing Agreement (the “Restated Marketing Agreement”) and the Amended and Restated Lawn and Garden Brand Extension Agreement – Americas (the “Restated Brand Extension Agreement”) to reflect the Company’s transfer and assignment to Exponent Private Equity LLP (“Exponent”) of the Company’s rights and responsibilities under the Original Marketing Agreement, as amended, and the Brand Extension Agreement relating to those countries and territories subject to the sale.</w:t>
      </w:r>
    </w:p>
    <w:p>
      <w:pPr>
        <w:spacing w:after="0" w:line="60" w:lineRule="exact"/>
        <w:rPr>
          <w:sz w:val="20"/>
          <w:szCs w:val="20"/>
          <w:color w:val="auto"/>
        </w:rPr>
      </w:pPr>
    </w:p>
    <w:p>
      <w:pPr>
        <w:jc w:val="both"/>
        <w:ind w:firstLine="867"/>
        <w:spacing w:after="0" w:line="238" w:lineRule="auto"/>
        <w:rPr>
          <w:sz w:val="20"/>
          <w:szCs w:val="20"/>
          <w:color w:val="auto"/>
        </w:rPr>
      </w:pPr>
      <w:r>
        <w:rPr>
          <w:rFonts w:ascii="Times New Roman" w:cs="Times New Roman" w:eastAsia="Times New Roman" w:hAnsi="Times New Roman"/>
          <w:sz w:val="18"/>
          <w:szCs w:val="18"/>
          <w:color w:val="auto"/>
        </w:rPr>
        <w:t>Effective August 1, 2019, we entered into (i) the Third Amended and Restated Exclusive Agency and Marketing Agreement (the “Third Restated Agreement”) which amends and restates the Restated Marketing Agreement, (ii) a Brand Extension Agreement Asset Purchase Agreement (the “BEA Purchase Agreement”) under which we sold certain assets to Monsanto related to the development, manufacture, production, advertising, marketing, promotion, distribution, importation, exportation, offer for sale and sale of specified Roundup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branded products sold outside the non-selective weedkiller category within the residential lawn and garden market and (iii) agreements terminating both the Restated Brand Extension Agreement and the Commercialization and Technology Agreement.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867"/>
        <w:spacing w:after="0" w:line="233" w:lineRule="auto"/>
        <w:rPr>
          <w:sz w:val="20"/>
          <w:szCs w:val="20"/>
          <w:color w:val="auto"/>
        </w:rPr>
      </w:pPr>
      <w:r>
        <w:rPr>
          <w:rFonts w:ascii="Times New Roman" w:cs="Times New Roman" w:eastAsia="Times New Roman" w:hAnsi="Times New Roman"/>
          <w:sz w:val="18"/>
          <w:szCs w:val="18"/>
          <w:color w:val="auto"/>
        </w:rPr>
        <w:t>Under the terms of the Third Restated Agreement, we provide certain consumer and trade marketing program services, sales, merchandising, warehousing and other selling and marketing support for certain of Monsanto’s consumer Roundup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branded products. Among other things, the Third Restated Agreement amends the provisions of the Restated Marketing Agreement relating to commissions, contributions, noncompetition, and termination. The Company also performs other services on behalf of Monsanto, including manufacturing conversion services, pursuant to ancillary agreements. For additional details regarding the Third Restated Agreement, see “ITEM 1A. RISK FACTORS — Risks Related to Our Business — </w:t>
      </w:r>
      <w:r>
        <w:rPr>
          <w:rFonts w:ascii="Times New Roman" w:cs="Times New Roman" w:eastAsia="Times New Roman" w:hAnsi="Times New Roman"/>
          <w:sz w:val="18"/>
          <w:szCs w:val="18"/>
          <w:i w:val="1"/>
          <w:iCs w:val="1"/>
          <w:color w:val="auto"/>
        </w:rPr>
        <w:t>In the event the Third Restated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for Monsanto’s consumer Roundup</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products terminates or Monsanto’s consumer Roundup</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business materially declines, we would lose a substantial source of future earnings and overhead expense absorption</w:t>
      </w:r>
      <w:r>
        <w:rPr>
          <w:rFonts w:ascii="Times New Roman" w:cs="Times New Roman" w:eastAsia="Times New Roman" w:hAnsi="Times New Roman"/>
          <w:sz w:val="18"/>
          <w:szCs w:val="18"/>
          <w:color w:val="auto"/>
        </w:rPr>
        <w:t>” of this Form 10-K and “NOTE 7. MARKETING AGREEMENT” of the Notes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included in this Form 10-K.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and Divestitures</w:t>
      </w:r>
    </w:p>
    <w:p>
      <w:pPr>
        <w:spacing w:after="0" w:line="84"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On April 28, 2022, our Hawthorne segment completed the acquisition of substantially all of the assets of S.J. Enterprises PTY LTD, d.b.a. Cyco (“Cyco”), an Australia-based provider of premium nutrients, additives and growing media products for indoor growing sold mostly in the United States, for a purchase price of $37.3 million.</w:t>
      </w:r>
    </w:p>
    <w:p>
      <w:pPr>
        <w:spacing w:after="0" w:line="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On April 22, 2022, pursuant to our follow-on investment rights, we made an additional investment in Toronto-based RIV Capital Inc. (“RIV Capital”)</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(CSE: RIV) (OTC: CNPOF), a cannabis investment and acquisition firm listed on the Canadian Securities Exchange, in the form of a $25.0 million convertible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which matures on August 24, 2027.</w:t>
      </w:r>
    </w:p>
    <w:p>
      <w:pPr>
        <w:spacing w:after="0" w:line="78"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On December 30, 2021, our Hawthorne segment completed the acquisition of substantially all of the assets of Luxx Lighting, Inc., a provider of lighting products for indoor growing. The purchase price was $213.2 million, a portion of which was paid through the issuance of 0.1 million common shares of Scotts Miracle-Gro (“Common Shares”) with a fair value of $21.0 million based on the share price at the time of payment.</w:t>
      </w:r>
    </w:p>
    <w:p>
      <w:pPr>
        <w:spacing w:after="0" w:line="47"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On December 23, 2021, our Hawthorne segment completed the acquisition of substantially all of the assets of True Liberty Bags, a leading provider of liners and storage solutions to dry and cure plant products, for $10.1 million.</w:t>
      </w:r>
    </w:p>
    <w:p>
      <w:pPr>
        <w:spacing w:after="0" w:line="50"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Refer to “NOTE 8. ACQUISITIONS AND INVESTMENTS” of the Notes to the Consolidated Financial Statements included in this Form 10-K for more information regarding these acquisitions and investments.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Markets and Methods of Distribution</w:t>
      </w:r>
    </w:p>
    <w:p>
      <w:pPr>
        <w:spacing w:after="0" w:line="97"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We sell our products through our direct sales force, e-commerce website and our network of brokers and distributors primarily to home centers, mass merchandisers, warehouse clubs, large hardware chains, independent hardware stores, nurseries, garden centers, e-commerce platforms, food and drug stores, indoor gardening and hydroponic product distributors, retailers and growers.</w:t>
      </w:r>
    </w:p>
    <w:p>
      <w:pPr>
        <w:spacing w:after="0" w:line="47"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majority of our shipments to customers are made via common carriers, our own private fleet or through distributors in the United States. We primarily utilize third parties to manage the key distribution centers for our consumer lawn and garden business, which are strategically located across the United States and Canada. For our Hawthorne business, we primarily self-manage distribution centers across the United States and Canada. Growing media products are generally shipped direct-to-store without passing through a distribution center.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97"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We purchase raw materials for our products from various sources. We are subject to market risk as a result of the fluctuating prices of raw materials, including urea and other fertilizer inputs, resins, diesel, gasoline, natural gas, sphagnum peat, bark and grass seed. Our objectives surrounding the procurement of these materials are to ensure continuous supply, minimize costs and improve predictability. We seek to achieve these objectives through negotiation of contracts with favorable terms directly with vendors. When appropriate, we commit to purchase a certain percentage of our needs in advance of the lawn and garden season to secure pre-determined prices. We also hedge certain commodities, particularly diesel and urea, to improve cost predictability and control. Sufficient raw materials were available during fiscal 2022.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Patents, Trade Secrets and Licenses</w:t>
      </w:r>
    </w:p>
    <w:p>
      <w:pPr>
        <w:spacing w:after="0" w:line="97" w:lineRule="exact"/>
        <w:rPr>
          <w:sz w:val="20"/>
          <w:szCs w:val="20"/>
          <w:color w:val="auto"/>
        </w:rPr>
      </w:pPr>
    </w:p>
    <w:p>
      <w:pPr>
        <w:jc w:val="both"/>
        <w:ind w:firstLine="434"/>
        <w:spacing w:after="0" w:line="246" w:lineRule="auto"/>
        <w:rPr>
          <w:sz w:val="20"/>
          <w:szCs w:val="20"/>
          <w:color w:val="auto"/>
        </w:rPr>
      </w:pPr>
      <w:r>
        <w:rPr>
          <w:rFonts w:ascii="Times New Roman" w:cs="Times New Roman" w:eastAsia="Times New Roman" w:hAnsi="Times New Roman"/>
          <w:sz w:val="17"/>
          <w:szCs w:val="17"/>
          <w:color w:val="auto"/>
        </w:rPr>
        <w:t>We believe that our trademarks, patents, trade secrets and licenses provide us with significant competitive advantages. We pursue a vigorous trademark protection strategy consisting of registration, renewal and maintenance of key trademarks and proactive monitoring and enforcement activities to protect against infringement. The Scotts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Miracle-Gro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Ortho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Tomcat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Hyponex</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Earthgro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General Hydroponics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Gavita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Botanicare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Agrolux</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Mother Earth</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and Can-Filters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brand names and logos, as well as a number of product trademarks, including Turf Builder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EZ Seed</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Organic Choice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Home Defense Max</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Nature Scapes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and Weed B Gon Max</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are registered in the United States and/or internationally and are considered material to our business.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In addition, we actively develop and maintain an extensive portfolio of utility and design patents covering a variety of subject matters and technologies relevant to the business such as fertilizer, weed killer, chemical and growing media compositions and processes; grass seed varieties; mechanical dispensing devices such as applicators, spreaders and sprayers; lighting applications; and hydroponic growing systems. Our utility patents provide protection generally extending to 20 years from the date of filing, and many of our patents will continue well into the next decade. We also hold exclusive and non-exclusive patent licenses and supply arrangements, permitting the use and sale of additional patented fertilizers, pesticides, electrical and mechanical devices. Although our portfolio of trade secrets, patents and patent licenses is important to our success, no single trade secret, patent or group of related patents, alone, is considered critical to the operation of any of our business segments or the business as a whole.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Backlog</w:t>
      </w:r>
    </w:p>
    <w:p>
      <w:pPr>
        <w:spacing w:after="0" w:line="84"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Our North America consumer lawn and garden business is highly seasonal, with approximately 75% of our annual net sales occurring in our second and third fiscal quarters combined. Our annual sales for this business are further concentrated in our second and third fiscal quarters by retailers who rely on our ability to deliver products closer to when consumers buy our products, thereby reducing retailers’ pre-season inventories. We anticipate significant orders for our North America consumer lawn and garden business for the upcoming spring season will start to be received late in the winter and continue through the spring season. Historically, substantially all orders have been received and shipped within the same fiscal year with minimal carryover of open orders at the end of the fiscal year.</w:t>
      </w:r>
    </w:p>
    <w:p>
      <w:pPr>
        <w:spacing w:after="0" w:line="70"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For our Hawthorne segment, sales are also impacted by seasonal patterns for certain product categories due to the timing of outdoor growing in North America during our second and third fiscal quarters, and the timing of certain controlled agricultural lighting project sales during our third and fourth fiscal quarters.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Customers</w:t>
      </w:r>
    </w:p>
    <w:p>
      <w:pPr>
        <w:spacing w:after="0" w:line="97" w:lineRule="exact"/>
        <w:rPr>
          <w:sz w:val="20"/>
          <w:szCs w:val="20"/>
          <w:color w:val="auto"/>
        </w:rPr>
      </w:pPr>
    </w:p>
    <w:p>
      <w:pPr>
        <w:jc w:val="both"/>
        <w:ind w:firstLine="434"/>
        <w:spacing w:after="0" w:line="288" w:lineRule="auto"/>
        <w:rPr>
          <w:sz w:val="20"/>
          <w:szCs w:val="20"/>
          <w:color w:val="auto"/>
        </w:rPr>
      </w:pPr>
      <w:r>
        <w:rPr>
          <w:rFonts w:ascii="Times New Roman" w:cs="Times New Roman" w:eastAsia="Times New Roman" w:hAnsi="Times New Roman"/>
          <w:sz w:val="16"/>
          <w:szCs w:val="16"/>
          <w:color w:val="auto"/>
        </w:rPr>
        <w:t xml:space="preserve">Home Depot and Lowe’s are our two largest customers and are the only customers that individually represent more than 10% of reported consolidated net sales during any of the three most recent fiscal years. For additional details regarding significant customers, see “ITEM 1A. RISK FACTORS — Risks Related to Our Business — </w:t>
      </w:r>
      <w:r>
        <w:rPr>
          <w:rFonts w:ascii="Times New Roman" w:cs="Times New Roman" w:eastAsia="Times New Roman" w:hAnsi="Times New Roman"/>
          <w:sz w:val="16"/>
          <w:szCs w:val="16"/>
          <w:i w:val="1"/>
          <w:iCs w:val="1"/>
          <w:color w:val="auto"/>
        </w:rPr>
        <w:t>Because of the concentration of our sales to a small number of retail customers, the loss of one or more of, or a significant reduction 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orders from, our top customers, or a material reduction in the inventory of our products that they carry, could adversely affect our financial results” </w:t>
      </w:r>
      <w:r>
        <w:rPr>
          <w:rFonts w:ascii="Times New Roman" w:cs="Times New Roman" w:eastAsia="Times New Roman" w:hAnsi="Times New Roman"/>
          <w:sz w:val="16"/>
          <w:szCs w:val="16"/>
          <w:color w:val="auto"/>
        </w:rPr>
        <w:t>of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Form 10-K and “NOTE 21. SEGMENT INFORMATION” of the Notes to Consolidated Financial Statements included in this Form 10-K.</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Marketplace</w:t>
      </w:r>
    </w:p>
    <w:p>
      <w:pPr>
        <w:spacing w:after="0" w:line="84"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markets in which we sell our products are highly competitive. We compete primarily on the basis of brand strength, product innovation, product quality, product performance, advertising, value, supply chain competency, field sales support, in-store sales support and the strength of our relationships with major retailers and distributors.</w:t>
      </w:r>
    </w:p>
    <w:p>
      <w:pPr>
        <w:spacing w:after="0" w:line="61"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In the lawn and garden, pest control and indoor gardening and hydroponic markets, our products compete against private-label as well as branded products. Primary competitors include Spectrum Brands Holdings, Inc., Central Garden &amp; Pet Company, Enforcer Products, Inc., Kellogg Garden Products, Oldcastle Retail, Inc., Lebanon Seaboard Corporation, Reckitt Benckiser Group plc, FoxFarm Soil &amp; Fertilizer Company, Nanolux Technology, Inc., Sun Gro Horticulture, Inc., Advanced Nutrients, Ltd. and Hydrofarm Holdings Group, Inc. In addition, we face competition from smaller regional competitors that operate in many of the areas where we compete.</w:t>
      </w:r>
    </w:p>
    <w:p>
      <w:pPr>
        <w:spacing w:after="0" w:line="70" w:lineRule="exact"/>
        <w:rPr>
          <w:sz w:val="20"/>
          <w:szCs w:val="20"/>
          <w:color w:val="auto"/>
        </w:rPr>
      </w:pPr>
    </w:p>
    <w:p>
      <w:pPr>
        <w:ind w:right="220" w:firstLine="434"/>
        <w:spacing w:after="0" w:line="381" w:lineRule="auto"/>
        <w:rPr>
          <w:sz w:val="20"/>
          <w:szCs w:val="20"/>
          <w:color w:val="auto"/>
        </w:rPr>
      </w:pPr>
      <w:r>
        <w:rPr>
          <w:rFonts w:ascii="Times New Roman" w:cs="Times New Roman" w:eastAsia="Times New Roman" w:hAnsi="Times New Roman"/>
          <w:sz w:val="18"/>
          <w:szCs w:val="18"/>
          <w:color w:val="auto"/>
        </w:rPr>
        <w:t xml:space="preserve">In Canada, we face competition in the lawn and garden market from Premier Tech Ltd. and a variety of local companies including private label brands. </w:t>
      </w:r>
      <w:r>
        <w:rPr>
          <w:rFonts w:ascii="Times New Roman" w:cs="Times New Roman" w:eastAsia="Times New Roman" w:hAnsi="Times New Roman"/>
          <w:sz w:val="18"/>
          <w:szCs w:val="18"/>
          <w:b w:val="1"/>
          <w:bCs w:val="1"/>
          <w:color w:val="auto"/>
        </w:rPr>
        <w:t>Research and Development</w:t>
      </w:r>
    </w:p>
    <w:p>
      <w:pPr>
        <w:jc w:val="both"/>
        <w:ind w:firstLine="434"/>
        <w:spacing w:after="0" w:line="293" w:lineRule="auto"/>
        <w:rPr>
          <w:sz w:val="20"/>
          <w:szCs w:val="20"/>
          <w:color w:val="auto"/>
        </w:rPr>
      </w:pPr>
      <w:r>
        <w:rPr>
          <w:rFonts w:ascii="Times New Roman" w:cs="Times New Roman" w:eastAsia="Times New Roman" w:hAnsi="Times New Roman"/>
          <w:sz w:val="16"/>
          <w:szCs w:val="16"/>
          <w:color w:val="auto"/>
        </w:rPr>
        <w:t>We continually invest in research and development, both in the laboratory and at the consumer level, to improve our products, manufacturing processes, packaging and delivery systems. Spending on research and development was $45.3 million, $45.4 million and $39.7 million in fiscal 2022, fiscal 2021 and fiscal 2020, respectively, including product registration costs of $13.0 million, $12.3 million and $11.0 million, respectively. In addition to our own research and development activities, we actively seek ways to leverage the research and development activities of our suppliers and other business partners.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Considerations</w:t>
      </w:r>
    </w:p>
    <w:p>
      <w:pPr>
        <w:spacing w:after="0" w:line="97" w:lineRule="exact"/>
        <w:rPr>
          <w:sz w:val="20"/>
          <w:szCs w:val="20"/>
          <w:color w:val="auto"/>
        </w:rPr>
      </w:pPr>
    </w:p>
    <w:p>
      <w:pPr>
        <w:jc w:val="both"/>
        <w:ind w:firstLine="434"/>
        <w:spacing w:after="0" w:line="293" w:lineRule="auto"/>
        <w:rPr>
          <w:sz w:val="20"/>
          <w:szCs w:val="20"/>
          <w:color w:val="auto"/>
        </w:rPr>
      </w:pPr>
      <w:r>
        <w:rPr>
          <w:rFonts w:ascii="Times New Roman" w:cs="Times New Roman" w:eastAsia="Times New Roman" w:hAnsi="Times New Roman"/>
          <w:sz w:val="16"/>
          <w:szCs w:val="16"/>
          <w:color w:val="auto"/>
        </w:rPr>
        <w:t>Laws and regulations in the United States and other countries affect the manufacture, sale, distribution, use and/or application of our products in several ways. For example, in the United States, all pesticide products must comply with the Federal Insecticide, Fungicide, and Rodenticide Act (“FIFRA”), and most pesticide products require registration with the U.S. Environmental Protection Agency (the “U.S. EPA”) and similar state agencies before they can be sold or distributed. The use of certain pesticide products is also regulated by the U.S. EPA in addition to various local, state and federal environmental and/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or public health agencies. These regulations may, for example, include requirements that only certified or professional users apply the product, that certain products be used only on certain types of locations (such as “not for use on sod farms or golf courses”), that users post notices on properties to which products have been or will be applied, or that may require notification to individuals in the vicinity that products will be applied in the future, or may ban the use of certain ingredients or categories of products altogether. Analogous regulatory regimes apply to certain pesticides that we sell or distribute in other countries.</w:t>
      </w:r>
    </w:p>
    <w:p>
      <w:pPr>
        <w:spacing w:after="0" w:line="22"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Fertilizer and growing media products are also subject to various laws and regulations, some of which require registration, mandate labeling requirements, and/or govern the sale and distribution of the products. Our grass seed products are regulated in the U.S. by the Federal Seed Act and various state regulations. In addition, governmental agencies regulate the disposal, transport, handling and storage of waste, the remediation of contaminated sites, air and water discharges from our facilities, and workplace health and safety.</w:t>
      </w:r>
    </w:p>
    <w:p>
      <w:pPr>
        <w:spacing w:after="0" w:line="64" w:lineRule="exact"/>
        <w:rPr>
          <w:sz w:val="20"/>
          <w:szCs w:val="20"/>
          <w:color w:val="auto"/>
        </w:rPr>
      </w:pPr>
    </w:p>
    <w:p>
      <w:pPr>
        <w:jc w:val="both"/>
        <w:ind w:firstLine="434"/>
        <w:spacing w:after="0" w:line="288" w:lineRule="auto"/>
        <w:rPr>
          <w:sz w:val="20"/>
          <w:szCs w:val="20"/>
          <w:color w:val="auto"/>
        </w:rPr>
      </w:pPr>
      <w:r>
        <w:rPr>
          <w:rFonts w:ascii="Times New Roman" w:cs="Times New Roman" w:eastAsia="Times New Roman" w:hAnsi="Times New Roman"/>
          <w:sz w:val="16"/>
          <w:szCs w:val="16"/>
          <w:color w:val="auto"/>
        </w:rPr>
        <w:t>Governmental authorities generally require operating facilities to obtain permits (sometimes on an annual basis) relating to site-specific conditions and/or activities. For example, permits must be obtained in order to harvest peat and to discharge storm water run-off or water pumped from peat deposits. The permits typically specify the condition in which the property must be left after the peat is fully harvested, with the residual use typically being natural wetland habitats combined with open water areas. We are generally required by these permits to limit our harvesting and to restore the property consistent with the intended residual use. In some locations, these facilities have been required to create water retention ponds to control the sediment content of discharged water.</w:t>
      </w:r>
    </w:p>
    <w:p>
      <w:pPr>
        <w:spacing w:after="0" w:line="40" w:lineRule="exact"/>
        <w:rPr>
          <w:sz w:val="20"/>
          <w:szCs w:val="20"/>
          <w:color w:val="auto"/>
        </w:rPr>
      </w:pPr>
    </w:p>
    <w:p>
      <w:pPr>
        <w:jc w:val="both"/>
        <w:ind w:firstLine="434"/>
        <w:spacing w:after="0" w:line="285" w:lineRule="auto"/>
        <w:rPr>
          <w:sz w:val="20"/>
          <w:szCs w:val="20"/>
          <w:color w:val="auto"/>
        </w:rPr>
      </w:pPr>
      <w:r>
        <w:rPr>
          <w:rFonts w:ascii="Times New Roman" w:cs="Times New Roman" w:eastAsia="Times New Roman" w:hAnsi="Times New Roman"/>
          <w:sz w:val="16"/>
          <w:szCs w:val="16"/>
          <w:color w:val="auto"/>
        </w:rPr>
        <w:t>In addition, on October 18, 2021, the Biden Administration announced a multi-agency plan to address per- and polyfluoroalkyl substances (“PFAS”) contamination nationwide. Agencies, including the U.S. EPA, the Department of Defense, the Food and Drug Administration, the U.S. Department of Agriculture, the Department of Homeland Security, and the Department of Health and Human Services, will take actions to prevent the release of PFAS into the air, drinking systems, and food supply and to expand cleanup efforts to remediate the impacts of PFAS pollution. As part of this announcement, the U.S. EPA released its PFAS Strategic Roadmap: EPA’s Commitments to Action 2021-2024, which sets timelines by which the U.S. EPA plans to take specific actions during the first term of the Biden Administration. It is possible that some of these actions may have an impact – direct or indirect – on our business.</w:t>
      </w:r>
    </w:p>
    <w:p>
      <w:pPr>
        <w:spacing w:after="0" w:line="30"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growth and expansion of our business has expanded the regulatory oversight to which we are subject. If we enter new product categories and/or new jurisdictions, we may become subject to additional applicable legal and regulatory requirements.</w:t>
      </w:r>
    </w:p>
    <w:p>
      <w:pPr>
        <w:spacing w:after="0" w:line="50" w:lineRule="exact"/>
        <w:rPr>
          <w:sz w:val="20"/>
          <w:szCs w:val="20"/>
          <w:color w:val="auto"/>
        </w:rPr>
      </w:pPr>
    </w:p>
    <w:p>
      <w:pPr>
        <w:jc w:val="both"/>
        <w:ind w:firstLine="434"/>
        <w:spacing w:after="0" w:line="303" w:lineRule="auto"/>
        <w:rPr>
          <w:sz w:val="20"/>
          <w:szCs w:val="20"/>
          <w:color w:val="auto"/>
        </w:rPr>
      </w:pPr>
      <w:r>
        <w:rPr>
          <w:rFonts w:ascii="Times New Roman" w:cs="Times New Roman" w:eastAsia="Times New Roman" w:hAnsi="Times New Roman"/>
          <w:sz w:val="16"/>
          <w:szCs w:val="16"/>
          <w:color w:val="auto"/>
        </w:rPr>
        <w:t xml:space="preserve">For more information regarding how compliance with local, state, federal and foreign laws and regulations may affect us, see “ITEM 1A. RISK FACTORS — Risks Related to Regulation of Our Company — </w:t>
      </w:r>
      <w:r>
        <w:rPr>
          <w:rFonts w:ascii="Times New Roman" w:cs="Times New Roman" w:eastAsia="Times New Roman" w:hAnsi="Times New Roman"/>
          <w:sz w:val="16"/>
          <w:szCs w:val="16"/>
          <w:i w:val="1"/>
          <w:iCs w:val="1"/>
          <w:color w:val="auto"/>
        </w:rPr>
        <w:t>Compliance with environmental and other public health regulations or changes in such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regulations or regulatory enforcement priorities could increase our costs of doing business or limit our ability to market all of our products</w:t>
      </w:r>
      <w:r>
        <w:rPr>
          <w:rFonts w:ascii="Times New Roman" w:cs="Times New Roman" w:eastAsia="Times New Roman" w:hAnsi="Times New Roman"/>
          <w:sz w:val="16"/>
          <w:szCs w:val="16"/>
          <w:color w:val="auto"/>
        </w:rPr>
        <w:t>” of this Form 10-K.</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Regulatory Matters</w:t>
      </w:r>
    </w:p>
    <w:p>
      <w:pPr>
        <w:spacing w:after="0" w:line="99" w:lineRule="exact"/>
        <w:rPr>
          <w:sz w:val="20"/>
          <w:szCs w:val="20"/>
          <w:color w:val="auto"/>
        </w:rPr>
      </w:pPr>
    </w:p>
    <w:p>
      <w:pPr>
        <w:jc w:val="both"/>
        <w:ind w:firstLine="434"/>
        <w:spacing w:after="0" w:line="303" w:lineRule="auto"/>
        <w:rPr>
          <w:sz w:val="20"/>
          <w:szCs w:val="20"/>
          <w:color w:val="auto"/>
        </w:rPr>
      </w:pPr>
      <w:r>
        <w:rPr>
          <w:rFonts w:ascii="Times New Roman" w:cs="Times New Roman" w:eastAsia="Times New Roman" w:hAnsi="Times New Roman"/>
          <w:sz w:val="16"/>
          <w:szCs w:val="16"/>
          <w:color w:val="auto"/>
        </w:rPr>
        <w:t>We are subject to various environmental proceedings, the majority of which are for site remediation. At September 30, 2022, $2.4 million was accrued for such environmental matters. During fiscal 2022, fiscal 2021 and fiscal 2020, we expensed $0.2 million, $0.5 million and $0.5 million, respectively, for such environmental matters. We had no material capital expenditures during the last three fiscal years related to environmental or regulatory matters.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84"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We believe our culture and commitment to our associates provides unique value to us and our shareholders. Every associate, and every job, is important to our success and helping us achieve our purpose. We seek to create an environment that values the health, safety and wellness of our teams, and we work to equip them with the knowledge and skills to serve our business and develop in their careers.</w:t>
      </w:r>
    </w:p>
    <w:p>
      <w:pPr>
        <w:spacing w:after="0" w:line="61"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This discussion includes information regarding human capital matters that we believe may be of interest to shareholders generally. We recognize that certain other stakeholders (such as customers, employees and non-governmental organizations), as well as certain of our shareholders, may be interested in more detailed information on these topics. We encourage you to review the “Supporting Our People” section of our 2022 Corporate Responsibility Report, located on our website at https://scottsmiraclegro.com/responsibility/environmental-social-and-governance, for more detailed information regarding our human capital programs and initiatives. The contents of our corporate website are not incorporated by reference in this Form 10-K or in any other report or document we file with the Securities and Exchange Commission (the “SEC”).</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Associates</w:t>
      </w:r>
    </w:p>
    <w:p>
      <w:pPr>
        <w:spacing w:after="0" w:line="99"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As of September 30, 2022, we employed approximately 6,100 employees. During peak sales and production periods in fiscal 2022, our workforce totaled 8,620, which was comprised of approximately 7,660 employees including seasonal associates and approximately 960 in temporary labor. Included within these numbers, during fiscal 2022, we employed a total of approximately 2,430 full-time and seasonal in-store associates within the United States to help our retail partners merchandise our products in their lawn and garden departments directly to consumers. During fiscal 2022, we undertook a strategic reduction in our workforce as part of a series of organizational changes and initiatives intended to create operational and management-level efficiencies.</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Engagement</w:t>
      </w:r>
    </w:p>
    <w:p>
      <w:pPr>
        <w:spacing w:after="0" w:line="86"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Our business is directly impacted by the level of engagement created through our associate experience. To advance engagement, we have taken a purposeful approach to focus on the employee experience. This year we focused on creating a positive workplace and strong leadership as our business has experienced a great deal of change. We prioritized change management and providing support to our associates through business transitions. We continue to gather the voices of our associates formally and informally throughout the year through, among other initiatives, executive town halls, pulse surveys and leadership skip level meetings. This feedback is shared and leveraged as human capital initiatives are defined.</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Diversity</w:t>
      </w:r>
    </w:p>
    <w:p>
      <w:pPr>
        <w:spacing w:after="0" w:line="99"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We value our associates’ diversity and encourage them to leverage their varied life experiences at our Company. This includes diversity in terms of gender, sexuality, race, thoughts, interests, languages, beliefs and more. We continue to hold ourselves accountable to fostering a positive workplace, one that creates a sense of belonging and community. This comes to life in the programs and support we provide our associates.</w:t>
      </w:r>
    </w:p>
    <w:p>
      <w:pPr>
        <w:spacing w:after="0" w:line="61"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We received a score of 100% on the Human Rights Campaign Corporate Equality Index (HRC CEI) and the designation of being one of the “Best Places to Work for LGBTQ Equality” for calendar year 2021. The HRC CEI is a benchmarking survey and report measuring corporate policies and practices related to LGBTQ+ workplace equality.</w:t>
      </w:r>
    </w:p>
    <w:p>
      <w:pPr>
        <w:spacing w:after="0" w:line="47"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Our Employee Resource Groups (“ERGs”) are voluntary, associate-led groups usually formed by people with a common affinity such as gender, race, national origin, sexual orientation, military status or other attributes. Each ERG establishes a mission to positively impact the business by cultivating relationships through networking and developing talent through experiences, programs and mentoring. Our ERGs drive continuous improvement of our inclusive work environment and are open to all associates, regardless of the business department, location or management level. Our ERGs consist of the Scotts Women’s Network, the Scotts Black Employees Network, the Scotts Veterans Network, the Scotts Young Professionals, Scotts GroPride, Scotts Associates for a Greener Earth and Scotts Family TREE.</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Professional Development</w:t>
      </w:r>
    </w:p>
    <w:p>
      <w:pPr>
        <w:spacing w:after="0" w:line="99"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We view development and retention of our associates as valuable components of our business operations and to creating a culture of leadership throughout our Company. We partner with industry experts to ensure our professional development curriculum offers both live and on-demand learning content that accelerates the development of practical skills and competencies. Content is selected by associates and updated frequently to align to the development needs of our associates and address trending topics. All associates have the opportunity to learn new skills through exposure and involvement in business challenges. Our managers support associates as development happens on the job through cross-functional team assignments, expanded roles and rotational assignments. We provide a variety of best-in-class learning tools and experiences to our associates to help them embrace a growth mindset that leads to higher levels of achievement and personal satisfaction. Our ongoing development processes are designed to grow knowledge, improve skills and capabilities, and achieve competence in specific behaviors to meet performance expectations and prepare for potential future roles within our Company.</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99"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Our passion extends far beyond gardening and growing to include the well-being of our associates. We are a company that has been rooted in family since our founding in 1868, and one major way we continue to bring this to life is in our commitment to enhancing our associates and their family’s health, financial security, and support for everyday challenges through our LiveTotalHealth program – our holistic and comprehensive approach to wellness. Our commitment to LiveTotalHealth can be seen in the enhancements we made in 2022 and announced for 2023. Some of the highlights include a new partnership with Quantum Health – an innovative leader in health care navigation and care coordination, a new wellness reimbursement program to support our associates’ physical, mental and financial well-being, and a decrease to most associates’ medical plan premiums. We were able to provide pay increases for most of our associates in the first quarter of fiscal 2023, with an opportunity for another pay increase during fiscal 2023.</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Health and Safety</w:t>
      </w:r>
    </w:p>
    <w:p>
      <w:pPr>
        <w:spacing w:after="0" w:line="99" w:lineRule="exact"/>
        <w:rPr>
          <w:sz w:val="20"/>
          <w:szCs w:val="20"/>
          <w:color w:val="auto"/>
        </w:rPr>
      </w:pPr>
    </w:p>
    <w:p>
      <w:pPr>
        <w:jc w:val="both"/>
        <w:ind w:firstLine="434"/>
        <w:spacing w:after="0" w:line="285" w:lineRule="auto"/>
        <w:rPr>
          <w:sz w:val="20"/>
          <w:szCs w:val="20"/>
          <w:color w:val="auto"/>
        </w:rPr>
      </w:pPr>
      <w:r>
        <w:rPr>
          <w:rFonts w:ascii="Times New Roman" w:cs="Times New Roman" w:eastAsia="Times New Roman" w:hAnsi="Times New Roman"/>
          <w:sz w:val="16"/>
          <w:szCs w:val="16"/>
          <w:color w:val="auto"/>
        </w:rPr>
        <w:t>We maintain several health and safety programs to protect our team members, including our comprehensive Environmental Health and Safety (“EHS”) management system. All associates and business partners, including contractors, are covered by our EHS management system. Across our operational sites and sales teams, our associates participate in safety committees to spur associate engagement with safety on a local and national level. To further mitigate health and safety risks, we develop compliance calendars that highlight dates for health and safety inspections and deadlines to meet voluntary and regulatory requirements. To evaluate our health and safety performance, we use an EHS scorecard composed of leading and lagging indicators, such as progress measurements for safety training, behavioral-based safety observations, near-miss reporting, total recordable incident rate and lost time accident rate.</w:t>
      </w:r>
    </w:p>
    <w:p>
      <w:pPr>
        <w:spacing w:after="0" w:line="10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Information Systems</w:t>
      </w:r>
    </w:p>
    <w:p>
      <w:pPr>
        <w:spacing w:after="0" w:line="86"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We understand the critical nature of real-time, measurable data and insights from a human capital perspective. Our cloud-based human capital management solution unifies our wide range of human relations functionality onto one single platform. This structure enables us to support the entire enterprise with qualitative and quantitative analytics specific to associate transactions, processes and programs, and connection to other organizational data creating a culture where data and analytics are the norm. The organization has embraced this transformation and the scalable flexibility of the platform, and in doing so, has implemented other modules that integrate cohesively.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w:t>
      </w:r>
    </w:p>
    <w:p>
      <w:pPr>
        <w:spacing w:after="0" w:line="97"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All of our stakeholders are essential to our business – shareholders, customers, suppliers, associates, communities as well as the environment and society. We are working to make our workforce more inclusive, our business more sustainable, and our communities more engaged by maintaining strong environmental, social and governance (“ESG”) practices.</w:t>
      </w:r>
    </w:p>
    <w:p>
      <w:pPr>
        <w:spacing w:after="0" w:line="61"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In fiscal 2022, we published our 11th Corporate Responsibility Report, prepared in accordance with the Global Reporting Initiative (“GRI”) Standards: Core option and with consideration for the Sustainability Accounting Standards Board’s (SASB’s) Chemicals industry standard. This report provides detailed information regarding our ESG strategy, focus areas and governance structure. The Company’s ESG focus areas are Product Stewardship and Safety, Operations and Supply Chain, Associate Engagement and Wellness, Community Engagement and Governance and Transparency. The Company continues to benchmark, set goals and seek continuous improvement around these focus areas.</w:t>
      </w:r>
    </w:p>
    <w:p>
      <w:pPr>
        <w:spacing w:after="0" w:line="57"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We publish our Corporate Responsibility Report and several ESG-related policies and statements on the ESG section of our corporate website, which is located at https://scottsmiraclegro.com/responsibility/environmental-social-and-governance. These policies and statements address environmental, health and safety and human rights concerns. We also published a Supplier Code of Conduct in fiscal 2022 that establishes the minimum standards that suppliers must satisfy to sell goods or do business with the Company. Further ESG initiatives in fiscal 2022 included responding to the Carbon Disclosure Project’s climate questionnaire and completing the S&amp;P Corporate Sustainability Assessment. The contents of our corporate website are not incorporated by reference in this Form 10-K or in any other report or document we file with the SEC.</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and General Information</w:t>
      </w:r>
    </w:p>
    <w:p>
      <w:pPr>
        <w:spacing w:after="0" w:line="97"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We maintain a website at http://investor.scotts.com. Information on our websites will not be deemed incorporated by reference into, and do not form any part of, this Form 10-K or any other report or document that we file with or furnish to the SEC. We file reports with the SEC and make available, free of charge, on or through our website, our Annual Reports on Form 10-K, Quarterly Reports on Form 10-Q, Current Reports on Form 8-K, and amendments to those reports filed or furnished pursuant to Section 13(a) or 15(d) of the Securities Exchange Act of 1934, as amended, as well as our proxy and information statements, as soon as reasonably practicable after we electronically file such material with, or furnish it to, the SEC.</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3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auto"/>
        </w:rPr>
        <w:t>ITEM 1A.</w:t>
      </w:r>
      <w:r>
        <w:rPr>
          <w:sz w:val="20"/>
          <w:szCs w:val="20"/>
          <w:color w:val="auto"/>
        </w:rPr>
        <w:tab/>
      </w:r>
      <w:r>
        <w:rPr>
          <w:rFonts w:ascii="Times New Roman" w:cs="Times New Roman" w:eastAsia="Times New Roman" w:hAnsi="Times New Roman"/>
          <w:sz w:val="16"/>
          <w:szCs w:val="16"/>
          <w:b w:val="1"/>
          <w:bCs w:val="1"/>
          <w:i w:val="1"/>
          <w:iCs w:val="1"/>
          <w:u w:val="single" w:color="auto"/>
          <w:color w:val="auto"/>
        </w:rPr>
        <w:t>RISK FACTORS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84" w:lineRule="exact"/>
        <w:rPr>
          <w:sz w:val="20"/>
          <w:szCs w:val="20"/>
          <w:color w:val="auto"/>
        </w:rPr>
      </w:pPr>
    </w:p>
    <w:p>
      <w:pPr>
        <w:jc w:val="both"/>
        <w:ind w:firstLine="434"/>
        <w:spacing w:after="0" w:line="246" w:lineRule="auto"/>
        <w:rPr>
          <w:sz w:val="20"/>
          <w:szCs w:val="20"/>
          <w:color w:val="auto"/>
        </w:rPr>
      </w:pPr>
      <w:r>
        <w:rPr>
          <w:rFonts w:ascii="Times New Roman" w:cs="Times New Roman" w:eastAsia="Times New Roman" w:hAnsi="Times New Roman"/>
          <w:sz w:val="18"/>
          <w:szCs w:val="18"/>
          <w:color w:val="auto"/>
        </w:rPr>
        <w:t>This Form 10-K, including the exhibits hereto and the information incorporated by reference herein, as well as our 2022 Annual Report to Shareholders (our “2022 Annual Report”), contain “forward-looking statements” within the meaning of Section 27A of the Securities Act of 1933, as amended, and Section 21E of the Securities Exchange Act of 1934, as amended, which are subject to risks and uncertainties.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our Common Shares or other uses of cash flows.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73"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Forward-looking statements contained in this Form 10-K and our 2022 Annual Report are predictions only and actual results could differ materially from management’s expectations due to a variety of factors, including those described below. All forward-looking statements attributable to us or persons working on our behalf are expressly qualified in their entirety by such risk factors.</w:t>
      </w:r>
    </w:p>
    <w:p>
      <w:pPr>
        <w:spacing w:after="0" w:line="61"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forward-looking statements that we make in this Form 10-K and our 2022 Annual Report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59" w:lineRule="exact"/>
        <w:rPr>
          <w:sz w:val="20"/>
          <w:szCs w:val="20"/>
          <w:color w:val="auto"/>
        </w:rPr>
      </w:pPr>
    </w:p>
    <w:p>
      <w:pPr>
        <w:jc w:val="both"/>
        <w:ind w:firstLine="197"/>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underestimate or overestimate demand for our products and do not maintain appropriate inventory levels, our net sales and/or working capital could be negatively impacted.</w:t>
      </w:r>
    </w:p>
    <w:p>
      <w:pPr>
        <w:spacing w:after="0" w:line="34"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Our ability to manage our inventory levels to meet our customers’ demand for our products is important for our business. Our production levels and inventory management goals for our products are based on estimates of demand, taking into account production capacity, timing of shipments, and inventory levels. If we overestimate or underestimate either channel or retail demand for any of our products during a given season, we may not maintain appropriate inventory levels, which could negatively impact our net sales, profit margins, net earnings, working capital and/or cash flow, hinder our ability to meet customer demand, result in loss of customers, or cause us to incur excess and obsolete inventory charges or excess warehouse storage costs.</w:t>
      </w:r>
    </w:p>
    <w:p>
      <w:pPr>
        <w:spacing w:after="0" w:line="70"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For example, during fiscal 2022, a significant decrease in sales volume coupled with a recent expansion of our production and supply chain resulted in higher fixed costs and inventory levels. These factors negatively impacted our net sales, profit margins, net earnings and operating cash flow.</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Disruptions in availability or increases in the prices of raw materials, fuel or transportation costs could adversely affect our results of operations.</w:t>
      </w:r>
    </w:p>
    <w:p>
      <w:pPr>
        <w:spacing w:after="0" w:line="99"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We source many of our commodities and other raw materials on a global basis. The general availability and price of those raw materials can be affected by numerous forces beyond our control, including political instability, trade restrictions and other government regulations, duties and tariffs, price controls, changes in currency exchange rates and weather. A significant disruption in the availability or price of any of our key raw materials could negatively impact our business.</w:t>
      </w:r>
    </w:p>
    <w:p>
      <w:pPr>
        <w:spacing w:after="0" w:line="51"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In February 2022, Russia invaded Ukraine. We have experienced, and expect to continue to experience, the indirect impacts of the conflict in Ukraine, including increases in the cost of raw materials (including fertilizer inputs such as urea) and commodities (including the price of oil), supply chain and logistics challenges and foreign currency volatility. Increases in the prices of key commodities and other raw materials could adversely affect our ability to manage our cost structure. Market conditions may limit our ability to raise selling prices to offset increases in our raw material costs. Further, sustained price increases may lead to declines in volume as competitors may not adjust their prices or customers and/or consumers may decide not to pay the higher prices, which could lead to sales declines and loss of market share. Our projections may not accurately predict the volume impact of price increases, which could adversely affect our business, financial condition and results of operations.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Our proprietary technologies can limit our ability to locate or utilize alternative inputs for certain products. For certain inputs, new sources of supply may have to be qualified under regulatory standards, which can require additional investment and delay bringing a product to market. We utilize hedge agreements periodically to fix the prices of a portion of our urea and fuel needs. The hedge agreements are designed to mitigate the earnings and cash flow fluctuations associated with the costs of urea and fuel. In periods of declining prices, utilizing these hedge agreements may effectively increase our expenditures for these raw materials.</w:t>
      </w:r>
    </w:p>
    <w:p>
      <w:pPr>
        <w:spacing w:after="0" w:line="131" w:lineRule="exact"/>
        <w:rPr>
          <w:sz w:val="20"/>
          <w:szCs w:val="20"/>
          <w:color w:val="auto"/>
        </w:rPr>
      </w:pPr>
    </w:p>
    <w:p>
      <w:pPr>
        <w:jc w:val="both"/>
        <w:ind w:firstLine="197"/>
        <w:spacing w:after="0" w:line="328" w:lineRule="auto"/>
        <w:rPr>
          <w:sz w:val="20"/>
          <w:szCs w:val="20"/>
          <w:color w:val="auto"/>
        </w:rPr>
      </w:pPr>
      <w:r>
        <w:rPr>
          <w:rFonts w:ascii="Times New Roman" w:cs="Times New Roman" w:eastAsia="Times New Roman" w:hAnsi="Times New Roman"/>
          <w:sz w:val="16"/>
          <w:szCs w:val="16"/>
          <w:b w:val="1"/>
          <w:bCs w:val="1"/>
          <w:i w:val="1"/>
          <w:iCs w:val="1"/>
          <w:color w:val="auto"/>
        </w:rPr>
        <w:t>The effects of the ongoing coronavirus (COVID-19) pandemic and any possible recurrence of other similar types of pandemics, or any other widespread public health emergencies, could have a material adverse effect on our business, results of operations, financial condition and/or cash flows.</w:t>
      </w:r>
    </w:p>
    <w:p>
      <w:pPr>
        <w:spacing w:after="0" w:line="1"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The World Health Organization recognized COVID-19 as a public health emergency of international concern on January 30, 2020 and as a global pandemic on March 11, 2020. Public health responses have included national pandemic preparedness and response plans, travel restrictions, quarantines, curfews, event postponements and cancellations and closures of facilities including local schools and businesses. The global pandemic and actions taken to contain COVID-19 have disrupted the global economy and financial markets. Increases in COVID-19 cases may increase the possibility of further shutdowns, production delays, staffing and resource challenges which could materially harm our financial condition and results of operations.</w:t>
      </w:r>
    </w:p>
    <w:p>
      <w:pPr>
        <w:spacing w:after="0" w:line="70"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We have actively addressed the pandemic’s ongoing impact on our employees, operations, customers, consumers, and communities, by, among other things, implementing contingency plans, making operational adjustments where necessary, and providing assistance to organizations that support front-line workers. The first priority of our pandemic response has been and remains the health, safety and well-being of our employees which we have addressed by following Center for Disease Control health guidelines and applicable state and local guidelines. While we believe that these actions should enable us to maintain our operations during the COVID-19 pandemic, we can provide no assurance that we will be able to do so as a result of the unpredictability of the ultimate impact of the COVID-19 pandemic, including the responses of local, state, federal and foreign governmental authorities to the pandemic.</w:t>
      </w:r>
    </w:p>
    <w:p>
      <w:pPr>
        <w:spacing w:after="0" w:line="70"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extent to which the COVID-19 pandemic will ultimately impact our business, results of operations, financial condition and cash flows depends on future developments that are highly uncertain, rapidly evolving and difficult to predict at this time, including:</w:t>
      </w:r>
    </w:p>
    <w:p>
      <w:pPr>
        <w:spacing w:after="0" w:line="37" w:lineRule="exact"/>
        <w:rPr>
          <w:sz w:val="20"/>
          <w:szCs w:val="20"/>
          <w:color w:val="auto"/>
        </w:rPr>
      </w:pPr>
    </w:p>
    <w:p>
      <w:pPr>
        <w:ind w:left="860" w:hanging="303"/>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spread and intensity of the pandemic;</w:t>
      </w:r>
    </w:p>
    <w:p>
      <w:pPr>
        <w:spacing w:after="0" w:line="95" w:lineRule="exact"/>
        <w:rPr>
          <w:rFonts w:ascii="Times New Roman" w:cs="Times New Roman" w:eastAsia="Times New Roman" w:hAnsi="Times New Roman"/>
          <w:sz w:val="18"/>
          <w:szCs w:val="18"/>
          <w:color w:val="auto"/>
        </w:rPr>
      </w:pPr>
    </w:p>
    <w:p>
      <w:pPr>
        <w:ind w:left="860" w:hanging="303"/>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usage and effectiveness of vaccines or alternative treatments;</w:t>
      </w:r>
    </w:p>
    <w:p>
      <w:pPr>
        <w:spacing w:after="0" w:line="95" w:lineRule="exact"/>
        <w:rPr>
          <w:rFonts w:ascii="Times New Roman" w:cs="Times New Roman" w:eastAsia="Times New Roman" w:hAnsi="Times New Roman"/>
          <w:sz w:val="18"/>
          <w:szCs w:val="18"/>
          <w:color w:val="auto"/>
        </w:rPr>
      </w:pPr>
    </w:p>
    <w:p>
      <w:pPr>
        <w:jc w:val="both"/>
        <w:ind w:left="880" w:hanging="323"/>
        <w:spacing w:after="0" w:line="256" w:lineRule="auto"/>
        <w:tabs>
          <w:tab w:leader="none" w:pos="87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suppliers, contract manufacturers, contractors and third-party logistics providers to meet their obligations to us (including supplying us with essential raw materials, components and finished products, or shipping finished goods to customers) on a timely basis and at previously anticipated costs without significant disruption, and our ability to identify alternative sources of materials and services, if necessary;</w:t>
      </w:r>
    </w:p>
    <w:p>
      <w:pPr>
        <w:spacing w:after="0" w:line="47" w:lineRule="exact"/>
        <w:rPr>
          <w:rFonts w:ascii="Times New Roman" w:cs="Times New Roman" w:eastAsia="Times New Roman" w:hAnsi="Times New Roman"/>
          <w:sz w:val="18"/>
          <w:szCs w:val="18"/>
          <w:color w:val="auto"/>
        </w:rPr>
      </w:pPr>
    </w:p>
    <w:p>
      <w:pPr>
        <w:jc w:val="both"/>
        <w:ind w:left="880" w:hanging="323"/>
        <w:spacing w:after="0" w:line="256" w:lineRule="auto"/>
        <w:tabs>
          <w:tab w:leader="none" w:pos="87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meet our customers’ needs in the event of the suspension or interruption of essential elements of our manufacturing and supply arrangements and activities such as the continued availability of raw materials, transportation, labor and production capacity and at previously anticipated costs;</w:t>
      </w:r>
    </w:p>
    <w:p>
      <w:pPr>
        <w:spacing w:after="0" w:line="60" w:lineRule="exact"/>
        <w:rPr>
          <w:rFonts w:ascii="Times New Roman" w:cs="Times New Roman" w:eastAsia="Times New Roman" w:hAnsi="Times New Roman"/>
          <w:sz w:val="18"/>
          <w:szCs w:val="18"/>
          <w:color w:val="auto"/>
        </w:rPr>
      </w:pPr>
    </w:p>
    <w:p>
      <w:pPr>
        <w:ind w:left="880" w:hanging="323"/>
        <w:spacing w:after="0" w:line="268" w:lineRule="auto"/>
        <w:tabs>
          <w:tab w:leader="none" w:pos="87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COVID-19 pandemic on our customers (including retailers and distributors), including their ability to remain open, continue to sell our products, pay for the products purchased from us on a timely basis or at all and collect payment from their customers;</w:t>
      </w:r>
    </w:p>
    <w:p>
      <w:pPr>
        <w:spacing w:after="0" w:line="50" w:lineRule="exact"/>
        <w:rPr>
          <w:rFonts w:ascii="Times New Roman" w:cs="Times New Roman" w:eastAsia="Times New Roman" w:hAnsi="Times New Roman"/>
          <w:sz w:val="18"/>
          <w:szCs w:val="18"/>
          <w:color w:val="auto"/>
        </w:rPr>
      </w:pPr>
    </w:p>
    <w:p>
      <w:pPr>
        <w:ind w:left="880" w:hanging="323"/>
        <w:spacing w:after="0" w:line="268" w:lineRule="auto"/>
        <w:tabs>
          <w:tab w:leader="none" w:pos="87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the financial and credit markets and economic activity generally, including our ability to maintain compliance with financial covenants, access lending, capital markets, and other sources of liquidity when needed on reasonable terms or at all;</w:t>
      </w:r>
    </w:p>
    <w:p>
      <w:pPr>
        <w:spacing w:after="0" w:line="37" w:lineRule="exact"/>
        <w:rPr>
          <w:rFonts w:ascii="Times New Roman" w:cs="Times New Roman" w:eastAsia="Times New Roman" w:hAnsi="Times New Roman"/>
          <w:sz w:val="18"/>
          <w:szCs w:val="18"/>
          <w:color w:val="auto"/>
        </w:rPr>
      </w:pPr>
    </w:p>
    <w:p>
      <w:pPr>
        <w:ind w:left="860" w:hanging="303"/>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labor, commodities, components, parts and accessories and/or transportation related costs; and</w:t>
      </w:r>
    </w:p>
    <w:p>
      <w:pPr>
        <w:spacing w:after="0" w:line="95" w:lineRule="exact"/>
        <w:rPr>
          <w:rFonts w:ascii="Times New Roman" w:cs="Times New Roman" w:eastAsia="Times New Roman" w:hAnsi="Times New Roman"/>
          <w:sz w:val="18"/>
          <w:szCs w:val="18"/>
          <w:color w:val="auto"/>
        </w:rPr>
      </w:pPr>
    </w:p>
    <w:p>
      <w:pPr>
        <w:jc w:val="both"/>
        <w:ind w:left="880" w:hanging="323"/>
        <w:spacing w:after="0" w:line="252" w:lineRule="auto"/>
        <w:tabs>
          <w:tab w:leader="none" w:pos="87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products, which may be impacted by, among other things, the temporary inability of consumers to purchase our products due to illness, quarantine, travel restrictions or financial hardship, shifts in short- or long-term consumer behavior including moving from one or more of our more discretionary and profitable products to less profitable products, or stockpiling and similar pantry-loading activity that could negatively impact future demand.</w:t>
      </w:r>
    </w:p>
    <w:p>
      <w:pPr>
        <w:spacing w:after="0" w:line="64"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Negative developments with respect to any of these items could have a material adverse effect on our business, results of operations, financial condition and/or cash flows.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197"/>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Because of the concentration of our sales to a small number of retail customers, the loss of one or more of, or a significant reduction in orders from, our top customers, or a material reduction in the inventory of our products that they carry, could adversely affect our financial results.</w:t>
      </w:r>
    </w:p>
    <w:p>
      <w:pPr>
        <w:spacing w:after="0" w:line="47"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Our top two retail customers, Home Depot and Lowe’s, together accounted for 43% of our fiscal 2022 net sales and 46% of our outstanding accounts receivable as of September 30, 2022. The loss of, or reduction in orders from any major customer for any reason (including, for example, changes in a retailer’s strategy, reduction in inventories of our products that they maintain, claims or allegations that our products or products we market on behalf of third parties are unsafe, a decline in consumer demand, regulatory, legal or other external pressures or a change in marketing strategy), and customer disputes regarding shipments, fees, merchandise condition or related matters could have a material adverse effect on our business, financial condition, results of operations and cash flows. Our inability to collect accounts receivable from one of our major customers, or a significant deterioration in the financial condition of one of these customers, including a bankruptcy filing or a liquidation, could also have a material adverse effect on our financial condition, results of operations and cash flows.</w:t>
      </w:r>
    </w:p>
    <w:p>
      <w:pPr>
        <w:spacing w:after="0" w:line="57"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We do not have long-term sales agreements with, or other contractual assurances as to future sales to, any of our major retail customers. In addition, continued consolidation in the retail industry has resulted in an increasingly concentrated retail base, and as a result, we are significantly dependent upon sales to key retailers who have significant bargaining strength. To the extent such concentration continues to occur, our net sales and income from operations may be increasingly sensitive to deterioration in the financial condition of, or other adverse developments involving our relationship with, one or more of our key customers. In addition, our business may be negatively affected by changes in the policies of our retailers, such as inventory reductions, limitations on access to shelf space, price demands and other conditions.</w:t>
      </w:r>
    </w:p>
    <w:p>
      <w:pPr>
        <w:spacing w:after="0" w:line="1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We may not successfully develop new product lines and products or improve existing product lines and products.</w:t>
      </w:r>
    </w:p>
    <w:p>
      <w:pPr>
        <w:spacing w:after="0" w:line="99"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Our future success depends on creating and successfully competing in markets for our products including our ability to improve our existing product lines and products and to develop and manufacture new product lines and products to meet evolving consumer needs. We cannot provide any assurance that we will be successful in developing and manufacturing new product lines and products or product innovations that satisfy consumer needs or achieve market acceptance, or that we will develop, manufacture and market new product lines and products or product innovations in a timely manner. If we fail to successfully develop and manufacture new product lines and products or product innovations, our ability to maintain or grow our market share may be adversely affected, which could materially adversely affect our business, financial condition and results of operations. In addition, the development and introduction of new product lines and products and product innovations require substantial research and development expenditures, which we may be unable to recoup if such new product lines, products or innovations do not achieve market acceptance.</w:t>
      </w:r>
    </w:p>
    <w:p>
      <w:pPr>
        <w:spacing w:after="0" w:line="70"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Many of the products we manufacture and market contain active ingredients that are subject to regulatory approval. The need to obtain such approval could delay the launch of new products or product innovations that contain active ingredients or otherwise prevent us from developing and manufacturing certain products and product innovations.</w:t>
      </w:r>
    </w:p>
    <w:p>
      <w:pPr>
        <w:spacing w:after="0" w:line="1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Our marketing activities may not be successful.</w:t>
      </w:r>
    </w:p>
    <w:p>
      <w:pPr>
        <w:spacing w:after="0" w:line="86"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We invest substantial resources in advertising, consumer promotions and other marketing activities to maintain, extend and expand our brand image. Negative publicity about us or our brands, including publicity regarding product safety, quality, efficacy, environmental impacts (including packaging, energy and water use and matters related to climate impact and waste management) and other sustainability or similar issues, whether real or perceived, could occur and could be widely and rapidly disseminated, including through the use of social media sites. There can be no assurances that our marketing strategies will be effective or that the amount we invest in advertising activities will result in a corresponding increase in sales of our products. If our marketing initiatives are unsuccessful, including our ability to leverage new media such as digital media and social networks to reach existing and potential customers or our brands suffer damage to reputation due to real or perceived quality issues which reputational damage can be quickly multiplied by social media, we will have incurred significant expenses without the benefit of higher revenues.</w:t>
      </w:r>
    </w:p>
    <w:p>
      <w:pPr>
        <w:spacing w:after="0" w:line="1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The highly competitive nature of our markets could adversely affect our ability to maintain or grow revenues.</w:t>
      </w:r>
    </w:p>
    <w:p>
      <w:pPr>
        <w:spacing w:after="0" w:line="99"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Each of our operating segments participates in highly competitive markets. Our products compete against national and regional products and private label products produced by various suppliers. Many of our competitors sell their products at prices lower than ours. Our most price sensitive customers may trade down to lower priced products during challenging economic times or if current economic conditions worsen. We compete primarily on the basis of product innovation, product quality, product performance, value, brand strength, supply chain competency, field sales support, in-store sales support, the strength of our relationships with major retailers and advertising. Some of our competitors have significant financial resources. The strong competition that we face in all of our markets may prevent us from achieving our revenue goals, which may have a material adverse effect on our financial condition, results of operations and cash flows.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Our manufacturing operations, including our reliance on third-party manufacturers, could harm our business.</w:t>
      </w:r>
    </w:p>
    <w:p>
      <w:pPr>
        <w:spacing w:after="0" w:line="99"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We may not be able to maintain or develop efficient, low-cost manufacturing capability and processes that will enable us to meet the quality, price, design and product standards or production volumes required to successfully manufacture our products. Even if we are successful in maintaining and developing our manufacturing capabilities and processes, we may not be able to do so in time to satisfy the requirements of our customers.</w:t>
      </w:r>
    </w:p>
    <w:p>
      <w:pPr>
        <w:spacing w:after="0" w:line="47"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We rely on third parties to manufacture certain products. This reliance generates a number of risks, including decreased control over the production and related processes, which could lead to production delays or interruptions and inferior product quality control. In addition, performance problems at these third-party manufacturers could lead to cost overruns, shortages or other problems, which could increase our costs of production or result in delivery shortages or delays to our customers.</w:t>
      </w:r>
    </w:p>
    <w:p>
      <w:pPr>
        <w:spacing w:after="0" w:line="64"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In addition, if one or more of our third-party manufacturers becomes insolvent or unwilling to continue to manufacture products of acceptable quality, at acceptable costs and in a timely manner, our ability to deliver products to our retail customers could be significantly impaired. Substitute manufacturers may not be available or, if available, may be unwilling or unable to manufacture the products we need on acceptable terms. Moreover, if customer demand for our products increases, we may be unable to secure sufficient additional capacity from our current third-party manufacturers, or others, on commercially reasonable terms, or at all.</w:t>
      </w:r>
    </w:p>
    <w:p>
      <w:pPr>
        <w:spacing w:after="0" w:line="1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Our business is subject to risks associated with sourcing and manufacturing outside of the U.S. and risks from tariffs and/or international trade wars.</w:t>
      </w:r>
    </w:p>
    <w:p>
      <w:pPr>
        <w:spacing w:after="0" w:line="122"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We import many of our raw materials and finished goods from countries outside of the United States, including but not limited to China. Our import operations are subject to complex customs laws, regulations, tax requirements, and trade regulations, such as tariffs set by governments, either through mutual agreements or bilateral actions. Tariffs on goods imported into the U.S., particularly goods from China, have increased the cost of the goods we purchase. Additional tariffs could be imposed by the U.S. with relatively short notice to us. These governmental actions could have, and any similar future actions may have, a material adverse effect on our business, financial condition and results of operations. The overall effect of these risks is that our costs may increase or we may experience supply disruptions, which in turn may result in lower profitability if we are unable to offset such increases through higher prices, and/or that we may suffer a decline in sales if our customers do not accept price increases.</w:t>
      </w:r>
    </w:p>
    <w:p>
      <w:pPr>
        <w:spacing w:after="0" w:line="1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Our reliance on a limited base of suppliers may result in disruptions to our business and adversely affect our financial results.</w:t>
      </w:r>
    </w:p>
    <w:p>
      <w:pPr>
        <w:spacing w:after="0" w:line="86"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Although we continue to implement risk mitigation strategies for single-source suppliers, we also rely on a limited number of suppliers for certain of our raw materials, product components and other necessary supplies, including certain active ingredients used in our products. If we are unable to maintain supplier arrangements and relationships, if we are unable to contract with suppliers at the quantity and quality levels needed for our business, or if any of our key suppliers becomes insolvent or experience other financial distress, we could experience disruptions in production, which could have a material adverse effect on our financial condition, results of operations and cash flows.</w:t>
      </w:r>
    </w:p>
    <w:p>
      <w:pPr>
        <w:spacing w:after="0" w:line="131" w:lineRule="exact"/>
        <w:rPr>
          <w:sz w:val="20"/>
          <w:szCs w:val="20"/>
          <w:color w:val="auto"/>
        </w:rPr>
      </w:pPr>
    </w:p>
    <w:p>
      <w:pPr>
        <w:jc w:val="both"/>
        <w:ind w:firstLine="197"/>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A significant interruption in the operation of our or our suppliers’ facilities could impact our capacity to produce products and service our customers, which could adversely affect revenues and earnings.</w:t>
      </w:r>
    </w:p>
    <w:p>
      <w:pPr>
        <w:spacing w:after="0" w:line="47"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Operations at our and our suppliers’ facilities are subject to disruption for a variety of reasons, including fire, flooding or other natural disasters, disease outbreaks or pandemics, acts of war, terrorism, government shut-downs and work stoppages. A significant interruption in the operation of our or our suppliers’ facilities, including as a result of COVID-19, could significantly impact our capacity to produce products and service our customers in a timely manner, which could have a material adverse effect on our revenues, earnings and financial position, particularly with respect to products that we manufacture at a limited number of facilities, such as our fertilizer and liquid products.</w:t>
      </w:r>
    </w:p>
    <w:p>
      <w:pPr>
        <w:spacing w:after="0" w:line="1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Disruptions to transportation channels that we use to distribute our products may adversely affect our margins and profitability.</w:t>
      </w:r>
    </w:p>
    <w:p>
      <w:pPr>
        <w:spacing w:after="0" w:line="99"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We may experience disruptions to the transportation channels used to distribute our products, including increased congestion, a lack of transportation capacity, increased fuel expenses, import or export controls or delays, and labor disputes or shortages. Disruptions in our trucking capacity may result in reduced sales or increased costs, including the additional use of more expensive or less efficient alternatives to meet demand. Congestion can affect previously negotiated contracts with shipping companies, resulting in unexpected increases in shipping costs, reduction in our profitability or reduced sales. For example, the COVID-19 pandemic and resulting shifts in demand or changes in our extended supply chain has resulted in several disruptions and delays, as well as quantity limits and price increases, in our transportation channels.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Climate change and unfavorable weather conditions could adversely impact financial results.</w:t>
      </w:r>
    </w:p>
    <w:p>
      <w:pPr>
        <w:spacing w:after="0" w:line="99"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Our consumer lawn and garden net sales in any one year are susceptible to weather conditions in the markets in which our products are sold. For instance, periods of abnormally wet or dry weather can adversely impact the sale of certain products, while increasing demand for other products with the overall impact to the Company difficult to predict.</w:t>
      </w:r>
    </w:p>
    <w:p>
      <w:pPr>
        <w:spacing w:after="0" w:line="47"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Climate change continues to receive increasing global attention. The possible effects of climate change could include changes in rainfall patterns, water shortages, changing storm patterns and intensities, changing temperature levels and changes in legislation, regulation and international accords. These changes could over time affect, for example, the availability and cost of raw materials, commodities and energy, which in turn may impact our ability to procure goods or services required for the operation of our business at the quantities and levels we require.</w:t>
      </w:r>
    </w:p>
    <w:p>
      <w:pPr>
        <w:spacing w:after="0" w:line="64"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Consumers and businesses also may change their behavior on their own as a result of concerns regarding the impact of climate change, governmental regulations and public perceptions. We will need to respond to new laws and regulations as well as consumer and business preferences resulting from climate change concerns. Climate change may decrease demand for our products and services, particularly in certain sectors. In addition, fluctuating climatic conditions may result in unpredictable modifications in the manner in which consumers garden or their attitudes towards gardening, making it more difficult for us to provide appropriate products to appropriate markets in time to meet consumer demand.</w:t>
      </w:r>
    </w:p>
    <w:p>
      <w:pPr>
        <w:spacing w:after="0" w:line="70" w:lineRule="exact"/>
        <w:rPr>
          <w:sz w:val="20"/>
          <w:szCs w:val="20"/>
          <w:color w:val="auto"/>
        </w:rPr>
      </w:pPr>
    </w:p>
    <w:p>
      <w:pPr>
        <w:jc w:val="both"/>
        <w:ind w:firstLine="434"/>
        <w:spacing w:after="0" w:line="266" w:lineRule="auto"/>
        <w:rPr>
          <w:sz w:val="20"/>
          <w:szCs w:val="20"/>
          <w:color w:val="auto"/>
        </w:rPr>
      </w:pPr>
      <w:r>
        <w:rPr>
          <w:rFonts w:ascii="Times New Roman" w:cs="Times New Roman" w:eastAsia="Times New Roman" w:hAnsi="Times New Roman"/>
          <w:sz w:val="18"/>
          <w:szCs w:val="18"/>
          <w:color w:val="auto"/>
        </w:rPr>
        <w:t>Additionally, climate change may present additional physical risks to our operations (including damage to our manufacturing and distribution facilities or the manufacturing and distribution facilities of our suppliers) which could disrupt our supply chain or harm or disrupt our operations or those of our customers or suppliers</w:t>
      </w:r>
      <w:r>
        <w:rPr>
          <w:rFonts w:ascii="Arial" w:cs="Arial" w:eastAsia="Arial" w:hAnsi="Arial"/>
          <w:sz w:val="18"/>
          <w:szCs w:val="18"/>
          <w:color w:val="auto"/>
        </w:rPr>
        <w:t>.</w:t>
      </w:r>
    </w:p>
    <w:p>
      <w:pPr>
        <w:spacing w:after="0" w:line="1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corporate citizenship and ESG matters and/or our reporting of such matters.</w:t>
      </w:r>
    </w:p>
    <w:p>
      <w:pPr>
        <w:spacing w:after="0" w:line="86"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Certain investors, customers, consumers, employees, and other stakeholders are increasing their focus on corporate citizenship and sustainability matters. From time to time, we communicate certain initiatives, including goals, regarding environmental matters, responsible sourcing and social investments, including pursuant to our Corporate Responsibility Report. We could fail, or be perceived to fail, to achieve such initiatives or goals, or we could fail in fully and accurately reporting our progress on such initiatives and goals. In addition, we could be criticized for the scope of such initiatives or goals or perceived as not acting responsibly in connection with these matters. Our business could be negatively impacted by such matters. Any such matters, or related corporate citizenship and sustainability matters, could have a material adverse effect on our business.</w:t>
      </w:r>
    </w:p>
    <w:p>
      <w:pPr>
        <w:spacing w:after="0" w:line="132" w:lineRule="exact"/>
        <w:rPr>
          <w:sz w:val="20"/>
          <w:szCs w:val="20"/>
          <w:color w:val="auto"/>
        </w:rPr>
      </w:pPr>
    </w:p>
    <w:p>
      <w:pPr>
        <w:jc w:val="both"/>
        <w:ind w:firstLine="197"/>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products may be purchased for use in new and emerging industries or segments and/or be subject to varying, inconsistent, and rapidly changing laws, regulations, administrative practices, enforcement approaches, judicial interpretations, and consumer perceptions.</w:t>
      </w:r>
    </w:p>
    <w:p>
      <w:pPr>
        <w:spacing w:after="0" w:line="47"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We sell products, including hydroponic gardening products, that end users may purchase for use in new and emerging industries or segments, including the growing of cannabis, that may not grow or achieve market acceptance in a manner that we can predict. The demand for these products depends on the uncertain growth of these industries or segments. For example, our Hawthorne segment sales volume has decreased due to an oversupply of cannabis, which has driven cannabis wholesale prices down significantly and has resulted in a decrease in indoor and outdoor cultivation. The oversupply has been driven by the impacts of increased licensing activity across the U.S., as well as significant capital investment in the cannabis production marketplace over the past several years and the market impacts of the COVID-19 pandemic.</w:t>
      </w:r>
    </w:p>
    <w:p>
      <w:pPr>
        <w:spacing w:after="0" w:line="70" w:lineRule="exact"/>
        <w:rPr>
          <w:sz w:val="20"/>
          <w:szCs w:val="20"/>
          <w:color w:val="auto"/>
        </w:rPr>
      </w:pPr>
    </w:p>
    <w:p>
      <w:pPr>
        <w:jc w:val="both"/>
        <w:ind w:firstLine="434"/>
        <w:spacing w:after="0" w:line="293" w:lineRule="auto"/>
        <w:rPr>
          <w:sz w:val="20"/>
          <w:szCs w:val="20"/>
          <w:color w:val="auto"/>
        </w:rPr>
      </w:pPr>
      <w:r>
        <w:rPr>
          <w:rFonts w:ascii="Times New Roman" w:cs="Times New Roman" w:eastAsia="Times New Roman" w:hAnsi="Times New Roman"/>
          <w:sz w:val="16"/>
          <w:szCs w:val="16"/>
          <w:color w:val="auto"/>
        </w:rPr>
        <w:t>In addition, we sell products that end users may purchase for use in industries or segments, including the growing of cannabis, that are subject to varying, inconsistent, and rapidly changing laws, regulations, administrative practices, enforcement approaches, judicial interpretations, and consumer perceptions. For example, certain countries and 39 U.S. states have adopted frameworks that authorize, regulate, and tax the cultivation, processing, sale, and use of cannabis for medicinal and/or non-medicinal use, while the U.S. Controlled Substances Act and the laws of other U.S. states prohibit growing cannabis.</w:t>
      </w:r>
    </w:p>
    <w:p>
      <w:pPr>
        <w:spacing w:after="0" w:line="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effectively execute our e-commerce business, our reputation and operating results may be harmed.</w:t>
      </w:r>
    </w:p>
    <w:p>
      <w:pPr>
        <w:spacing w:after="0" w:line="86"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We sell certain of our products over the Internet through our online store and other e-commerce retail platforms. The success of our e-commerce business depends on our investment in these platforms, consumer preferences and buying trends relating to e-commerce, and our ability to both maintain the continuous operation of our online store and our fulfillment operations that support both our own and our retail customers’ e-commerce platforms. It is essential that these platforms provide a shopping experience that will generate orders and return visits to the respective platforms.</w:t>
      </w:r>
    </w:p>
    <w:p>
      <w:pPr>
        <w:spacing w:after="0" w:line="64"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We are also vulnerable to certain additional risks and uncertainties associated with our e-commerce business, including: changes in required technology interfaces; website downtime and other technical failures; costs and technical issues associated with website software, systems and technology investments and upgrades; data and system security; system failures, disruptions and breaches and the costs to address and remedy such failures, disruptions or breaches; computer viruses; and changes in and compliance with applicable federal and state regulations. In addition, our efforts to remain competitive with technology trends,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including the use of new or improved technology, creative user interfaces and other e-commerce marketing tools such as paid search and mobile applications, among others, may increase our costs and may not increase sales or attract consumers. Our failure to successfully respond to these risks and uncertainties might adversely affect the sales of our e-commerce business, as well as damage our reputation and brands.</w:t>
      </w:r>
    </w:p>
    <w:p>
      <w:pPr>
        <w:spacing w:after="0" w:line="47"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Additionally, the success of our e-commerce business and the satisfaction of our consumers depend on the timely receipt of our products by our consumers. The efficient delivery of our products to our consumers requires that our distribution centers have adequate capacity to support the current level of e-commerce operations and any anticipated increased levels that may occur as a result of the growth of our e-commerce business. If we encounter difficulties with our distribution centers, or if any distribution centers shut down for any reason, including as a result of fire or other natural disaster, we could face inventory shortages that may result in out of stock conditions in our online store, incur significantly higher costs and longer lead times associated with distributing our products to our consumers and experience dissatisfaction from our consumers. Any of these issues could have a material adverse effect on our business and harm our reputation.</w:t>
      </w:r>
    </w:p>
    <w:p>
      <w:pPr>
        <w:spacing w:after="0" w:line="135" w:lineRule="exact"/>
        <w:rPr>
          <w:sz w:val="20"/>
          <w:szCs w:val="20"/>
          <w:color w:val="auto"/>
        </w:rPr>
      </w:pPr>
    </w:p>
    <w:p>
      <w:pPr>
        <w:jc w:val="both"/>
        <w:ind w:firstLine="197"/>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operations may be impaired if our information technology systems fail to perform adequately or if we are the subject of a data breach or cyber attack.</w:t>
      </w:r>
    </w:p>
    <w:p>
      <w:pPr>
        <w:spacing w:after="0" w:line="47"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We rely on information technology systems to conduct business, including communicating with employees and our key retail customers, ordering and managing materials from suppliers, shipping products to retail customers and analyzing and reporting results of operations. While we have taken steps to ensure the security of our information technology systems, our 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retail customers could be significantly impaired, which may adversely impact our business.</w:t>
      </w:r>
    </w:p>
    <w:p>
      <w:pPr>
        <w:spacing w:after="0" w:line="70"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Additionally, in the normal course of our business, we collect, store and transmit proprietary and confidential information regarding our customers, employees, suppliers and others, including personally identifiable information. An operational failure or breach of security from increasingly sophisticated cyber threats could lead to loss, misuse or unauthorized disclosure of this information about our employees or consumers, which may result in regulatory or other legal proceedings, and have a material adverse effect on our business and reputation. We also may not have the resources or technical sophistication to anticipate or prevent rapidly-evolving types of cyber attacks. Any such attacks or precautionary measures taken to prevent anticipated attacks may result in increasing costs, including costs for additional technologies, training and third party consultants. The losses incurred from a breach of data security and operational failures as well as the precautionary measures required to address this evolving risk may adversely impact our financial condition, results of operations and cash flows.</w:t>
      </w:r>
    </w:p>
    <w:p>
      <w:pPr>
        <w:spacing w:after="0" w:line="1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make us susceptible to the costs and risks associated with operating internationally.</w:t>
      </w:r>
    </w:p>
    <w:p>
      <w:pPr>
        <w:spacing w:after="0" w:line="86"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We operate manufacturing, sales and service facilities outside of the United States, particularly in Canada, the Netherlands and China. Accordingly, we are subject to risks associated with operating in foreign countries, including:</w:t>
      </w:r>
    </w:p>
    <w:p>
      <w:pPr>
        <w:spacing w:after="0" w:line="50" w:lineRule="exact"/>
        <w:rPr>
          <w:sz w:val="20"/>
          <w:szCs w:val="20"/>
          <w:color w:val="auto"/>
        </w:rPr>
      </w:pPr>
    </w:p>
    <w:p>
      <w:pPr>
        <w:ind w:left="860" w:hanging="303"/>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95" w:lineRule="exact"/>
        <w:rPr>
          <w:rFonts w:ascii="Times New Roman" w:cs="Times New Roman" w:eastAsia="Times New Roman" w:hAnsi="Times New Roman"/>
          <w:sz w:val="18"/>
          <w:szCs w:val="18"/>
          <w:color w:val="auto"/>
        </w:rPr>
      </w:pPr>
    </w:p>
    <w:p>
      <w:pPr>
        <w:ind w:left="860" w:hanging="303"/>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remittance of dividends and other payments by foreign subsidiaries;</w:t>
      </w:r>
    </w:p>
    <w:p>
      <w:pPr>
        <w:spacing w:after="0" w:line="82" w:lineRule="exact"/>
        <w:rPr>
          <w:rFonts w:ascii="Times New Roman" w:cs="Times New Roman" w:eastAsia="Times New Roman" w:hAnsi="Times New Roman"/>
          <w:sz w:val="18"/>
          <w:szCs w:val="18"/>
          <w:color w:val="auto"/>
        </w:rPr>
      </w:pPr>
    </w:p>
    <w:p>
      <w:pPr>
        <w:ind w:left="860" w:hanging="303"/>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costs of compliance with local regulations;</w:t>
      </w:r>
    </w:p>
    <w:p>
      <w:pPr>
        <w:spacing w:after="0" w:line="95" w:lineRule="exact"/>
        <w:rPr>
          <w:rFonts w:ascii="Times New Roman" w:cs="Times New Roman" w:eastAsia="Times New Roman" w:hAnsi="Times New Roman"/>
          <w:sz w:val="18"/>
          <w:szCs w:val="18"/>
          <w:color w:val="auto"/>
        </w:rPr>
      </w:pPr>
    </w:p>
    <w:p>
      <w:pPr>
        <w:ind w:left="860" w:hanging="303"/>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in certain countries, higher rates of inflation than in the United States;</w:t>
      </w:r>
    </w:p>
    <w:p>
      <w:pPr>
        <w:spacing w:after="0" w:line="95" w:lineRule="exact"/>
        <w:rPr>
          <w:rFonts w:ascii="Times New Roman" w:cs="Times New Roman" w:eastAsia="Times New Roman" w:hAnsi="Times New Roman"/>
          <w:sz w:val="18"/>
          <w:szCs w:val="18"/>
          <w:color w:val="auto"/>
        </w:rPr>
      </w:pPr>
    </w:p>
    <w:p>
      <w:pPr>
        <w:ind w:left="860" w:hanging="303"/>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conditions or consumer preferences or demand for our products in these markets;</w:t>
      </w:r>
    </w:p>
    <w:p>
      <w:pPr>
        <w:spacing w:after="0" w:line="82" w:lineRule="exact"/>
        <w:rPr>
          <w:rFonts w:ascii="Times New Roman" w:cs="Times New Roman" w:eastAsia="Times New Roman" w:hAnsi="Times New Roman"/>
          <w:sz w:val="18"/>
          <w:szCs w:val="18"/>
          <w:color w:val="auto"/>
        </w:rPr>
      </w:pPr>
    </w:p>
    <w:p>
      <w:pPr>
        <w:ind w:left="860" w:hanging="303"/>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actions by multinational governing bodies, foreign governments or subdivisions thereof;</w:t>
      </w:r>
    </w:p>
    <w:p>
      <w:pPr>
        <w:spacing w:after="0" w:line="95" w:lineRule="exact"/>
        <w:rPr>
          <w:rFonts w:ascii="Times New Roman" w:cs="Times New Roman" w:eastAsia="Times New Roman" w:hAnsi="Times New Roman"/>
          <w:sz w:val="18"/>
          <w:szCs w:val="18"/>
          <w:color w:val="auto"/>
        </w:rPr>
      </w:pPr>
    </w:p>
    <w:p>
      <w:pPr>
        <w:ind w:left="860" w:hanging="303"/>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labor laws and regulations affecting our ability to hire and retain employees;</w:t>
      </w:r>
    </w:p>
    <w:p>
      <w:pPr>
        <w:spacing w:after="0" w:line="95" w:lineRule="exact"/>
        <w:rPr>
          <w:rFonts w:ascii="Times New Roman" w:cs="Times New Roman" w:eastAsia="Times New Roman" w:hAnsi="Times New Roman"/>
          <w:sz w:val="18"/>
          <w:szCs w:val="18"/>
          <w:color w:val="auto"/>
        </w:rPr>
      </w:pPr>
    </w:p>
    <w:p>
      <w:pPr>
        <w:ind w:left="860" w:hanging="303"/>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and foreign laws regarding trade and investment, including the impact of tariffs;</w:t>
      </w:r>
    </w:p>
    <w:p>
      <w:pPr>
        <w:spacing w:after="0" w:line="82" w:lineRule="exact"/>
        <w:rPr>
          <w:rFonts w:ascii="Times New Roman" w:cs="Times New Roman" w:eastAsia="Times New Roman" w:hAnsi="Times New Roman"/>
          <w:sz w:val="18"/>
          <w:szCs w:val="18"/>
          <w:color w:val="auto"/>
        </w:rPr>
      </w:pPr>
    </w:p>
    <w:p>
      <w:pPr>
        <w:ind w:left="860" w:hanging="303"/>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robust protection of our intellectual property under foreign laws; and</w:t>
      </w:r>
    </w:p>
    <w:p>
      <w:pPr>
        <w:spacing w:after="0" w:line="95" w:lineRule="exact"/>
        <w:rPr>
          <w:rFonts w:ascii="Times New Roman" w:cs="Times New Roman" w:eastAsia="Times New Roman" w:hAnsi="Times New Roman"/>
          <w:sz w:val="18"/>
          <w:szCs w:val="18"/>
          <w:color w:val="auto"/>
        </w:rPr>
      </w:pPr>
    </w:p>
    <w:p>
      <w:pPr>
        <w:ind w:left="860" w:hanging="303"/>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obtaining distribution and support for our products, including the impact of shipping port delays.</w:t>
      </w:r>
    </w:p>
    <w:p>
      <w:pPr>
        <w:spacing w:after="0" w:line="95"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associated with operating our continuing international business could adversely affect our results of operations, financial condition and cash flows in the future.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197"/>
        <w:spacing w:after="0" w:line="232" w:lineRule="auto"/>
        <w:rPr>
          <w:sz w:val="20"/>
          <w:szCs w:val="20"/>
          <w:color w:val="auto"/>
        </w:rPr>
      </w:pPr>
      <w:r>
        <w:rPr>
          <w:rFonts w:ascii="Times New Roman" w:cs="Times New Roman" w:eastAsia="Times New Roman" w:hAnsi="Times New Roman"/>
          <w:sz w:val="18"/>
          <w:szCs w:val="18"/>
          <w:b w:val="1"/>
          <w:bCs w:val="1"/>
          <w:i w:val="1"/>
          <w:iCs w:val="1"/>
          <w:color w:val="auto"/>
        </w:rPr>
        <w:t>In the event the Third Restated Agreement for Monsanto’s consumer Roundup</w:t>
      </w:r>
      <w:r>
        <w:rPr>
          <w:rFonts w:ascii="Times New Roman" w:cs="Times New Roman" w:eastAsia="Times New Roman" w:hAnsi="Times New Roman"/>
          <w:sz w:val="22"/>
          <w:szCs w:val="22"/>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products terminates or Monsanto’s consumer Roundup</w:t>
      </w:r>
      <w:r>
        <w:rPr>
          <w:rFonts w:ascii="Times New Roman" w:cs="Times New Roman" w:eastAsia="Times New Roman" w:hAnsi="Times New Roman"/>
          <w:sz w:val="22"/>
          <w:szCs w:val="22"/>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business materially declines, we would lose a substantial source of future earnings and overhead expense absorption.</w:t>
      </w:r>
    </w:p>
    <w:p>
      <w:pPr>
        <w:spacing w:after="0" w:line="75"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If we (i) become insolvent, (ii) commit a material breach, material fraud or material willful misconduct under the Third Restated Agreement, (iii) experience a change of control (subject to certain exceptions), or (iv) impermissibly assign our rights or delegate our obligations under the Third Restated Agreement, Monsanto may terminate the Third Restated Agreement without paying a termination fee to the Company, subject to certain terms and conditions as set forth in the applicable agreements. In addition, if Program EBIT (as defined in the Third Restated Agreement) falls below $50 million in any program year, Monsanto may terminate the Third Restated Agreement without paying a termination fee to the Company, subject to certain terms and conditions as set forth in the applicable agreements.</w:t>
      </w:r>
    </w:p>
    <w:p>
      <w:pPr>
        <w:spacing w:after="0" w:line="57" w:lineRule="exact"/>
        <w:rPr>
          <w:sz w:val="20"/>
          <w:szCs w:val="20"/>
          <w:color w:val="auto"/>
        </w:rPr>
      </w:pPr>
    </w:p>
    <w:p>
      <w:pPr>
        <w:jc w:val="both"/>
        <w:ind w:firstLine="434"/>
        <w:spacing w:after="0" w:line="227" w:lineRule="auto"/>
        <w:rPr>
          <w:sz w:val="20"/>
          <w:szCs w:val="20"/>
          <w:color w:val="auto"/>
        </w:rPr>
      </w:pPr>
      <w:r>
        <w:rPr>
          <w:rFonts w:ascii="Times New Roman" w:cs="Times New Roman" w:eastAsia="Times New Roman" w:hAnsi="Times New Roman"/>
          <w:sz w:val="18"/>
          <w:szCs w:val="18"/>
          <w:color w:val="auto"/>
        </w:rPr>
        <w:t>Monsanto may also terminate the Third Restated Agreement in the event of (a) a change of control of Monsanto or a sale of the Roundup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business effective at the end of the fifth full year after providing notice of termination, subject to certain terms and conditions as set forth in the applicable agreements, or (b) Monsanto’s decision to decommission the permits, licenses and registrations needed for, and the trademarks, trade names, packages, copyrights and designs used in, the sale of the Roundup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products in the lawn and garden market (a “Brand Decommissioning Event”), but, in each case, Monsanto would have to pay a termination fee to the Company.</w:t>
      </w:r>
    </w:p>
    <w:p>
      <w:pPr>
        <w:spacing w:after="0" w:line="75"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7"/>
          <w:szCs w:val="17"/>
          <w:color w:val="auto"/>
        </w:rPr>
        <w:t>If circumstances exist or otherwise develop that result in a material decline in Monsanto’s consumer Roundup</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business, or in the event of Monsanto’s insolvency or bankruptcy, we would seek to mitigate the impact on us by exercising various rights and remedies under the Third Restated Agreement and applicable law. We cannot, however, provide any assurance that our exercise of such rights or remedies would produce the desired outcomes or that a material decline in Monsanto’s consumer Roundup</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business would not have a material adverse effect on our business, financial condition or results of operations.</w:t>
      </w:r>
    </w:p>
    <w:p>
      <w:pPr>
        <w:spacing w:after="0" w:line="1" w:lineRule="exact"/>
        <w:rPr>
          <w:sz w:val="20"/>
          <w:szCs w:val="20"/>
          <w:color w:val="auto"/>
        </w:rPr>
      </w:pPr>
    </w:p>
    <w:p>
      <w:pPr>
        <w:jc w:val="both"/>
        <w:ind w:firstLine="434"/>
        <w:spacing w:after="0" w:line="230" w:lineRule="auto"/>
        <w:rPr>
          <w:sz w:val="20"/>
          <w:szCs w:val="20"/>
          <w:color w:val="auto"/>
        </w:rPr>
      </w:pPr>
      <w:r>
        <w:rPr>
          <w:rFonts w:ascii="Times New Roman" w:cs="Times New Roman" w:eastAsia="Times New Roman" w:hAnsi="Times New Roman"/>
          <w:sz w:val="18"/>
          <w:szCs w:val="18"/>
          <w:color w:val="auto"/>
        </w:rPr>
        <w:t>In the event that the Third Restated Agreement terminates or Monsanto’s consumer Roundup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business materially declines, we would lose all, or a substantial portion, of the significant source of earnings and overhead expense absorption the Third Restated Agreement provides.</w:t>
      </w:r>
    </w:p>
    <w:p>
      <w:pPr>
        <w:spacing w:after="0" w:line="62"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For additional information regarding the Third Restated Agreement including certain of our rights and remedies under the Third Restated Agreement, see “NOTE 7. MARKETING AGREEMENT” of the Notes to Consolidated Financial Statements included in this Form 10-K.</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and other proprietary rights that are material to our business.</w:t>
      </w:r>
    </w:p>
    <w:p>
      <w:pPr>
        <w:spacing w:after="0" w:line="99"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Our ability to compete effectively depends in part on our rights to service marks, trademarks, trade names and other intellectual property rights we own or license, particularly our registered brand names and issued patents. We have not sought to register every one of our marks either in the United States or in every country in which such mark is used. Furthermore, because of the differences in foreign trademark, patent and other intellectual property or proprietary rights laws, we may not receive the same protection in other countries as we would in the United States with respect to the registered brand names and issued patents we hold. If we are unable to protect our intellectual property, proprietary information and/or brand names, we could suffer a material adverse effect on our business, financial condition and results of operations.</w:t>
      </w:r>
    </w:p>
    <w:p>
      <w:pPr>
        <w:spacing w:after="0" w:line="70"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Litigation may be necessary to enforce our intellectual property rights and protect our proprietary information, or to defend against claims by third parties that our products or services infringe their intellectual property rights. Any litigation or claims brought by or against us could result in substantial costs and diversion of our resources. A successful claim of trademark, patent or other intellectual property infringement against us, or any other successful challenge to the use of our intellectual property, could subject us to damages or prevent us from providing certain products or services, or using certain of our recognized brand names, which could have a material adverse effect on our business, financial condition and results of operations.</w:t>
      </w:r>
    </w:p>
    <w:p>
      <w:pPr>
        <w:spacing w:after="0" w:line="1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upon the retention and availability of key personnel and the effective succession of senior management.</w:t>
      </w:r>
    </w:p>
    <w:p>
      <w:pPr>
        <w:spacing w:after="0" w:line="86"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Our success largely depends on the performance of our management team and other key personnel. Our future operations could be harmed if we are unable to attract and retain talented, highly qualified senior executives and other key personnel. In addition, if we are unable to effectively provide for the succession of senior management, including our chief executive officer, our business, prospects, results of operations, financial condition and cash flows may be materially adversely affected.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Our workforce reductions may cause undesirable consequences and our results of operations may be harmed.</w:t>
      </w:r>
    </w:p>
    <w:p>
      <w:pPr>
        <w:spacing w:after="0" w:line="99" w:lineRule="exact"/>
        <w:rPr>
          <w:sz w:val="20"/>
          <w:szCs w:val="20"/>
          <w:color w:val="auto"/>
        </w:rPr>
      </w:pPr>
    </w:p>
    <w:p>
      <w:pPr>
        <w:jc w:val="both"/>
        <w:ind w:firstLine="434"/>
        <w:spacing w:after="0" w:line="293" w:lineRule="auto"/>
        <w:rPr>
          <w:sz w:val="20"/>
          <w:szCs w:val="20"/>
          <w:color w:val="auto"/>
        </w:rPr>
      </w:pPr>
      <w:r>
        <w:rPr>
          <w:rFonts w:ascii="Times New Roman" w:cs="Times New Roman" w:eastAsia="Times New Roman" w:hAnsi="Times New Roman"/>
          <w:sz w:val="16"/>
          <w:szCs w:val="16"/>
          <w:color w:val="auto"/>
        </w:rPr>
        <w:t>During fiscal 2022, we undertook a strategic reduction in our workforce as part of a series of organizational changes and initiatives intended to create operational and management-level efficiencies. This workforce reduction may yield unintended consequences, such as attrition beyond our intended reduction in workforce and reduced employee morale, which may cause our employees who were not affected by the reduction in workforce to seek alternate employment. Employees whose positions were eliminated or those who determine to seek alternate employment may seek employment with our competitors.</w:t>
      </w:r>
    </w:p>
    <w:p>
      <w:pPr>
        <w:spacing w:after="0" w:line="22"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We cannot provide assurance that we will not undertake additional workforce reductions or that we will be able to realize the cost savings and other anticipated benefits from our previous or any future workforce reduction plans. In addition, if we continue to reduce our workforce, it may adversely impact our ability to respond rapidly to any new product, growth or revenue opportunities and to execute on our business plans. Additionally, reductions in workforce may make it more difficult to recruit and retain new employees. If we need to increase the size of our workforce in the future, we may encounter a competitive hiring market due to labor shortages, increased employee turnover, changes in the availability of workers and increased wage costs.</w:t>
      </w:r>
    </w:p>
    <w:p>
      <w:pPr>
        <w:spacing w:after="0" w:line="131" w:lineRule="exact"/>
        <w:rPr>
          <w:sz w:val="20"/>
          <w:szCs w:val="20"/>
          <w:color w:val="auto"/>
        </w:rPr>
      </w:pPr>
    </w:p>
    <w:p>
      <w:pPr>
        <w:jc w:val="both"/>
        <w:ind w:firstLine="197"/>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are involved in a number of legal proceedings and, while we cannot predict the outcomes of such proceedings and other contingencies with certainty, some of these outcomes could adversely affect our business, financial condition, results of operations and cash flows.</w:t>
      </w:r>
    </w:p>
    <w:p>
      <w:pPr>
        <w:spacing w:after="0" w:line="47"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We are involved in legal proceedings and are subject to investigations, inspections, audits, inquiries and similar actions by governmental authorities, arising in the course of our business (see the discussion in “ITEM 3. LEGAL PROCEEDINGS” of this Form 10-K). Legal proceedings, in general, can be expensive and disruptive. Some of these suits may purport or may be determined to be class actions and/or involve parties seeking large and/or indeterminate amounts of damages, including punitive or exemplary damages, and may remain unresolved for several years. For example, product liability claims challenging the safety of our products or products we market on behalf of third parties may also result in a decline in sales for a particular product and could damage the reputation or the value of related brands, involve us in litigation and have a material adverse effect on our business.</w:t>
      </w:r>
    </w:p>
    <w:p>
      <w:pPr>
        <w:spacing w:after="0" w:line="70"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From time to time, we are also involved in legal proceedings as a plaintiff involving contract, intellectual property and other matters. We cannot predict with certainty the outcomes of these legal proceedings and other contingencies, and the costs incurred in litigation can be substantial, regardless of the outcome. Substantial unanticipated verdicts, fines and rulings do sometimes occur. As a result, we could from time to time incur judgments, enter into settlements or revise our expectations regarding the outcome of certain matters, and such developments could have a material adverse effect on our results of operations in the period in which the amounts are accrued and/or our cash flows in the period in which the amounts are paid. The outcome of some of these legal proceedings and other contingencies could require us to take, or refrain from taking, actions which could negatively affect our operations and, depending on the nature of the allegations, could negatively impact our reputation or the reputation of products we market on behalf of third parties. Additionally, defending against these legal proceedings may involve significant expense and diversion of management’s attention and resources.</w:t>
      </w:r>
    </w:p>
    <w:p>
      <w:pPr>
        <w:spacing w:after="0" w:line="134" w:lineRule="exact"/>
        <w:rPr>
          <w:sz w:val="20"/>
          <w:szCs w:val="20"/>
          <w:color w:val="auto"/>
        </w:rPr>
      </w:pPr>
    </w:p>
    <w:p>
      <w:pPr>
        <w:ind w:left="200" w:right="3300" w:firstLine="3108"/>
        <w:spacing w:after="0" w:line="382" w:lineRule="auto"/>
        <w:rPr>
          <w:sz w:val="20"/>
          <w:szCs w:val="20"/>
          <w:color w:val="auto"/>
        </w:rPr>
      </w:pPr>
      <w:r>
        <w:rPr>
          <w:rFonts w:ascii="Times New Roman" w:cs="Times New Roman" w:eastAsia="Times New Roman" w:hAnsi="Times New Roman"/>
          <w:sz w:val="18"/>
          <w:szCs w:val="18"/>
          <w:b w:val="1"/>
          <w:bCs w:val="1"/>
          <w:color w:val="auto"/>
        </w:rPr>
        <w:t xml:space="preserve">Risks Related to Our M&amp;A, Lending and Financing Activities </w:t>
      </w:r>
      <w:r>
        <w:rPr>
          <w:rFonts w:ascii="Times New Roman" w:cs="Times New Roman" w:eastAsia="Times New Roman" w:hAnsi="Times New Roman"/>
          <w:sz w:val="18"/>
          <w:szCs w:val="18"/>
          <w:b w:val="1"/>
          <w:bCs w:val="1"/>
          <w:i w:val="1"/>
          <w:iCs w:val="1"/>
          <w:color w:val="auto"/>
        </w:rPr>
        <w:t>Our indebtedness could limit our flexibility and adversely affect our financial condition.</w:t>
      </w: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As of September 30, 2022, we had $2,992.1 million of debt and $1,185.5 million in available borrowings under our credit facility. Our inability to meet restrictive financial and non-financial covenants associated with that debt, or to generate sufficient cash flow to repay maturing debt, could adversely affect our financial condition. For example, our debt level could:</w:t>
      </w:r>
    </w:p>
    <w:p>
      <w:pPr>
        <w:spacing w:after="0" w:line="61" w:lineRule="exact"/>
        <w:rPr>
          <w:sz w:val="20"/>
          <w:szCs w:val="20"/>
          <w:color w:val="auto"/>
        </w:rPr>
      </w:pPr>
    </w:p>
    <w:p>
      <w:pPr>
        <w:ind w:left="860" w:hanging="303"/>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with respect to our indebtedness;</w:t>
      </w:r>
    </w:p>
    <w:p>
      <w:pPr>
        <w:spacing w:after="0" w:line="95" w:lineRule="exact"/>
        <w:rPr>
          <w:rFonts w:ascii="Times New Roman" w:cs="Times New Roman" w:eastAsia="Times New Roman" w:hAnsi="Times New Roman"/>
          <w:sz w:val="18"/>
          <w:szCs w:val="18"/>
          <w:color w:val="auto"/>
        </w:rPr>
      </w:pPr>
    </w:p>
    <w:p>
      <w:pPr>
        <w:ind w:left="860" w:hanging="303"/>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us more vulnerable to general adverse economic and industry conditions;</w:t>
      </w:r>
    </w:p>
    <w:p>
      <w:pPr>
        <w:spacing w:after="0" w:line="82" w:lineRule="exact"/>
        <w:rPr>
          <w:rFonts w:ascii="Times New Roman" w:cs="Times New Roman" w:eastAsia="Times New Roman" w:hAnsi="Times New Roman"/>
          <w:sz w:val="18"/>
          <w:szCs w:val="18"/>
          <w:color w:val="auto"/>
        </w:rPr>
      </w:pPr>
    </w:p>
    <w:p>
      <w:pPr>
        <w:jc w:val="both"/>
        <w:ind w:left="880" w:hanging="323"/>
        <w:spacing w:after="0" w:line="256" w:lineRule="auto"/>
        <w:tabs>
          <w:tab w:leader="none" w:pos="87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cash flows from operating activities to payments on our indebtedness, which would reduce the cash flows available to fund working capital, capital expenditures, advertising, research and development efforts, pay dividends, repurchase our Common Shares and other general corporate activities;</w:t>
      </w:r>
    </w:p>
    <w:p>
      <w:pPr>
        <w:spacing w:after="0" w:line="60" w:lineRule="exact"/>
        <w:rPr>
          <w:rFonts w:ascii="Times New Roman" w:cs="Times New Roman" w:eastAsia="Times New Roman" w:hAnsi="Times New Roman"/>
          <w:sz w:val="18"/>
          <w:szCs w:val="18"/>
          <w:color w:val="auto"/>
        </w:rPr>
      </w:pPr>
    </w:p>
    <w:p>
      <w:pPr>
        <w:ind w:left="860" w:hanging="303"/>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w:t>
      </w:r>
    </w:p>
    <w:p>
      <w:pPr>
        <w:spacing w:after="0" w:line="95" w:lineRule="exact"/>
        <w:rPr>
          <w:rFonts w:ascii="Times New Roman" w:cs="Times New Roman" w:eastAsia="Times New Roman" w:hAnsi="Times New Roman"/>
          <w:sz w:val="18"/>
          <w:szCs w:val="18"/>
          <w:color w:val="auto"/>
        </w:rPr>
      </w:pPr>
    </w:p>
    <w:p>
      <w:pPr>
        <w:ind w:left="860" w:hanging="303"/>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w:t>
      </w:r>
    </w:p>
    <w:p>
      <w:pPr>
        <w:spacing w:after="0" w:line="82" w:lineRule="exact"/>
        <w:rPr>
          <w:rFonts w:ascii="Times New Roman" w:cs="Times New Roman" w:eastAsia="Times New Roman" w:hAnsi="Times New Roman"/>
          <w:sz w:val="18"/>
          <w:szCs w:val="18"/>
          <w:color w:val="auto"/>
        </w:rPr>
      </w:pPr>
    </w:p>
    <w:p>
      <w:pPr>
        <w:ind w:left="880" w:hanging="323"/>
        <w:spacing w:after="0" w:line="268" w:lineRule="auto"/>
        <w:tabs>
          <w:tab w:leader="none" w:pos="87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risks inherent in interest rate fluctuations because some of our borrowings are at variable rates of interest, which could result in higher interest expense in the event of increases in interest rates; and</w:t>
      </w:r>
    </w:p>
    <w:p>
      <w:pPr>
        <w:spacing w:after="0" w:line="50" w:lineRule="exact"/>
        <w:rPr>
          <w:rFonts w:ascii="Times New Roman" w:cs="Times New Roman" w:eastAsia="Times New Roman" w:hAnsi="Times New Roman"/>
          <w:sz w:val="18"/>
          <w:szCs w:val="18"/>
          <w:color w:val="auto"/>
        </w:rPr>
      </w:pPr>
    </w:p>
    <w:p>
      <w:pPr>
        <w:ind w:left="860" w:hanging="303"/>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 that have less debt.</w:t>
      </w:r>
    </w:p>
    <w:p>
      <w:pPr>
        <w:spacing w:after="0" w:line="95"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Our ability to make payments on or to refinance our indebtedness, fund planned capital expenditures and acquisitions, pay dividends and make repurchases of our Common Shares will depend on our ability to generate cash in the future which, to</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extent, is subject to general economic, financial, competitive, legislative, regulatory and other factors that are beyond our control. We cannot provide any assurance that our business will generate sufficient cash flow from operating activities or that future borrowings will be available to us in amounts sufficient to enable us to pay our indebtedness or to fund our other liquidity needs.</w:t>
      </w:r>
    </w:p>
    <w:p>
      <w:pPr>
        <w:spacing w:after="0" w:line="47" w:lineRule="exact"/>
        <w:rPr>
          <w:sz w:val="20"/>
          <w:szCs w:val="20"/>
          <w:color w:val="auto"/>
        </w:rPr>
      </w:pPr>
    </w:p>
    <w:p>
      <w:pPr>
        <w:jc w:val="both"/>
        <w:ind w:firstLine="434"/>
        <w:spacing w:after="0" w:line="246" w:lineRule="auto"/>
        <w:rPr>
          <w:sz w:val="20"/>
          <w:szCs w:val="20"/>
          <w:color w:val="auto"/>
        </w:rPr>
      </w:pPr>
      <w:r>
        <w:rPr>
          <w:rFonts w:ascii="Times New Roman" w:cs="Times New Roman" w:eastAsia="Times New Roman" w:hAnsi="Times New Roman"/>
          <w:sz w:val="18"/>
          <w:szCs w:val="18"/>
          <w:color w:val="auto"/>
        </w:rPr>
        <w:t>In addition, our credit facility and the indentures governing our 5.250% Senior Notes due 2026 (the “5.250% Senior Notes”), our 4.500% Senior Notes due 2029 (the “4.500% Senior Notes”), our 4.000% Senior Notes due 2031 (the “4.000% Senior Notes”) and our 4.375% Senior Notes due 2032 (the “4.375% Senior Notes” and, collectively with the 5.250% Senior Notes, the 4.500% Senior Notes, the 4.000% Senior Notes and the 4.375% Senior Notes, the “Senior Notes”) contain restrictive covenants and cross-default provisions. Our credit facility also requires us to maintain specified financial ratios. For example, under our credit facility the maximum permitted leverage ratio is (i) 6.25 for the third quarter of fiscal 2022 through the first quarter of fiscal 2023, (ii) 6.50 for the second and third quarters of fiscal 2023, (iii) 6.25 for the fourth quarter of fiscal 2023 and the first quarter of fiscal 2024, (iv) 5.50 for the second quarter of fiscal 2024, and (v) 4.50 for the third quarter of fiscal 2024 and thereafter. Our leverage ratio was 6.01 at September 30, 2022. A breach of any of those financial ratio covenants or other covenants could result in a default. In the event of such default, the holders of such indebtedness could elect to declare all the funds borrowed thereunder to be due and payable, together with accrued and unpaid interest, and could cease making further loans and institute foreclosure proceedings against our assets. We cannot provide any assurance that the holders of such indebtedness would waive a default or that we could pay the accelerated indebtedness in full.</w:t>
      </w:r>
    </w:p>
    <w:p>
      <w:pPr>
        <w:spacing w:after="0" w:line="72"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Subject to compliance with certain covenants under our credit facility and the indentures governing the Senior Notes, we may incur additional debt in the future. If we incur additional debt, the risks described above could intensify.</w:t>
      </w:r>
    </w:p>
    <w:p>
      <w:pPr>
        <w:spacing w:after="0" w:line="112" w:lineRule="exact"/>
        <w:rPr>
          <w:sz w:val="20"/>
          <w:szCs w:val="20"/>
          <w:color w:val="auto"/>
        </w:rPr>
      </w:pPr>
    </w:p>
    <w:p>
      <w:pPr>
        <w:jc w:val="both"/>
        <w:ind w:firstLine="197"/>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Acquisitions, other strategic alliances and investments could result in operating difficulties, dilution, and other harmful consequences that may adversely impact our business and results of operations.</w:t>
      </w:r>
    </w:p>
    <w:p>
      <w:pPr>
        <w:spacing w:after="0" w:line="47"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Acquisitions, strategic alliances and investments are an important element of our overall long-term corporate strategy and use of capital, and these transactions could be material to our financial condition and results of operations. We expect to continue to evaluate and enter into discussions regarding a wide array of potential strategic transactions. The process of integrating an acquired company, business, or product has created, and will continue to create, unforeseen operating difficulties and expenditures. The areas where we face risks include:</w:t>
      </w:r>
    </w:p>
    <w:p>
      <w:pPr>
        <w:spacing w:after="0" w:line="51" w:lineRule="exact"/>
        <w:rPr>
          <w:sz w:val="20"/>
          <w:szCs w:val="20"/>
          <w:color w:val="auto"/>
        </w:rPr>
      </w:pPr>
    </w:p>
    <w:p>
      <w:pPr>
        <w:ind w:left="860" w:hanging="303"/>
        <w:spacing w:after="0"/>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implicit to our acquisition strategy or valuations are not realized.</w:t>
      </w:r>
    </w:p>
    <w:p>
      <w:pPr>
        <w:spacing w:after="0" w:line="95" w:lineRule="exact"/>
        <w:rPr>
          <w:rFonts w:ascii="Times New Roman" w:cs="Times New Roman" w:eastAsia="Times New Roman" w:hAnsi="Times New Roman"/>
          <w:sz w:val="18"/>
          <w:szCs w:val="18"/>
          <w:color w:val="auto"/>
        </w:rPr>
      </w:pPr>
    </w:p>
    <w:p>
      <w:pPr>
        <w:ind w:left="860" w:hanging="303"/>
        <w:spacing w:after="0"/>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acquisition integration challenges.</w:t>
      </w:r>
    </w:p>
    <w:p>
      <w:pPr>
        <w:spacing w:after="0" w:line="95" w:lineRule="exact"/>
        <w:rPr>
          <w:rFonts w:ascii="Times New Roman" w:cs="Times New Roman" w:eastAsia="Times New Roman" w:hAnsi="Times New Roman"/>
          <w:sz w:val="18"/>
          <w:szCs w:val="18"/>
          <w:color w:val="auto"/>
        </w:rPr>
      </w:pPr>
    </w:p>
    <w:p>
      <w:pPr>
        <w:ind w:left="860" w:hanging="303"/>
        <w:spacing w:after="0"/>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further develop the acquired business or product lines.</w:t>
      </w:r>
    </w:p>
    <w:p>
      <w:pPr>
        <w:spacing w:after="0" w:line="82" w:lineRule="exact"/>
        <w:rPr>
          <w:rFonts w:ascii="Times New Roman" w:cs="Times New Roman" w:eastAsia="Times New Roman" w:hAnsi="Times New Roman"/>
          <w:sz w:val="18"/>
          <w:szCs w:val="18"/>
          <w:color w:val="auto"/>
        </w:rPr>
      </w:pPr>
    </w:p>
    <w:p>
      <w:pPr>
        <w:ind w:left="860" w:hanging="303"/>
        <w:spacing w:after="0"/>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or remediation of controls, procedures and policies at the acquired company.</w:t>
      </w:r>
    </w:p>
    <w:p>
      <w:pPr>
        <w:spacing w:after="0" w:line="95" w:lineRule="exact"/>
        <w:rPr>
          <w:rFonts w:ascii="Times New Roman" w:cs="Times New Roman" w:eastAsia="Times New Roman" w:hAnsi="Times New Roman"/>
          <w:sz w:val="18"/>
          <w:szCs w:val="18"/>
          <w:color w:val="auto"/>
        </w:rPr>
      </w:pPr>
    </w:p>
    <w:p>
      <w:pPr>
        <w:ind w:left="880" w:hanging="323"/>
        <w:spacing w:after="0" w:line="268" w:lineRule="auto"/>
        <w:tabs>
          <w:tab w:leader="none" w:pos="87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the acquired company’s accounting, human resources and other administrative systems, and coordination of product, engineering and sales and marketing functions.</w:t>
      </w:r>
    </w:p>
    <w:p>
      <w:pPr>
        <w:spacing w:after="0" w:line="50" w:lineRule="exact"/>
        <w:rPr>
          <w:rFonts w:ascii="Times New Roman" w:cs="Times New Roman" w:eastAsia="Times New Roman" w:hAnsi="Times New Roman"/>
          <w:sz w:val="18"/>
          <w:szCs w:val="18"/>
          <w:color w:val="auto"/>
        </w:rPr>
      </w:pPr>
    </w:p>
    <w:p>
      <w:pPr>
        <w:ind w:left="860" w:hanging="303"/>
        <w:spacing w:after="0"/>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of operations, users and customers onto our existing platforms.</w:t>
      </w:r>
    </w:p>
    <w:p>
      <w:pPr>
        <w:spacing w:after="0" w:line="82" w:lineRule="exact"/>
        <w:rPr>
          <w:rFonts w:ascii="Times New Roman" w:cs="Times New Roman" w:eastAsia="Times New Roman" w:hAnsi="Times New Roman"/>
          <w:sz w:val="18"/>
          <w:szCs w:val="18"/>
          <w:color w:val="auto"/>
        </w:rPr>
      </w:pPr>
    </w:p>
    <w:p>
      <w:pPr>
        <w:ind w:left="880" w:hanging="323"/>
        <w:spacing w:after="0" w:line="268" w:lineRule="auto"/>
        <w:tabs>
          <w:tab w:leader="none" w:pos="87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expertise of our strategic partners with respect to market development, sales, local regulatory compliance and other operational matters.</w:t>
      </w:r>
    </w:p>
    <w:p>
      <w:pPr>
        <w:spacing w:after="0" w:line="50" w:lineRule="exact"/>
        <w:rPr>
          <w:rFonts w:ascii="Times New Roman" w:cs="Times New Roman" w:eastAsia="Times New Roman" w:hAnsi="Times New Roman"/>
          <w:sz w:val="18"/>
          <w:szCs w:val="18"/>
          <w:color w:val="auto"/>
        </w:rPr>
      </w:pPr>
    </w:p>
    <w:p>
      <w:pPr>
        <w:jc w:val="both"/>
        <w:ind w:left="880" w:hanging="323"/>
        <w:spacing w:after="0" w:line="256" w:lineRule="auto"/>
        <w:tabs>
          <w:tab w:leader="none" w:pos="87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required approvals on a timely basis, if at all, from governmental authorities, or conditions placed upon approval, under competition and antitrust laws which could, among other things, delay or prevent us from completing a transaction, or otherwise restrict our ability to realize the expected financial or strategic goals of an acquisition.</w:t>
      </w:r>
    </w:p>
    <w:p>
      <w:pPr>
        <w:spacing w:after="0" w:line="60" w:lineRule="exact"/>
        <w:rPr>
          <w:rFonts w:ascii="Times New Roman" w:cs="Times New Roman" w:eastAsia="Times New Roman" w:hAnsi="Times New Roman"/>
          <w:sz w:val="18"/>
          <w:szCs w:val="18"/>
          <w:color w:val="auto"/>
        </w:rPr>
      </w:pPr>
    </w:p>
    <w:p>
      <w:pPr>
        <w:ind w:left="880" w:hanging="323"/>
        <w:spacing w:after="0" w:line="268" w:lineRule="auto"/>
        <w:tabs>
          <w:tab w:leader="none" w:pos="87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37" w:lineRule="exact"/>
        <w:rPr>
          <w:rFonts w:ascii="Times New Roman" w:cs="Times New Roman" w:eastAsia="Times New Roman" w:hAnsi="Times New Roman"/>
          <w:sz w:val="18"/>
          <w:szCs w:val="18"/>
          <w:color w:val="auto"/>
        </w:rPr>
      </w:pPr>
    </w:p>
    <w:p>
      <w:pPr>
        <w:ind w:left="880" w:hanging="323"/>
        <w:spacing w:after="0" w:line="268" w:lineRule="auto"/>
        <w:tabs>
          <w:tab w:leader="none" w:pos="87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 and retention of employees from the businesses we acquire.</w:t>
      </w:r>
    </w:p>
    <w:p>
      <w:pPr>
        <w:spacing w:after="0" w:line="50" w:lineRule="exact"/>
        <w:rPr>
          <w:rFonts w:ascii="Times New Roman" w:cs="Times New Roman" w:eastAsia="Times New Roman" w:hAnsi="Times New Roman"/>
          <w:sz w:val="18"/>
          <w:szCs w:val="18"/>
          <w:color w:val="auto"/>
        </w:rPr>
      </w:pPr>
    </w:p>
    <w:p>
      <w:pPr>
        <w:ind w:left="880" w:hanging="323"/>
        <w:spacing w:after="0" w:line="268" w:lineRule="auto"/>
        <w:tabs>
          <w:tab w:leader="none" w:pos="87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or reputational harm from activities of the acquired company before the acquisition or from our strategic partners, including patent and trademark infringement claims, violations of laws, commercial disputes, tax liabilities and other known and unknown liabilities.</w:t>
      </w:r>
    </w:p>
    <w:p>
      <w:pPr>
        <w:spacing w:after="0" w:line="50" w:lineRule="exact"/>
        <w:rPr>
          <w:rFonts w:ascii="Times New Roman" w:cs="Times New Roman" w:eastAsia="Times New Roman" w:hAnsi="Times New Roman"/>
          <w:sz w:val="18"/>
          <w:szCs w:val="18"/>
          <w:color w:val="auto"/>
        </w:rPr>
      </w:pPr>
    </w:p>
    <w:p>
      <w:pPr>
        <w:ind w:left="880" w:hanging="323"/>
        <w:spacing w:after="0" w:line="268" w:lineRule="auto"/>
        <w:tabs>
          <w:tab w:leader="none" w:pos="87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customers, former shareholders or other third parties.</w:t>
      </w:r>
    </w:p>
    <w:p>
      <w:pPr>
        <w:spacing w:after="0" w:line="37"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our past or future acquisitions and investments or strategic alliances could cause us to fail to realize the anticipated benefits of such acquisitions, investments or alliances, incur unanticipated liabilities, and harm our business generally.</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Our acquisitions, strategic alliances and investments could also result in dilutive issuances of our equity securities, the incurrence of debt, contingent liabilities or amortization expenses, or impairment of goodwill and purchased long-lived assets, and restructuring charges, any of which could harm our financial condition or results of operations and cash flows. Also, the anticipated benefits of many of our acquisitions may not materialize.</w:t>
      </w:r>
    </w:p>
    <w:p>
      <w:pPr>
        <w:spacing w:after="0" w:line="122" w:lineRule="exact"/>
        <w:rPr>
          <w:sz w:val="20"/>
          <w:szCs w:val="20"/>
          <w:color w:val="auto"/>
        </w:rPr>
      </w:pPr>
    </w:p>
    <w:p>
      <w:pPr>
        <w:jc w:val="both"/>
        <w:ind w:firstLine="197"/>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Changes in credit ratings issued by nationally recognized statistical rating organizations (NRSROs) could adversely affect our cost of financing and the market price of our Senior Notes.</w:t>
      </w:r>
    </w:p>
    <w:p>
      <w:pPr>
        <w:spacing w:after="0" w:line="34"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NRSROs rate the Senior Notes and the Company based on factors that include our operating results, actions that we take, their view of the general outlook for our industry and their view of the general outlook for the economy. Actions taken by the NRSROs can include maintaining, upgrading or downgrading the current rating or placing us on a watch list for possible future downgrading. Downgrading the credit rating of the Senior Notes or placing us on a watch list for possible future downgrading could increase our cost of financing, limit our access to the capital markets and have an adverse effect on the market price of the Senior Notes.</w:t>
      </w:r>
    </w:p>
    <w:p>
      <w:pPr>
        <w:spacing w:after="0" w:line="70"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In September 2022, S&amp;P Global Ratings lowered our issuer credit rating to BB- from BB and lowered its rating on our Senior Notes to B from B+. In June 2022, Moody's Investors Service changed our outlook to negative from stable, affirmed our Ba2 Corporate Family Rating, Ba2-PD Probability of Default Rating and Ba3 rating on the Senior Notes and downgraded our speculative grade liquidity rating to SGL-3 from SGL-2.</w:t>
      </w:r>
    </w:p>
    <w:p>
      <w:pPr>
        <w:spacing w:after="0" w:line="1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 failure to dispose of assets or businesses in a timely manner may cause the results of the Company to suffer.</w:t>
      </w:r>
    </w:p>
    <w:p>
      <w:pPr>
        <w:spacing w:after="0" w:line="99"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We evaluate as necessary the potential disposition of assets and businesses that may no longer help meet our objectives. When we decide to sell assets or a business, we may encounter difficulty in finding buyers or alternative exit strategies on acceptable terms in a timely manner, which could delay the accomplishment of our strategic objectives. Alternatively, we may dispose of a business at a price or on terms that are less than we had anticipated. After reaching an agreement with a buyer for the disposition of a business, we are subject to the satisfaction of pre-closing conditions, which may prevent us from completing the transaction. Dispositions may also involve continued financial involvement in the divested business, such as through continuing equity ownership, guarantees, indemnities or other financial obligations. Under these arrangements, performance by the divested businesses or other conditions outside our control could affect future financial results.</w:t>
      </w:r>
    </w:p>
    <w:p>
      <w:pPr>
        <w:spacing w:after="0" w:line="1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Our lending activities may adversely impact our business and results of operations.</w:t>
      </w:r>
    </w:p>
    <w:p>
      <w:pPr>
        <w:spacing w:after="0" w:line="86" w:lineRule="exact"/>
        <w:rPr>
          <w:sz w:val="20"/>
          <w:szCs w:val="20"/>
          <w:color w:val="auto"/>
        </w:rPr>
      </w:pPr>
    </w:p>
    <w:p>
      <w:pPr>
        <w:jc w:val="both"/>
        <w:ind w:firstLine="434"/>
        <w:spacing w:after="0" w:line="288" w:lineRule="auto"/>
        <w:rPr>
          <w:sz w:val="20"/>
          <w:szCs w:val="20"/>
          <w:color w:val="auto"/>
        </w:rPr>
      </w:pPr>
      <w:r>
        <w:rPr>
          <w:rFonts w:ascii="Times New Roman" w:cs="Times New Roman" w:eastAsia="Times New Roman" w:hAnsi="Times New Roman"/>
          <w:sz w:val="16"/>
          <w:szCs w:val="16"/>
          <w:color w:val="auto"/>
        </w:rPr>
        <w:t>As part of our strategic initiatives, we have provided financing to buyers of certain business assets we have sold and to certain strategic partners. Our exposure to credit losses on these financing balances and strategic investments will depend on the financial condition of these counterparties as well as legal, regulatory and macroeconomic factors beyond our control, such as deteriorating conditions in the world economy or in the industries served by the borrowers and federal legalization of the U.S. cannabis market. While we monitor our exposure, there can be no guarantee we will be able to successfully mitigate all of these risks. Credit losses, if significant, could have a material adverse effect on our business, financial condition, results of operations and cash flows.</w:t>
      </w:r>
    </w:p>
    <w:p>
      <w:pPr>
        <w:spacing w:after="0" w:line="101" w:lineRule="exact"/>
        <w:rPr>
          <w:sz w:val="20"/>
          <w:szCs w:val="20"/>
          <w:color w:val="auto"/>
        </w:rPr>
      </w:pPr>
    </w:p>
    <w:p>
      <w:pPr>
        <w:jc w:val="both"/>
        <w:ind w:firstLine="197"/>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Uncertainty regarding the LIBOR replacement process and expected discontinuance of LIBOR may adversely impact our current or future debt obligations, including certain hedging arrangements.</w:t>
      </w:r>
    </w:p>
    <w:p>
      <w:pPr>
        <w:spacing w:after="0" w:line="47"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Certain of our debt obligations and instruments, including certain hedging arrangements, use the London Interbank Offered Rate (“LIBOR”) as a reference rate for establishing the variable interest rate applicable to such debt obligations and instruments. On July 27, 2017, the United Kingdom’s Financial Conduct Authority, which regulates LIBOR, announced that it intends to phase out LIBOR by the end of 2021. However, for U.S. dollar LIBOR, the cessation date has been deferred to June 30, 2023 for the most commonly used tenors (overnight and one, three and six months). This extension to 2023 means that many legacy U.S. dollar LIBOR contracts would terminate before related LIBOR rates cease to be published. The Federal Reserve System, in conjunction with the Alternative Reference Rates Committee, has recommended the replacement of LIBOR with a new index, calculated by short-term repurchase agreements collateralized by U.S. Treasury securities, called the Secured Overnight Financing Rate (“SOFR”).</w:t>
      </w:r>
    </w:p>
    <w:p>
      <w:pPr>
        <w:spacing w:after="0" w:line="73"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We have entered into LIBOR-based interest rate swap agreements to manage our exposure to interest rate movements under certain of our variable-rate debt obligations. Using SOFR as the basis on which interest on our variable-rate debt and/or under our interest rate swaps is calculated may result in interest rates and/or payments that do not directly correlate over time with the interest rates and/or payments that would have been made on our obligations if LIBOR was available in its current form.</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potential effect of the replacement of LIBOR on our cost of capital cannot yet be determined.</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Our hedging arrangements expose us to certain counterparty risks.</w:t>
      </w:r>
    </w:p>
    <w:p>
      <w:pPr>
        <w:spacing w:after="0" w:line="99"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In addition to commodity hedge agreements, we utilize interest rate swap agreements to manage the net interest rate risk inherent in our sources of borrowing as well as foreign currency forward contracts to manage the exchange rate risk associated with certain intercompany loans with foreign subsidiaries and other approved transactional currency exposures. Utilizing these hedge agreements exposes us to certain counterparty risks. The failure of one or more of the counterparties to fulfill their obligations under the hedge agreements, whether as a result of weakening financial stability or otherwise, could adversely affect our financial condition, results of operations or cash flows.</w:t>
      </w:r>
    </w:p>
    <w:p>
      <w:pPr>
        <w:spacing w:after="0" w:line="131" w:lineRule="exact"/>
        <w:rPr>
          <w:sz w:val="20"/>
          <w:szCs w:val="20"/>
          <w:color w:val="auto"/>
        </w:rPr>
      </w:pPr>
    </w:p>
    <w:p>
      <w:pPr>
        <w:jc w:val="both"/>
        <w:ind w:firstLine="197"/>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postretirement-related costs and funding requirements could increase as a result of volatility in the financial markets, changes in interest rates and actuarial assumptions.</w:t>
      </w:r>
    </w:p>
    <w:p>
      <w:pPr>
        <w:spacing w:after="0" w:line="34"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We sponsor a number of defined benefit pension plans associated with our U.S. and former international businesses, as well as a postretirement medical plan in the United States for certain retired associates and their dependents. The performance of the financial markets and changes in interest rates impact the funded status of these plans and cause volatility in our postretirement-related costs and future funding requirements. If the financial markets do not provide the expected long-term returns on invested assets, we could be required to make significant pension contributions. Additionally, changes in interest rates and legislation enacted by governmental authorities can impact the timing and amounts of contribution requirements.</w:t>
      </w:r>
    </w:p>
    <w:p>
      <w:pPr>
        <w:spacing w:after="0" w:line="70"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We utilize third-party actuaries to evaluate assumptions used in determining projected benefit obligations and the fair value of plan assets for our pension and other postretirement benefit plans. In the event we determine that our assumptions should be revised, such as the discount rate or expected return on assets, our future pension and postretirement benefit expenses could increase or decrease. The assumptions we use may differ from actual results, which could have a significant impact on our pension and postretirement liabilities and related costs and funding requirements.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Regulation of Our Company</w:t>
      </w:r>
    </w:p>
    <w:p>
      <w:pPr>
        <w:spacing w:after="0" w:line="159" w:lineRule="exact"/>
        <w:rPr>
          <w:sz w:val="20"/>
          <w:szCs w:val="20"/>
          <w:color w:val="auto"/>
        </w:rPr>
      </w:pPr>
    </w:p>
    <w:p>
      <w:pPr>
        <w:jc w:val="both"/>
        <w:ind w:firstLine="197"/>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Compliance with environmental and other public health regulations or changes in such regulations or regulatory enforcement priorities could increase our costs of doing business or limit our ability to market all of our products.</w:t>
      </w:r>
    </w:p>
    <w:p>
      <w:pPr>
        <w:spacing w:after="0" w:line="47"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Laws and regulations relating to environmental matters affect us in several ways. All pesticide products sold in the United States must comply with FIFRA and most must be registered with the U.S. EPA and similar state agencies. Our inability to obtain or maintain such registrations, or the cancellation of any such registration of our products, could have an adverse effect on our business, the severity of which would depend on a variety of factors, including the product(s) involved, whether another product could be substituted and whether our competitors were similarly affected. We attempt to anticipate regulatory developments and maintain registrations of, and access to, substitute active ingredients, but there can be no assurance that we will be able to avoid or reduce these risks. In addition, in Canada, regulations have been adopted by several provinces that substantially restrict our ability to market and sell certain of our consumer pesticide products.</w:t>
      </w:r>
    </w:p>
    <w:p>
      <w:pPr>
        <w:spacing w:after="0" w:line="60"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Under the Food Quality Protection Act, enacted by the U.S. Congress in 1996, food-use pesticides are evaluated to determine whether there is reasonable certainty that no harm will result from the cumulative effects of pesticide exposures. Under this Act, the U.S. EPA is evaluating the cumulative and aggregate risks from dietary and non-dietary exposures to pesticides. The pesticides in our products, certain of which may be also used on crops processed into various food products, are manufactured by independent third parties and continue to be evaluated by the U.S. EPA as part of this exposure risk assessment. The U.S. EPA or the third-party registrant may decide that a pesticide we use in our products will be limited or made unavailable to us. We cannot predict the outcome or the severity of the effect of these continuing evaluations.</w:t>
      </w:r>
    </w:p>
    <w:p>
      <w:pPr>
        <w:spacing w:after="0" w:line="70"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In addition, the use of certain fertilizer and pesticide products (including pesticide products that contain glyphosate) is regulated by various environmental and public health agencies. These regulations may, among other things, ban the use of certain ingredients contained in such products or require (i) that only certified or professional users apply the product, (ii) that certain products be used only on certain types of locations, (iii) users to post notices on properties to which products have been or will be applied, and/or (iv) notification to individuals in the vicinity that products will be applied in the future. Even if we are able to comply with all such regulations and obtain all necessary registrations and licenses, we cannot provide assurance that our products, particularly pesticide products, will not cause or be alleged to cause injury to the environment or to people under all circumstances, particularly when used improperly or contrary to instructions. The costs of compliance, remediation or products liability have adversely affected operating results in the past and could materially adversely affect future quarterly or annual operating results.</w:t>
      </w:r>
    </w:p>
    <w:p>
      <w:pPr>
        <w:spacing w:after="0" w:line="70"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Our products and operations may be subject to increased regulatory and environmental scrutiny in jurisdictions in which we do business. For example, we are subject to regulations relating to our harvesting of peat for our growing media business which has come under increasing regulatory and environmental scrutiny. In the United States, state regulations frequently require us to limit our harvesting and to restore the property to an agreed-upon condition. In some locations, we have been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required to create water retention ponds to control the sediment content of discharged water. In Canada, our peat extraction efforts are also the subject of regulation.</w:t>
      </w:r>
    </w:p>
    <w:p>
      <w:pPr>
        <w:spacing w:after="0" w:line="37"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In addition to the laws and regulations already described, various governmental agencies regulate the disposal, transport, handling and storage of waste, the remediation of contaminated sites, air and water discharges from our facilities, and workplace health and safety. Under certain environmental laws and regulations, we may be liable for the costs of investigation and remediation of the presence of certain regulated materials, as well as related costs of investigation and remediation of damage to natural resources, at various properties, including our current and former properties as well as offsite waste handling or disposal sites that we have used. Liability may be imposed upon us without regard to whether we knew of or caused the presence of such materials and, under certain circumstances, on a joint and several basis. There can be no assurances that the presence of such regulated materials at any such locations, or locations that we may acquire in the future, will not result in liability to us under such laws or regulations or expose us to third-party actions such as tort suits based on alleged conduct or environmental conditions.</w:t>
      </w:r>
    </w:p>
    <w:p>
      <w:pPr>
        <w:spacing w:after="0" w:line="70" w:lineRule="exact"/>
        <w:rPr>
          <w:sz w:val="20"/>
          <w:szCs w:val="20"/>
          <w:color w:val="auto"/>
        </w:rPr>
      </w:pPr>
    </w:p>
    <w:p>
      <w:pPr>
        <w:jc w:val="both"/>
        <w:ind w:firstLine="434"/>
        <w:spacing w:after="0" w:line="283" w:lineRule="auto"/>
        <w:rPr>
          <w:sz w:val="20"/>
          <w:szCs w:val="20"/>
          <w:color w:val="auto"/>
        </w:rPr>
      </w:pPr>
      <w:r>
        <w:rPr>
          <w:rFonts w:ascii="Times New Roman" w:cs="Times New Roman" w:eastAsia="Times New Roman" w:hAnsi="Times New Roman"/>
          <w:sz w:val="16"/>
          <w:szCs w:val="16"/>
          <w:color w:val="auto"/>
        </w:rPr>
        <w:t>On October 18, 2021, the Biden Administration announced a multi-agency plan to address PFAS contamination. Various federal agencies, including the U.S. EPA, will take actions to prevent the release of PFAS into the air, drinking systems, and food supply and to expand cleanup efforts to remediate the impacts of PFAS pollution. As part of this announcement, the U.S. EPA released its PFAS Strategic Roadmap: EPA’s Commitments to Action 2021-2024, which identifies timelines by which the U.S. EPA plans to take specific actions during the first term of the Biden Administration. It is possible that some of these actions may have an impact – direct or indirect – on our business. For example, in August 2022, the U.S. EPA proposed to designate PFAS chemicals, PFOA and PFOS, as hazardous substances under CERCLA, which could have wide-ranging impact on companies across various industries. Until further detail is provided, including whether the rule is enacted as proposed, we cannot predict the outcome or the severity of the impact of these proposed actions.</w:t>
      </w:r>
    </w:p>
    <w:p>
      <w:pPr>
        <w:spacing w:after="0" w:line="45"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The adequacy of our current non-FIFRA compliance-related environmental accruals and future provisions depends upon our operating in substantial compliance with applicable environmental and public health laws and regulations, as well as the assumptions that we have both identified all of the significant sites that must be remediated and that there are no significant conditions of potential contamination that are unknown to us. A significant change in the facts and circumstances underlying these assumptions or in current enforcement policies or requirements, or a finding that we are not in substantial compliance with applicable environmental and public health laws and regulations, could have a material adverse effect on future environmental capital expenditures and other environmental expenses, as well as our financial condition, results of operations and cash flows.</w:t>
      </w:r>
    </w:p>
    <w:p>
      <w:pPr>
        <w:spacing w:after="0" w:line="132" w:lineRule="exact"/>
        <w:rPr>
          <w:sz w:val="20"/>
          <w:szCs w:val="20"/>
          <w:color w:val="auto"/>
        </w:rPr>
      </w:pPr>
    </w:p>
    <w:p>
      <w:pPr>
        <w:jc w:val="both"/>
        <w:ind w:firstLine="197"/>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our tax provisions, the adoption of new tax legislation or exposure to additional tax liabilities could affect our profitability and cash flows.</w:t>
      </w:r>
    </w:p>
    <w:p>
      <w:pPr>
        <w:spacing w:after="0" w:line="34"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We are subject to income and other taxes in the United States federal jurisdiction and various local, state and foreign jurisdictions. Our effective tax rate in the future could be adversely affected by changes to our operating structure, changes in the mix of earnings in countries with differing statutory tax rates, changes in the valuation of deferred tax assets (such as net operating losses and tax credits) and liabilities, changes in tax laws and the discovery of new information in the course of our tax return preparation process. In particular, the carrying value of deferred tax assets, which are predominantly related to our operations in the United States, is dependent on our ability to generate future taxable income of the appropriate character in the relevant jurisdiction.</w:t>
      </w:r>
    </w:p>
    <w:p>
      <w:pPr>
        <w:spacing w:after="0" w:line="70"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From time to time, tax proposals are introduced or considered by the U.S. Congress or the legislative bodies in local, state and foreign jurisdictions that could also affect our tax rate, the carrying value of our deferred tax assets, or our tax liabilities. Our tax liabilities are also affected by the amounts we charge for inventory, services, licenses, funding and other items in intercompany transactions. We are subject to ongoing tax audits in various jurisdictions. In connection with these audits (or future audits), tax authorities may disagree with our intercompany charges, cross-jurisdictional transfer pricing or other matters and assess additional taxes. We regularly assess the likely outcomes of our audits in order to determine the appropriateness of our tax provision. As a result, the ultimate resolution of our tax audits, changes in tax laws or tax rates, and the ability to utilize our deferred tax assets could materially affect our tax provision, net income and cash flows in future periods.</w:t>
      </w:r>
    </w:p>
    <w:p>
      <w:pPr>
        <w:spacing w:after="0" w:line="13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Risks Related to Our Common Shares</w:t>
      </w:r>
    </w:p>
    <w:p>
      <w:pPr>
        <w:spacing w:after="0" w:line="159" w:lineRule="exact"/>
        <w:rPr>
          <w:sz w:val="20"/>
          <w:szCs w:val="20"/>
          <w:color w:val="auto"/>
        </w:rPr>
      </w:pPr>
    </w:p>
    <w:p>
      <w:pPr>
        <w:jc w:val="both"/>
        <w:ind w:firstLine="197"/>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While we have a general history of increasing the rate of cash dividends on, and engaging in repurchases of, our Common Shares, any future decisions to maintain, reduce or discontinue paying cash dividends to our shareholders or repurchasing our Common Shares could cause the market price for our Common Shares to decline.</w:t>
      </w:r>
    </w:p>
    <w:p>
      <w:pPr>
        <w:spacing w:after="0" w:line="59"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Our payment of quarterly cash dividends on and repurchase of our Common Shares pursuant to our stock repurchase program are subject to, among other things, our financial position and results of operations, available cash and cash flow, capital requirements, credit facility provisions and other factors. Prior to fiscal 2022, we have generally increased the cash dividends on our Common Shares as well as engaged in share repurchase activity. In fiscal 2022, the dividend amount was not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increased from the prior year. On February 6, 2020, the Scotts Miracle-Gro Board of Directors authorized a new share repurchase program allowing for repurchases of up to $750.0 million of Common Shares from April 30, 2020 through March 25, 2023. The total remaining share repurchase authorization as of September 30, 2022 was $461.9 million.</w:t>
      </w:r>
    </w:p>
    <w:p>
      <w:pPr>
        <w:spacing w:after="0" w:line="47"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We may maintain, or increase or decrease (including eliminating) the amount of cash dividends on, and increase or decrease the amount of repurchases of, our Common Shares in the future. Any decision by us regarding the payment of quarterly cash dividends or repurchases of our Common Shares pursuant to our current share repurchase authorization program could cause the market price of our Common Shares to decline. Moreover, in the event our payment of quarterly cash dividends on or repurchases of our Common Shares are reduced or discontinued, our failure or inability to resume paying cash dividends or repurchasing Common Shares at historical levels could result in a lower market valuation of our Common Shares.</w:t>
      </w:r>
    </w:p>
    <w:p>
      <w:pPr>
        <w:spacing w:after="0" w:line="131" w:lineRule="exact"/>
        <w:rPr>
          <w:sz w:val="20"/>
          <w:szCs w:val="20"/>
          <w:color w:val="auto"/>
        </w:rPr>
      </w:pPr>
    </w:p>
    <w:p>
      <w:pPr>
        <w:jc w:val="both"/>
        <w:ind w:firstLine="197"/>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Hagedorn Partnership, L.P. beneficially owns approximately 25% of our Common Shares and can significantly influence decisions that require the approval of shareholders.</w:t>
      </w:r>
    </w:p>
    <w:p>
      <w:pPr>
        <w:spacing w:after="0" w:line="47"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Hagedorn Partnership, L.P. beneficially owned approximately 25% of our outstanding Common Shares on a fully diluted basis as of November 18, 2022. As a result, it has sufficient voting power to significantly influence the election of directors and the approval of other actions requiring the approval of our shareholders, including entering into certain business combination transactions. In addition, because of the percentage of ownership and voting concentration in Hagedorn Partnership, L.P., elections of our board of directors will generally be within the control of Hagedorn Partnership, L.P. While all of our shareholders are entitled to vote on matters submitted to our shareholders for approval, the concentration of our Common Shares and voting control presently lies with Hagedorn Partnership, L.P. As such, it would be difficult for shareholders to propose and have approved proposals not supported by Hagedorn Partnership, L.P. Hagedorn Partnership, L.P.’s interests could differ from, or conflict with, the interests of other shareholders.</w:t>
      </w:r>
    </w:p>
    <w:p>
      <w:pPr>
        <w:spacing w:after="0" w:line="2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auto"/>
        </w:rPr>
        <w:t>ITEM 1B.</w:t>
      </w:r>
      <w:r>
        <w:rPr>
          <w:sz w:val="20"/>
          <w:szCs w:val="20"/>
          <w:color w:val="auto"/>
        </w:rPr>
        <w:tab/>
      </w:r>
      <w:r>
        <w:rPr>
          <w:rFonts w:ascii="Times New Roman" w:cs="Times New Roman" w:eastAsia="Times New Roman" w:hAnsi="Times New Roman"/>
          <w:sz w:val="16"/>
          <w:szCs w:val="16"/>
          <w:b w:val="1"/>
          <w:bCs w:val="1"/>
          <w:i w:val="1"/>
          <w:iCs w:val="1"/>
          <w:u w:val="single" w:color="auto"/>
          <w:color w:val="auto"/>
        </w:rPr>
        <w:t>UNRESOLVED STAFF COMMENTS</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3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u w:val="single" w:color="auto"/>
          <w:color w:val="auto"/>
        </w:rPr>
        <w:t>ITEM 2.</w:t>
      </w:r>
      <w:r>
        <w:rPr>
          <w:sz w:val="20"/>
          <w:szCs w:val="20"/>
          <w:color w:val="auto"/>
        </w:rPr>
        <w:tab/>
      </w:r>
      <w:r>
        <w:rPr>
          <w:rFonts w:ascii="Times New Roman" w:cs="Times New Roman" w:eastAsia="Times New Roman" w:hAnsi="Times New Roman"/>
          <w:sz w:val="16"/>
          <w:szCs w:val="16"/>
          <w:b w:val="1"/>
          <w:bCs w:val="1"/>
          <w:i w:val="1"/>
          <w:iCs w:val="1"/>
          <w:u w:val="single" w:color="auto"/>
          <w:color w:val="auto"/>
        </w:rPr>
        <w:t>PROPERTIES</w:t>
      </w:r>
    </w:p>
    <w:p>
      <w:pPr>
        <w:spacing w:after="0" w:line="86"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Our corporate headquarters is located in Marysville, Ohio, where we own approximately 729 acres of land. In addition, we own and lease numerous industrial, commercial and office properties located in North America, Europe and Asia that support the management, manufacturing, distribution and research and development of our products and services. We believe our properties are suitable and adequate to serve the needs of our business and that our leased properties are subject to appropriate lease agreements.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7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The following is a summary of owned and leased properties by country as of September 30, 2022:</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42"/>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Leased</w:t>
            </w:r>
          </w:p>
        </w:tc>
      </w:tr>
      <w:tr>
        <w:trPr>
          <w:trHeight w:val="217"/>
        </w:trPr>
        <w:tc>
          <w:tcPr>
            <w:tcW w:w="8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r>
      <w:tr>
        <w:trPr>
          <w:trHeight w:val="22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223"/>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Netherlands</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17"/>
        </w:trPr>
        <w:tc>
          <w:tcPr>
            <w:tcW w:w="8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88</w:t>
            </w:r>
          </w:p>
        </w:tc>
      </w:tr>
    </w:tbl>
    <w:p>
      <w:pPr>
        <w:spacing w:after="0" w:line="152"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We own or lease 42 manufacturing properties, 23 distribution properties and 4 research and development properties in the United States. We own or lease 17 manufacturing, 1 distribution and 1 research and development property in Canada, 1 manufacturing property in the Netherlands and 1 manufacturing and 1 research and development property in China. Most of the manufacturing properties, which include growing media properties and peat harvesting properties, have production lines, warehouses, offices and field processing areas.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u w:val="single" w:color="auto"/>
          <w:color w:val="auto"/>
        </w:rPr>
        <w:t>ITEM 3.</w:t>
      </w:r>
      <w:r>
        <w:rPr>
          <w:sz w:val="20"/>
          <w:szCs w:val="20"/>
          <w:color w:val="auto"/>
        </w:rPr>
        <w:tab/>
      </w:r>
      <w:r>
        <w:rPr>
          <w:rFonts w:ascii="Times New Roman" w:cs="Times New Roman" w:eastAsia="Times New Roman" w:hAnsi="Times New Roman"/>
          <w:sz w:val="16"/>
          <w:szCs w:val="16"/>
          <w:b w:val="1"/>
          <w:bCs w:val="1"/>
          <w:i w:val="1"/>
          <w:iCs w:val="1"/>
          <w:u w:val="single" w:color="auto"/>
          <w:color w:val="auto"/>
        </w:rPr>
        <w:t>LEGAL PROCEEDINGS</w:t>
      </w:r>
    </w:p>
    <w:p>
      <w:pPr>
        <w:spacing w:after="0" w:line="97"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 xml:space="preserve">As noted in the discussion in “ITEM 1. BUSINESS — Regulatory Considerations — </w:t>
      </w: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of this Form 10-K, we are involved in several pending environmental and regulatory matters. We believe that our assessment of contingencies is reasonable and that the related accruals, in the aggregate, are adequate; however, there can be no assurance that the final resolution of these matters will not have a material effect on our financial condition, results of operations or cash flows.</w:t>
      </w:r>
    </w:p>
    <w:p>
      <w:pPr>
        <w:spacing w:after="0" w:line="53" w:lineRule="exact"/>
        <w:rPr>
          <w:sz w:val="20"/>
          <w:szCs w:val="20"/>
          <w:color w:val="auto"/>
        </w:rPr>
      </w:pPr>
    </w:p>
    <w:p>
      <w:pPr>
        <w:jc w:val="both"/>
        <w:ind w:firstLine="434"/>
        <w:spacing w:after="0" w:line="246" w:lineRule="auto"/>
        <w:rPr>
          <w:sz w:val="20"/>
          <w:szCs w:val="20"/>
          <w:color w:val="auto"/>
        </w:rPr>
      </w:pPr>
      <w:r>
        <w:rPr>
          <w:rFonts w:ascii="Times New Roman" w:cs="Times New Roman" w:eastAsia="Times New Roman" w:hAnsi="Times New Roman"/>
          <w:sz w:val="18"/>
          <w:szCs w:val="18"/>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No accruals have been recorded in the Company’s consolidated financial statements as the likelihood of a loss is not probable at this time; and the Company does not believe a reasonably possible loss would be material to, nor the ultimate resolution of these cases will have a material adverse effect on, the Company’s financial condition, results of operations or cash flows. There can be no assurance that future developments related to pending claims or claims filed in the future, whether as a result of adverse outcomes or as a result of significant defense costs, will not have a material effect on the Company’s financial condition, results of operations or cash flows.</w:t>
      </w:r>
    </w:p>
    <w:p>
      <w:pPr>
        <w:spacing w:after="0" w:line="75"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We are involved in other lawsuits and claims which arise in the normal course of our business including the initiation and defense of proceedings to protect intellectual property rights, advertising claims and employment disputes. In our opinion, these claims individually and in the aggregate are not expected to have a material adverse effect on our financial condition, results of operations or cash flows.</w:t>
      </w:r>
    </w:p>
    <w:p>
      <w:pPr>
        <w:spacing w:after="0" w:line="20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u w:val="single" w:color="auto"/>
          <w:color w:val="auto"/>
        </w:rPr>
        <w:t>ITEM 4.</w:t>
      </w:r>
      <w:r>
        <w:rPr>
          <w:sz w:val="20"/>
          <w:szCs w:val="20"/>
          <w:color w:val="auto"/>
        </w:rPr>
        <w:tab/>
      </w:r>
      <w:r>
        <w:rPr>
          <w:rFonts w:ascii="Times New Roman" w:cs="Times New Roman" w:eastAsia="Times New Roman" w:hAnsi="Times New Roman"/>
          <w:sz w:val="16"/>
          <w:szCs w:val="16"/>
          <w:b w:val="1"/>
          <w:bCs w:val="1"/>
          <w:i w:val="1"/>
          <w:iCs w:val="1"/>
          <w:u w:val="single" w:color="auto"/>
          <w:color w:val="auto"/>
        </w:rPr>
        <w:t>MINE SAFETY DISCLOSURE</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SUPPLEMENTAL ITEM. </w:t>
      </w:r>
      <w:r>
        <w:rPr>
          <w:rFonts w:ascii="Times New Roman" w:cs="Times New Roman" w:eastAsia="Times New Roman" w:hAnsi="Times New Roman"/>
          <w:sz w:val="18"/>
          <w:szCs w:val="18"/>
          <w:b w:val="1"/>
          <w:bCs w:val="1"/>
          <w:i w:val="1"/>
          <w:iCs w:val="1"/>
          <w:u w:val="single" w:color="auto"/>
          <w:color w:val="auto"/>
        </w:rPr>
        <w:t>EXECUTIVE OFFICERS OF THE REGISTRANT</w:t>
      </w:r>
    </w:p>
    <w:p>
      <w:pPr>
        <w:spacing w:after="0" w:line="86"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executive officers of Scotts Miracle-Gro, their positions and, as of November 18, 2022, their ages and years with Scotts Miracle-Gro (and its predecessors) are set forth below.</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Age</w:t>
            </w:r>
          </w:p>
        </w:tc>
        <w:tc>
          <w:tcPr>
            <w:tcW w:w="6640" w:type="dxa"/>
            <w:vAlign w:val="bottom"/>
            <w:gridSpan w:val="2"/>
            <w:vMerge w:val="restart"/>
          </w:tcPr>
          <w:p>
            <w:pPr>
              <w:ind w:left="2800"/>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Years with</w:t>
            </w:r>
          </w:p>
        </w:tc>
        <w:tc>
          <w:tcPr>
            <w:tcW w:w="0" w:type="dxa"/>
            <w:vAlign w:val="bottom"/>
          </w:tcPr>
          <w:p>
            <w:pPr>
              <w:spacing w:after="0"/>
              <w:rPr>
                <w:sz w:val="1"/>
                <w:szCs w:val="1"/>
                <w:color w:val="auto"/>
              </w:rPr>
            </w:pPr>
          </w:p>
        </w:tc>
      </w:tr>
      <w:tr>
        <w:trPr>
          <w:trHeight w:val="190"/>
        </w:trPr>
        <w:tc>
          <w:tcPr>
            <w:tcW w:w="292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640" w:type="dxa"/>
            <w:vAlign w:val="bottom"/>
            <w:gridSpan w:val="2"/>
            <w:vMerge w:val="continue"/>
          </w:tcPr>
          <w:p>
            <w:pPr>
              <w:spacing w:after="0"/>
              <w:rPr>
                <w:sz w:val="16"/>
                <w:szCs w:val="16"/>
                <w:color w:val="auto"/>
              </w:rPr>
            </w:pPr>
          </w:p>
        </w:tc>
        <w:tc>
          <w:tcPr>
            <w:tcW w:w="100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22"/>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Hagedorn</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CEEFF"/>
            </w:tcBorders>
            <w:shd w:val="clear" w:color="auto" w:fill="CCEEFF"/>
          </w:tcPr>
          <w:p>
            <w:pPr>
              <w:spacing w:after="0"/>
              <w:rPr>
                <w:sz w:val="19"/>
                <w:szCs w:val="19"/>
                <w:color w:val="auto"/>
              </w:rPr>
            </w:pPr>
          </w:p>
        </w:tc>
        <w:tc>
          <w:tcPr>
            <w:tcW w:w="6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71"/>
        </w:trPr>
        <w:tc>
          <w:tcPr>
            <w:tcW w:w="292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David C. Evans</w:t>
            </w:r>
          </w:p>
        </w:tc>
        <w:tc>
          <w:tcPr>
            <w:tcW w:w="54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4"/>
                <w:szCs w:val="14"/>
                <w:color w:val="auto"/>
              </w:rPr>
            </w:pPr>
          </w:p>
        </w:tc>
        <w:tc>
          <w:tcPr>
            <w:tcW w:w="664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Executive Vice President and Interim Chief Financial Officer; Member of the Board of</w:t>
            </w:r>
          </w:p>
        </w:tc>
        <w:tc>
          <w:tcPr>
            <w:tcW w:w="100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2"/>
        </w:trPr>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C. Lukemire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and Chief Operating Officer</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Christopher J. Hagedorn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Division President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71"/>
        </w:trPr>
        <w:tc>
          <w:tcPr>
            <w:tcW w:w="292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Ivan C. Smith</w:t>
            </w:r>
          </w:p>
        </w:tc>
        <w:tc>
          <w:tcPr>
            <w:tcW w:w="5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4"/>
                <w:szCs w:val="14"/>
                <w:color w:val="auto"/>
              </w:rPr>
            </w:pPr>
          </w:p>
        </w:tc>
        <w:tc>
          <w:tcPr>
            <w:tcW w:w="664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Executive Vice President, General Counsel, Corporate Secretary and Chief Compliance</w:t>
            </w:r>
          </w:p>
        </w:tc>
        <w:tc>
          <w:tcPr>
            <w:tcW w:w="100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7"/>
        </w:trPr>
        <w:tc>
          <w:tcPr>
            <w:tcW w:w="2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Denise S. Stump</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Global Human Resources and Chief Ethics Officer</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Executive officers serve at the discretion of the Board of Directors of Scotts Miracle-Gro and pursuant to executive severance agreements or other arrangements. The business experience of each of the individuals listed above during at least the past five years is as follows:</w:t>
      </w:r>
    </w:p>
    <w:p>
      <w:pPr>
        <w:spacing w:after="0" w:line="114" w:lineRule="exact"/>
        <w:rPr>
          <w:sz w:val="20"/>
          <w:szCs w:val="20"/>
          <w:color w:val="auto"/>
        </w:rPr>
      </w:pPr>
    </w:p>
    <w:p>
      <w:pPr>
        <w:jc w:val="both"/>
        <w:ind w:firstLine="867"/>
        <w:spacing w:after="0" w:line="294" w:lineRule="auto"/>
        <w:rPr>
          <w:sz w:val="20"/>
          <w:szCs w:val="20"/>
          <w:color w:val="auto"/>
        </w:rPr>
      </w:pPr>
      <w:r>
        <w:rPr>
          <w:rFonts w:ascii="Times New Roman" w:cs="Times New Roman" w:eastAsia="Times New Roman" w:hAnsi="Times New Roman"/>
          <w:sz w:val="16"/>
          <w:szCs w:val="16"/>
          <w:i w:val="1"/>
          <w:iCs w:val="1"/>
          <w:color w:val="auto"/>
        </w:rPr>
        <w:t xml:space="preserve">Mr. Hagedorn </w:t>
      </w:r>
      <w:r>
        <w:rPr>
          <w:rFonts w:ascii="Times New Roman" w:cs="Times New Roman" w:eastAsia="Times New Roman" w:hAnsi="Times New Roman"/>
          <w:sz w:val="16"/>
          <w:szCs w:val="16"/>
          <w:color w:val="auto"/>
        </w:rPr>
        <w:t>was named Chairman of the Board of Scotts Miracle-Gro’s predecessor in January 2003 and Chief Executive Officer of Scotts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Miracle-Gro’s predecessor in May 2001. Prior to this appointment, Mr. Hagedorn held several senior leadership positions at the Company. Mr. Hagedorn serves on Scotts Miracle-Gro’s Board of Directors, a position he has held with Scotts Miracle-Gro (or its predecessor) since 1995. Mr. Hagedorn is the brother of Katherine Hagedorn Littlefield, a director of Scotts Miracle-Gro, and is the father of Christopher J. Hagedorn, an executive officer of the Company.</w:t>
      </w:r>
    </w:p>
    <w:p>
      <w:pPr>
        <w:spacing w:after="0" w:line="137" w:lineRule="exact"/>
        <w:rPr>
          <w:sz w:val="20"/>
          <w:szCs w:val="20"/>
          <w:color w:val="auto"/>
        </w:rPr>
      </w:pPr>
    </w:p>
    <w:p>
      <w:pPr>
        <w:jc w:val="both"/>
        <w:ind w:firstLine="867"/>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Mr. Evans </w:t>
      </w:r>
      <w:r>
        <w:rPr>
          <w:rFonts w:ascii="Times New Roman" w:cs="Times New Roman" w:eastAsia="Times New Roman" w:hAnsi="Times New Roman"/>
          <w:sz w:val="18"/>
          <w:szCs w:val="18"/>
          <w:color w:val="auto"/>
        </w:rPr>
        <w:t>was named Executive Vice President and Interim Chief Financial Officer in August 2022. He served as Chief Financial Officer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from 2006 until 2013 and was named to its Board of Directors in 2018. Mr. Evans served as the interim Chief Financial Officer of Cardinal Health, Inc., a global integrated healthcare services and products company, from September 2019 until May 2020, after a transition role beginning in July 2019, and as Executive Vice President and Chief Financial Officer of Battelle Memorial Institute, a private research and development organization, from 2013 until 2018. Mr. Evans is a director of Cardinal Health, Inc.</w:t>
      </w:r>
    </w:p>
    <w:p>
      <w:pPr>
        <w:spacing w:after="0" w:line="131" w:lineRule="exact"/>
        <w:rPr>
          <w:sz w:val="20"/>
          <w:szCs w:val="20"/>
          <w:color w:val="auto"/>
        </w:rPr>
      </w:pPr>
    </w:p>
    <w:p>
      <w:pPr>
        <w:jc w:val="both"/>
        <w:ind w:firstLine="867"/>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Mr. Lukemire </w:t>
      </w:r>
      <w:r>
        <w:rPr>
          <w:rFonts w:ascii="Times New Roman" w:cs="Times New Roman" w:eastAsia="Times New Roman" w:hAnsi="Times New Roman"/>
          <w:sz w:val="18"/>
          <w:szCs w:val="18"/>
          <w:color w:val="auto"/>
        </w:rPr>
        <w:t>was named President and Chief Operating Officer of Scotts Miracle-Gro in February 2016. Prior to this appointment, Mr. Lukemire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several senior leadership positions at the Company.</w:t>
      </w:r>
    </w:p>
    <w:p>
      <w:pPr>
        <w:spacing w:after="0" w:line="113" w:lineRule="exact"/>
        <w:rPr>
          <w:sz w:val="20"/>
          <w:szCs w:val="20"/>
          <w:color w:val="auto"/>
        </w:rPr>
      </w:pPr>
    </w:p>
    <w:p>
      <w:pPr>
        <w:jc w:val="both"/>
        <w:ind w:firstLine="86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Mr. C. Hagedorn </w:t>
      </w:r>
      <w:r>
        <w:rPr>
          <w:rFonts w:ascii="Times New Roman" w:cs="Times New Roman" w:eastAsia="Times New Roman" w:hAnsi="Times New Roman"/>
          <w:sz w:val="18"/>
          <w:szCs w:val="18"/>
          <w:color w:val="auto"/>
        </w:rPr>
        <w:t>was named Division President of Scotts Miracle-Gro in January 2021. Prior to this appointment, Mr. C. Hagedorn was named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of The Hawthorne Gardening Company, a position he has held since May 2014. Mr. C. Hagedorn is the son of James Hagedorn, the Chairman and CEO of Scotts Miracle-Gro.</w:t>
      </w:r>
    </w:p>
    <w:p>
      <w:pPr>
        <w:spacing w:after="0" w:line="124" w:lineRule="exact"/>
        <w:rPr>
          <w:sz w:val="20"/>
          <w:szCs w:val="20"/>
          <w:color w:val="auto"/>
        </w:rPr>
      </w:pPr>
    </w:p>
    <w:p>
      <w:pPr>
        <w:jc w:val="both"/>
        <w:ind w:firstLine="867"/>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Mr. Smith </w:t>
      </w:r>
      <w:r>
        <w:rPr>
          <w:rFonts w:ascii="Times New Roman" w:cs="Times New Roman" w:eastAsia="Times New Roman" w:hAnsi="Times New Roman"/>
          <w:sz w:val="18"/>
          <w:szCs w:val="18"/>
          <w:color w:val="auto"/>
        </w:rPr>
        <w:t>was named Executive Vice President, General Counsel and Corporate Secretary of Scotts Miracle-Gro in July 2013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Officer of Scotts Miracle-Gro in October 2013. Prior to this appointment, Mr. Smith held several senior leadership positions at the Company.</w:t>
      </w:r>
    </w:p>
    <w:p>
      <w:pPr>
        <w:spacing w:after="0" w:line="113" w:lineRule="exact"/>
        <w:rPr>
          <w:sz w:val="20"/>
          <w:szCs w:val="20"/>
          <w:color w:val="auto"/>
        </w:rPr>
      </w:pPr>
    </w:p>
    <w:p>
      <w:pPr>
        <w:jc w:val="both"/>
        <w:ind w:firstLine="867"/>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Ms. Stump </w:t>
      </w:r>
      <w:r>
        <w:rPr>
          <w:rFonts w:ascii="Times New Roman" w:cs="Times New Roman" w:eastAsia="Times New Roman" w:hAnsi="Times New Roman"/>
          <w:sz w:val="18"/>
          <w:szCs w:val="18"/>
          <w:color w:val="auto"/>
        </w:rPr>
        <w:t>was named Executive Vice President, Global Human Resources of Scotts Miracle-Gro (or its predecessor) in February 2003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Ethics Officer of Scotts Miracle-Gro in October 2013. Prior to this appointment, Ms. Stump held several senior leadership positions at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38" w:lineRule="exact"/>
        <w:rPr>
          <w:sz w:val="20"/>
          <w:szCs w:val="20"/>
          <w:color w:val="auto"/>
        </w:rPr>
      </w:pPr>
    </w:p>
    <w:p>
      <w:pPr>
        <w:jc w:val="both"/>
        <w:ind w:left="880" w:hanging="945"/>
        <w:spacing w:after="0" w:line="272" w:lineRule="auto"/>
        <w:tabs>
          <w:tab w:leader="none" w:pos="860" w:val="left"/>
        </w:tabs>
        <w:rPr>
          <w:sz w:val="20"/>
          <w:szCs w:val="20"/>
          <w:color w:val="auto"/>
        </w:rPr>
      </w:pPr>
      <w:r>
        <w:rPr>
          <w:rFonts w:ascii="Times New Roman" w:cs="Times New Roman" w:eastAsia="Times New Roman" w:hAnsi="Times New Roman"/>
          <w:sz w:val="18"/>
          <w:szCs w:val="18"/>
          <w:b w:val="1"/>
          <w:bCs w:val="1"/>
          <w:u w:val="single" w:color="auto"/>
          <w:color w:val="auto"/>
        </w:rPr>
        <w:t>ITEM 5.</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MARKET FOR REGISTRANT’S COMMON EQUITY, RELATED STOCKHOLDER MATTERS AND ISSUER PURCHASES OF EQUITY SECURITIES</w:t>
      </w:r>
    </w:p>
    <w:p>
      <w:pPr>
        <w:spacing w:after="0" w:line="205"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The Common Shares trade on the New York Stock Exchange under the symbol “SMG.” 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w:t>
      </w:r>
    </w:p>
    <w:p>
      <w:pPr>
        <w:spacing w:after="0" w:line="100" w:lineRule="exact"/>
        <w:rPr>
          <w:sz w:val="20"/>
          <w:szCs w:val="20"/>
          <w:color w:val="auto"/>
        </w:rPr>
      </w:pPr>
    </w:p>
    <w:p>
      <w:pPr>
        <w:jc w:val="both"/>
        <w:ind w:firstLine="394"/>
        <w:spacing w:after="0" w:line="283" w:lineRule="auto"/>
        <w:rPr>
          <w:sz w:val="20"/>
          <w:szCs w:val="20"/>
          <w:color w:val="auto"/>
        </w:rPr>
      </w:pPr>
      <w:r>
        <w:rPr>
          <w:rFonts w:ascii="Times New Roman" w:cs="Times New Roman" w:eastAsia="Times New Roman" w:hAnsi="Times New Roman"/>
          <w:sz w:val="16"/>
          <w:szCs w:val="16"/>
          <w:color w:val="auto"/>
        </w:rPr>
        <w:t>On April 8, 2022, the Company entered into a sixth amended and restated credit agreement (the “Sixth A&amp;R Credit Agreement”), providing the Company and certain of its subsidiaries with five-year senior secured loan facilities in the aggregate principal amount of $2,500.0, comprised of a revolving credit facility of $1,500.0 and a term loan in the original principal amount of $1,000.0 (the “Sixth A&amp;R Credit Facilities”). The Sixth A&amp;R Credit Agreement also provides the Company with the right to seek additional committed credit under the agreement in an aggregate amount of up to $500.0 plus an unlimited additional amount, subject to certain specified financial and other conditions. The Sixth A&amp;R Credit Agreement replaced the Fifth A&amp;R Credit Agreement and will terminate on April 8, 2027. The Sixth A&amp;R Credit Facilities are available for the issuance of letters of credit up to $100.0. The terms of the Sixth A&amp;R Credit Agreement include customary representations and warranties, affirmative and negative covenants, financial covenants, and events of default.</w:t>
      </w:r>
    </w:p>
    <w:p>
      <w:pPr>
        <w:spacing w:after="0" w:line="98"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On June 8, 2022, the Company entered into Amendment No. 1 (the “Amendment”) to the Sixth A&amp;R Credit Agreement. The Amendment increases the maximum permitted leverage ratio for the quarterly leverage covenant effective for the third quarter of fiscal 2022 until the earlier of (i) April 1, 2024 and (ii) subject to certain conditions specified in the Amendment, the termination by the Company of such increase (such period, the “Leverage Adjustment Period”). Additionally, the Amendment limits the Company’s ability to declare or pay any discretionary dividends, distributions or other restricted payments during the Leverage Adjustment Period to only the payment of (i) regularly scheduled cash dividends to holders of its Common Shares in an aggregate amount not to exceed $225.0 per fiscal year and (ii) other dividends, distributions or other restricted payments in an aggregate amount not to exceed $25.0. The Amendment also requires pro forma compliance with certain leverage levels specified in the Amendment with respect to the Company’s ability to consummate certain acquisitions and incur debt.</w:t>
      </w:r>
    </w:p>
    <w:p>
      <w:pPr>
        <w:spacing w:after="0" w:line="123"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The Sixth A&amp;R Credit Agreement contains, among other obligations, an affirmative covenant regarding the Company’s leverage ratio determined as of the end of each of its fiscal quarters calculated as average total indebtedness, divided by the Company’s earnings before interest, taxes, depreciation and amortization, as adjusted pursuant to the terms of the Sixth A&amp;R Credit Agreement (“Adjusted EBITDA”). Pursuant to the Amendment, the maximum permitted leverage ratio is (i) 6.25 for the third quarter of fiscal 2022 through the first quarter of fiscal 2023, (ii) 6.50 for the second and third quarters of fiscal 2023, (iii) 6.25 for the fourth quarter of fiscal 2023 and the first quarter of fiscal 2024, (iv) 5.50 for the second quarter of fiscal 2024, and (v) 4.50 for the third quarter of fiscal 2024 and thereafter. The Company’s leverage ratio was 6.01 at September 30, 2022 and restricted payments during fiscal 2022 were within the amounts allowed by the Sixth A&amp;R Credit Agreement. See “NOTE 12. DEBT” of the Notes to Consolidated Financial Statements included in this Form 10-K for further discussion regarding the restrictions on dividend payments.</w:t>
      </w:r>
    </w:p>
    <w:p>
      <w:pPr>
        <w:spacing w:after="0" w:line="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November 18, 2022, there were approximately 267,000 shareholders, including holders of record and our estimate of beneficial holders.</w:t>
      </w:r>
    </w:p>
    <w:p>
      <w:pPr>
        <w:spacing w:after="0" w:line="95"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of the three fiscal months in the quarter ended September 30, 2022:</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vMerge w:val="restart"/>
          </w:tcPr>
          <w:p>
            <w:pPr>
              <w:jc w:val="center"/>
              <w:ind w:left="210"/>
              <w:spacing w:after="0"/>
              <w:rPr>
                <w:sz w:val="20"/>
                <w:szCs w:val="20"/>
                <w:color w:val="auto"/>
              </w:rPr>
            </w:pPr>
            <w:r>
              <w:rPr>
                <w:rFonts w:ascii="Times New Roman" w:cs="Times New Roman" w:eastAsia="Times New Roman" w:hAnsi="Times New Roman"/>
                <w:sz w:val="14"/>
                <w:szCs w:val="14"/>
                <w:b w:val="1"/>
                <w:bCs w:val="1"/>
                <w:color w:val="auto"/>
                <w:w w:val="98"/>
              </w:rPr>
              <w:t>Total Number</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ind w:right="145"/>
              <w:spacing w:after="0"/>
              <w:rPr>
                <w:sz w:val="20"/>
                <w:szCs w:val="20"/>
                <w:color w:val="auto"/>
              </w:rPr>
            </w:pPr>
            <w:r>
              <w:rPr>
                <w:rFonts w:ascii="Times New Roman" w:cs="Times New Roman" w:eastAsia="Times New Roman" w:hAnsi="Times New Roman"/>
                <w:sz w:val="14"/>
                <w:szCs w:val="14"/>
                <w:b w:val="1"/>
                <w:bCs w:val="1"/>
                <w:color w:val="auto"/>
                <w:w w:val="98"/>
              </w:rPr>
              <w:t>Dollar Value of</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center"/>
              <w:ind w:left="190"/>
              <w:spacing w:after="0"/>
              <w:rPr>
                <w:sz w:val="20"/>
                <w:szCs w:val="20"/>
                <w:color w:val="auto"/>
              </w:rPr>
            </w:pPr>
            <w:r>
              <w:rPr>
                <w:rFonts w:ascii="Times New Roman" w:cs="Times New Roman" w:eastAsia="Times New Roman" w:hAnsi="Times New Roman"/>
                <w:sz w:val="14"/>
                <w:szCs w:val="14"/>
                <w:b w:val="1"/>
                <w:bCs w:val="1"/>
                <w:color w:val="auto"/>
                <w:w w:val="99"/>
              </w:rPr>
              <w:t>of Common</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Total Number</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Average Price</w:t>
            </w:r>
          </w:p>
        </w:tc>
        <w:tc>
          <w:tcPr>
            <w:tcW w:w="1400" w:type="dxa"/>
            <w:vAlign w:val="bottom"/>
          </w:tcPr>
          <w:p>
            <w:pPr>
              <w:jc w:val="center"/>
              <w:ind w:left="190"/>
              <w:spacing w:after="0"/>
              <w:rPr>
                <w:sz w:val="20"/>
                <w:szCs w:val="20"/>
                <w:color w:val="auto"/>
              </w:rPr>
            </w:pPr>
            <w:r>
              <w:rPr>
                <w:rFonts w:ascii="Times New Roman" w:cs="Times New Roman" w:eastAsia="Times New Roman" w:hAnsi="Times New Roman"/>
                <w:sz w:val="14"/>
                <w:szCs w:val="14"/>
                <w:b w:val="1"/>
                <w:bCs w:val="1"/>
                <w:color w:val="auto"/>
                <w:w w:val="99"/>
              </w:rPr>
              <w:t>Shares Purchased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ind w:right="145"/>
              <w:spacing w:after="0"/>
              <w:rPr>
                <w:sz w:val="20"/>
                <w:szCs w:val="20"/>
                <w:color w:val="auto"/>
              </w:rPr>
            </w:pPr>
            <w:r>
              <w:rPr>
                <w:rFonts w:ascii="Times New Roman" w:cs="Times New Roman" w:eastAsia="Times New Roman" w:hAnsi="Times New Roman"/>
                <w:sz w:val="14"/>
                <w:szCs w:val="14"/>
                <w:b w:val="1"/>
                <w:bCs w:val="1"/>
                <w:color w:val="auto"/>
                <w:w w:val="97"/>
              </w:rPr>
              <w:t>That May Yet</w:t>
            </w:r>
          </w:p>
        </w:tc>
        <w:tc>
          <w:tcPr>
            <w:tcW w:w="0" w:type="dxa"/>
            <w:vAlign w:val="bottom"/>
          </w:tcPr>
          <w:p>
            <w:pPr>
              <w:spacing w:after="0"/>
              <w:rPr>
                <w:sz w:val="1"/>
                <w:szCs w:val="1"/>
                <w:color w:val="auto"/>
              </w:rPr>
            </w:pPr>
          </w:p>
        </w:tc>
      </w:tr>
      <w:tr>
        <w:trPr>
          <w:trHeight w:val="184"/>
        </w:trPr>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of Common</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 per</w:t>
            </w:r>
          </w:p>
        </w:tc>
        <w:tc>
          <w:tcPr>
            <w:tcW w:w="1400" w:type="dxa"/>
            <w:vAlign w:val="bottom"/>
          </w:tcPr>
          <w:p>
            <w:pPr>
              <w:jc w:val="center"/>
              <w:ind w:left="190"/>
              <w:spacing w:after="0"/>
              <w:rPr>
                <w:sz w:val="20"/>
                <w:szCs w:val="20"/>
                <w:color w:val="auto"/>
              </w:rPr>
            </w:pPr>
            <w:r>
              <w:rPr>
                <w:rFonts w:ascii="Times New Roman" w:cs="Times New Roman" w:eastAsia="Times New Roman" w:hAnsi="Times New Roman"/>
                <w:sz w:val="14"/>
                <w:szCs w:val="14"/>
                <w:b w:val="1"/>
                <w:bCs w:val="1"/>
                <w:color w:val="auto"/>
                <w:w w:val="99"/>
              </w:rPr>
              <w:t>as Part of Publicly</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w w:val="99"/>
              </w:rPr>
              <w:t>be Purchased</w:t>
            </w:r>
          </w:p>
        </w:tc>
        <w:tc>
          <w:tcPr>
            <w:tcW w:w="0" w:type="dxa"/>
            <w:vAlign w:val="bottom"/>
          </w:tcPr>
          <w:p>
            <w:pPr>
              <w:spacing w:after="0"/>
              <w:rPr>
                <w:sz w:val="1"/>
                <w:szCs w:val="1"/>
                <w:color w:val="auto"/>
              </w:rPr>
            </w:pPr>
          </w:p>
        </w:tc>
      </w:tr>
      <w:tr>
        <w:trPr>
          <w:trHeight w:val="143"/>
        </w:trPr>
        <w:tc>
          <w:tcPr>
            <w:tcW w:w="4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tcPr>
          <w:p>
            <w:pPr>
              <w:jc w:val="center"/>
              <w:ind w:right="360"/>
              <w:spacing w:after="0" w:line="143"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0" w:type="dxa"/>
            <w:vAlign w:val="bottom"/>
          </w:tcPr>
          <w:p>
            <w:pPr>
              <w:jc w:val="center"/>
              <w:ind w:left="210"/>
              <w:spacing w:after="0" w:line="143" w:lineRule="exact"/>
              <w:rPr>
                <w:sz w:val="20"/>
                <w:szCs w:val="20"/>
                <w:color w:val="auto"/>
              </w:rPr>
            </w:pPr>
            <w:r>
              <w:rPr>
                <w:rFonts w:ascii="Times New Roman" w:cs="Times New Roman" w:eastAsia="Times New Roman" w:hAnsi="Times New Roman"/>
                <w:sz w:val="14"/>
                <w:szCs w:val="14"/>
                <w:b w:val="1"/>
                <w:bCs w:val="1"/>
                <w:color w:val="auto"/>
                <w:w w:val="99"/>
              </w:rPr>
              <w:t>Announced Plans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125"/>
              <w:spacing w:after="0" w:line="143" w:lineRule="exact"/>
              <w:rPr>
                <w:sz w:val="20"/>
                <w:szCs w:val="20"/>
                <w:color w:val="auto"/>
              </w:rPr>
            </w:pPr>
            <w:r>
              <w:rPr>
                <w:rFonts w:ascii="Times New Roman" w:cs="Times New Roman" w:eastAsia="Times New Roman" w:hAnsi="Times New Roman"/>
                <w:sz w:val="14"/>
                <w:szCs w:val="14"/>
                <w:b w:val="1"/>
                <w:bCs w:val="1"/>
                <w:color w:val="auto"/>
                <w:w w:val="99"/>
              </w:rPr>
              <w:t>Under the Plans</w:t>
            </w:r>
          </w:p>
        </w:tc>
        <w:tc>
          <w:tcPr>
            <w:tcW w:w="0" w:type="dxa"/>
            <w:vAlign w:val="bottom"/>
          </w:tcPr>
          <w:p>
            <w:pPr>
              <w:spacing w:after="0"/>
              <w:rPr>
                <w:sz w:val="1"/>
                <w:szCs w:val="1"/>
                <w:color w:val="auto"/>
              </w:rPr>
            </w:pPr>
          </w:p>
        </w:tc>
      </w:tr>
      <w:tr>
        <w:trPr>
          <w:trHeight w:val="237"/>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40" w:type="dxa"/>
            <w:vAlign w:val="bottom"/>
          </w:tcPr>
          <w:p>
            <w:pPr>
              <w:jc w:val="center"/>
              <w:spacing w:after="0" w:line="237" w:lineRule="exact"/>
              <w:rPr>
                <w:sz w:val="20"/>
                <w:szCs w:val="20"/>
                <w:color w:val="auto"/>
              </w:rPr>
            </w:pPr>
            <w:r>
              <w:rPr>
                <w:rFonts w:ascii="Times New Roman" w:cs="Times New Roman" w:eastAsia="Times New Roman" w:hAnsi="Times New Roman"/>
                <w:sz w:val="14"/>
                <w:szCs w:val="14"/>
                <w:b w:val="1"/>
                <w:bCs w:val="1"/>
                <w:color w:val="auto"/>
                <w:w w:val="94"/>
              </w:rPr>
              <w:t>Purchased</w:t>
            </w:r>
            <w:r>
              <w:rPr>
                <w:rFonts w:ascii="Times New Roman" w:cs="Times New Roman" w:eastAsia="Times New Roman" w:hAnsi="Times New Roman"/>
                <w:sz w:val="22"/>
                <w:szCs w:val="22"/>
                <w:b w:val="1"/>
                <w:bCs w:val="1"/>
                <w:color w:val="auto"/>
                <w:w w:val="94"/>
                <w:vertAlign w:val="superscript"/>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tcPr>
          <w:p>
            <w:pPr>
              <w:jc w:val="center"/>
              <w:ind w:right="360"/>
              <w:spacing w:after="0" w:line="237" w:lineRule="exact"/>
              <w:rPr>
                <w:sz w:val="20"/>
                <w:szCs w:val="20"/>
                <w:color w:val="auto"/>
              </w:rPr>
            </w:pPr>
            <w:r>
              <w:rPr>
                <w:rFonts w:ascii="Times New Roman" w:cs="Times New Roman" w:eastAsia="Times New Roman" w:hAnsi="Times New Roman"/>
                <w:sz w:val="14"/>
                <w:szCs w:val="14"/>
                <w:b w:val="1"/>
                <w:bCs w:val="1"/>
                <w:color w:val="auto"/>
                <w:w w:val="92"/>
              </w:rPr>
              <w:t>Share</w:t>
            </w:r>
            <w:r>
              <w:rPr>
                <w:rFonts w:ascii="Times New Roman" w:cs="Times New Roman" w:eastAsia="Times New Roman" w:hAnsi="Times New Roman"/>
                <w:sz w:val="22"/>
                <w:szCs w:val="22"/>
                <w:b w:val="1"/>
                <w:bCs w:val="1"/>
                <w:color w:val="auto"/>
                <w:w w:val="92"/>
                <w:vertAlign w:val="superscript"/>
              </w:rPr>
              <w:t>(2)</w:t>
            </w:r>
          </w:p>
        </w:tc>
        <w:tc>
          <w:tcPr>
            <w:tcW w:w="1400" w:type="dxa"/>
            <w:vAlign w:val="bottom"/>
          </w:tcPr>
          <w:p>
            <w:pPr>
              <w:jc w:val="center"/>
              <w:ind w:left="210"/>
              <w:spacing w:after="0" w:line="237" w:lineRule="exact"/>
              <w:rPr>
                <w:sz w:val="20"/>
                <w:szCs w:val="20"/>
                <w:color w:val="auto"/>
              </w:rPr>
            </w:pPr>
            <w:r>
              <w:rPr>
                <w:rFonts w:ascii="Times New Roman" w:cs="Times New Roman" w:eastAsia="Times New Roman" w:hAnsi="Times New Roman"/>
                <w:sz w:val="14"/>
                <w:szCs w:val="14"/>
                <w:b w:val="1"/>
                <w:bCs w:val="1"/>
                <w:color w:val="auto"/>
                <w:w w:val="94"/>
              </w:rPr>
              <w:t>or Programs</w:t>
            </w:r>
            <w:r>
              <w:rPr>
                <w:rFonts w:ascii="Times New Roman" w:cs="Times New Roman" w:eastAsia="Times New Roman" w:hAnsi="Times New Roman"/>
                <w:sz w:val="22"/>
                <w:szCs w:val="22"/>
                <w:b w:val="1"/>
                <w:bCs w:val="1"/>
                <w:color w:val="auto"/>
                <w:w w:val="94"/>
                <w:vertAlign w:val="superscript"/>
              </w:rPr>
              <w:t>(3)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center"/>
              <w:ind w:right="125"/>
              <w:spacing w:after="0" w:line="237" w:lineRule="exact"/>
              <w:rPr>
                <w:sz w:val="20"/>
                <w:szCs w:val="20"/>
                <w:color w:val="auto"/>
              </w:rPr>
            </w:pPr>
            <w:r>
              <w:rPr>
                <w:rFonts w:ascii="Times New Roman" w:cs="Times New Roman" w:eastAsia="Times New Roman" w:hAnsi="Times New Roman"/>
                <w:sz w:val="14"/>
                <w:szCs w:val="14"/>
                <w:b w:val="1"/>
                <w:bCs w:val="1"/>
                <w:color w:val="auto"/>
                <w:w w:val="94"/>
              </w:rPr>
              <w:t>or Programs</w:t>
            </w:r>
            <w:r>
              <w:rPr>
                <w:rFonts w:ascii="Times New Roman" w:cs="Times New Roman" w:eastAsia="Times New Roman" w:hAnsi="Times New Roman"/>
                <w:sz w:val="22"/>
                <w:szCs w:val="22"/>
                <w:b w:val="1"/>
                <w:bCs w:val="1"/>
                <w:color w:val="auto"/>
                <w:w w:val="94"/>
                <w:vertAlign w:val="superscript"/>
              </w:rPr>
              <w:t>(3)</w:t>
            </w:r>
          </w:p>
        </w:tc>
        <w:tc>
          <w:tcPr>
            <w:tcW w:w="0" w:type="dxa"/>
            <w:vAlign w:val="bottom"/>
          </w:tcPr>
          <w:p>
            <w:pPr>
              <w:spacing w:after="0"/>
              <w:rPr>
                <w:sz w:val="1"/>
                <w:szCs w:val="1"/>
                <w:color w:val="auto"/>
              </w:rPr>
            </w:pPr>
          </w:p>
        </w:tc>
      </w:tr>
      <w:tr>
        <w:trPr>
          <w:trHeight w:val="217"/>
        </w:trPr>
        <w:tc>
          <w:tcPr>
            <w:tcW w:w="4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3, 2022 through July 30, 2022</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461,912,353</w:t>
            </w:r>
          </w:p>
        </w:tc>
        <w:tc>
          <w:tcPr>
            <w:tcW w:w="0" w:type="dxa"/>
            <w:vAlign w:val="bottom"/>
          </w:tcPr>
          <w:p>
            <w:pPr>
              <w:spacing w:after="0"/>
              <w:rPr>
                <w:sz w:val="1"/>
                <w:szCs w:val="1"/>
                <w:color w:val="auto"/>
              </w:rPr>
            </w:pPr>
          </w:p>
        </w:tc>
      </w:tr>
      <w:tr>
        <w:trPr>
          <w:trHeight w:val="22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31, 2022 through August 27, 2022</w:t>
            </w: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1,389</w:t>
            </w:r>
          </w:p>
        </w:tc>
        <w:tc>
          <w:tcPr>
            <w:tcW w:w="36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72.93</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461,912,353</w:t>
            </w:r>
          </w:p>
        </w:tc>
        <w:tc>
          <w:tcPr>
            <w:tcW w:w="0" w:type="dxa"/>
            <w:vAlign w:val="bottom"/>
          </w:tcPr>
          <w:p>
            <w:pPr>
              <w:spacing w:after="0"/>
              <w:rPr>
                <w:sz w:val="1"/>
                <w:szCs w:val="1"/>
                <w:color w:val="auto"/>
              </w:rPr>
            </w:pPr>
          </w:p>
        </w:tc>
      </w:tr>
      <w:tr>
        <w:trPr>
          <w:trHeight w:val="223"/>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28, 2022 through September 30, 2022</w:t>
            </w:r>
          </w:p>
        </w:tc>
        <w:tc>
          <w:tcPr>
            <w:tcW w:w="16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2,308</w:t>
            </w:r>
          </w:p>
        </w:tc>
        <w:tc>
          <w:tcPr>
            <w:tcW w:w="36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461,912,353</w:t>
            </w:r>
          </w:p>
        </w:tc>
        <w:tc>
          <w:tcPr>
            <w:tcW w:w="0" w:type="dxa"/>
            <w:vAlign w:val="bottom"/>
          </w:tcPr>
          <w:p>
            <w:pPr>
              <w:spacing w:after="0"/>
              <w:rPr>
                <w:sz w:val="1"/>
                <w:szCs w:val="1"/>
                <w:color w:val="auto"/>
              </w:rPr>
            </w:pPr>
          </w:p>
        </w:tc>
      </w:tr>
      <w:tr>
        <w:trPr>
          <w:trHeight w:val="217"/>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4,952</w:t>
            </w:r>
          </w:p>
        </w:tc>
        <w:tc>
          <w:tcPr>
            <w:tcW w:w="36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68.56</w:t>
            </w:r>
          </w:p>
        </w:tc>
        <w:tc>
          <w:tcPr>
            <w:tcW w:w="10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640" w:hanging="319"/>
        <w:spacing w:after="0" w:line="268" w:lineRule="auto"/>
        <w:tabs>
          <w:tab w:leader="none" w:pos="6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Common Shares purchased during the fourth quarter of fiscal 2022 were purchased in open market transactions. The total number of Common Shares purchased during the quarter includes 4,952 Common Shares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40"/>
        <w:spacing w:after="0" w:line="268" w:lineRule="auto"/>
        <w:rPr>
          <w:sz w:val="20"/>
          <w:szCs w:val="20"/>
          <w:color w:val="auto"/>
        </w:rPr>
      </w:pPr>
      <w:r>
        <w:rPr>
          <w:rFonts w:ascii="Times New Roman" w:cs="Times New Roman" w:eastAsia="Times New Roman" w:hAnsi="Times New Roman"/>
          <w:sz w:val="18"/>
          <w:szCs w:val="18"/>
          <w:color w:val="auto"/>
        </w:rPr>
        <w:t>purchased by the trustee of the rabbi trust established by the Company as permitted pursuant to the terms of The Scotts Company LLC Executive Retirement Plan (the “ERP”).</w:t>
      </w:r>
    </w:p>
    <w:p>
      <w:pPr>
        <w:spacing w:after="0" w:line="116" w:lineRule="exact"/>
        <w:rPr>
          <w:sz w:val="20"/>
          <w:szCs w:val="20"/>
          <w:color w:val="auto"/>
        </w:rPr>
      </w:pPr>
    </w:p>
    <w:p>
      <w:pPr>
        <w:ind w:left="620" w:hanging="299"/>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Common Share is calculated on a settlement basis and includes commissions.</w:t>
      </w:r>
    </w:p>
    <w:p>
      <w:pPr>
        <w:spacing w:after="0" w:line="161" w:lineRule="exact"/>
        <w:rPr>
          <w:rFonts w:ascii="Times New Roman" w:cs="Times New Roman" w:eastAsia="Times New Roman" w:hAnsi="Times New Roman"/>
          <w:sz w:val="18"/>
          <w:szCs w:val="18"/>
          <w:color w:val="auto"/>
        </w:rPr>
      </w:pPr>
    </w:p>
    <w:p>
      <w:pPr>
        <w:ind w:left="640" w:hanging="319"/>
        <w:spacing w:after="0" w:line="268" w:lineRule="auto"/>
        <w:tabs>
          <w:tab w:leader="none" w:pos="6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6, 2020, the Company announced a new repurchase program allowing for repurchases of up to $750.0 million of Common Shares from April 30, 2020 through March 25, 2023.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Cumulative Five-Year Total Return*</w:t>
      </w:r>
    </w:p>
    <w:p>
      <w:pPr>
        <w:spacing w:after="0" w:line="165"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The following graph compares the yearly change in the cumulative total stockholder return on our Common Stock for the past five fiscal years with the cumulative total return of the Russell 2000 Index and the S&amp;P 500 Household Products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85090</wp:posOffset>
            </wp:positionV>
            <wp:extent cx="5708650" cy="30962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08650" cy="3096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u w:val="single" w:color="auto"/>
          <w:color w:val="auto"/>
        </w:rPr>
        <w:t>ITEM 6.</w:t>
      </w:r>
      <w:r>
        <w:rPr>
          <w:sz w:val="20"/>
          <w:szCs w:val="20"/>
          <w:color w:val="auto"/>
        </w:rPr>
        <w:tab/>
      </w:r>
      <w:r>
        <w:rPr>
          <w:rFonts w:ascii="Times New Roman" w:cs="Times New Roman" w:eastAsia="Times New Roman" w:hAnsi="Times New Roman"/>
          <w:sz w:val="16"/>
          <w:szCs w:val="16"/>
          <w:b w:val="1"/>
          <w:bCs w:val="1"/>
          <w:i w:val="1"/>
          <w:iCs w:val="1"/>
          <w:u w:val="single" w:color="auto"/>
          <w:color w:val="auto"/>
        </w:rPr>
        <w:t>RESERVED</w:t>
      </w:r>
    </w:p>
    <w:p>
      <w:pPr>
        <w:spacing w:after="0" w:line="2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Reserved by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38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u w:val="single" w:color="auto"/>
          <w:color w:val="auto"/>
        </w:rPr>
        <w:t>ITEM 7.</w:t>
      </w:r>
      <w:r>
        <w:rPr>
          <w:sz w:val="20"/>
          <w:szCs w:val="20"/>
          <w:color w:val="auto"/>
        </w:rPr>
        <w:tab/>
      </w:r>
      <w:r>
        <w:rPr>
          <w:rFonts w:ascii="Times New Roman" w:cs="Times New Roman" w:eastAsia="Times New Roman" w:hAnsi="Times New Roman"/>
          <w:sz w:val="16"/>
          <w:szCs w:val="16"/>
          <w:b w:val="1"/>
          <w:bCs w:val="1"/>
          <w:i w:val="1"/>
          <w:iCs w:val="1"/>
          <w:u w:val="single" w:color="auto"/>
          <w:color w:val="auto"/>
        </w:rPr>
        <w:t>MANAGEMENT’S DISCUSSION AND ANALYSIS OF FINANCIAL CONDITION AND RESULTS OF OPERATIONS</w:t>
      </w:r>
    </w:p>
    <w:p>
      <w:pPr>
        <w:spacing w:after="0" w:line="257"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The purpose of this Management’s Discussion and Analysis (“MD&amp;A”) is to provide an understanding of our financial condition and results of operations by focusing on changes in certain key measures from year-to-year. This MD&amp;A is divided into the following sections:</w:t>
      </w:r>
    </w:p>
    <w:p>
      <w:pPr>
        <w:spacing w:after="0" w:line="116" w:lineRule="exact"/>
        <w:rPr>
          <w:sz w:val="20"/>
          <w:szCs w:val="20"/>
          <w:color w:val="auto"/>
        </w:rPr>
      </w:pPr>
    </w:p>
    <w:p>
      <w:pPr>
        <w:ind w:left="1260" w:hanging="624"/>
        <w:spacing w:after="0"/>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summary</w:t>
      </w:r>
    </w:p>
    <w:p>
      <w:pPr>
        <w:spacing w:after="0" w:line="161" w:lineRule="exact"/>
        <w:rPr>
          <w:rFonts w:ascii="Times New Roman" w:cs="Times New Roman" w:eastAsia="Times New Roman" w:hAnsi="Times New Roman"/>
          <w:sz w:val="18"/>
          <w:szCs w:val="18"/>
          <w:color w:val="auto"/>
        </w:rPr>
      </w:pPr>
    </w:p>
    <w:p>
      <w:pPr>
        <w:ind w:left="1260" w:hanging="624"/>
        <w:spacing w:after="0"/>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161" w:lineRule="exact"/>
        <w:rPr>
          <w:rFonts w:ascii="Times New Roman" w:cs="Times New Roman" w:eastAsia="Times New Roman" w:hAnsi="Times New Roman"/>
          <w:sz w:val="18"/>
          <w:szCs w:val="18"/>
          <w:color w:val="auto"/>
        </w:rPr>
      </w:pPr>
    </w:p>
    <w:p>
      <w:pPr>
        <w:ind w:left="1260" w:hanging="624"/>
        <w:spacing w:after="0"/>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results</w:t>
      </w:r>
    </w:p>
    <w:p>
      <w:pPr>
        <w:spacing w:after="0" w:line="161" w:lineRule="exact"/>
        <w:rPr>
          <w:rFonts w:ascii="Times New Roman" w:cs="Times New Roman" w:eastAsia="Times New Roman" w:hAnsi="Times New Roman"/>
          <w:sz w:val="18"/>
          <w:szCs w:val="18"/>
          <w:color w:val="auto"/>
        </w:rPr>
      </w:pPr>
    </w:p>
    <w:p>
      <w:pPr>
        <w:ind w:left="1260" w:hanging="624"/>
        <w:spacing w:after="0"/>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161" w:lineRule="exact"/>
        <w:rPr>
          <w:rFonts w:ascii="Times New Roman" w:cs="Times New Roman" w:eastAsia="Times New Roman" w:hAnsi="Times New Roman"/>
          <w:sz w:val="18"/>
          <w:szCs w:val="18"/>
          <w:color w:val="auto"/>
        </w:rPr>
      </w:pPr>
    </w:p>
    <w:p>
      <w:pPr>
        <w:ind w:left="1260" w:hanging="624"/>
        <w:spacing w:after="0"/>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measures</w:t>
      </w:r>
    </w:p>
    <w:p>
      <w:pPr>
        <w:spacing w:after="0" w:line="161" w:lineRule="exact"/>
        <w:rPr>
          <w:rFonts w:ascii="Times New Roman" w:cs="Times New Roman" w:eastAsia="Times New Roman" w:hAnsi="Times New Roman"/>
          <w:sz w:val="18"/>
          <w:szCs w:val="18"/>
          <w:color w:val="auto"/>
        </w:rPr>
      </w:pPr>
    </w:p>
    <w:p>
      <w:pPr>
        <w:ind w:left="1260" w:hanging="624"/>
        <w:spacing w:after="0"/>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matters</w:t>
      </w:r>
    </w:p>
    <w:p>
      <w:pPr>
        <w:spacing w:after="0" w:line="161" w:lineRule="exact"/>
        <w:rPr>
          <w:rFonts w:ascii="Times New Roman" w:cs="Times New Roman" w:eastAsia="Times New Roman" w:hAnsi="Times New Roman"/>
          <w:sz w:val="18"/>
          <w:szCs w:val="18"/>
          <w:color w:val="auto"/>
        </w:rPr>
      </w:pPr>
    </w:p>
    <w:p>
      <w:pPr>
        <w:ind w:left="1260" w:hanging="624"/>
        <w:spacing w:after="0"/>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and estimates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97"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Our operations are divided into three reportable segments: U.S. Consumer, Hawthorne and Other. U.S. Consumer consists of our consumer lawn and garden business in the United States. Hawthorne consists of our indoor and hydroponic gardening business. Other primarily consists of our consumer lawn and garden business outside the United States. This division of reportable segments is consistent with how the segments report to and are managed by our chief operating decision maker. In addition, Corporate consists of general and administrative expenses and certain other income and expense items not allocated to the business segments. See “SEGMENT RESULTS” below for additional information regarding our evaluation of segment performance.</w:t>
      </w:r>
    </w:p>
    <w:p>
      <w:pPr>
        <w:spacing w:after="0" w:line="70" w:lineRule="exact"/>
        <w:rPr>
          <w:sz w:val="20"/>
          <w:szCs w:val="20"/>
          <w:color w:val="auto"/>
        </w:rPr>
      </w:pPr>
    </w:p>
    <w:p>
      <w:pPr>
        <w:jc w:val="both"/>
        <w:ind w:firstLine="434"/>
        <w:spacing w:after="0" w:line="225" w:lineRule="auto"/>
        <w:rPr>
          <w:sz w:val="20"/>
          <w:szCs w:val="20"/>
          <w:color w:val="auto"/>
        </w:rPr>
      </w:pPr>
      <w:r>
        <w:rPr>
          <w:rFonts w:ascii="Times New Roman" w:cs="Times New Roman" w:eastAsia="Times New Roman" w:hAnsi="Times New Roman"/>
          <w:sz w:val="18"/>
          <w:szCs w:val="18"/>
          <w:color w:val="auto"/>
        </w:rPr>
        <w:t>Through our U.S. Consumer and Other segments, we are the leading manufacturer and marketer of branded consumer lawn and garden products in North America. Our products are marketed under some of the most recognized brand names in the industry. Our key consumer lawn and garden brands include Scotts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Turf Builder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lawn fertilizer and Scotts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grass seed products; Miracle-Gro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soil, plant food and gardening products; Ortho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herbicide and pesticide products; and Tomcat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rodent control and animal repellent products. We also have a presence in similar branded consumer products in China. We are the exclusive agent of Monsanto for the marketing and distribution of certain of Monsanto’s consumer Roundup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branded products within the United States and certain other specified countries. In addition, we have an equity interest in Bonnie Plants, LLC, a joint venture with AFC, focused on planting, growing, developing, distributing, marketing and selling live plants.</w:t>
      </w:r>
    </w:p>
    <w:p>
      <w:pPr>
        <w:spacing w:after="0" w:line="63" w:lineRule="exact"/>
        <w:rPr>
          <w:sz w:val="20"/>
          <w:szCs w:val="20"/>
          <w:color w:val="auto"/>
        </w:rPr>
      </w:pPr>
    </w:p>
    <w:p>
      <w:pPr>
        <w:jc w:val="both"/>
        <w:ind w:firstLine="434"/>
        <w:spacing w:after="0" w:line="245" w:lineRule="auto"/>
        <w:rPr>
          <w:sz w:val="20"/>
          <w:szCs w:val="20"/>
          <w:color w:val="auto"/>
        </w:rPr>
      </w:pPr>
      <w:r>
        <w:rPr>
          <w:rFonts w:ascii="Times New Roman" w:cs="Times New Roman" w:eastAsia="Times New Roman" w:hAnsi="Times New Roman"/>
          <w:sz w:val="18"/>
          <w:szCs w:val="18"/>
          <w:color w:val="auto"/>
        </w:rPr>
        <w:t>Through our Hawthorne segment, we are a leading manufacturer, marketer and distributor of lighting, nutrients, growing media, growing environments and hardware products for indoor and hydroponic gardening in North America. Our key brands include General Hydroponics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Gavita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Botanicare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Agrolux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Can-Filters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Gro Pro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Mother Earth</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Hurricane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Grower’s Edge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HydroLogic</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jc w:val="both"/>
        <w:ind w:firstLine="434"/>
        <w:spacing w:after="0" w:line="246" w:lineRule="auto"/>
        <w:rPr>
          <w:sz w:val="20"/>
          <w:szCs w:val="20"/>
          <w:color w:val="auto"/>
        </w:rPr>
      </w:pPr>
      <w:r>
        <w:rPr>
          <w:rFonts w:ascii="Times New Roman" w:cs="Times New Roman" w:eastAsia="Times New Roman" w:hAnsi="Times New Roman"/>
          <w:sz w:val="18"/>
          <w:szCs w:val="18"/>
          <w:color w:val="auto"/>
        </w:rPr>
        <w:t>As a leading consumer branded lawn and garden company, our product development and marketing efforts are largely focused on providing innovative and differentiated products and continually increasing brand and product awareness to inspire consumers to create retail demand. We have implemented this model for a number of years by focusing on research and development and investing approximately 3-5% of our U.S. Consumer segment annual net sales in advertising to support and promote our consumer lawn and garden products and brands. We continually explore new and innovative ways to communicate with consumers. We believe that we receive a significant benefit from these expenditures and anticipate a similar commitment to research and development, advertising and marketing investments in the future, with the continuing objective of driving category growth and profitably maintaining and/or increasing market share.</w:t>
      </w:r>
    </w:p>
    <w:p>
      <w:pPr>
        <w:spacing w:after="0" w:line="72"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Our consumer lawn and garden net sales in any one year are susceptible to weather conditions in the markets in which our products are sold. For instance, periods of abnormally wet or dry weather can adversely impact the sale of certain products, while increasing demand for other products. We believe that our diversified product line and our geographic diversification reduce this risk, although to a lesser extent in a year in which unfavorable weather is geographically widespread and extends across a significant portion of the lawn and garden season. We also believe that weather conditions in any one year, positive or negative, do not materially impact longer-term category growth trends.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84"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Due to the seasonal nature of the consumer lawn and garden business, for our U.S. Consumer and Other segments, significant portions of our products ship to our retail customers during our second and third fiscal quarters, as noted in the following table. Our annual net sales are further concentrated in the second and third fiscal quarters by retailers who rely on our ability to deliver products closer to when consumers buy our products, thereby reducing retailers’ pre-season inventories. For our Hawthorne segment, sales are also impacted by seasonal patterns for certain product categories due to the timing of outdoor growing in North America during our second and third fiscal quarters, and the timing of certain controlled agricultural lighting project sales during our third and fourth fiscal quarters.</w:t>
      </w:r>
    </w:p>
    <w:p>
      <w:pPr>
        <w:spacing w:after="0" w:line="91"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4"/>
          <w:szCs w:val="14"/>
          <w:b w:val="1"/>
          <w:bCs w:val="1"/>
          <w:color w:val="auto"/>
        </w:rPr>
        <w:t>Percent of Net Sales from Continuing</w:t>
      </w:r>
    </w:p>
    <w:p>
      <w:pPr>
        <w:spacing w:after="0" w:line="2"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4"/>
          <w:szCs w:val="14"/>
          <w:b w:val="1"/>
          <w:bCs w:val="1"/>
          <w:color w:val="auto"/>
        </w:rPr>
        <w:t>Operations by Quarter</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940" w:type="dxa"/>
            <w:vAlign w:val="bottom"/>
            <w:tcBorders>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68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68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23"/>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33.5 %</w:t>
            </w:r>
          </w:p>
        </w:tc>
      </w:tr>
      <w:tr>
        <w:trPr>
          <w:trHeight w:val="223"/>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36.1 %</w:t>
            </w:r>
          </w:p>
        </w:tc>
      </w:tr>
      <w:tr>
        <w:trPr>
          <w:trHeight w:val="228"/>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21.5 %</w:t>
            </w:r>
          </w:p>
        </w:tc>
      </w:tr>
    </w:tbl>
    <w:p>
      <w:pPr>
        <w:spacing w:after="0" w:line="398"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We follow a 13-week quarterly accounting cycle pursuant to which the first three fiscal quarters end on a Saturday and the fiscal year always ends on September 30. This fiscal calendar convention requires us to cycle forward the first three fiscal quarter ends every six years. Fiscal 2021 was impacted by this process and, as a result, our first quarter of fiscal 2021 had five additional days and our fourth quarter of fiscal 2021 had six fewer days compared to the respective quarters of fiscal 2020.</w:t>
      </w:r>
    </w:p>
    <w:p>
      <w:pPr>
        <w:spacing w:after="0" w:line="64" w:lineRule="exact"/>
        <w:rPr>
          <w:sz w:val="20"/>
          <w:szCs w:val="20"/>
          <w:color w:val="auto"/>
        </w:rPr>
      </w:pPr>
    </w:p>
    <w:p>
      <w:pPr>
        <w:jc w:val="both"/>
        <w:ind w:firstLine="434"/>
        <w:spacing w:after="0" w:line="281" w:lineRule="auto"/>
        <w:rPr>
          <w:sz w:val="20"/>
          <w:szCs w:val="20"/>
          <w:color w:val="auto"/>
        </w:rPr>
      </w:pPr>
      <w:r>
        <w:rPr>
          <w:rFonts w:ascii="Times New Roman" w:cs="Times New Roman" w:eastAsia="Times New Roman" w:hAnsi="Times New Roman"/>
          <w:sz w:val="16"/>
          <w:szCs w:val="16"/>
          <w:color w:val="auto"/>
        </w:rPr>
        <w:t>Management focuses on a variety of key indicators and operating metrics to monitor the financial condition and performance of the continuing operations of our business. These metrics include consumer purchases (point-of-sale data), market share, category growth, net sales (including unit volume, pricing and foreign exchange movements), gross margins, advertising to net sales ratios, income from operations, income from continuing operations, net income, earnings per share, earnings before interest, taxes, depreciation and amortization (“EBITDA”) and leverage ratio. To the extent applicable, these metrics are evaluated with and without impairment, restructuring and other charges that do not occur in or reflect the ordinary course of our ongoing business operations. Metrics that exclude impairment, restructuring and other nonrecurring items are used by management to evaluate our performance, engage in financial and operational planning and determine incentive compensation because we believe that these measures provide additional perspective on the performance of our underlying, ongoing business. We also focus on measures to optimize cash flow and return on invested capital, including the management of working capital and capital expenditures. Refer to the “NON-GAAP MEASURES” section of this MD&amp;A for further discussion of non-GAAP measures.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Events</w:t>
      </w:r>
    </w:p>
    <w:p>
      <w:pPr>
        <w:spacing w:after="0" w:line="112" w:lineRule="exact"/>
        <w:rPr>
          <w:sz w:val="20"/>
          <w:szCs w:val="20"/>
          <w:color w:val="auto"/>
        </w:rPr>
      </w:pPr>
    </w:p>
    <w:p>
      <w:pPr>
        <w:jc w:val="both"/>
        <w:ind w:firstLine="434"/>
        <w:spacing w:after="0" w:line="281" w:lineRule="auto"/>
        <w:rPr>
          <w:sz w:val="20"/>
          <w:szCs w:val="20"/>
          <w:color w:val="auto"/>
        </w:rPr>
      </w:pPr>
      <w:r>
        <w:rPr>
          <w:rFonts w:ascii="Times New Roman" w:cs="Times New Roman" w:eastAsia="Times New Roman" w:hAnsi="Times New Roman"/>
          <w:sz w:val="16"/>
          <w:szCs w:val="16"/>
          <w:color w:val="auto"/>
        </w:rPr>
        <w:t>During fiscal 2022, our Hawthorne segment experienced adverse financial results due to decreased sales volume and higher transportation and warehousing costs. Sales volume decreased due to an oversupply of cannabis, which significantly decreased cannabis wholesale prices and indoor and outdoor cannabis cultivation. The oversupply has been driven by increased licensing activity across the U.S., as well as significant capital investment in the cannabis production marketplace over the past several years and the market impacts of the COVID-19 pandemic. Due to the risks and uncertainties related to these impacts, we performed interim impairment testing for Hawthorne long-lived assets and goodwill during the third quarter of fiscal 2022, which resulted in non-cash, pre-tax goodwill and intangible asset impairment charges of $632.4 recorded in the “Impairment, restructuring and other” line in the Consolidated Statements of Operations. Refer to the “CRITICAL ACCOUNTING POLICIES AND ESTIMATES” section of this MD&amp;A and “NOTE 5. GOODWILL AND INTANGIBLE ASSETS, NET” for more information. We expect that the oversupply of cannabis and cost increases will continue to adversely impact our Hawthorne segment. If the oversupply of cannabis and cost increases persist longer, or are more significant than we expect or we are unable to mitigate their impact, our results of operations could be materially and adversely impacted for a longer period and to a greater extent than we currently anticipate.</w:t>
      </w:r>
    </w:p>
    <w:p>
      <w:pPr>
        <w:spacing w:after="0" w:line="256" w:lineRule="exact"/>
        <w:rPr>
          <w:sz w:val="20"/>
          <w:szCs w:val="20"/>
          <w:color w:val="auto"/>
        </w:rPr>
      </w:pPr>
    </w:p>
    <w:p>
      <w:pPr>
        <w:jc w:val="both"/>
        <w:ind w:firstLine="434"/>
        <w:spacing w:after="0" w:line="303" w:lineRule="auto"/>
        <w:rPr>
          <w:sz w:val="20"/>
          <w:szCs w:val="20"/>
          <w:color w:val="auto"/>
        </w:rPr>
      </w:pPr>
      <w:r>
        <w:rPr>
          <w:rFonts w:ascii="Times New Roman" w:cs="Times New Roman" w:eastAsia="Times New Roman" w:hAnsi="Times New Roman"/>
          <w:sz w:val="16"/>
          <w:szCs w:val="16"/>
          <w:color w:val="auto"/>
        </w:rPr>
        <w:t>During fiscal 2022, our U.S. Consumer, Hawthorne and Other segments have experienced higher transportation and materials costs, including fertilizer inputs such as urea, due in part to the negative impact of the war in Ukraine on the global economy. We expect a continuing inflationary environment that is heightened by this conflict, and we are continuing to address these impacts to our operations. We have no operations in Russia or Ukraine.</w:t>
      </w:r>
    </w:p>
    <w:p>
      <w:pPr>
        <w:spacing w:after="0" w:line="26"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On April 8, 2022, we entered into the Sixth A&amp;R Credit Agreement, providing the Company and certain of its subsidiaries with five-year senior secured loan facilities in the aggregate principal amount of $2,500.0, comprised of a revolving credit facility of $1,500.0 and a term loan in the original principal amount of $1,000.0. The Sixth A&amp;R Credit Agreement contains, among other obligations, an affirmative covenant regarding our leverage ratio determined as of the end of each of our</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8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fiscal quarters. The maximum permitted leverage ratio originally established in the Sixth A&amp;R Credit Agreement was 4.50. During the third quarter of fiscal 2022, we experienced an unexpected shortfall in earnings that affected our ability to remain in compliance with the leverage ratio covenant of the Sixth A&amp;R Credit Agreement. On June 8, 2022, we entered into Amendment No. 1 (the “Amendment”) to the Sixth A&amp;R Credit Agreement which increases the maximum permitted leverage ratio for the quarterly leverage covenant effective for the third quarter of fiscal 2022 until the earlier of (i) April 1, 2024 and (ii) subject to certain conditions specified in the Amendment, the termination by us of such increase (such period, the “Leverage Adjustment Period”). We are currently in compliance with our covenants and expect to remain in compliance, however, we could experience material changes to forecasted revenues, expenses or cash flows and may experience difficulty remaining in compliance with the financial covenants required by the amended Sixth A&amp;R Credit Agreement. Refer to the “LIQUIDITY AND CAPITAL RESOURCES” section of this MD&amp;A for more information regarding the Amendment and the financial covenants required by the Sixth A&amp;R Credit Agreement.</w:t>
      </w:r>
    </w:p>
    <w:p>
      <w:pPr>
        <w:spacing w:after="0" w:line="62" w:lineRule="exact"/>
        <w:rPr>
          <w:sz w:val="20"/>
          <w:szCs w:val="20"/>
          <w:color w:val="auto"/>
        </w:rPr>
      </w:pPr>
    </w:p>
    <w:p>
      <w:pPr>
        <w:jc w:val="both"/>
        <w:ind w:firstLine="434"/>
        <w:spacing w:after="0" w:line="246" w:lineRule="auto"/>
        <w:rPr>
          <w:sz w:val="20"/>
          <w:szCs w:val="20"/>
          <w:color w:val="auto"/>
        </w:rPr>
      </w:pPr>
      <w:r>
        <w:rPr>
          <w:rFonts w:ascii="Times New Roman" w:cs="Times New Roman" w:eastAsia="Times New Roman" w:hAnsi="Times New Roman"/>
          <w:sz w:val="18"/>
          <w:szCs w:val="18"/>
          <w:color w:val="auto"/>
        </w:rPr>
        <w:t>During fiscal 2022, due to a broader business downturn, we began implementing a series of Company-wide organizational changes and initiatives intended to create operational and management-level efficiencies. As part of the first phase of this restructuring program, we reduced the size of our supply chain network, reduced staffing levels and implemented other cost-reduction initiatives, which achieved approximately $100.0 of annual cost reductions. During fiscal 2022, we incurred costs of $65.2 associated with this restructuring initiative primarily related to employee termination benefits and impairment of property, plant and equipment. On November 2, 2022, we announced further details of a second phase of this initiative, targeting an additional $85.0 of annual cost reductions. Expected savings will be driven by: (i) reducing the operating footprint of our Hawthorne and U.S. Consumer segments by closing points of distribution, (ii) further right-sizing of overhead expenses in our Hawthorne segment enabled by integration into ScottsMiracle-Gro, (iii) enhancing profitability through improved product mix and fewer SKUs in our Hawthorne segment, (iv) executing on supply chain labor and materials efficiencies, (v) improving productivity of trade programs, and (vi) further reductions in SG&amp;A spending. In addition, we have contingency plans which would further reduce or delay additional expenses and cash outlays, or reduce borrowings, should operations weaken beyond current forecasts or if cash inflows are not received when expected.</w:t>
      </w:r>
    </w:p>
    <w:p>
      <w:pPr>
        <w:spacing w:after="0" w:line="72" w:lineRule="exact"/>
        <w:rPr>
          <w:sz w:val="20"/>
          <w:szCs w:val="20"/>
          <w:color w:val="auto"/>
        </w:rPr>
      </w:pPr>
    </w:p>
    <w:p>
      <w:pPr>
        <w:jc w:val="both"/>
        <w:ind w:firstLine="434"/>
        <w:spacing w:after="0" w:line="303" w:lineRule="auto"/>
        <w:rPr>
          <w:sz w:val="20"/>
          <w:szCs w:val="20"/>
          <w:color w:val="auto"/>
        </w:rPr>
      </w:pPr>
      <w:r>
        <w:rPr>
          <w:rFonts w:ascii="Times New Roman" w:cs="Times New Roman" w:eastAsia="Times New Roman" w:hAnsi="Times New Roman"/>
          <w:sz w:val="16"/>
          <w:szCs w:val="16"/>
          <w:color w:val="auto"/>
        </w:rPr>
        <w:t>During fiscal 2022, we discontinued and exited the market for certain Hawthorne lighting products and brands. These actions resulted in inventory write-down charges of $120.9 recorded in the “Cost of sales—impairment, restructuring and other” line in the Consolidated Statements of Operations and finite-lived intangible asset impairment charges of $35.3 recorded in the “Impairment, restructuring and other” line in the Consolidated Statements of Operations.</w:t>
      </w:r>
    </w:p>
    <w:p>
      <w:pPr>
        <w:spacing w:after="0" w:line="26"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On February 6, 2020, Scotts Miracle-Gro announced that its Board of Directors authorized the repurchase of up to $750.0 of Common Shares from April 30, 2020 through March 25, 2023. During fiscal 2022 and fiscal 2021, Scotts Miracle-Gro repurchased 1.1 million and 0.6 million Common Shares under this share repurchase authorization for $175.0 and $113.1, respectively. There were no share repurchases under this share repurchase authorization during fiscal 2020.</w:t>
      </w:r>
    </w:p>
    <w:p>
      <w:pPr>
        <w:spacing w:after="0" w:line="51" w:lineRule="exact"/>
        <w:rPr>
          <w:sz w:val="20"/>
          <w:szCs w:val="20"/>
          <w:color w:val="auto"/>
        </w:rPr>
      </w:pPr>
    </w:p>
    <w:p>
      <w:pPr>
        <w:jc w:val="both"/>
        <w:ind w:firstLine="434"/>
        <w:spacing w:after="0" w:line="303" w:lineRule="auto"/>
        <w:rPr>
          <w:sz w:val="20"/>
          <w:szCs w:val="20"/>
          <w:color w:val="auto"/>
        </w:rPr>
      </w:pPr>
      <w:r>
        <w:rPr>
          <w:rFonts w:ascii="Times New Roman" w:cs="Times New Roman" w:eastAsia="Times New Roman" w:hAnsi="Times New Roman"/>
          <w:sz w:val="16"/>
          <w:szCs w:val="16"/>
          <w:color w:val="auto"/>
        </w:rPr>
        <w:t>On July 27, 2020, the Scotts Miracle-Gro Board of Directors approved an increase in Scotts Miracle-Gro’s quarterly cash dividend from $0.58 to $0.62 per Common Share, which was first paid in the fourth quarter of fiscal 2020. On July 30, 2021, the Scotts Miracle-Gro Board of Directors approved an increase in Scotts Miracle-Gro’s quarterly cash dividend from $0.62 to $0.66 per Common Share, which was first paid in the fourth quarter of fiscal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components of earnings as a percentage of net sales: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4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4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180" w:type="dxa"/>
            <w:vAlign w:val="bottom"/>
          </w:tcPr>
          <w:p>
            <w:pPr>
              <w:spacing w:after="0"/>
              <w:rPr>
                <w:sz w:val="16"/>
                <w:szCs w:val="16"/>
                <w:color w:val="auto"/>
              </w:rPr>
            </w:pPr>
          </w:p>
        </w:tc>
        <w:tc>
          <w:tcPr>
            <w:tcW w:w="8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240" w:type="dxa"/>
            <w:vAlign w:val="bottom"/>
          </w:tcPr>
          <w:p>
            <w:pPr>
              <w:spacing w:after="0"/>
              <w:rPr>
                <w:sz w:val="16"/>
                <w:szCs w:val="16"/>
                <w:color w:val="auto"/>
              </w:rPr>
            </w:pPr>
          </w:p>
        </w:tc>
        <w:tc>
          <w:tcPr>
            <w:tcW w:w="8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 of Net Sales</w:t>
            </w:r>
          </w:p>
        </w:tc>
      </w:tr>
      <w:tr>
        <w:trPr>
          <w:trHeight w:val="223"/>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3,924.1</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4,925.0</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4,131.6</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2,891.1</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3,431.3</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2,768.6</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67.0</w:t>
            </w: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160.1</w:t>
            </w:r>
          </w:p>
        </w:tc>
        <w:tc>
          <w:tcPr>
            <w:tcW w:w="10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24.7</w:t>
            </w: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16.0</w:t>
            </w:r>
          </w:p>
        </w:tc>
        <w:tc>
          <w:tcPr>
            <w:tcW w:w="10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0.4</w:t>
            </w:r>
          </w:p>
        </w:tc>
      </w:tr>
      <w:tr>
        <w:trPr>
          <w:trHeight w:val="217"/>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872.9</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1,469.0</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1,347.0</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32.6</w:t>
            </w: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3"/>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613.0</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743.5</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757.8</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18.3</w:t>
            </w:r>
          </w:p>
        </w:tc>
      </w:tr>
      <w:tr>
        <w:trPr>
          <w:trHeight w:val="223"/>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693.1</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4.3</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0.8</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0.8</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0.1</w:t>
            </w:r>
          </w:p>
        </w:tc>
      </w:tr>
      <w:tr>
        <w:trPr>
          <w:trHeight w:val="217"/>
        </w:trPr>
        <w:tc>
          <w:tcPr>
            <w:tcW w:w="46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108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723.0</w:t>
            </w:r>
          </w:p>
        </w:tc>
        <w:tc>
          <w:tcPr>
            <w:tcW w:w="10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585.2</w:t>
            </w:r>
          </w:p>
        </w:tc>
        <w:tc>
          <w:tcPr>
            <w:tcW w:w="10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14.2</w:t>
            </w: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(income) loss of unconsolidated affiliates</w:t>
            </w:r>
          </w:p>
        </w:tc>
        <w:tc>
          <w:tcPr>
            <w:tcW w:w="22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12.9</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related to refinancing</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15.1</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118.1</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78.9</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79.6</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income, net</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(0.5)</w:t>
            </w:r>
          </w:p>
        </w:tc>
      </w:tr>
      <w:tr>
        <w:trPr>
          <w:trHeight w:val="217"/>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Income (loss) from continuing operations before income taxes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10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677.1</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510.6</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12.4</w:t>
            </w: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 from continuing operations</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159.8</w:t>
            </w: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123.7</w:t>
            </w:r>
          </w:p>
        </w:tc>
        <w:tc>
          <w:tcPr>
            <w:tcW w:w="10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w:t>
            </w:r>
          </w:p>
        </w:tc>
      </w:tr>
      <w:tr>
        <w:trPr>
          <w:trHeight w:val="217"/>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10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517.3</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386.9</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9.4</w:t>
            </w:r>
          </w:p>
        </w:tc>
      </w:tr>
      <w:tr>
        <w:trPr>
          <w:trHeight w:val="223"/>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513.4</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388.6</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0"/>
        </w:trPr>
        <w:tc>
          <w:tcPr>
            <w:tcW w:w="4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sum of the components may not equal due to rounding.</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99" w:lineRule="exact"/>
        <w:rPr>
          <w:sz w:val="20"/>
          <w:szCs w:val="20"/>
          <w:color w:val="auto"/>
        </w:rPr>
      </w:pPr>
    </w:p>
    <w:p>
      <w:pPr>
        <w:ind w:firstLine="434"/>
        <w:spacing w:after="0" w:line="263" w:lineRule="auto"/>
        <w:rPr>
          <w:sz w:val="20"/>
          <w:szCs w:val="20"/>
          <w:color w:val="auto"/>
        </w:rPr>
      </w:pPr>
      <w:r>
        <w:rPr>
          <w:rFonts w:ascii="Times New Roman" w:cs="Times New Roman" w:eastAsia="Times New Roman" w:hAnsi="Times New Roman"/>
          <w:sz w:val="18"/>
          <w:szCs w:val="18"/>
          <w:color w:val="auto"/>
        </w:rPr>
        <w:t>Net sales for fiscal 2022 were $3,924.1, a decrease of 20.3% from net sales of $4,925.0 for fiscal 2021. Net sales for fiscal 2021 increased 19.2% from net sales of $4,131.6 for fiscal 2020. These changes in net sales were attributable to the following:</w:t>
      </w:r>
    </w:p>
    <w:p>
      <w:pPr>
        <w:ind w:left="8640"/>
        <w:spacing w:after="0"/>
        <w:rPr>
          <w:sz w:val="20"/>
          <w:szCs w:val="20"/>
          <w:color w:val="auto"/>
        </w:rPr>
      </w:pPr>
      <w:r>
        <w:rPr>
          <w:rFonts w:ascii="Times New Roman" w:cs="Times New Roman" w:eastAsia="Times New Roman" w:hAnsi="Times New Roman"/>
          <w:sz w:val="14"/>
          <w:szCs w:val="14"/>
          <w:b w:val="1"/>
          <w:bCs w:val="1"/>
          <w:color w:val="auto"/>
        </w:rPr>
        <w:t>Year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64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740" w:type="dxa"/>
            <w:vAlign w:val="bottom"/>
            <w:tcBorders>
              <w:top w:val="single" w:sz="8" w:color="auto"/>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r>
      <w:tr>
        <w:trPr>
          <w:trHeight w:val="22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 rates</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7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Pricing</w:t>
            </w:r>
          </w:p>
        </w:tc>
        <w:tc>
          <w:tcPr>
            <w:tcW w:w="6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17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7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net sales</w:t>
            </w: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decrease in net sales for fiscal 2022 as compared to fiscal 2021 was primarily driven by:</w:t>
      </w:r>
    </w:p>
    <w:p>
      <w:pPr>
        <w:spacing w:after="0" w:line="108" w:lineRule="exact"/>
        <w:rPr>
          <w:sz w:val="20"/>
          <w:szCs w:val="20"/>
          <w:color w:val="auto"/>
        </w:rPr>
      </w:pPr>
    </w:p>
    <w:p>
      <w:pPr>
        <w:ind w:left="960" w:hanging="324"/>
        <w:spacing w:after="0" w:line="268" w:lineRule="auto"/>
        <w:tabs>
          <w:tab w:leader="none" w:pos="9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volume driven by lighting, nutrients, growing media, hardware and growing environments products in our Hawthorne segment; and lawn care, soils, controls, plant food and mulch products in our U.S. Consumer segment;</w:t>
      </w:r>
    </w:p>
    <w:p>
      <w:pPr>
        <w:spacing w:after="0" w:line="63" w:lineRule="exact"/>
        <w:rPr>
          <w:rFonts w:ascii="Times New Roman" w:cs="Times New Roman" w:eastAsia="Times New Roman" w:hAnsi="Times New Roman"/>
          <w:sz w:val="18"/>
          <w:szCs w:val="18"/>
          <w:color w:val="auto"/>
        </w:rPr>
      </w:pPr>
    </w:p>
    <w:p>
      <w:pPr>
        <w:ind w:left="940" w:hanging="304"/>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net sales associated with the Roundup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marketing agreement; and</w:t>
      </w:r>
    </w:p>
    <w:p>
      <w:pPr>
        <w:spacing w:after="0" w:line="62" w:lineRule="exact"/>
        <w:rPr>
          <w:rFonts w:ascii="Times New Roman" w:cs="Times New Roman" w:eastAsia="Times New Roman" w:hAnsi="Times New Roman"/>
          <w:sz w:val="18"/>
          <w:szCs w:val="18"/>
          <w:color w:val="auto"/>
        </w:rPr>
      </w:pPr>
    </w:p>
    <w:p>
      <w:pPr>
        <w:ind w:left="940" w:hanging="304"/>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impact of foreign exchange rates as a result of the strengthening of the U.S. dollar relative to the euro and the Canadian dollar;</w:t>
      </w:r>
    </w:p>
    <w:p>
      <w:pPr>
        <w:spacing w:after="0" w:line="108" w:lineRule="exact"/>
        <w:rPr>
          <w:rFonts w:ascii="Times New Roman" w:cs="Times New Roman" w:eastAsia="Times New Roman" w:hAnsi="Times New Roman"/>
          <w:sz w:val="18"/>
          <w:szCs w:val="18"/>
          <w:color w:val="auto"/>
        </w:rPr>
      </w:pPr>
    </w:p>
    <w:p>
      <w:pPr>
        <w:ind w:left="940" w:hanging="304"/>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increased pricing in our U.S. Consumer, Hawthorne and Other segments; and</w:t>
      </w:r>
    </w:p>
    <w:p>
      <w:pPr>
        <w:spacing w:after="0" w:line="108" w:lineRule="exact"/>
        <w:rPr>
          <w:rFonts w:ascii="Times New Roman" w:cs="Times New Roman" w:eastAsia="Times New Roman" w:hAnsi="Times New Roman"/>
          <w:sz w:val="18"/>
          <w:szCs w:val="18"/>
          <w:color w:val="auto"/>
        </w:rPr>
      </w:pPr>
    </w:p>
    <w:p>
      <w:pPr>
        <w:ind w:left="940" w:hanging="304"/>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of net sales from acquisitions in our Hawthorne segment.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increase in net sales for fiscal 2021 as compared to fiscal 2020 was primarily driven by:</w:t>
      </w:r>
    </w:p>
    <w:p>
      <w:pPr>
        <w:spacing w:after="0" w:line="108" w:lineRule="exact"/>
        <w:rPr>
          <w:sz w:val="20"/>
          <w:szCs w:val="20"/>
          <w:color w:val="auto"/>
        </w:rPr>
      </w:pPr>
    </w:p>
    <w:p>
      <w:pPr>
        <w:jc w:val="both"/>
        <w:ind w:left="960" w:hanging="324"/>
        <w:spacing w:after="0" w:line="256" w:lineRule="auto"/>
        <w:tabs>
          <w:tab w:leader="none" w:pos="95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volume driven by soils, fertilizer, grass seed, mulch, controls, plant food and direct to consumer products in our U.S. Consumer segment; lighting, nutrients, growing media, hardware and growing environments products in our Hawthorne segment; and increased sales in our Other segment;</w:t>
      </w:r>
    </w:p>
    <w:p>
      <w:pPr>
        <w:spacing w:after="0" w:line="73" w:lineRule="exact"/>
        <w:rPr>
          <w:rFonts w:ascii="Times New Roman" w:cs="Times New Roman" w:eastAsia="Times New Roman" w:hAnsi="Times New Roman"/>
          <w:sz w:val="18"/>
          <w:szCs w:val="18"/>
          <w:color w:val="auto"/>
        </w:rPr>
      </w:pPr>
    </w:p>
    <w:p>
      <w:pPr>
        <w:ind w:left="940" w:hanging="304"/>
        <w:spacing w:after="0"/>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pricing in our U.S. Consumer, Hawthorne and Other segments;</w:t>
      </w:r>
    </w:p>
    <w:p>
      <w:pPr>
        <w:spacing w:after="0" w:line="105" w:lineRule="exact"/>
        <w:rPr>
          <w:rFonts w:ascii="Times New Roman" w:cs="Times New Roman" w:eastAsia="Times New Roman" w:hAnsi="Times New Roman"/>
          <w:sz w:val="18"/>
          <w:szCs w:val="18"/>
          <w:color w:val="auto"/>
        </w:rPr>
      </w:pPr>
    </w:p>
    <w:p>
      <w:pPr>
        <w:ind w:left="940" w:hanging="304"/>
        <w:spacing w:after="0"/>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net sales associated with the Roundup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marketing agreement; and</w:t>
      </w:r>
    </w:p>
    <w:p>
      <w:pPr>
        <w:spacing w:after="0" w:line="65" w:lineRule="exact"/>
        <w:rPr>
          <w:rFonts w:ascii="Times New Roman" w:cs="Times New Roman" w:eastAsia="Times New Roman" w:hAnsi="Times New Roman"/>
          <w:sz w:val="18"/>
          <w:szCs w:val="18"/>
          <w:color w:val="auto"/>
        </w:rPr>
      </w:pPr>
    </w:p>
    <w:p>
      <w:pPr>
        <w:ind w:left="940" w:hanging="304"/>
        <w:spacing w:after="0"/>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favorable impact of foreign exchange rates as a result of the weakening of the U.S. dollar relative to the euro and the Canadian dollar.</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shows the major components of cost of sales: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7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4"/>
        </w:trPr>
        <w:tc>
          <w:tcPr>
            <w:tcW w:w="62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4"/>
        </w:trPr>
        <w:tc>
          <w:tcPr>
            <w:tcW w:w="626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6"/>
                <w:szCs w:val="16"/>
                <w:color w:val="auto"/>
              </w:rPr>
            </w:pPr>
          </w:p>
        </w:tc>
        <w:tc>
          <w:tcPr>
            <w:tcW w:w="168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Materials</w:t>
            </w:r>
          </w:p>
        </w:tc>
        <w:tc>
          <w:tcPr>
            <w:tcW w:w="960" w:type="dxa"/>
            <w:vAlign w:val="bottom"/>
            <w:tcBorders>
              <w:top w:val="single" w:sz="8" w:color="auto"/>
            </w:tcBorders>
            <w:gridSpan w:val="2"/>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1,616.7</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8"/>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1,599.3</w:t>
            </w: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and warehousing</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w:t>
            </w: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labor and overhead</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w:t>
            </w:r>
          </w:p>
        </w:tc>
      </w:tr>
      <w:tr>
        <w:trPr>
          <w:trHeight w:val="223"/>
        </w:trPr>
        <w:tc>
          <w:tcPr>
            <w:tcW w:w="626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Costs associated with Roundup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marketing agreement</w:t>
            </w: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17"/>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2,891.1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2,768.6</w:t>
            </w:r>
          </w:p>
        </w:tc>
      </w:tr>
      <w:tr>
        <w:trPr>
          <w:trHeight w:val="22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42"/>
        </w:trPr>
        <w:tc>
          <w:tcPr>
            <w:tcW w:w="6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gridSpan w:val="2"/>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3,051.2</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98"/>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2,784.6</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498"/>
        </w:trPr>
        <w:tc>
          <w:tcPr>
            <w:tcW w:w="72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Factors contributing to the change in cost of sales are outlined in the following table: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0"/>
        </w:trPr>
        <w:tc>
          <w:tcPr>
            <w:tcW w:w="6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4"/>
        </w:trPr>
        <w:tc>
          <w:tcPr>
            <w:tcW w:w="6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4"/>
        </w:trPr>
        <w:tc>
          <w:tcPr>
            <w:tcW w:w="62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 product mix and other</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w:t>
            </w: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rates</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23"/>
        </w:trPr>
        <w:tc>
          <w:tcPr>
            <w:tcW w:w="62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Costs associated with Roundup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marketing agreement</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Material cost changes</w:t>
            </w: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w:t>
            </w:r>
          </w:p>
        </w:tc>
      </w:tr>
      <w:tr>
        <w:trPr>
          <w:trHeight w:val="217"/>
        </w:trPr>
        <w:tc>
          <w:tcPr>
            <w:tcW w:w="6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w:t>
            </w:r>
          </w:p>
        </w:tc>
      </w:tr>
      <w:tr>
        <w:trPr>
          <w:trHeight w:val="22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42"/>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cost of sales</w:t>
            </w: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671.4</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decrease in cost of sales for fiscal 2022 as compared to fiscal 2021 was primarily driven by:</w:t>
      </w:r>
    </w:p>
    <w:p>
      <w:pPr>
        <w:spacing w:after="0" w:line="108" w:lineRule="exact"/>
        <w:rPr>
          <w:sz w:val="20"/>
          <w:szCs w:val="20"/>
          <w:color w:val="auto"/>
        </w:rPr>
      </w:pPr>
    </w:p>
    <w:p>
      <w:pPr>
        <w:ind w:left="940" w:hanging="304"/>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sales volume in our U.S. Consumer, Hawthorne and Other segments;</w:t>
      </w:r>
    </w:p>
    <w:p>
      <w:pPr>
        <w:spacing w:after="0" w:line="108" w:lineRule="exact"/>
        <w:rPr>
          <w:rFonts w:ascii="Times New Roman" w:cs="Times New Roman" w:eastAsia="Times New Roman" w:hAnsi="Times New Roman"/>
          <w:sz w:val="18"/>
          <w:szCs w:val="18"/>
          <w:color w:val="auto"/>
        </w:rPr>
      </w:pPr>
    </w:p>
    <w:p>
      <w:pPr>
        <w:ind w:left="940" w:hanging="304"/>
        <w:spacing w:after="0"/>
        <w:tabs>
          <w:tab w:leader="none" w:pos="9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favorable impact of foreign exchange rates as a result of the strengthening of the U.S. dollar relative to the euro and the Canadian dollar; and</w:t>
      </w:r>
    </w:p>
    <w:p>
      <w:pPr>
        <w:spacing w:after="0" w:line="128" w:lineRule="exact"/>
        <w:rPr>
          <w:rFonts w:ascii="Times New Roman" w:cs="Times New Roman" w:eastAsia="Times New Roman" w:hAnsi="Times New Roman"/>
          <w:sz w:val="16"/>
          <w:szCs w:val="16"/>
          <w:color w:val="auto"/>
        </w:rPr>
      </w:pPr>
    </w:p>
    <w:p>
      <w:pPr>
        <w:ind w:left="940" w:hanging="304"/>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costs associated with the Roundup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marketing agreement;</w:t>
      </w:r>
    </w:p>
    <w:p>
      <w:pPr>
        <w:spacing w:after="0" w:line="65" w:lineRule="exact"/>
        <w:rPr>
          <w:rFonts w:ascii="Times New Roman" w:cs="Times New Roman" w:eastAsia="Times New Roman" w:hAnsi="Times New Roman"/>
          <w:sz w:val="18"/>
          <w:szCs w:val="18"/>
          <w:color w:val="auto"/>
        </w:rPr>
      </w:pPr>
    </w:p>
    <w:p>
      <w:pPr>
        <w:ind w:left="940" w:hanging="304"/>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higher material costs in our U.S. Consumer and Other segments;</w:t>
      </w:r>
    </w:p>
    <w:p>
      <w:pPr>
        <w:spacing w:after="0" w:line="108" w:lineRule="exact"/>
        <w:rPr>
          <w:rFonts w:ascii="Times New Roman" w:cs="Times New Roman" w:eastAsia="Times New Roman" w:hAnsi="Times New Roman"/>
          <w:sz w:val="18"/>
          <w:szCs w:val="18"/>
          <w:color w:val="auto"/>
        </w:rPr>
      </w:pPr>
    </w:p>
    <w:p>
      <w:pPr>
        <w:ind w:left="960" w:hanging="324"/>
        <w:spacing w:after="0" w:line="268" w:lineRule="auto"/>
        <w:tabs>
          <w:tab w:leader="none" w:pos="95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transportation and warehousing costs included within “volume, product mix and other” in our U.S. Consumer, Hawthorne and Other segments; and</w:t>
      </w:r>
    </w:p>
    <w:p>
      <w:pPr>
        <w:spacing w:after="0" w:line="63" w:lineRule="exact"/>
        <w:rPr>
          <w:rFonts w:ascii="Times New Roman" w:cs="Times New Roman" w:eastAsia="Times New Roman" w:hAnsi="Times New Roman"/>
          <w:sz w:val="18"/>
          <w:szCs w:val="18"/>
          <w:color w:val="auto"/>
        </w:rPr>
      </w:pPr>
    </w:p>
    <w:p>
      <w:pPr>
        <w:ind w:left="940" w:hanging="304"/>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impairment, restructuring and other charges.</w:t>
      </w:r>
    </w:p>
    <w:p>
      <w:pPr>
        <w:spacing w:after="0" w:line="398" w:lineRule="exact"/>
        <w:rPr>
          <w:sz w:val="20"/>
          <w:szCs w:val="20"/>
          <w:color w:val="auto"/>
        </w:rPr>
      </w:pPr>
    </w:p>
    <w:p>
      <w:pPr>
        <w:ind w:left="940" w:hanging="304"/>
        <w:spacing w:after="0"/>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sales volume in our U.S. Consumer, Hawthorne and Other segments;</w:t>
      </w:r>
    </w:p>
    <w:p>
      <w:pPr>
        <w:spacing w:after="0" w:line="108" w:lineRule="exact"/>
        <w:rPr>
          <w:rFonts w:ascii="Times New Roman" w:cs="Times New Roman" w:eastAsia="Times New Roman" w:hAnsi="Times New Roman"/>
          <w:sz w:val="18"/>
          <w:szCs w:val="18"/>
          <w:color w:val="auto"/>
        </w:rPr>
      </w:pPr>
    </w:p>
    <w:p>
      <w:pPr>
        <w:ind w:left="940" w:hanging="304"/>
        <w:spacing w:after="0"/>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material costs in our U.S. Consumer, Hawthorne and Other segments;</w:t>
      </w:r>
    </w:p>
    <w:p>
      <w:pPr>
        <w:spacing w:after="0" w:line="108" w:lineRule="exact"/>
        <w:rPr>
          <w:rFonts w:ascii="Times New Roman" w:cs="Times New Roman" w:eastAsia="Times New Roman" w:hAnsi="Times New Roman"/>
          <w:sz w:val="18"/>
          <w:szCs w:val="18"/>
          <w:color w:val="auto"/>
        </w:rPr>
      </w:pPr>
    </w:p>
    <w:p>
      <w:pPr>
        <w:ind w:left="940" w:hanging="304"/>
        <w:spacing w:after="0"/>
        <w:tabs>
          <w:tab w:leader="none" w:pos="9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higher transportation and warehousing costs included within “volume, product mix and other” in our U.S. Consumer and Hawthorne segments;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97" w:lineRule="exact"/>
        <w:rPr>
          <w:sz w:val="20"/>
          <w:szCs w:val="20"/>
          <w:color w:val="auto"/>
        </w:rPr>
      </w:pPr>
    </w:p>
    <w:p>
      <w:pPr>
        <w:ind w:left="940" w:hanging="304"/>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impact of foreign exchange rates as a result of the weakening of the U.S. dollar relative to the euro and the Canadian dollar;</w:t>
      </w:r>
    </w:p>
    <w:p>
      <w:pPr>
        <w:spacing w:after="0" w:line="105" w:lineRule="exact"/>
        <w:rPr>
          <w:rFonts w:ascii="Times New Roman" w:cs="Times New Roman" w:eastAsia="Times New Roman" w:hAnsi="Times New Roman"/>
          <w:sz w:val="18"/>
          <w:szCs w:val="18"/>
          <w:color w:val="auto"/>
        </w:rPr>
      </w:pPr>
    </w:p>
    <w:p>
      <w:pPr>
        <w:ind w:left="940" w:hanging="304"/>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costs associated with the Roundup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marketing agreement; and</w:t>
      </w:r>
    </w:p>
    <w:p>
      <w:pPr>
        <w:spacing w:after="0" w:line="65" w:lineRule="exact"/>
        <w:rPr>
          <w:rFonts w:ascii="Times New Roman" w:cs="Times New Roman" w:eastAsia="Times New Roman" w:hAnsi="Times New Roman"/>
          <w:sz w:val="18"/>
          <w:szCs w:val="18"/>
          <w:color w:val="auto"/>
        </w:rPr>
      </w:pPr>
    </w:p>
    <w:p>
      <w:pPr>
        <w:ind w:left="940" w:hanging="304"/>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impairment, restructuring and other charges.</w:t>
      </w:r>
    </w:p>
    <w:p>
      <w:pPr>
        <w:spacing w:after="0" w:line="1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86"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As a percentage of net sales, our gross margin rate was 22.2%, 29.8% and 32.6% for fiscal 2022, fiscal 2021 and fiscal 2020, respectively. Factors contributing to the change in gross margin rate are outlined in the following table: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20" w:type="dxa"/>
            <w:vAlign w:val="bottom"/>
          </w:tcPr>
          <w:p>
            <w:pPr>
              <w:spacing w:after="0"/>
              <w:rPr>
                <w:sz w:val="16"/>
                <w:szCs w:val="16"/>
                <w:color w:val="auto"/>
              </w:rPr>
            </w:pPr>
          </w:p>
        </w:tc>
        <w:tc>
          <w:tcPr>
            <w:tcW w:w="3540" w:type="dxa"/>
            <w:vAlign w:val="bottom"/>
            <w:gridSpan w:val="3"/>
          </w:tcPr>
          <w:p>
            <w:pPr>
              <w:ind w:left="174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560" w:type="dxa"/>
            <w:vAlign w:val="bottom"/>
          </w:tcPr>
          <w:p>
            <w:pPr>
              <w:spacing w:after="0"/>
              <w:rPr>
                <w:sz w:val="16"/>
                <w:szCs w:val="16"/>
                <w:color w:val="auto"/>
              </w:rPr>
            </w:pPr>
          </w:p>
        </w:tc>
      </w:tr>
      <w:tr>
        <w:trPr>
          <w:trHeight w:val="24"/>
        </w:trPr>
        <w:tc>
          <w:tcPr>
            <w:tcW w:w="612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4"/>
        </w:trPr>
        <w:tc>
          <w:tcPr>
            <w:tcW w:w="6120" w:type="dxa"/>
            <w:vAlign w:val="bottom"/>
            <w:tcBorders>
              <w:bottom w:val="single" w:sz="8" w:color="CCEEFF"/>
            </w:tcBorders>
          </w:tcPr>
          <w:p>
            <w:pPr>
              <w:spacing w:after="0"/>
              <w:rPr>
                <w:sz w:val="16"/>
                <w:szCs w:val="16"/>
                <w:color w:val="auto"/>
              </w:rPr>
            </w:pPr>
          </w:p>
        </w:tc>
        <w:tc>
          <w:tcPr>
            <w:tcW w:w="25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0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 product mix and other</w:t>
            </w:r>
          </w:p>
        </w:tc>
        <w:tc>
          <w:tcPr>
            <w:tcW w:w="250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5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w w:val="96"/>
              </w:rPr>
              <w:t>(1.8)%</w:t>
            </w:r>
          </w:p>
        </w:tc>
      </w:tr>
      <w:tr>
        <w:trPr>
          <w:trHeight w:val="22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 costs</w:t>
            </w:r>
          </w:p>
        </w:tc>
        <w:tc>
          <w:tcPr>
            <w:tcW w:w="250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61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Roundup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commissions and reimbursements</w:t>
            </w:r>
          </w:p>
        </w:tc>
        <w:tc>
          <w:tcPr>
            <w:tcW w:w="250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250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Pricing</w:t>
            </w:r>
          </w:p>
        </w:tc>
        <w:tc>
          <w:tcPr>
            <w:tcW w:w="2500" w:type="dxa"/>
            <w:vAlign w:val="bottom"/>
            <w:tcBorders>
              <w:bottom w:val="single" w:sz="8" w:color="auto"/>
            </w:tcBorders>
            <w:shd w:val="clear" w:color="auto" w:fill="CCEEFF"/>
          </w:tcPr>
          <w:p>
            <w:pPr>
              <w:ind w:left="2060"/>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0.8</w:t>
            </w:r>
          </w:p>
        </w:tc>
      </w:tr>
      <w:tr>
        <w:trPr>
          <w:trHeight w:val="217"/>
        </w:trPr>
        <w:tc>
          <w:tcPr>
            <w:tcW w:w="6120" w:type="dxa"/>
            <w:vAlign w:val="bottom"/>
          </w:tcPr>
          <w:p>
            <w:pPr>
              <w:spacing w:after="0"/>
              <w:rPr>
                <w:sz w:val="18"/>
                <w:szCs w:val="18"/>
                <w:color w:val="auto"/>
              </w:rPr>
            </w:pPr>
          </w:p>
        </w:tc>
        <w:tc>
          <w:tcPr>
            <w:tcW w:w="250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2500" w:type="dxa"/>
            <w:vAlign w:val="bottom"/>
            <w:tcBorders>
              <w:bottom w:val="single" w:sz="8" w:color="auto"/>
            </w:tcBorders>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(0.1)</w:t>
            </w:r>
          </w:p>
        </w:tc>
      </w:tr>
      <w:tr>
        <w:trPr>
          <w:trHeight w:val="217"/>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gross margin rate</w:t>
            </w:r>
          </w:p>
        </w:tc>
        <w:tc>
          <w:tcPr>
            <w:tcW w:w="250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w w:val="96"/>
              </w:rPr>
              <w:t>(2.8)%</w:t>
            </w:r>
          </w:p>
        </w:tc>
      </w:tr>
      <w:tr>
        <w:trPr>
          <w:trHeight w:val="20"/>
        </w:trPr>
        <w:tc>
          <w:tcPr>
            <w:tcW w:w="612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decrease in gross margin rate for fiscal 2022 as compared to fiscal 2021 was primarily driven by:</w:t>
      </w:r>
    </w:p>
    <w:p>
      <w:pPr>
        <w:spacing w:after="0" w:line="108" w:lineRule="exact"/>
        <w:rPr>
          <w:sz w:val="20"/>
          <w:szCs w:val="20"/>
          <w:color w:val="auto"/>
        </w:rPr>
      </w:pPr>
    </w:p>
    <w:p>
      <w:pPr>
        <w:ind w:left="940" w:hanging="304"/>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material costs in our U.S. Consumer, Hawthorne and Other segments;</w:t>
      </w:r>
    </w:p>
    <w:p>
      <w:pPr>
        <w:spacing w:after="0" w:line="108" w:lineRule="exact"/>
        <w:rPr>
          <w:rFonts w:ascii="Times New Roman" w:cs="Times New Roman" w:eastAsia="Times New Roman" w:hAnsi="Times New Roman"/>
          <w:sz w:val="18"/>
          <w:szCs w:val="18"/>
          <w:color w:val="auto"/>
        </w:rPr>
      </w:pPr>
    </w:p>
    <w:p>
      <w:pPr>
        <w:ind w:left="960" w:hanging="324"/>
        <w:spacing w:after="0" w:line="268" w:lineRule="auto"/>
        <w:tabs>
          <w:tab w:leader="none" w:pos="95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transportation and warehousing costs included within “volume, product mix and other” associated with our U.S. Consumer, Hawthorne and Other segments;</w:t>
      </w:r>
    </w:p>
    <w:p>
      <w:pPr>
        <w:spacing w:after="0" w:line="63" w:lineRule="exact"/>
        <w:rPr>
          <w:rFonts w:ascii="Times New Roman" w:cs="Times New Roman" w:eastAsia="Times New Roman" w:hAnsi="Times New Roman"/>
          <w:sz w:val="18"/>
          <w:szCs w:val="18"/>
          <w:color w:val="auto"/>
        </w:rPr>
      </w:pPr>
    </w:p>
    <w:p>
      <w:pPr>
        <w:ind w:left="940" w:hanging="304"/>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leverage of fixed costs driven by lower sales volume in our U.S. Consumer, Hawthorne and Other segments;</w:t>
      </w:r>
    </w:p>
    <w:p>
      <w:pPr>
        <w:spacing w:after="0" w:line="108" w:lineRule="exact"/>
        <w:rPr>
          <w:rFonts w:ascii="Times New Roman" w:cs="Times New Roman" w:eastAsia="Times New Roman" w:hAnsi="Times New Roman"/>
          <w:sz w:val="18"/>
          <w:szCs w:val="18"/>
          <w:color w:val="auto"/>
        </w:rPr>
      </w:pPr>
    </w:p>
    <w:p>
      <w:pPr>
        <w:ind w:left="940" w:hanging="304"/>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net sales associated with the Roundup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marketing agreement;</w:t>
      </w:r>
    </w:p>
    <w:p>
      <w:pPr>
        <w:spacing w:after="0" w:line="62" w:lineRule="exact"/>
        <w:rPr>
          <w:rFonts w:ascii="Times New Roman" w:cs="Times New Roman" w:eastAsia="Times New Roman" w:hAnsi="Times New Roman"/>
          <w:sz w:val="18"/>
          <w:szCs w:val="18"/>
          <w:color w:val="auto"/>
        </w:rPr>
      </w:pPr>
    </w:p>
    <w:p>
      <w:pPr>
        <w:ind w:left="940" w:hanging="304"/>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unfavorable net impact from acquisitions in our Hawthorne segment; and</w:t>
      </w:r>
    </w:p>
    <w:p>
      <w:pPr>
        <w:spacing w:after="0" w:line="108" w:lineRule="exact"/>
        <w:rPr>
          <w:rFonts w:ascii="Times New Roman" w:cs="Times New Roman" w:eastAsia="Times New Roman" w:hAnsi="Times New Roman"/>
          <w:sz w:val="18"/>
          <w:szCs w:val="18"/>
          <w:color w:val="auto"/>
        </w:rPr>
      </w:pPr>
    </w:p>
    <w:p>
      <w:pPr>
        <w:ind w:left="940" w:hanging="304"/>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impairment, restructuring and other charges;</w:t>
      </w:r>
    </w:p>
    <w:p>
      <w:pPr>
        <w:spacing w:after="0" w:line="108" w:lineRule="exact"/>
        <w:rPr>
          <w:rFonts w:ascii="Times New Roman" w:cs="Times New Roman" w:eastAsia="Times New Roman" w:hAnsi="Times New Roman"/>
          <w:sz w:val="18"/>
          <w:szCs w:val="18"/>
          <w:color w:val="auto"/>
        </w:rPr>
      </w:pPr>
    </w:p>
    <w:p>
      <w:pPr>
        <w:ind w:left="940" w:hanging="304"/>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increased pricing in our U.S. Consumer, Hawthorne and Other segments.</w:t>
      </w:r>
    </w:p>
    <w:p>
      <w:pPr>
        <w:spacing w:after="0" w:line="200" w:lineRule="exact"/>
        <w:rPr>
          <w:sz w:val="20"/>
          <w:szCs w:val="20"/>
          <w:color w:val="auto"/>
        </w:rPr>
      </w:pPr>
    </w:p>
    <w:p>
      <w:pPr>
        <w:spacing w:after="0" w:line="211" w:lineRule="exact"/>
        <w:rPr>
          <w:sz w:val="20"/>
          <w:szCs w:val="20"/>
          <w:color w:val="auto"/>
        </w:rPr>
      </w:pPr>
    </w:p>
    <w:p>
      <w:pPr>
        <w:ind w:left="940" w:hanging="304"/>
        <w:spacing w:after="0"/>
        <w:tabs>
          <w:tab w:leader="none" w:pos="9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higher transportation and warehousing costs included within “volume, product mix and other” in our U.S. Consumer and Hawthorne segments;</w:t>
      </w:r>
    </w:p>
    <w:p>
      <w:pPr>
        <w:spacing w:after="0" w:line="131" w:lineRule="exact"/>
        <w:rPr>
          <w:rFonts w:ascii="Times New Roman" w:cs="Times New Roman" w:eastAsia="Times New Roman" w:hAnsi="Times New Roman"/>
          <w:sz w:val="16"/>
          <w:szCs w:val="16"/>
          <w:color w:val="auto"/>
        </w:rPr>
      </w:pPr>
    </w:p>
    <w:p>
      <w:pPr>
        <w:ind w:left="940" w:hanging="304"/>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material costs in our U.S. Consumer, Hawthorne and Other segments; and</w:t>
      </w:r>
    </w:p>
    <w:p>
      <w:pPr>
        <w:spacing w:after="0" w:line="108" w:lineRule="exact"/>
        <w:rPr>
          <w:rFonts w:ascii="Times New Roman" w:cs="Times New Roman" w:eastAsia="Times New Roman" w:hAnsi="Times New Roman"/>
          <w:sz w:val="18"/>
          <w:szCs w:val="18"/>
          <w:color w:val="auto"/>
        </w:rPr>
      </w:pPr>
    </w:p>
    <w:p>
      <w:pPr>
        <w:ind w:left="940" w:hanging="304"/>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mix driven by higher sales growth in our Hawthorne segment relative to our U.S. Consumer segment;</w:t>
      </w:r>
    </w:p>
    <w:p>
      <w:pPr>
        <w:spacing w:after="0" w:line="108" w:lineRule="exact"/>
        <w:rPr>
          <w:rFonts w:ascii="Times New Roman" w:cs="Times New Roman" w:eastAsia="Times New Roman" w:hAnsi="Times New Roman"/>
          <w:sz w:val="18"/>
          <w:szCs w:val="18"/>
          <w:color w:val="auto"/>
        </w:rPr>
      </w:pPr>
    </w:p>
    <w:p>
      <w:pPr>
        <w:ind w:left="940" w:hanging="304"/>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favorable leverage of fixed costs driven by higher sales volume in our U.S. Consumer, Hawthorne and Other segments; and</w:t>
      </w:r>
    </w:p>
    <w:p>
      <w:pPr>
        <w:spacing w:after="0" w:line="108" w:lineRule="exact"/>
        <w:rPr>
          <w:rFonts w:ascii="Times New Roman" w:cs="Times New Roman" w:eastAsia="Times New Roman" w:hAnsi="Times New Roman"/>
          <w:sz w:val="18"/>
          <w:szCs w:val="18"/>
          <w:color w:val="auto"/>
        </w:rPr>
      </w:pPr>
    </w:p>
    <w:p>
      <w:pPr>
        <w:ind w:left="940" w:hanging="304"/>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pricing in our U.S. Consumer, Hawthorne and Other segments.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components of selling, general and administrative expenses (“SG&amp;A”):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4"/>
        </w:trPr>
        <w:tc>
          <w:tcPr>
            <w:tcW w:w="54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4"/>
        </w:trPr>
        <w:tc>
          <w:tcPr>
            <w:tcW w:w="54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1160" w:type="dxa"/>
            <w:vAlign w:val="bottom"/>
            <w:shd w:val="clear" w:color="auto" w:fill="CCEEFF"/>
          </w:tcPr>
          <w:p>
            <w:pPr>
              <w:jc w:val="right"/>
              <w:ind w:right="97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147.4</w:t>
            </w: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as a percentage of net sales</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39.7</w:t>
            </w: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60" w:type="dxa"/>
            <w:vAlign w:val="bottom"/>
          </w:tcPr>
          <w:p>
            <w:pPr>
              <w:spacing w:after="0"/>
              <w:rPr>
                <w:sz w:val="19"/>
                <w:szCs w:val="19"/>
                <w:color w:val="auto"/>
              </w:rPr>
            </w:pPr>
          </w:p>
        </w:tc>
        <w:tc>
          <w:tcPr>
            <w:tcW w:w="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57.9</w:t>
            </w: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31.5</w:t>
            </w:r>
          </w:p>
        </w:tc>
      </w:tr>
      <w:tr>
        <w:trPr>
          <w:trHeight w:val="223"/>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382.1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462.7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481.3</w:t>
            </w:r>
          </w:p>
        </w:tc>
      </w:tr>
      <w:tr>
        <w:trPr>
          <w:trHeight w:val="242"/>
        </w:trPr>
        <w:tc>
          <w:tcPr>
            <w:tcW w:w="54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613.0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743.5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757.8</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SG&amp;A decreased $130.5, or 17.6%, during fiscal 2022 compared to fiscal 2021. Advertising expense decreased $45.4, or 27.4%, in fiscal 2022 driven by decreased media spending in our U.S. Consumer and Hawthorne segments. Other SG&amp;A decreased $80.6, or 17.4%, in fiscal 2022 driven by a decrease in short-term variable cash incentive compensation expense, reductions in staffing levels and other cost-reduction initiatives.</w:t>
      </w:r>
    </w:p>
    <w:p>
      <w:pPr>
        <w:spacing w:after="0" w:line="61"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SG&amp;A decreased $14.3, or 1.9%, during fiscal 2021 compared to fiscal 2020. Share-based compensation expense decreased $17.3, or 29.9%, in fiscal 2021 due to a more significant increase in the expected payout percentage on long-term performance-based awards during fiscal 2020 as compared to fiscal 2021. Advertising expense increased $18.3, or 12.4%, in fiscal 2021 driven by increased media spending in our U.S. Consumer, Hawthorne, and Other segments. Other SG&amp;A decreased $18.6, or 3.9%, in fiscal 2021 driven by lower short-term variable cash incentive compensation expense of $48.8 and lower corporate spending, partially offset by increases in various categories supporting the continued growth of the business including information technology, strategy and people costs.</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Impairment, Restructuring and Other</w:t>
      </w:r>
    </w:p>
    <w:p>
      <w:pPr>
        <w:spacing w:after="0" w:line="86"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Activity described herein is classified within the “Cost of sales—impairment, restructuring and other,” “Impairment, restructuring and other” and “Income (loss) from discontinued operations, net of tax” lines in the Consolidated Statements of Operations. The following table details impairment, restructuring and other charges (recoveries) for each of the periods presented: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Year Ended September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3"/>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COVID-19 related costs</w:t>
            </w:r>
          </w:p>
        </w:tc>
        <w:tc>
          <w:tcPr>
            <w:tcW w:w="900" w:type="dxa"/>
            <w:vAlign w:val="bottom"/>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and other charges (recoveries), net</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impairments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expenses—impairment, restructuring and other:</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3"/>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COVID-19 related costs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and other charges (recoveries), net</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Gains on sale of property, plant and equipment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 and intangible asset impairments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restructuring and other charges from continuing operations</w:t>
            </w:r>
          </w:p>
        </w:tc>
        <w:tc>
          <w:tcPr>
            <w:tcW w:w="9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 (recoveries), net, from discontinued operations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impairment, restructuring and other charges</w:t>
            </w:r>
          </w:p>
        </w:tc>
        <w:tc>
          <w:tcPr>
            <w:tcW w:w="900" w:type="dxa"/>
            <w:vAlign w:val="bottom"/>
            <w:tcBorders>
              <w:top w:val="single" w:sz="8" w:color="auto"/>
              <w:bottom w:val="single" w:sz="8" w:color="auto"/>
            </w:tcBorders>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0"/>
        </w:trPr>
        <w:tc>
          <w:tcPr>
            <w:tcW w:w="6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During fiscal 2022, we recognized non-cash, pre-tax goodwill and intangible asset impairment charges of $632.4 as a result of interim impairment testing of our Hawthorne segment in the “Impairment, restructuring and other” line in the Consolidated Statements of Operations, comprised of $522.4 of goodwill impairment charges and $110.0 of finite-lived intangible asset impairment charges.</w:t>
      </w:r>
    </w:p>
    <w:p>
      <w:pPr>
        <w:spacing w:after="0" w:line="47"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During fiscal 2022, we incurred inventory write-down charges of $120.9 in the “Cost of sales—impairment, restructuring and other” line in the Consolidated Statements of Operations and finite-lived intangible asset impairment charges of $35.3 in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“Impairment, restructuring and other” line in the Consolidated Statements of Operations associated with our decision to discontinue and exit the market for certain Hawthorne lighting products and brands.</w:t>
      </w:r>
    </w:p>
    <w:p>
      <w:pPr>
        <w:spacing w:after="0" w:line="37"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During fiscal 2022, we began implementing a series of organizational changes and initiatives intended to create operational and management-level efficiencies. As part of this restructuring program, we are reducing the size of our supply chain network, reducing staffing levels and implementing other cost-reduction initiatives. During fiscal 2022, we incurred costs of $65.2 associated with this restructuring initiative primarily related to employee termination benefits and impairment of property, plant and equipment. We incurred costs of $9.7 in our U.S. Consumer segment and $27.1 in our Hawthorne segment in the “Cost of sales—impairment, restructuring and other” line in the Consolidated Statements of Operations during fiscal 2022. We incurred costs of $11.9 in our U.S. Consumer segment, $8.1 in our Hawthorne segment, $0.7 in our Other segment and $7.7 at Corporate in the “Impairment, restructuring and other” line in the Consolidated Statements of Operations during fiscal 2022. We continue to evaluate additional network and organizational changes, which, if executed, may result in additional restructuring charges in future periods.</w:t>
      </w:r>
    </w:p>
    <w:p>
      <w:pPr>
        <w:spacing w:after="0" w:line="70"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During fiscal 2022, we recognized gains of $16.2 in the “Impairment, restructuring and other” line in the Consolidated Statements of Operations associated with the sale of property, plant and equipment.</w:t>
      </w:r>
    </w:p>
    <w:p>
      <w:pPr>
        <w:spacing w:after="0" w:line="50" w:lineRule="exact"/>
        <w:rPr>
          <w:sz w:val="20"/>
          <w:szCs w:val="20"/>
          <w:color w:val="auto"/>
        </w:rPr>
      </w:pPr>
    </w:p>
    <w:p>
      <w:pPr>
        <w:jc w:val="both"/>
        <w:ind w:firstLine="434"/>
        <w:spacing w:after="0" w:line="282" w:lineRule="auto"/>
        <w:rPr>
          <w:sz w:val="20"/>
          <w:szCs w:val="20"/>
          <w:color w:val="auto"/>
        </w:rPr>
      </w:pPr>
      <w:r>
        <w:rPr>
          <w:rFonts w:ascii="Times New Roman" w:cs="Times New Roman" w:eastAsia="Times New Roman" w:hAnsi="Times New Roman"/>
          <w:sz w:val="16"/>
          <w:szCs w:val="16"/>
          <w:color w:val="auto"/>
        </w:rPr>
        <w:t>Costs incurred during fiscal 2022 related to COVID-19 were immaterial. During fiscal 2021, we incurred costs of $29.2 associated with the COVID-19 pandemic primarily related to premium pay. We incurred costs of $21.2 in our U.S. Consumer segment, $3.2 in our Hawthorne segment and $0.6 in our Other segment in the “Cost of sales—impairment, restructuring and other” line in the Consolidated Statements of Operations during fiscal 2021. We incurred costs of $4.0 in our U.S. Consumer segment and $0.2 in our Other segment in the “Impairment, restructuring and other” line in the Consolidated Statements of Operations during fiscal 2021. During fiscal 2020, we incurred costs of $19.4 associated with the COVID-19 pandemic primarily related to premium pay. We incurred costs of $12.4 in our U.S. Consumer segment, $2.6 in our Hawthorne segment and $0.5 in our Other segment in the “Cost of sales—impairment, restructuring and other” line in the Consolidated Statements of Operations during fiscal 2020. We incurred costs of $3.8 in our U.S. Consumer segment and $0.1 in our Other segment in the “Impairment, restructuring and other” line in the Consolidated Statements of Operations during fiscal 2020.</w:t>
      </w:r>
    </w:p>
    <w:p>
      <w:pPr>
        <w:spacing w:after="0" w:line="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99"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Other (income) expense is comprised of activities such as royalty income from the licensing of certain of our brand names and foreign exchange transaction gains and losses. Other (income) expense was $0.8, $(1.8) and $3.2 in fiscal 2022, fiscal 2021 and fiscal 2020, respectively. The change for fiscal 2022 and fiscal 2021 was primarily due to foreign exchange transaction gains and losses.</w:t>
      </w:r>
    </w:p>
    <w:p>
      <w:pPr>
        <w:spacing w:after="0" w:line="1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Operations</w:t>
      </w:r>
    </w:p>
    <w:p>
      <w:pPr>
        <w:spacing w:after="0" w:line="86" w:lineRule="exact"/>
        <w:rPr>
          <w:sz w:val="20"/>
          <w:szCs w:val="20"/>
          <w:color w:val="auto"/>
        </w:rPr>
      </w:pPr>
    </w:p>
    <w:p>
      <w:pPr>
        <w:ind w:right="180" w:firstLine="434"/>
        <w:spacing w:after="0" w:line="268" w:lineRule="auto"/>
        <w:rPr>
          <w:sz w:val="20"/>
          <w:szCs w:val="20"/>
          <w:color w:val="auto"/>
        </w:rPr>
      </w:pPr>
      <w:r>
        <w:rPr>
          <w:rFonts w:ascii="Times New Roman" w:cs="Times New Roman" w:eastAsia="Times New Roman" w:hAnsi="Times New Roman"/>
          <w:sz w:val="18"/>
          <w:szCs w:val="18"/>
          <w:color w:val="auto"/>
        </w:rPr>
        <w:t>Income (loss) from operations was $(434.0) in fiscal 2022 compared to $723.0 in fiscal 2021. The decrease was driven by lower net sales, a decrease in gross margin rate, higher impairment, restructuring and other charges and lower other income, partially offset by lower SG&amp;A.</w:t>
      </w:r>
    </w:p>
    <w:p>
      <w:pPr>
        <w:spacing w:after="0" w:line="50"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Income from operations was $723.0 in fiscal 2021, an increase of 23.5% compared to $585.2 in fiscal 2020. The increase was driven by higher net sales, lower SG&amp;A and higher other income, partially offset by a decrease in gross margin rate and higher impairment, restructuring and other charges.</w:t>
      </w:r>
    </w:p>
    <w:p>
      <w:pPr>
        <w:spacing w:after="0" w:line="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Equity in (Income) Loss of Unconsolidated Affiliates</w:t>
      </w:r>
    </w:p>
    <w:p>
      <w:pPr>
        <w:spacing w:after="0" w:line="86"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We acquired a 50% equity interest in Bonnie Plants, LLC on December 31, 2020. Our interest is accounted for using the equity method of accounting, with our proportionate share of Bonnie Plants, LLC earnings subsequent to December 31, 2020 reflected in the Consolidated Statements of Operations. We recorded equity in (income) loss of unconsolidated affiliates associated with Bonnie Plants, LLC of $12.9, $(14.4) and zero in fiscal 2022, fiscal 2021 and fiscal 2020, respectively. Refer to “NOTE 9. INVESTMENT IN UNCONSOLIDATED AFFILIATES” of the Notes to the Consolidated Financial Statements included in this Form 10-K for more information regarding Bonnie Plants, LLC.</w:t>
      </w:r>
    </w:p>
    <w:p>
      <w:pPr>
        <w:spacing w:after="0" w:line="1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Costs Related to Refinancing</w:t>
      </w:r>
    </w:p>
    <w:p>
      <w:pPr>
        <w:spacing w:after="0" w:line="99"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Costs related to refinancing were $15.1 in fiscal 2020, and we did not incur costs related to refinancing in fiscal 2022 or fiscal 2021. The costs incurred in fiscal 2020 were associated with the redemption of our 6.000% Senior Notes due 2023 (the “6.000% Senior Notes”), and are comprised of $12.0 of redemption premium and $3.1 of unamortized bond issuance costs that were written off. Refer to “NOTE 12. DEBT” of the Notes to the Consolidated Financial Statements included in this Form 10-K for more information regarding the redemption of the 6.000% Senior Notes.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86"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Interest expense was $118.1 in fiscal 2022, an increase of 49.7% compared to $78.9 in fiscal 2021. The increase was driven by higher average borrowings of $1,119.6 due to higher inventory production, capital expenditures, acquisition activity and repurchases of our Common Shares.</w:t>
      </w:r>
    </w:p>
    <w:p>
      <w:pPr>
        <w:spacing w:after="0" w:line="50"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Interest expense was $78.9 in fiscal 2021, a decrease of 0.9% compared to $79.6 in fiscal 2020. The decrease was driven by a decrease in our weighted average interest rate of 61 basis points, partially offset by an increase in average borrowings of $289.0. The decrease in our weighted average interest rate was driven by lower borrowing rates on the Fifth A&amp;R Credit Agreement. The increase in average borrowings was primarily driven by higher inventory production, capital expenditures and acquisition activity.</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Income, Net</w:t>
      </w:r>
    </w:p>
    <w:p>
      <w:pPr>
        <w:spacing w:after="0" w:line="86"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Other non-operating income was $6.9, $18.6 and $20.1 in fiscal 2022, fiscal 2021 and fiscal 2020, respectively, which included interest income of $6.7, $4.1 and $7.6 for fiscal 2022, fiscal 2021 and fiscal 2020, respectively.</w:t>
      </w:r>
    </w:p>
    <w:p>
      <w:pPr>
        <w:spacing w:after="0" w:line="50"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On December 31, 2020, we acquired a 50% equity interest in Bonnie Plants, LLC in exchange for cash payments of $102.3, forgiveness of our outstanding loan receivable with AFC and surrender of our options to increase our economic interest in the Bonnie Plants business. Our loan receivable with AFC, which was previously recognized in the “Other assets” line in the Consolidated Balance Sheets, had a carrying value of $66.4 on December 31, 2020. We recognized a gain of $12.5 during the first quarter of fiscal 2021 to write-up the value of the loan to its closing date fair value of $78.9.</w:t>
      </w:r>
    </w:p>
    <w:p>
      <w:pPr>
        <w:spacing w:after="0" w:line="64"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During the fourth quarter of fiscal 2020, we recognized an increase in the fair value of our options to increase our economic interest in the Bonnie Plants business of $12.0 driven by an increase in sales and profits of the Bonnie Plants business.</w:t>
      </w:r>
    </w:p>
    <w:p>
      <w:pPr>
        <w:spacing w:after="0" w:line="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 from Continuing Operations</w:t>
      </w:r>
    </w:p>
    <w:p>
      <w:pPr>
        <w:spacing w:after="0" w:line="99"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A reconciliation of the federal corporate income tax rate and the effective tax rate on income from continuing operations before income taxes is summarized below:</w:t>
      </w:r>
    </w:p>
    <w:p>
      <w:pPr>
        <w:spacing w:after="0" w:line="84"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4"/>
          <w:szCs w:val="14"/>
          <w:b w:val="1"/>
          <w:bCs w:val="1"/>
          <w:color w:val="auto"/>
        </w:rPr>
        <w:t>Year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8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income tax rate</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3"/>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foreign operations</w:t>
            </w: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5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5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5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other permanent differences</w:t>
            </w:r>
          </w:p>
        </w:tc>
        <w:tc>
          <w:tcPr>
            <w:tcW w:w="5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5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5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Experimentation and other federal tax credits</w:t>
            </w:r>
          </w:p>
        </w:tc>
        <w:tc>
          <w:tcPr>
            <w:tcW w:w="5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tax contingencies</w:t>
            </w: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0.6</w:t>
            </w:r>
          </w:p>
        </w:tc>
      </w:tr>
      <w:tr>
        <w:trPr>
          <w:trHeight w:val="21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9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10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24.2 %</w:t>
            </w:r>
          </w:p>
        </w:tc>
      </w:tr>
      <w:tr>
        <w:trPr>
          <w:trHeight w:val="20"/>
        </w:trPr>
        <w:tc>
          <w:tcPr>
            <w:tcW w:w="6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both"/>
        <w:ind w:firstLine="434"/>
        <w:spacing w:after="0" w:line="283" w:lineRule="auto"/>
        <w:rPr>
          <w:sz w:val="20"/>
          <w:szCs w:val="20"/>
          <w:color w:val="auto"/>
        </w:rPr>
      </w:pPr>
      <w:r>
        <w:rPr>
          <w:rFonts w:ascii="Times New Roman" w:cs="Times New Roman" w:eastAsia="Times New Roman" w:hAnsi="Times New Roman"/>
          <w:sz w:val="16"/>
          <w:szCs w:val="16"/>
          <w:color w:val="auto"/>
        </w:rPr>
        <w:t>During fiscal 2022, we recognized non-cash, pre-tax goodwill and intangible asset impairment charges of $668.3 in the “Impairment, restructuring and other” line in the Consolidated Statements of Operations. The tax impact of the impairment charges was a benefit of $148.3, which is net of the impact of non-deductible goodwill of $18.8, for fiscal 2022 and was recorded in the “Income tax expense (benefit) from continuing operations” line in the Consolidated Statements of Operations. The tax impact of non-deductible goodwill was considered a discrete item because we have no remaining non-deductible goodwill. This discrete item, which is included in the “Effect of foreign operations” line in the table above, decreased the fiscal 2022 effective tax rate by approximately 340 bps because we incurred a net loss during the period. Additionally, excess tax benefits related to share-based compensation, which are included in the “Effect of other permanent differences” line in the table above, increased the fiscal 2022 effective tax rate by approximately 260 bps.</w:t>
      </w:r>
    </w:p>
    <w:p>
      <w:pPr>
        <w:spacing w:after="0" w:line="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Continuing Operations</w:t>
      </w:r>
    </w:p>
    <w:p>
      <w:pPr>
        <w:spacing w:after="0" w:line="112" w:lineRule="exact"/>
        <w:rPr>
          <w:sz w:val="20"/>
          <w:szCs w:val="20"/>
          <w:color w:val="auto"/>
        </w:rPr>
      </w:pPr>
    </w:p>
    <w:p>
      <w:pPr>
        <w:jc w:val="both"/>
        <w:ind w:firstLine="434"/>
        <w:spacing w:after="0" w:line="303" w:lineRule="auto"/>
        <w:rPr>
          <w:sz w:val="20"/>
          <w:szCs w:val="20"/>
          <w:color w:val="auto"/>
        </w:rPr>
      </w:pPr>
      <w:r>
        <w:rPr>
          <w:rFonts w:ascii="Times New Roman" w:cs="Times New Roman" w:eastAsia="Times New Roman" w:hAnsi="Times New Roman"/>
          <w:sz w:val="16"/>
          <w:szCs w:val="16"/>
          <w:color w:val="auto"/>
        </w:rPr>
        <w:t>Income (loss) from continuing operations was $(437.5), or $(7.88) per diluted share, in fiscal 2022 compared to $517.3, or $9.03 per diluted share, in fiscal 2021. The decrease was driven by lower net sales, a decrease in gross margin rate, higher impairment, restructuring and other charges, lower other income, lower equity in income of unconsolidated affiliates, higher interest expense and lower other non-operating income, partially offset by lower SG&amp;A.</w:t>
      </w:r>
    </w:p>
    <w:p>
      <w:pPr>
        <w:spacing w:after="0" w:line="26"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Diluted average common shares used in the diluted loss per common share calculation for fiscal 2022 were 55.5 million, which excluded potential Common Shares of 0.6 million because the effect of their inclusion would be anti-dilutive as we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incurred a net loss for fiscal 2022. Diluted average common shares used in the diluted income per common share calculation were 57.2 million for fiscal 2021, which included dilutive potential Common Shares of 1.5 million.</w:t>
      </w:r>
    </w:p>
    <w:p>
      <w:pPr>
        <w:spacing w:after="0" w:line="37"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Income from continuing operations was $517.3, or $9.03 per diluted share, in fiscal 2021 compared to $386.9, or $6.78 per diluted share, in fiscal 2020. The increase was driven by higher net sales, lower SG&amp;A, higher other income, higher equity in income of unconsolidated affiliates and lower costs related to refinancing, partially offset by a decrease in gross margin rate and higher impairment, restructuring and other charges.</w:t>
      </w:r>
    </w:p>
    <w:p>
      <w:pPr>
        <w:spacing w:after="0" w:line="61"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Diluted average common shares used in the diluted income per common share calculation were 57.2 million for fiscal 2021 compared to 56.9 million for fiscal 2020. The increase was primarily the result of the exercise and issuance of share-based compensation awards, partially offset by common share repurchase activity. Dilutive equivalent shares for fiscal 2021 and fiscal 2020 were 1.5 million and 1.2 million, respectively.</w:t>
      </w:r>
    </w:p>
    <w:p>
      <w:pPr>
        <w:spacing w:after="0" w:line="1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Discontinued Operations, net of tax</w:t>
      </w:r>
    </w:p>
    <w:p>
      <w:pPr>
        <w:spacing w:after="0" w:line="86"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Income (loss) from discontinued operations, net of tax, was zero, $(3.9) and $1.7 for fiscal 2022, fiscal 2021 and fiscal 2020, respectively. On August 31, 2017, we completed the sale of the International Business. As a result, effective in our fourth quarter of fiscal 2017, we classified our results of operations for all periods presented to reflect the International Business as a discontinued operation. The transaction included contingent consideration with a maximum payout of $23.8 and an initial fair value of $18.2, the payment of which depended on the achievement of certain performance criteria by the International Business following the closing of the transaction through fiscal 2020. During fiscal 2021, we agreed to accept a contingent consideration payout of $6.0 and recorded a pre-tax charge of $12.2 during fiscal 2021 to write-down the contingent consideration receivable to the agreed upon payout amount. During fiscal 2022, we received the contingent consideration payment and this amount was classified as a financing activity in the “Other financing, net” line in the Consolidated Statements of Cash Flows.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97"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performance of each reportable segment is evaluated based on several factors, including income (loss) from continuing operations before income taxes, amortization, impairment, restructuring and other charges (“Segment Profit (Loss)”), which is a non-GAAP financial measure. Senior management uses Segment Profit (Loss) to evaluate segment performance because they believe this measure is indicative of performance trends and the overall earnings potential of each segment.</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net sales by segment: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4"/>
        </w:trPr>
        <w:tc>
          <w:tcPr>
            <w:tcW w:w="3340" w:type="dxa"/>
            <w:vAlign w:val="bottom"/>
          </w:tcPr>
          <w:p>
            <w:pPr>
              <w:spacing w:after="0"/>
              <w:rPr>
                <w:sz w:val="2"/>
                <w:szCs w:val="2"/>
                <w:color w:val="auto"/>
              </w:rPr>
            </w:pPr>
          </w:p>
        </w:tc>
        <w:tc>
          <w:tcPr>
            <w:tcW w:w="344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84"/>
        </w:trPr>
        <w:tc>
          <w:tcPr>
            <w:tcW w:w="3340" w:type="dxa"/>
            <w:vAlign w:val="bottom"/>
            <w:tcBorders>
              <w:bottom w:val="single" w:sz="8" w:color="CCEEFF"/>
            </w:tcBorders>
          </w:tcPr>
          <w:p>
            <w:pPr>
              <w:spacing w:after="0"/>
              <w:rPr>
                <w:sz w:val="16"/>
                <w:szCs w:val="16"/>
                <w:color w:val="auto"/>
              </w:rPr>
            </w:pPr>
          </w:p>
        </w:tc>
        <w:tc>
          <w:tcPr>
            <w:tcW w:w="2340" w:type="dxa"/>
            <w:vAlign w:val="bottom"/>
            <w:tcBorders>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Consumer</w:t>
            </w:r>
          </w:p>
        </w:tc>
        <w:tc>
          <w:tcPr>
            <w:tcW w:w="2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2,883.5</w:t>
            </w: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Hawthorne</w:t>
            </w:r>
          </w:p>
        </w:tc>
        <w:tc>
          <w:tcPr>
            <w:tcW w:w="2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1,023.1</w:t>
            </w:r>
          </w:p>
        </w:tc>
      </w:tr>
      <w:tr>
        <w:trPr>
          <w:trHeight w:val="22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34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r>
      <w:tr>
        <w:trPr>
          <w:trHeight w:val="217"/>
        </w:trPr>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w:t>
            </w:r>
          </w:p>
        </w:tc>
        <w:tc>
          <w:tcPr>
            <w:tcW w:w="2340" w:type="dxa"/>
            <w:vAlign w:val="bottom"/>
          </w:tcPr>
          <w:p>
            <w:pPr>
              <w:spacing w:after="0"/>
              <w:rPr>
                <w:sz w:val="18"/>
                <w:szCs w:val="18"/>
                <w:color w:val="auto"/>
              </w:rPr>
            </w:pPr>
          </w:p>
        </w:tc>
        <w:tc>
          <w:tcPr>
            <w:tcW w:w="1100" w:type="dxa"/>
            <w:vAlign w:val="bottom"/>
            <w:tcBorders>
              <w:bottom w:val="single" w:sz="8" w:color="auto"/>
            </w:tcBorders>
          </w:tcPr>
          <w:p>
            <w:pPr>
              <w:jc w:val="right"/>
              <w:ind w:right="91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3,924.1</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4,925.0</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4,131.6</w:t>
            </w:r>
          </w:p>
        </w:tc>
      </w:tr>
      <w:tr>
        <w:trPr>
          <w:trHeight w:val="20"/>
        </w:trPr>
        <w:tc>
          <w:tcPr>
            <w:tcW w:w="33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833"/>
        </w:trPr>
        <w:tc>
          <w:tcPr>
            <w:tcW w:w="3340" w:type="dxa"/>
            <w:vAlign w:val="bottom"/>
          </w:tcPr>
          <w:p>
            <w:pPr>
              <w:spacing w:after="0"/>
              <w:rPr>
                <w:sz w:val="24"/>
                <w:szCs w:val="24"/>
                <w:color w:val="auto"/>
              </w:rPr>
            </w:pPr>
          </w:p>
        </w:tc>
        <w:tc>
          <w:tcPr>
            <w:tcW w:w="3440" w:type="dxa"/>
            <w:vAlign w:val="bottom"/>
            <w:gridSpan w:val="2"/>
          </w:tcPr>
          <w:p>
            <w:pPr>
              <w:jc w:val="right"/>
              <w:ind w:right="978"/>
              <w:spacing w:after="0"/>
              <w:rPr>
                <w:sz w:val="20"/>
                <w:szCs w:val="20"/>
                <w:color w:val="auto"/>
              </w:rPr>
            </w:pPr>
            <w:r>
              <w:rPr>
                <w:rFonts w:ascii="Times New Roman" w:cs="Times New Roman" w:eastAsia="Times New Roman" w:hAnsi="Times New Roman"/>
                <w:sz w:val="18"/>
                <w:szCs w:val="18"/>
                <w:color w:val="auto"/>
              </w:rPr>
              <w:t>35</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2"/>
        </w:trPr>
        <w:tc>
          <w:tcPr>
            <w:tcW w:w="334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84"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following table sets forth Segment Profit (Loss) as well as a reconciliation to income from continuing operations before income taxes, the most directly comparable GAAP measure: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4"/>
        </w:trPr>
        <w:tc>
          <w:tcPr>
            <w:tcW w:w="56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4"/>
        </w:trPr>
        <w:tc>
          <w:tcPr>
            <w:tcW w:w="566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Consumer</w:t>
            </w:r>
          </w:p>
        </w:tc>
        <w:tc>
          <w:tcPr>
            <w:tcW w:w="1120" w:type="dxa"/>
            <w:vAlign w:val="bottom"/>
            <w:shd w:val="clear" w:color="auto" w:fill="CCEEFF"/>
          </w:tcPr>
          <w:p>
            <w:pPr>
              <w:jc w:val="right"/>
              <w:ind w:right="93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694.3</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Hawthorne</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7"/>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Segment Profit (Non-GAAP)</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817.9</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income (loss) of unconsolidated affiliates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related to refinancing</w:t>
            </w:r>
          </w:p>
        </w:tc>
        <w:tc>
          <w:tcPr>
            <w:tcW w:w="1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income, net</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17"/>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 (GAAP)</w:t>
            </w:r>
          </w:p>
        </w:tc>
        <w:tc>
          <w:tcPr>
            <w:tcW w:w="1120" w:type="dxa"/>
            <w:vAlign w:val="bottom"/>
            <w:tcBorders>
              <w:bottom w:val="single" w:sz="8" w:color="auto"/>
            </w:tcBorders>
          </w:tcPr>
          <w:p>
            <w:pPr>
              <w:jc w:val="right"/>
              <w:ind w:right="93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677.1</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510.6</w:t>
            </w:r>
          </w:p>
        </w:tc>
      </w:tr>
      <w:tr>
        <w:trPr>
          <w:trHeight w:val="20"/>
        </w:trPr>
        <w:tc>
          <w:tcPr>
            <w:tcW w:w="5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U.S. Consumer</w:t>
      </w:r>
    </w:p>
    <w:p>
      <w:pPr>
        <w:spacing w:after="0" w:line="86"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U.S. Consumer segment net sales were $2,928.8 in fiscal 2022, a decrease of 8.4% from fiscal 2021 net sales of $3,197.7. The decrease was driven by lower sales volume of 15.6%, partially offset by increased pricing of 7.2%. The decrease in sales volume for fiscal 2022 was driven by lawn care, soils, controls, plant food and mulch products.</w:t>
      </w:r>
    </w:p>
    <w:p>
      <w:pPr>
        <w:spacing w:after="0" w:line="61"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U.S. Consumer Segment Profit was $568.6 in fiscal 2022, a decrease of 21.8% from fiscal 2021 Segment Profit of $726.7. The decrease for fiscal 2022 was primarily due to lower net sales and a lower gross margin rate, partially offset by lower SG&amp;A.</w:t>
      </w:r>
    </w:p>
    <w:p>
      <w:pPr>
        <w:spacing w:after="0" w:line="50" w:lineRule="exact"/>
        <w:rPr>
          <w:sz w:val="20"/>
          <w:szCs w:val="20"/>
          <w:color w:val="auto"/>
        </w:rPr>
      </w:pPr>
    </w:p>
    <w:p>
      <w:pPr>
        <w:jc w:val="both"/>
        <w:ind w:firstLine="434"/>
        <w:spacing w:after="0" w:line="272" w:lineRule="auto"/>
        <w:rPr>
          <w:sz w:val="20"/>
          <w:szCs w:val="20"/>
          <w:color w:val="auto"/>
        </w:rPr>
      </w:pPr>
      <w:r>
        <w:rPr>
          <w:rFonts w:ascii="Times New Roman" w:cs="Times New Roman" w:eastAsia="Times New Roman" w:hAnsi="Times New Roman"/>
          <w:sz w:val="17"/>
          <w:szCs w:val="17"/>
          <w:color w:val="auto"/>
        </w:rPr>
        <w:t>U.S. Consumer segment net sales were $3,197.7 in fiscal 2021, an increase of 10.9% from fiscal 2020 net sales of $2,883.5. The increase was driven by the favorable impacts of volume and pricing of 10.2% and 0.7%, respectively. The increase in sales volume for fiscal 2021 was driven by soils, fertilizer, grass seed, mulch, controls, plant food and direct to consumer products as well as increased net sales associated with the Roundup</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marketing agreement.</w:t>
      </w:r>
    </w:p>
    <w:p>
      <w:pPr>
        <w:jc w:val="both"/>
        <w:ind w:firstLine="434"/>
        <w:spacing w:after="0" w:line="259" w:lineRule="auto"/>
        <w:rPr>
          <w:sz w:val="20"/>
          <w:szCs w:val="20"/>
          <w:color w:val="auto"/>
        </w:rPr>
      </w:pPr>
      <w:r>
        <w:rPr>
          <w:rFonts w:ascii="Times New Roman" w:cs="Times New Roman" w:eastAsia="Times New Roman" w:hAnsi="Times New Roman"/>
          <w:sz w:val="18"/>
          <w:szCs w:val="18"/>
          <w:color w:val="auto"/>
        </w:rPr>
        <w:t>U.S. Consumer Segment Profit was $726.7 in fiscal 2021, an increase of 4.7% from fiscal 2020 Segment Profit of $694.3. The increase for fiscal 2021 was primarily due to higher net sales, partially offset by a lower gross margin rate and higher SG&amp;A.</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Hawthorne</w:t>
      </w:r>
    </w:p>
    <w:p>
      <w:pPr>
        <w:spacing w:after="0" w:line="99"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Hawthorne segment net sales were $716.2 in fiscal 2022, a decrease of 49.7% from fiscal 2021 net sales of $1,424.2. The decrease was driven by lower sales volume of 56.0% and unfavorable foreign exchange rates of 0.8%, partially offset by increased pricing of 3.8% and acquisitions of 3.3%. The decrease in sales volume for fiscal 2022 was driven by lighting, nutrients, growing media, hardware and growing environments products.</w:t>
      </w:r>
    </w:p>
    <w:p>
      <w:pPr>
        <w:spacing w:after="0" w:line="47"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Hawthorne Segment Loss was $21.1 in fiscal 2022, a decrease from fiscal 2021 Segment Profit of $163.8. The decrease for fiscal 2022 was driven by lower net sales and a lower gross margin rate, partially offset by lower SG&amp;A.</w:t>
      </w:r>
    </w:p>
    <w:p>
      <w:pPr>
        <w:spacing w:after="0" w:line="50"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Hawthorne segment net sales were $1,424.2 in fiscal 2021, an increase of 39.2% from fiscal 2020 net sales of $1,023.1. The increase was driven by the favorable impacts of volume, pricing and foreign exchange rates of 35.1%, 3.4% and 0.7%, respectively. The increase in sales volume for fiscal 2021 was driven by lighting, nutrients, growing media, hardware and growing environments products.</w:t>
      </w:r>
    </w:p>
    <w:p>
      <w:pPr>
        <w:spacing w:after="0" w:line="61"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Hawthorne Segment Profit was $163.8 in fiscal 2021, an increase of 46.4% from fiscal 2020 Segment Profit of $111.9. The increase for fiscal 2021 was driven by higher net sales, partially offset by a lower gross margin rate and higher SG&amp;A.</w:t>
      </w:r>
    </w:p>
    <w:p>
      <w:pPr>
        <w:spacing w:after="0" w:line="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99"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Other segment net sales were $279.1 in fiscal 2022, a decrease of 7.9% from fiscal 2021 net sales of $303.1. The decrease was driven by lower sales volume of 13.7% and unfavorable foreign exchange rates of 1.9%, partially offset by increased pricing of 7.7%.</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84"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Other Segment Profit was $20.2 in fiscal 2022, a decrease of 52.0% from fiscal 2021 Segment Profit of $42.1. The decrease was driven by lower net sales and a lower gross margin rate, partially offset by lower SG&amp;A.</w:t>
      </w:r>
    </w:p>
    <w:p>
      <w:pPr>
        <w:spacing w:after="0" w:line="37"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Other segment net sales were $303.1 in fiscal 2021, an increase of 34.7% from fiscal 2020 net sales of $225.0. The increase was driven by the favorable impacts of volume, foreign exchange rates and pricing of 20.6%, 11.2% and 2.9%, respectively.</w:t>
      </w:r>
    </w:p>
    <w:p>
      <w:pPr>
        <w:spacing w:after="0" w:line="50"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Other Segment Profit was $42.1 in fiscal 2021, an increase of 259.8% from fiscal 2020 Segment Profit of $11.7. The increase was driven by higher net sales and a higher gross margin rate, partially offset by higher SG&amp;A.</w:t>
      </w:r>
    </w:p>
    <w:p>
      <w:pPr>
        <w:spacing w:after="0" w:line="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Corporate</w:t>
      </w:r>
    </w:p>
    <w:p>
      <w:pPr>
        <w:spacing w:after="0" w:line="86"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Corporate expenses were $112.4 in fiscal 2022, a decrease of 24.9% from fiscal 2021 expenses of $149.7. The decrease was driven by lower short-term variable cash incentive compensation expense, reductions in staffing levels and other cost-reduction initiatives.</w:t>
      </w:r>
    </w:p>
    <w:p>
      <w:pPr>
        <w:spacing w:after="0" w:line="50"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Corporate expenses were $149.7 in fiscal 2021, a decrease of 18.4% from fiscal 2020 expenses of $183.4. The decrease was driven by lower short-term variable cash incentive compensation expense, lower corporate spending and lower share-based compensation expense.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cash activities for the years ended September 30: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1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center"/>
              <w:ind w:left="317"/>
              <w:spacing w:after="0"/>
              <w:rPr>
                <w:sz w:val="20"/>
                <w:szCs w:val="20"/>
                <w:color w:val="auto"/>
              </w:rPr>
            </w:pPr>
            <w:r>
              <w:rPr>
                <w:rFonts w:ascii="Times New Roman" w:cs="Times New Roman" w:eastAsia="Times New Roman" w:hAnsi="Times New Roman"/>
                <w:sz w:val="18"/>
                <w:szCs w:val="18"/>
                <w:color w:val="auto"/>
                <w:w w:val="98"/>
              </w:rPr>
              <w:t>(129.0)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ind w:left="337"/>
              <w:spacing w:after="0"/>
              <w:rPr>
                <w:sz w:val="20"/>
                <w:szCs w:val="20"/>
                <w:color w:val="auto"/>
              </w:rPr>
            </w:pPr>
            <w:r>
              <w:rPr>
                <w:rFonts w:ascii="Times New Roman" w:cs="Times New Roman" w:eastAsia="Times New Roman" w:hAnsi="Times New Roman"/>
                <w:sz w:val="18"/>
                <w:szCs w:val="18"/>
                <w:color w:val="auto"/>
                <w:w w:val="93"/>
              </w:rPr>
              <w:t>271.5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w:t>
            </w: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00" w:type="dxa"/>
            <w:vAlign w:val="bottom"/>
          </w:tcPr>
          <w:p>
            <w:pPr>
              <w:spacing w:after="0"/>
              <w:rPr>
                <w:sz w:val="19"/>
                <w:szCs w:val="19"/>
                <w:color w:val="auto"/>
              </w:rPr>
            </w:pPr>
          </w:p>
        </w:tc>
        <w:tc>
          <w:tcPr>
            <w:tcW w:w="960" w:type="dxa"/>
            <w:vAlign w:val="bottom"/>
          </w:tcPr>
          <w:p>
            <w:pPr>
              <w:jc w:val="center"/>
              <w:ind w:left="317"/>
              <w:spacing w:after="0"/>
              <w:rPr>
                <w:sz w:val="20"/>
                <w:szCs w:val="20"/>
                <w:color w:val="auto"/>
              </w:rPr>
            </w:pPr>
            <w:r>
              <w:rPr>
                <w:rFonts w:ascii="Times New Roman" w:cs="Times New Roman" w:eastAsia="Times New Roman" w:hAnsi="Times New Roman"/>
                <w:sz w:val="18"/>
                <w:szCs w:val="18"/>
                <w:color w:val="auto"/>
                <w:w w:val="98"/>
              </w:rPr>
              <w:t>(283.2)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center"/>
              <w:ind w:left="317"/>
              <w:spacing w:after="0"/>
              <w:rPr>
                <w:sz w:val="20"/>
                <w:szCs w:val="20"/>
                <w:color w:val="auto"/>
              </w:rPr>
            </w:pPr>
            <w:r>
              <w:rPr>
                <w:rFonts w:ascii="Times New Roman" w:cs="Times New Roman" w:eastAsia="Times New Roman" w:hAnsi="Times New Roman"/>
                <w:sz w:val="18"/>
                <w:szCs w:val="18"/>
                <w:color w:val="auto"/>
                <w:w w:val="98"/>
              </w:rPr>
              <w:t>(538.6)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357"/>
              <w:spacing w:after="0"/>
              <w:rPr>
                <w:sz w:val="20"/>
                <w:szCs w:val="20"/>
                <w:color w:val="auto"/>
              </w:rPr>
            </w:pPr>
            <w:r>
              <w:rPr>
                <w:rFonts w:ascii="Times New Roman" w:cs="Times New Roman" w:eastAsia="Times New Roman" w:hAnsi="Times New Roman"/>
                <w:sz w:val="18"/>
                <w:szCs w:val="18"/>
                <w:color w:val="auto"/>
                <w:w w:val="98"/>
              </w:rPr>
              <w:t>255.3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337"/>
              <w:spacing w:after="0"/>
              <w:rPr>
                <w:sz w:val="20"/>
                <w:szCs w:val="20"/>
                <w:color w:val="auto"/>
              </w:rPr>
            </w:pPr>
            <w:r>
              <w:rPr>
                <w:rFonts w:ascii="Times New Roman" w:cs="Times New Roman" w:eastAsia="Times New Roman" w:hAnsi="Times New Roman"/>
                <w:sz w:val="18"/>
                <w:szCs w:val="18"/>
                <w:color w:val="auto"/>
                <w:w w:val="93"/>
              </w:rPr>
              <w:t>494.0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w:t>
            </w:r>
          </w:p>
        </w:tc>
      </w:tr>
    </w:tbl>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99"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Cash used in operating activities totaled $129.0 for fiscal 2022, a decrease of $400.5 as compared to cash provided by operating activities of $271.5 for fiscal 2021. This decrease was driven by higher inventory, lower accounts payable, lower net income and higher interest payments, partially offset by lower tax payments and lower short-term variable cash incentive compensation payouts. Higher inventory was driven by higher production, lower sales and higher input costs. Lower accounts payable was driven by the timing of production. Fiscal 2022 was also favorably impacted by extended payment terms with vendors across the U.S. Consumer and Hawthorne segments, as well as Monsanto, for payments originally due in the final weeks of fiscal 2022 that were paid in the first quarter of fiscal 2023.</w:t>
      </w:r>
    </w:p>
    <w:p>
      <w:pPr>
        <w:spacing w:after="0" w:line="57" w:lineRule="exact"/>
        <w:rPr>
          <w:sz w:val="20"/>
          <w:szCs w:val="20"/>
          <w:color w:val="auto"/>
        </w:rPr>
      </w:pPr>
    </w:p>
    <w:p>
      <w:pPr>
        <w:jc w:val="both"/>
        <w:ind w:firstLine="434"/>
        <w:spacing w:after="0" w:line="288" w:lineRule="auto"/>
        <w:rPr>
          <w:sz w:val="20"/>
          <w:szCs w:val="20"/>
          <w:color w:val="auto"/>
        </w:rPr>
      </w:pPr>
      <w:r>
        <w:rPr>
          <w:rFonts w:ascii="Times New Roman" w:cs="Times New Roman" w:eastAsia="Times New Roman" w:hAnsi="Times New Roman"/>
          <w:sz w:val="16"/>
          <w:szCs w:val="16"/>
          <w:color w:val="auto"/>
        </w:rPr>
        <w:t>Cash provided by operating activities totaled $271.5 for fiscal 2021, a decrease of $286.5 as compared to $558.0 for fiscal 2020. This decrease was driven by higher inventory production, higher short-term variable cash incentive compensation payouts and higher tax payments during fiscal 2021, partially offset by higher net income and lower interest payments. Higher inventory production was driven by the growth in net sales and an effort to build inventory levels to meet expected future demand. Fiscal 2021 was also favorably impacted by extended payment terms with vendors across the U.S. Consumer and Hawthorne segments, as well as Monsanto, for payments originally due in the final weeks of fiscal 2021 that were paid in the first quarter of fiscal 2022.</w:t>
      </w:r>
    </w:p>
    <w:p>
      <w:pPr>
        <w:spacing w:after="0" w:line="40"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seasonal nature of our North America consumer lawn and garden business generally requires cash to fund significant increases in inventories during the first half of the fiscal year. Receivables and payables also build substantially in our second quarter of the fiscal year in line with the timing of sales to support our retailers’ spring selling season.</w:t>
      </w:r>
    </w:p>
    <w:p>
      <w:pPr>
        <w:spacing w:after="0" w:line="1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86"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Cash used in investing activities totaled $283.2 for fiscal 2022, a decrease of $255.4 as compared to $538.6 for fiscal 2021. Cash used for investments in property, plant and equipment during fiscal 2022 was $113.5. We also completed the acquisitions of Luxx Lighting, Inc., True Liberty Bags and Cyco during fiscal 2022 in exchange for aggregate cash payments of $237.3, as well as the issuance of 0.1 million Common Shares, a non-cash investing and financing activity, with a fair value of $21.0 based on the share price at the time of payment. In addition, during fiscal 2022, we made payments of $25.0 in connection with a minority non-equity convertible debt investment in RIV Capital, received proceeds from the sale of long-lived assets of $63.3 and received $29.3 associated with currency forward contracts.</w:t>
      </w:r>
    </w:p>
    <w:p>
      <w:pPr>
        <w:spacing w:after="0" w:line="70"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Cash used in investing activities totaled $538.6 for fiscal 2021, a decrease of $585.5 as compared to cash provided by investing activities of $46.9 for fiscal 2020. Cash used for investments in property, plant and equipment during fiscal 2021 was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8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$106.9. During fiscal 2021, we acquired a 50% equity interest in Bonnie Plants, LLC in exchange for cash payments of $102.3, as well as non-cash investing activities that included forgiveness of our outstanding loan receivable with AFC and surrender of our options to increase our economic interest in the Bonnie Plants business. We also made aggregate cash payments of $127.8 in connection with our acquisitions of Hydro-Logic Purification Systems, Inc., Rhizoflora, Inc. and other contract and license rights, and made payments of $193.1 in connection with minority non-equity convertible debt investments in RIV Capital and other entities focused on branded cannabis and high quality genetics. In addition, we paid cash of $8.7 associated with currency forward contracts during fiscal 2021.</w:t>
      </w:r>
    </w:p>
    <w:p>
      <w:pPr>
        <w:spacing w:after="0" w:line="57"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For the three fiscal years ended September 30, 2022, we allocated our capital spending as follows: 72% for expansion and maintenance of existing productive assets; 6% for new productive assets; 16% to expand our information technology and transformation and integration capabilities; and 6% for corporate assets.</w:t>
      </w:r>
    </w:p>
    <w:p>
      <w:pPr>
        <w:spacing w:after="0" w:line="1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99"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Cash provided by financing activities totaled $255.3 for fiscal 2022 as compared to $494.0 for fiscal 2021. During fiscal 2022, we had net borrowings under our Fifth A&amp;R Credit Facilities and Sixth A&amp;R Credit Facilities of $680.1 and paid financing and issuance fees of $9.6 in connection with the execution of the Sixth A&amp;R Credit Facilities. We also repurchased Common Shares for $257.9 and paid dividends of $166.2 during fiscal 2022.</w:t>
      </w:r>
    </w:p>
    <w:p>
      <w:pPr>
        <w:spacing w:after="0" w:line="47"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Cash provided by financing activities totaled $494.0 in fiscal 2021 as compared to cash used in financing activities of $607.1 in fiscal 2020. During fiscal 2021, we had net borrowings under our Fifth A&amp;R Credit Facilities of $118.3. We also issued $500.0 aggregate principal amount of 4.000% Senior Notes and $400.0 aggregate principal amount of 4.375% Senior Notes, and paid financing and issuance fees of $13.1 in connection with these Senior Notes issuances. In addition, during fiscal 2021, we repurchased Common Shares for $129.3, paid dividends of $143.0, received cash from the exercise of stock options of $15.2 and made payments of $17.5 associated with the acquisition of the remaining outstanding shares of AeroGrow.</w:t>
      </w:r>
    </w:p>
    <w:p>
      <w:pPr>
        <w:spacing w:after="0" w:line="1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99"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Our cash and cash equivalents were held in cash depository accounts with major financial institutions around the world or invested in high quality, short-term liquid investments having original maturities of three months or less. The cash and cash equivalents balances of $86.8 and $244.1 at September 30, 2022 and 2021, respectively, included $4.2 and $15.9, respectively, held by controlled foreign corporations. As of September 30, 2022, we maintain our assertion of indefinite reinvestment of the earnings of all material foreign subsidiaries.</w:t>
      </w:r>
    </w:p>
    <w:p>
      <w:pPr>
        <w:spacing w:after="0" w:line="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Borrowing Agreements</w:t>
      </w:r>
    </w:p>
    <w:p>
      <w:pPr>
        <w:spacing w:after="0" w:line="1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Facilities</w:t>
      </w:r>
    </w:p>
    <w:p>
      <w:pPr>
        <w:spacing w:after="0" w:line="152"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Our primary sources of liquidity are cash generated by operations and borrowings under our credit facilities, which are guaranteed by substantially all of Scotts Miracle-Gro’s domestic subsidiaries. On July 5, 2018, we entered into a fifth amended and restated credit agreement (the “Fifth A&amp;R Credit Agreement”), which provided us with five-year senior secured loan facilities in the aggregate principal amount of $2,300.0, comprised of a revolving credit facility of $1,500.0 and a term loan in the original principal amount of $800.0 (the “Fifth A&amp;R Credit Facilities”). Under the Fifth A&amp;R Credit Facilities, we had the ability to obtain letters of credit up to $75.0.</w:t>
      </w:r>
    </w:p>
    <w:p>
      <w:pPr>
        <w:spacing w:after="0" w:line="83"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On April 8, 2022, we entered into a sixth amended and restated credit agreement (the “Sixth A&amp;R Credit Agreement”), providing the Company and certain of its subsidiaries with five-year senior secured loan facilities in the aggregate principal amount of $2,500.0, comprised of a revolving credit facility of $1,500.0 and a term loan in the original principal amount of $1,000.0 (the “Sixth A&amp;R Credit Facilities”). The Sixth A&amp;R Credit Agreement also provides us with the right to seek additional committed credit under the agreement in an aggregate amount of up to $500.0 plus an unlimited additional amount, subject to certain specified financial and other conditions. The Sixth A&amp;R Credit Agreement replaced the Fifth A&amp;R Credit Agreement and will terminate on April 8, 2027. The Sixth A&amp;R Credit Facilities are available for the issuance of letters of credit up to $100.0. The terms of the Sixth A&amp;R Credit Agreement include customary representations and warranties, affirmative and negative covenants, financial covenants, and events of default.</w:t>
      </w:r>
    </w:p>
    <w:p>
      <w:pPr>
        <w:spacing w:after="0" w:line="86"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Under the terms of the Sixth A&amp;R Credit Agreement, loans bear interest, at our election, at a rate per annum equal to either (i) the Alternate Base Rate plus the Applicable Spread (each, as defined in the Sixth A&amp;R Credit Agreement) or (ii) the Adjusted Term SOFR Rate for the Interest Period in effect for such borrowing plus the Applicable Spread (all as defined in the Sixth A&amp;R Credit Agreement). Swingline Loans bear interest at the applicable Swingline Rate set forth in the Sixth A&amp;R Credit Agreement. Interest rates for other select non-U.S. dollar borrowings, including borrowings denominated in euro, Pounds Sterling and Canadian dollars, are based on separate interest rate indices, as set forth in the Sixth A&amp;R Credit Agreement. The Sixth A&amp;R Credit Agreement is secured by (i) a perfected first priority security interest in all of the accounts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receivable, inventory and equipment of Scotts Miracle-Gro and certain of its domestic subsidiaries and (ii) the pledge of all of the capital stock of certain of Scotts Miracle-Gro’s domestic subsidiaries and a portion of the capital stock of certain of its foreign subsidiaries. The collateral does not include any of our intellectual property.</w:t>
      </w:r>
    </w:p>
    <w:p>
      <w:pPr>
        <w:spacing w:after="0" w:line="74"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On June 8, 2022, we entered into an Amendment to the Sixth A&amp;R Credit Agreement. The Amendment increases the maximum permitted leverage ratio for the quarterly leverage covenant during the Leverage Adjustment Period. The Amendment also increases the interest rate applicable to borrowings under the revolving credit facility by 35 bps and the term loan facility by 50 bps, and increases the annual facility fee rate on the revolving credit facility by 15 bps, in each case, when our quarterly-tested leverage ratio exceeds 4.75. Additionally, the Amendment limits our ability to declare or pay any discretionary dividends, distributions or other restricted payments during the Leverage Adjustment Period to only the payment of (i) regularly scheduled cash dividends to holders of our Common Shares in an aggregate amount not to exceed $225.0 per fiscal year and (ii) other dividends, distributions or other restricted payments in an aggregate amount not to exceed $25.0. The Amendment also requires pro forma compliance with certain leverage levels specified in the Amendment with respect to our ability to consummate certain acquisitions and incur debt.</w:t>
      </w:r>
    </w:p>
    <w:p>
      <w:pPr>
        <w:spacing w:after="0" w:line="70"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At September 30, 2022, we had letters of credit outstanding in the aggregate principal amount of $14.1, and $1,185.5 of borrowing availability under the Sixth A&amp;R Credit Agreement. The weighted average interest rates on average borrowings under the Fifth A&amp;R Credit Agreement and Sixth A&amp;R Credit Agreement were 2.8%, 1.9% and 3.3% for fiscal 2022, fiscal 2021 and fiscal 2020, respectively.</w:t>
      </w:r>
    </w:p>
    <w:p>
      <w:pPr>
        <w:spacing w:after="0" w:line="74" w:lineRule="exact"/>
        <w:rPr>
          <w:sz w:val="20"/>
          <w:szCs w:val="20"/>
          <w:color w:val="auto"/>
        </w:rPr>
      </w:pPr>
    </w:p>
    <w:p>
      <w:pPr>
        <w:jc w:val="both"/>
        <w:ind w:firstLine="434"/>
        <w:spacing w:after="0" w:line="281" w:lineRule="auto"/>
        <w:rPr>
          <w:sz w:val="20"/>
          <w:szCs w:val="20"/>
          <w:color w:val="auto"/>
        </w:rPr>
      </w:pPr>
      <w:r>
        <w:rPr>
          <w:rFonts w:ascii="Times New Roman" w:cs="Times New Roman" w:eastAsia="Times New Roman" w:hAnsi="Times New Roman"/>
          <w:sz w:val="16"/>
          <w:szCs w:val="16"/>
          <w:color w:val="auto"/>
        </w:rPr>
        <w:t>The Sixth A&amp;R Credit Agreement contains, among other obligations, an affirmative covenant regarding our leverage ratio determined as of the end of each of our fiscal quarters calculated as average total indebtedness, divided by our earnings before interest, taxes, depreciation and amortization, as adjusted pursuant to the terms of the Sixth A&amp;R Credit Agreement (“Adjusted EBITDA”). Pursuant to the Amendment, the maximum permitted leverage ratio is (i) 6.25 for the third quarter of fiscal 2022 through the first quarter of fiscal 2023, (ii) 6.50 for the second and third quarters of fiscal 2023, (iii) 6.25 for the fourth quarter of fiscal 2023 and the first quarter of fiscal 2024, (iv) 5.50 for the second quarter of fiscal 2024, and (v) 4.50 for the third quarter of fiscal 2024 and thereafter. Our leverage ratio was 6.01 at September 30, 2022. The Sixth A&amp;R Credit Agreement also contains an affirmative covenant regarding our interest coverage ratio determined as of the end of each of our fiscal quarters. The interest coverage ratio is calculated as Adjusted EBITDA divided by interest expense, as described in the Sixth A&amp;R Credit Agreement, and excludes costs related to refinancings. The minimum required interest coverage ratio is 3.00, which is unchanged from the Fifth A&amp;R Credit Agreement. Our interest coverage ratio was 4.83 for the twelve months ended September 30, 2022.</w:t>
      </w:r>
    </w:p>
    <w:p>
      <w:pPr>
        <w:spacing w:after="0" w:line="59" w:lineRule="exact"/>
        <w:rPr>
          <w:sz w:val="20"/>
          <w:szCs w:val="20"/>
          <w:color w:val="auto"/>
        </w:rPr>
      </w:pPr>
    </w:p>
    <w:p>
      <w:pPr>
        <w:jc w:val="both"/>
        <w:ind w:firstLine="434"/>
        <w:spacing w:after="0" w:line="283" w:lineRule="auto"/>
        <w:rPr>
          <w:sz w:val="20"/>
          <w:szCs w:val="20"/>
          <w:color w:val="auto"/>
        </w:rPr>
      </w:pPr>
      <w:r>
        <w:rPr>
          <w:rFonts w:ascii="Times New Roman" w:cs="Times New Roman" w:eastAsia="Times New Roman" w:hAnsi="Times New Roman"/>
          <w:sz w:val="16"/>
          <w:szCs w:val="16"/>
          <w:color w:val="auto"/>
        </w:rPr>
        <w:t>As of September 30, 2022, we were in compliance with all applicable covenants in the agreements governing our debt. Based on our projections of financial performance for the twelve-month period subsequent to the date of the filing of the financial statements on Form 10-K, we expect to remain in compliance with the financial covenants under the Sixth A&amp;R Credit Agreement. However, our assessment of our ability to meet our future obligations is inherently subjective, judgment-based, and susceptible to change based on future events. A covenant violation may result in an event of default. Such a default would allow the lender under the Sixth A&amp;R Credit Agreement to accelerate the maturity of the debt and would also implicate cross-default provisions under our Senior Notes, making them due and payable at that time. As of September 30, 2022, our indebtedness under the Sixth A&amp;R Credit Agreement and Senior Notes was $2,875.5. We do not have sufficient cash on hand or available liquidity that can be utilized to repay these outstanding amounts in the event of default.</w:t>
      </w:r>
    </w:p>
    <w:p>
      <w:pPr>
        <w:spacing w:after="0" w:line="59"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As part of our contingency planning to address potential future circumstances that could result in noncompliance, we have contemplated alternative plans including additional restructuring activities to reduce operating expenses and certain cash management strategies that are within our control. Additionally, we have contemplated alternative plans that are subject to market conditions and not in our control, including, among others, discussions with our lender to amend the terms of our financial covenant under the debt instrument and generating cash by completing other financing transactions, which may include issuing equity. There is no assurance that we will be successful in implementing these alternative plans.</w:t>
      </w:r>
    </w:p>
    <w:p>
      <w:pPr>
        <w:spacing w:after="0" w:line="10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Senior Notes</w:t>
      </w:r>
    </w:p>
    <w:p>
      <w:pPr>
        <w:spacing w:after="0" w:line="152"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On December 15, 2016, Scotts Miracle-Gro issued $250.0 aggregate principal amount of 5.250% Senior Notes due 2026. The 5.250% Senior Notes represent general unsecured senior obligations and rank equal in right of payment with our existing and future unsecured senior debt. The 5.250% Senior Notes have interest payment dates of June 15 and December 15 of each year.</w:t>
      </w:r>
    </w:p>
    <w:p>
      <w:pPr>
        <w:spacing w:after="0" w:line="61"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On October 22, 2019, Scotts Miracle-Gro issued $450.0 aggregate principal amount of 4.500% Senior Notes due 2029. The 4.500% Senior Notes represent general unsecured senior obligations and rank equal in right of payment with our existing and future unsecured senior debt. The 4.500% Senior Notes have interest payment dates of April 15 and October 15 of each year.</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84"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On October 23, 2019, Scotts Miracle-Gro redeemed all of our outstanding 6.000% Senior Notes for a redemption price of $412.5, comprised of $0.5 of accrued and unpaid interest, $12.0 of redemption premium, and $400.0 for outstanding principal amount. The $12.0 redemption premium was recognized in the “Costs related to refinancing” line on the Consolidated Statements of Operations during the first quarter of fiscal 2020. Additionally, we had $3.1 in unamortized bond issuance costs associated with the 6.000% Senior Notes, which were written-off during the first quarter of fiscal 2020 and were recognized in the “Costs related to refinancing” line in the Consolidated Statements of Operations.</w:t>
      </w:r>
    </w:p>
    <w:p>
      <w:pPr>
        <w:spacing w:after="0" w:line="57"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On March 17, 2021, Scotts Miracle-Gro issued $500.0 aggregate principal amount of 4.000% Senior Notes due 2031. The 4.000% Senior Notes represent general unsecured senior obligations and rank equal in right of payment with our existing and future unsecured senior debt. The 4.000% Senior Notes have interest payment dates of April 1 and October 1 of each year.</w:t>
      </w:r>
    </w:p>
    <w:p>
      <w:pPr>
        <w:spacing w:after="0" w:line="61"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On August 13, 2021, Scotts Miracle-Gro issued $400.0 aggregate principal amount of 4.375% Senior Notes due 2032. The 4.375% Senior Notes represent general unsecured senior obligations and rank equal in right of payment with our existing and future unsecured senior debt. The 4.375% Senior Notes have interest payment dates of February 1 and August 1 of each year.</w:t>
      </w:r>
    </w:p>
    <w:p>
      <w:pPr>
        <w:spacing w:after="0" w:line="61"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Substantially all of Scotts Miracle-Gro’s directly and indirectly owned domestic subsidiaries serve as guarantors of the 5.250% Senior Notes, the 4.500% Senior Notes, the 4.000% Senior Notes and the 4.375% Senior Notes.</w:t>
      </w:r>
    </w:p>
    <w:p>
      <w:pPr>
        <w:spacing w:after="0" w:line="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Receivables Facility</w:t>
      </w:r>
    </w:p>
    <w:p>
      <w:pPr>
        <w:spacing w:after="0" w:line="152" w:lineRule="exact"/>
        <w:rPr>
          <w:sz w:val="20"/>
          <w:szCs w:val="20"/>
          <w:color w:val="auto"/>
        </w:rPr>
      </w:pPr>
    </w:p>
    <w:p>
      <w:pPr>
        <w:jc w:val="both"/>
        <w:ind w:firstLine="434"/>
        <w:spacing w:after="0" w:line="285" w:lineRule="auto"/>
        <w:rPr>
          <w:sz w:val="20"/>
          <w:szCs w:val="20"/>
          <w:color w:val="auto"/>
        </w:rPr>
      </w:pPr>
      <w:r>
        <w:rPr>
          <w:rFonts w:ascii="Times New Roman" w:cs="Times New Roman" w:eastAsia="Times New Roman" w:hAnsi="Times New Roman"/>
          <w:sz w:val="16"/>
          <w:szCs w:val="16"/>
          <w:color w:val="auto"/>
        </w:rPr>
        <w:t>We also maintain a Master Repurchase Agreement (including the annexes thereto, the “Repurchase Agreement”) and a Master Framework Agreement, as amended (the “Framework Agreement” and, together with the Repurchase Agreement, the “Receivables Facility”). Under the Receivables Facility, we may sell a portfolio of available and eligible outstanding customer accounts receivable to the purchasers and simultaneously agree to repurchase the receivables on a weekly basis. The eligible accounts receivable consist of accounts receivable generated by sales to three specified customers. The eligible amount of customer accounts receivables which may be sold under the Receivables Facility is $400.0 and the commitment amount during the seasonal commitment period beginning on February 24, 2023 and ending on June 16, 2023 is $160.0. The Receivables Facility expires on August 18, 2023.</w:t>
      </w:r>
    </w:p>
    <w:p>
      <w:pPr>
        <w:spacing w:after="0" w:line="43"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We account for the sale of receivables under the Receivables Facility as short-term debt and continue to carry the receivables on our Consolidated Balance Sheets, primarily as a result of our requirement to repurchase receivables sold. As of September 30, 2022 and 2021, there were $75.0 and zero, respectively, in borrowings on receivables pledged as collateral under the Receivables Facility, and the carrying value of the receivables pledged as collateral was $79.8 and zero, respectively.</w:t>
      </w:r>
    </w:p>
    <w:p>
      <w:pPr>
        <w:spacing w:after="0" w:line="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Swap Agreements</w:t>
      </w:r>
    </w:p>
    <w:p>
      <w:pPr>
        <w:spacing w:after="0" w:line="152"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We enter into interest rate swap agreements with major financial institutions that effectively convert a portion of our variable rate debt to a fixed rate. Interest payments made between the effective date and expiration date are hedged by the swap agreements. Swap agreements that were hedging interest payments as of September 30, 2022 and 2021 had a maximum total U.S. dollar equivalent notional amount of $800.0 and $600.0, respectively. The notional amount, effective date, expiration date and rate of each of the swap agreements outstanding at September 30, 2022 are shown in the table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vMerge w:val="restart"/>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360" w:type="dxa"/>
            <w:vAlign w:val="bottom"/>
          </w:tcPr>
          <w:p>
            <w:pPr>
              <w:spacing w:after="0"/>
              <w:rPr>
                <w:sz w:val="13"/>
                <w:szCs w:val="13"/>
                <w:color w:val="auto"/>
              </w:rPr>
            </w:pPr>
          </w:p>
        </w:tc>
        <w:tc>
          <w:tcPr>
            <w:tcW w:w="1700" w:type="dxa"/>
            <w:vAlign w:val="bottom"/>
          </w:tcPr>
          <w:p>
            <w:pPr>
              <w:jc w:val="center"/>
              <w:ind w:left="850"/>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Expiration</w:t>
            </w:r>
          </w:p>
        </w:tc>
        <w:tc>
          <w:tcPr>
            <w:tcW w:w="2760" w:type="dxa"/>
            <w:vAlign w:val="bottom"/>
          </w:tcPr>
          <w:p>
            <w:pPr>
              <w:jc w:val="right"/>
              <w:ind w:right="1117"/>
              <w:spacing w:after="0"/>
              <w:rPr>
                <w:sz w:val="20"/>
                <w:szCs w:val="20"/>
                <w:color w:val="auto"/>
              </w:rPr>
            </w:pPr>
            <w:r>
              <w:rPr>
                <w:rFonts w:ascii="Times New Roman" w:cs="Times New Roman" w:eastAsia="Times New Roman" w:hAnsi="Times New Roman"/>
                <w:sz w:val="14"/>
                <w:szCs w:val="14"/>
                <w:b w:val="1"/>
                <w:bCs w:val="1"/>
                <w:color w:val="auto"/>
              </w:rPr>
              <w:t>Fixed</w:t>
            </w:r>
          </w:p>
        </w:tc>
        <w:tc>
          <w:tcPr>
            <w:tcW w:w="0" w:type="dxa"/>
            <w:vAlign w:val="bottom"/>
          </w:tcPr>
          <w:p>
            <w:pPr>
              <w:spacing w:after="0"/>
              <w:rPr>
                <w:sz w:val="1"/>
                <w:szCs w:val="1"/>
                <w:color w:val="auto"/>
              </w:rPr>
            </w:pPr>
          </w:p>
        </w:tc>
      </w:tr>
      <w:tr>
        <w:trPr>
          <w:trHeight w:val="191"/>
        </w:trPr>
        <w:tc>
          <w:tcPr>
            <w:tcW w:w="26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tcPr>
          <w:p>
            <w:pPr>
              <w:jc w:val="center"/>
              <w:ind w:left="850"/>
              <w:spacing w:after="0"/>
              <w:rPr>
                <w:sz w:val="20"/>
                <w:szCs w:val="20"/>
                <w:color w:val="auto"/>
              </w:rPr>
            </w:pPr>
            <w:r>
              <w:rPr>
                <w:rFonts w:ascii="Times New Roman" w:cs="Times New Roman" w:eastAsia="Times New Roman" w:hAnsi="Times New Roman"/>
                <w:sz w:val="14"/>
                <w:szCs w:val="14"/>
                <w:b w:val="1"/>
                <w:bCs w:val="1"/>
                <w:color w:val="auto"/>
                <w:w w:val="96"/>
              </w:rPr>
              <w:t>Date (a)</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760" w:type="dxa"/>
            <w:vAlign w:val="bottom"/>
          </w:tcPr>
          <w:p>
            <w:pPr>
              <w:jc w:val="right"/>
              <w:ind w:right="1157"/>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23"/>
        </w:trPr>
        <w:tc>
          <w:tcPr>
            <w:tcW w:w="2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12/21/2020</w:t>
            </w:r>
          </w:p>
        </w:tc>
        <w:tc>
          <w:tcPr>
            <w:tcW w:w="10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6/20/2023</w:t>
            </w:r>
          </w:p>
        </w:tc>
        <w:tc>
          <w:tcPr>
            <w:tcW w:w="100" w:type="dxa"/>
            <w:vAlign w:val="bottom"/>
            <w:tcBorders>
              <w:top w:val="single" w:sz="8" w:color="CCEEFF"/>
            </w:tcBorders>
            <w:shd w:val="clear" w:color="auto" w:fill="CCEEFF"/>
          </w:tcPr>
          <w:p>
            <w:pPr>
              <w:spacing w:after="0"/>
              <w:rPr>
                <w:sz w:val="19"/>
                <w:szCs w:val="19"/>
                <w:color w:val="auto"/>
              </w:rPr>
            </w:pPr>
          </w:p>
        </w:tc>
        <w:tc>
          <w:tcPr>
            <w:tcW w:w="2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0" w:type="dxa"/>
            <w:vAlign w:val="bottom"/>
          </w:tcPr>
          <w:p>
            <w:pPr>
              <w:spacing w:after="0"/>
              <w:rPr>
                <w:sz w:val="1"/>
                <w:szCs w:val="1"/>
                <w:color w:val="auto"/>
              </w:rPr>
            </w:pPr>
          </w:p>
        </w:tc>
      </w:tr>
      <w:tr>
        <w:trPr>
          <w:trHeight w:val="223"/>
        </w:trPr>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(b)</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1/7/2021</w:t>
            </w:r>
          </w:p>
        </w:tc>
        <w:tc>
          <w:tcPr>
            <w:tcW w:w="100" w:type="dxa"/>
            <w:vAlign w:val="bottom"/>
          </w:tcPr>
          <w:p>
            <w:pPr>
              <w:spacing w:after="0"/>
              <w:rPr>
                <w:sz w:val="19"/>
                <w:szCs w:val="19"/>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6/7/2023</w:t>
            </w:r>
          </w:p>
        </w:tc>
        <w:tc>
          <w:tcPr>
            <w:tcW w:w="100" w:type="dxa"/>
            <w:vAlign w:val="bottom"/>
          </w:tcPr>
          <w:p>
            <w:pPr>
              <w:spacing w:after="0"/>
              <w:rPr>
                <w:sz w:val="19"/>
                <w:szCs w:val="19"/>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37"/>
        </w:trPr>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10/7/2021</w:t>
            </w:r>
          </w:p>
        </w:tc>
        <w:tc>
          <w:tcPr>
            <w:tcW w:w="100" w:type="dxa"/>
            <w:vAlign w:val="bottom"/>
            <w:shd w:val="clear" w:color="auto" w:fill="CCEEFF"/>
          </w:tcPr>
          <w:p>
            <w:pPr>
              <w:spacing w:after="0"/>
              <w:rPr>
                <w:sz w:val="20"/>
                <w:szCs w:val="20"/>
                <w:color w:val="auto"/>
              </w:rPr>
            </w:pP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6/7/2023</w:t>
            </w:r>
          </w:p>
        </w:tc>
        <w:tc>
          <w:tcPr>
            <w:tcW w:w="100" w:type="dxa"/>
            <w:vAlign w:val="bottom"/>
            <w:shd w:val="clear" w:color="auto" w:fill="CCEEFF"/>
          </w:tcPr>
          <w:p>
            <w:pPr>
              <w:spacing w:after="0"/>
              <w:rPr>
                <w:sz w:val="20"/>
                <w:szCs w:val="20"/>
                <w:color w:val="auto"/>
              </w:rPr>
            </w:pP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0" w:type="dxa"/>
            <w:vAlign w:val="bottom"/>
          </w:tcPr>
          <w:p>
            <w:pPr>
              <w:spacing w:after="0"/>
              <w:rPr>
                <w:sz w:val="1"/>
                <w:szCs w:val="1"/>
                <w:color w:val="auto"/>
              </w:rPr>
            </w:pPr>
          </w:p>
        </w:tc>
      </w:tr>
      <w:tr>
        <w:trPr>
          <w:trHeight w:val="223"/>
        </w:trPr>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(b)</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1/20/2022</w:t>
            </w:r>
          </w:p>
        </w:tc>
        <w:tc>
          <w:tcPr>
            <w:tcW w:w="100" w:type="dxa"/>
            <w:vAlign w:val="bottom"/>
          </w:tcPr>
          <w:p>
            <w:pPr>
              <w:spacing w:after="0"/>
              <w:rPr>
                <w:sz w:val="19"/>
                <w:szCs w:val="19"/>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6/20/2024</w:t>
            </w:r>
          </w:p>
        </w:tc>
        <w:tc>
          <w:tcPr>
            <w:tcW w:w="100" w:type="dxa"/>
            <w:vAlign w:val="bottom"/>
          </w:tcPr>
          <w:p>
            <w:pPr>
              <w:spacing w:after="0"/>
              <w:rPr>
                <w:sz w:val="19"/>
                <w:szCs w:val="19"/>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0.58 %</w:t>
            </w:r>
          </w:p>
        </w:tc>
        <w:tc>
          <w:tcPr>
            <w:tcW w:w="0" w:type="dxa"/>
            <w:vAlign w:val="bottom"/>
          </w:tcPr>
          <w:p>
            <w:pPr>
              <w:spacing w:after="0"/>
              <w:rPr>
                <w:sz w:val="1"/>
                <w:szCs w:val="1"/>
                <w:color w:val="auto"/>
              </w:rPr>
            </w:pPr>
          </w:p>
        </w:tc>
      </w:tr>
      <w:tr>
        <w:trPr>
          <w:trHeight w:val="223"/>
        </w:trPr>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6/7/2023</w:t>
            </w:r>
          </w:p>
        </w:tc>
        <w:tc>
          <w:tcPr>
            <w:tcW w:w="100" w:type="dxa"/>
            <w:vAlign w:val="bottom"/>
            <w:shd w:val="clear" w:color="auto" w:fill="CCEEFF"/>
          </w:tcPr>
          <w:p>
            <w:pPr>
              <w:spacing w:after="0"/>
              <w:rPr>
                <w:sz w:val="19"/>
                <w:szCs w:val="19"/>
                <w:color w:val="auto"/>
              </w:rPr>
            </w:pP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6/8/2026</w:t>
            </w:r>
          </w:p>
        </w:tc>
        <w:tc>
          <w:tcPr>
            <w:tcW w:w="100" w:type="dxa"/>
            <w:vAlign w:val="bottom"/>
            <w:shd w:val="clear" w:color="auto" w:fill="CCEEFF"/>
          </w:tcPr>
          <w:p>
            <w:pPr>
              <w:spacing w:after="0"/>
              <w:rPr>
                <w:sz w:val="19"/>
                <w:szCs w:val="19"/>
                <w:color w:val="auto"/>
              </w:rPr>
            </w:pP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0.85 %</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620" w:hanging="615"/>
        <w:spacing w:after="0"/>
        <w:tabs>
          <w:tab w:leader="none" w:pos="6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effective date refers to the date on which interest payments are first hedged by the applicable swap agreement.</w:t>
      </w:r>
    </w:p>
    <w:p>
      <w:pPr>
        <w:spacing w:after="0" w:line="22" w:lineRule="exact"/>
        <w:rPr>
          <w:rFonts w:ascii="Times New Roman" w:cs="Times New Roman" w:eastAsia="Times New Roman" w:hAnsi="Times New Roman"/>
          <w:sz w:val="16"/>
          <w:szCs w:val="16"/>
          <w:color w:val="auto"/>
        </w:rPr>
      </w:pPr>
    </w:p>
    <w:p>
      <w:pPr>
        <w:ind w:left="640" w:hanging="635"/>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Notional amount adjusts in accordance with a specified seasonal schedule. This represents the maximum notional amount at any point in time.</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Availability and Use of Cash</w:t>
      </w:r>
    </w:p>
    <w:p>
      <w:pPr>
        <w:spacing w:after="0" w:line="139"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We believe that our cash flows from operations and borrowings under our agreements described herein will be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Actual results of operations will depend on numerous factors, many of which are beyond our control as further discussed in “ITEM 1A. RISK FACTORS — Risks Related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to Our M&amp;A, Lending and Financing Activities — </w:t>
      </w:r>
      <w:r>
        <w:rPr>
          <w:rFonts w:ascii="Times New Roman" w:cs="Times New Roman" w:eastAsia="Times New Roman" w:hAnsi="Times New Roman"/>
          <w:sz w:val="16"/>
          <w:szCs w:val="16"/>
          <w:i w:val="1"/>
          <w:iCs w:val="1"/>
          <w:color w:val="auto"/>
        </w:rPr>
        <w:t>Our indebtedness could limit our flexibility and adversely affect our financial condition</w:t>
      </w:r>
      <w:r>
        <w:rPr>
          <w:rFonts w:ascii="Times New Roman" w:cs="Times New Roman" w:eastAsia="Times New Roman" w:hAnsi="Times New Roman"/>
          <w:sz w:val="16"/>
          <w:szCs w:val="16"/>
          <w:color w:val="auto"/>
        </w:rPr>
        <w:t>” of this Form 10-K.</w:t>
      </w:r>
    </w:p>
    <w:p>
      <w:pPr>
        <w:spacing w:after="0" w:line="15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Financial Disclosures About Guarantors and Issuers of Guaranteed Securities</w:t>
      </w:r>
    </w:p>
    <w:p>
      <w:pPr>
        <w:spacing w:after="0" w:line="152"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5.250% Senior Notes, 4.500% Senior Notes, 4.000% Senior Notes and 4.375% Senior Notes (collectively, the “Senior Notes”) were issued by Scotts Miracle-Gro on December 15, 2016, October 22, 2019, March 17, 2021 and August 13, 2021, respectively. The Senior Notes are guaranteed by certain consolidated domestic subsidiaries of Scotts Miracle-Gro (collectively, the “Guarantors”) and, therefore, we report summarized financial information in accordance with SEC Regulation S-X, Rule 13-01, “Guarantors and Issuers of Guaranteed Securities Registered or Being Registered.”</w:t>
      </w:r>
    </w:p>
    <w:p>
      <w:pPr>
        <w:spacing w:after="0" w:line="116" w:lineRule="exact"/>
        <w:rPr>
          <w:sz w:val="20"/>
          <w:szCs w:val="20"/>
          <w:color w:val="auto"/>
        </w:rPr>
      </w:pPr>
    </w:p>
    <w:p>
      <w:pPr>
        <w:jc w:val="both"/>
        <w:ind w:firstLine="434"/>
        <w:spacing w:after="0" w:line="246" w:lineRule="auto"/>
        <w:rPr>
          <w:sz w:val="20"/>
          <w:szCs w:val="20"/>
          <w:color w:val="auto"/>
        </w:rPr>
      </w:pPr>
      <w:r>
        <w:rPr>
          <w:rFonts w:ascii="Times New Roman" w:cs="Times New Roman" w:eastAsia="Times New Roman" w:hAnsi="Times New Roman"/>
          <w:sz w:val="18"/>
          <w:szCs w:val="18"/>
          <w:color w:val="auto"/>
        </w:rPr>
        <w:t>The guarantees are “full and unconditional,” as those terms are used in Regulation S-X, Rule 3-10(b)(3), except that a Guarantor’s guarantee will be released in certain circumstances set forth in the indentures governing the Senior Notes, such as: (i) upon any sale or other disposition of all or substantially all of the assets of the Guarantor (including by way of merger or consolidation) to any person other than Scotts Miracle-Gro or any “restricted subsidiary” under the applicable indenture; (ii) if the Guarantor merges with and into Scotts Miracle-Gro, with Scotts Miracle-Gro surviving such merger; (iii) if the Guarantor is designated an “unrestricted subsidiary” in accordance with the applicable indenture or otherwise ceases to be a “restricted subsidiary” (including by way of liquidation or dissolution) in a transaction permitted by such indenture; (iv) upon legal or covenant defeasance; (v) at the election of Scotts Miracle-Gro following the Guarantor’s release as a guarantor under the Sixth A&amp;R Credit Agreement, except a release by or as a result of the repayment of the Sixth A&amp;R Credit Agreement; or (vi) if the Guarantor ceases to be a “restricted subsidiary” and the Guarantor is not otherwise required to provide a guarantee of the Senior Notes pursuant to the applicable indenture.</w:t>
      </w:r>
    </w:p>
    <w:p>
      <w:pPr>
        <w:spacing w:after="0" w:line="115"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Our foreign subsidiaries and certain of our domestic subsidiaries are not guarantors (collectively, the “Non-Guarantors”) of the Senior Notes. Payments on the Senior Notes are only required to be made by Scotts Miracle-Gro and the Guarantors. As a result, no payments are required to be made from the assets of the Non-Guarantors, unless those assets are transferred by dividend or otherwise to Scotts Miracle-Gro or a Guarantor. In the event of a bankruptcy, insolvency, liquidation or reorganization of any of the Non-Guarantors, holders of their indebtedness, including their trade creditors and other obligations, will be entitled to payment of their claims from the assets of the Non-Guarantors before any assets are made available for distribution to Scotts Miracle-Gro or the Guarantors. As a result, the Senior Notes are effectively subordinated to all the liabilities of the Non-Guarantors.</w:t>
      </w:r>
    </w:p>
    <w:p>
      <w:pPr>
        <w:spacing w:after="0" w:line="123"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guarantees may be subject to review under federal bankruptcy laws or relevant state fraudulent conveyance or fraudulent transfer laws. In certain circumstances, the court could void the guarantee, subordinate the amounts owing under the guarantee, or take other actions detrimental to the holders of the Senior Notes.</w:t>
      </w:r>
    </w:p>
    <w:p>
      <w:pPr>
        <w:spacing w:after="0" w:line="113"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As a general matter, value is given for a transfer or an obligation if, in exchange for the transfer or obligation, property is transferred or a valid antecedent debt is satisfied. A court would likely find that a Guarantor did not receive reasonably equivalent value or fair consideration for its guarantee to the extent such Guarantor did not obtain a reasonably equivalent benefit from the issuance of the Senior Notes.</w:t>
      </w:r>
    </w:p>
    <w:p>
      <w:pPr>
        <w:spacing w:after="0" w:line="100"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measure of insolvency varies depending upon the law of the jurisdiction that is being applied. Regardless of the measure being applied, a court could determine that a Guarantor was insolvent on the date the guarantee was issued, so that payments to the holders of the Senior Notes would constitute a preference, fraudulent transfer or conveyances on other grounds. If a guarantee is voided as a fraudulent conveyance or is found to be unenforceable for any other reason, the holders of the Senior Notes will not have a claim against the Guarantor.</w:t>
      </w:r>
    </w:p>
    <w:p>
      <w:pPr>
        <w:spacing w:after="0" w:line="116" w:lineRule="exact"/>
        <w:rPr>
          <w:sz w:val="20"/>
          <w:szCs w:val="20"/>
          <w:color w:val="auto"/>
        </w:rPr>
      </w:pPr>
    </w:p>
    <w:p>
      <w:pPr>
        <w:jc w:val="both"/>
        <w:ind w:firstLine="434"/>
        <w:spacing w:after="0" w:line="293" w:lineRule="auto"/>
        <w:rPr>
          <w:sz w:val="20"/>
          <w:szCs w:val="20"/>
          <w:color w:val="auto"/>
        </w:rPr>
      </w:pPr>
      <w:r>
        <w:rPr>
          <w:rFonts w:ascii="Times New Roman" w:cs="Times New Roman" w:eastAsia="Times New Roman" w:hAnsi="Times New Roman"/>
          <w:sz w:val="16"/>
          <w:szCs w:val="16"/>
          <w:color w:val="auto"/>
        </w:rPr>
        <w:t>Each guarantee contains a provision intended to limit the Guarantor’s liability to the maximum amount that it could incur without causing the incurrence of obligations under its guarantee to be a fraudulent conveyance. However, there can be no assurance as to what standard a court will apply in making a determination of the maximum liability of each Guarantor. Moreover, this provision may not be effective to protect the guarantees from being voided under fraudulent conveyance laws. There is a possibility that the entire guarantee may be set aside, in which case the entire liability may be extinguished.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37"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on a combined basis for Scotts Miracle-Gro and the Guarantors. Transactions between Scotts Miracle-Gro and the Guarantors have been eliminated and the summarized financial information does not reflect investments of the Scotts Miracle-Gro and the Guarantors in the Non-Guarantor subsidiaries.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September 30, 2022</w:t>
            </w:r>
          </w:p>
        </w:tc>
      </w:tr>
      <w:tr>
        <w:trPr>
          <w:trHeight w:val="217"/>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1,749.6</w:t>
            </w:r>
          </w:p>
        </w:tc>
      </w:tr>
      <w:tr>
        <w:trPr>
          <w:trHeight w:val="223"/>
        </w:trPr>
        <w:tc>
          <w:tcPr>
            <w:tcW w:w="89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Non-current assets </w:t>
            </w:r>
            <w:r>
              <w:rPr>
                <w:rFonts w:ascii="Times New Roman" w:cs="Times New Roman" w:eastAsia="Times New Roman" w:hAnsi="Times New Roman"/>
                <w:sz w:val="22"/>
                <w:szCs w:val="22"/>
                <w:color w:val="auto"/>
                <w:vertAlign w:val="superscript"/>
              </w:rPr>
              <w:t>(a)</w:t>
            </w: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2,165.4</w:t>
            </w: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851.4</w:t>
            </w:r>
          </w:p>
        </w:tc>
      </w:tr>
      <w:tr>
        <w:trPr>
          <w:trHeight w:val="228"/>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3,117.8</w:t>
            </w:r>
          </w:p>
        </w:tc>
      </w:tr>
    </w:tbl>
    <w:p>
      <w:pPr>
        <w:spacing w:after="0" w:line="306" w:lineRule="exact"/>
        <w:rPr>
          <w:sz w:val="20"/>
          <w:szCs w:val="20"/>
          <w:color w:val="auto"/>
        </w:rPr>
      </w:pPr>
    </w:p>
    <w:p>
      <w:pPr>
        <w:ind w:left="640" w:hanging="635"/>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due from Non-Guarantor subsidiaries of $46.7</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0"/>
        </w:trPr>
        <w:tc>
          <w:tcPr>
            <w:tcW w:w="89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September 30, 2022</w:t>
            </w:r>
          </w:p>
        </w:tc>
      </w:tr>
      <w:tr>
        <w:trPr>
          <w:trHeight w:val="217"/>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3,559.0</w:t>
            </w:r>
          </w:p>
        </w:tc>
      </w:tr>
      <w:tr>
        <w:trPr>
          <w:trHeight w:val="223"/>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828.7</w:t>
            </w:r>
          </w:p>
        </w:tc>
      </w:tr>
      <w:tr>
        <w:trPr>
          <w:trHeight w:val="223"/>
        </w:trPr>
        <w:tc>
          <w:tcPr>
            <w:tcW w:w="89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Loss from continuing operations </w:t>
            </w:r>
            <w:r>
              <w:rPr>
                <w:rFonts w:ascii="Times New Roman" w:cs="Times New Roman" w:eastAsia="Times New Roman" w:hAnsi="Times New Roman"/>
                <w:sz w:val="22"/>
                <w:szCs w:val="22"/>
                <w:color w:val="auto"/>
                <w:vertAlign w:val="superscript"/>
              </w:rPr>
              <w:t>(a)</w:t>
            </w: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w:t>
            </w:r>
          </w:p>
        </w:tc>
      </w:tr>
      <w:tr>
        <w:trPr>
          <w:trHeight w:val="223"/>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w:t>
            </w: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controlling interest</w:t>
            </w: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w:t>
            </w:r>
          </w:p>
        </w:tc>
      </w:tr>
    </w:tbl>
    <w:p>
      <w:pPr>
        <w:spacing w:after="0" w:line="310" w:lineRule="exact"/>
        <w:rPr>
          <w:sz w:val="20"/>
          <w:szCs w:val="20"/>
          <w:color w:val="auto"/>
        </w:rPr>
      </w:pPr>
    </w:p>
    <w:p>
      <w:pPr>
        <w:ind w:left="640" w:hanging="635"/>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intercompany income from Non-Guarantor subsidiaries of $14.1.</w:t>
      </w:r>
    </w:p>
    <w:p>
      <w:pPr>
        <w:spacing w:after="0" w:line="2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Judicial and Administrative Proceedings</w:t>
      </w:r>
    </w:p>
    <w:p>
      <w:pPr>
        <w:spacing w:after="0" w:line="99"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accruals. We believe that our assessment of contingencies is reasonable and that the related accruals, in the aggregate, are adequate; however, there can be no assurance that future quarterly or annual operating results will not be materially affected by these proceedings, whether as a result of adverse outcomes or as a result of significant defense costs.</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future cash outflows for contractual obligations as of September 30, 2022:</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Contractual Cash Obligations</w:t>
            </w:r>
          </w:p>
        </w:tc>
        <w:tc>
          <w:tcPr>
            <w:tcW w:w="240" w:type="dxa"/>
            <w:vAlign w:val="bottom"/>
          </w:tcPr>
          <w:p>
            <w:pPr>
              <w:spacing w:after="0"/>
              <w:rPr>
                <w:sz w:val="10"/>
                <w:szCs w:val="10"/>
                <w:color w:val="auto"/>
              </w:rPr>
            </w:pP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180" w:type="dxa"/>
            <w:vAlign w:val="bottom"/>
          </w:tcPr>
          <w:p>
            <w:pPr>
              <w:spacing w:after="0"/>
              <w:rPr>
                <w:sz w:val="10"/>
                <w:szCs w:val="10"/>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00" w:type="dxa"/>
            <w:vAlign w:val="bottom"/>
          </w:tcPr>
          <w:p>
            <w:pPr>
              <w:spacing w:after="0"/>
              <w:rPr>
                <w:sz w:val="10"/>
                <w:szCs w:val="10"/>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60" w:type="dxa"/>
            <w:vAlign w:val="bottom"/>
          </w:tcPr>
          <w:p>
            <w:pPr>
              <w:spacing w:after="0"/>
              <w:rPr>
                <w:sz w:val="10"/>
                <w:szCs w:val="10"/>
                <w:color w:val="auto"/>
              </w:rPr>
            </w:pPr>
          </w:p>
        </w:tc>
        <w:tc>
          <w:tcPr>
            <w:tcW w:w="940" w:type="dxa"/>
            <w:vAlign w:val="bottom"/>
          </w:tcPr>
          <w:p>
            <w:pPr>
              <w:jc w:val="right"/>
              <w:ind w:right="136"/>
              <w:spacing w:after="0" w:line="127"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0"/>
        </w:trPr>
        <w:tc>
          <w:tcPr>
            <w:tcW w:w="5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22"/>
        </w:trPr>
        <w:tc>
          <w:tcPr>
            <w:tcW w:w="5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obligations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0" w:type="dxa"/>
            <w:vAlign w:val="bottom"/>
          </w:tcPr>
          <w:p>
            <w:pPr>
              <w:spacing w:after="0"/>
              <w:rPr>
                <w:sz w:val="1"/>
                <w:szCs w:val="1"/>
                <w:color w:val="auto"/>
              </w:rPr>
            </w:pPr>
          </w:p>
        </w:tc>
      </w:tr>
      <w:tr>
        <w:trPr>
          <w:trHeight w:val="223"/>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on debt obligations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23"/>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3"/>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23"/>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primarily retirement plan obligations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42"/>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1,700.1</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We had long-term debt obligations and interest payments due primarily under the 5.250% Senior Notes, 4.500% Senior Notes, 4.000% Senior Notes and 4.375% Senior Notes and our credit facilities. Amounts in the table represent scheduled future maturities of debt principal for the periods indicated.</w:t>
      </w:r>
    </w:p>
    <w:p>
      <w:pPr>
        <w:spacing w:after="0" w:line="37"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interest payments for our credit facilities are based on outstanding borrowings as of September 30, 2022. Actual interest expense will likely be higher due to the seasonality of our business and associated higher average borrowings.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84"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Purchase obligations primarily represent commitments for materials used in our manufacturing processes, including urea and packaging, as well as commitments for warehouse services, grass seed, marketing services and information technology services which comprise the unconditional purchase obligations disclosed in “NOTE 19. COMMITMENTS” of the Notes to Consolidated Financial Statements included in this Form 10-K.</w:t>
      </w:r>
    </w:p>
    <w:p>
      <w:pPr>
        <w:spacing w:after="0" w:line="47"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Other obligations include actuarially determined retiree benefit payments and pension funding to comply with local funding requirements. Pension funding requirements beyond fiscal 2022 are based on preliminary estimates using actuarial assumptions determined as of September 30, 2022. These amounts represent expected payments through 2032. Based on the accounting rules for defined benefit pension plans and retirement health care plans, the liabilities reflected in our Consolidated Balance Sheets differ from these expected future payments (see Notes to Consolidated Financial Statements included in this Form 10-K). The above table excludes liabilities for unrecognized tax benefits and insurance accruals as we are unable to estimate the timing of payments for these items.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Use of Non-GAAP Measures</w:t>
      </w:r>
    </w:p>
    <w:p>
      <w:pPr>
        <w:spacing w:after="0" w:line="86"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To supplement the financial measures prepared in accordance with U.S. generally accepted accounting principles (“GAAP”), we use certain non-GAAP financial measures. The reconciliations of these non-GAAP financial measures to the most directly comparable financial measures calculated and presented in accordance with GAAP are shown in the following tables. These non-GAAP financial measures should not be considered in isolation from, as a substitute for or superior to, financial measures reported in accordance with GAAP. Moreover, these non-GAAP financial measures have limitations in that they do not reflect all the items associated with the operations of the business as determined in accordance with GAAP. Other companies may calculate similarly titled non-GAAP financial measures differently than us, limiting the usefulness of those measures for comparative purposes.</w:t>
      </w:r>
    </w:p>
    <w:p>
      <w:pPr>
        <w:spacing w:after="0" w:line="70"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In addition to GAAP financial measures, we use these non-GAAP financial measures to evaluate our performance, engage in financial and operational planning, determine incentive compensation and monitor compliance with the financial covenants contained in our borrowing agreements because we believe that these non-GAAP financial measures provide additional perspective on and, in some circumstances are more closely correlated to, the performance of our underlying, ongoing business.</w:t>
      </w:r>
    </w:p>
    <w:p>
      <w:pPr>
        <w:spacing w:after="0" w:line="64"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We believe that these non-GAAP financial measures are useful to investors in their assessment of our operating performance and valuation. In addition, these non-GAAP financial measures address questions routinely received from analysts and investors and, in order to ensure that all investors have access to the same data, we have determined that it is appropriate to make this data available to all investors. Non-GAAP financial measures exclude the impact of certain items (as further described below) and provide supplemental information regarding operating performance. By disclosing these non-GAAP financial measures, we intend to provide investors with a supplemental comparison of operating results and trends for the periods presented. We believe these non-GAAP financial measures are also useful to investors as such measures allow investors to evaluate performance using the same metrics that we use to evaluate past performance and prospects for future performance. We view free cash flow as an important measure because it is one factor used in determining the amount of cash available for dividends and discretionary investment.</w:t>
      </w:r>
    </w:p>
    <w:p>
      <w:pPr>
        <w:spacing w:after="0" w:line="1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Exclusions from Non-GAAP Financial Measures</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Non-GAAP financial measures reflect adjustments based on the following items:</w:t>
      </w:r>
    </w:p>
    <w:p>
      <w:pPr>
        <w:spacing w:after="0" w:line="161" w:lineRule="exact"/>
        <w:rPr>
          <w:sz w:val="20"/>
          <w:szCs w:val="20"/>
          <w:color w:val="auto"/>
        </w:rPr>
      </w:pPr>
    </w:p>
    <w:p>
      <w:pPr>
        <w:ind w:left="1100" w:hanging="622"/>
        <w:spacing w:after="0" w:line="268" w:lineRule="auto"/>
        <w:tabs>
          <w:tab w:leader="none" w:pos="10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which are excluded because they do not occur in or reflect the ordinary course of our ongoing business operations and their exclusion results in a metric that provides supplemental information about the sustainability of operating performance.</w:t>
      </w:r>
    </w:p>
    <w:p>
      <w:pPr>
        <w:spacing w:after="0" w:line="116" w:lineRule="exact"/>
        <w:rPr>
          <w:rFonts w:ascii="Times New Roman" w:cs="Times New Roman" w:eastAsia="Times New Roman" w:hAnsi="Times New Roman"/>
          <w:sz w:val="18"/>
          <w:szCs w:val="18"/>
          <w:color w:val="auto"/>
        </w:rPr>
      </w:pPr>
    </w:p>
    <w:p>
      <w:pPr>
        <w:jc w:val="both"/>
        <w:ind w:left="1100" w:hanging="622"/>
        <w:spacing w:after="0" w:line="256" w:lineRule="auto"/>
        <w:tabs>
          <w:tab w:leader="none" w:pos="10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employee severance costs, which include charges for discrete projects or transactions that fundamentally change our operations and are excluded because they are not part of the ongoing operations of our underlying business, which includes normal levels of reinvestment in the business.</w:t>
      </w:r>
    </w:p>
    <w:p>
      <w:pPr>
        <w:spacing w:after="0" w:line="126" w:lineRule="exact"/>
        <w:rPr>
          <w:rFonts w:ascii="Times New Roman" w:cs="Times New Roman" w:eastAsia="Times New Roman" w:hAnsi="Times New Roman"/>
          <w:sz w:val="18"/>
          <w:szCs w:val="18"/>
          <w:color w:val="auto"/>
        </w:rPr>
      </w:pPr>
    </w:p>
    <w:p>
      <w:pPr>
        <w:jc w:val="both"/>
        <w:ind w:left="1100" w:hanging="622"/>
        <w:spacing w:after="0" w:line="256" w:lineRule="auto"/>
        <w:tabs>
          <w:tab w:leader="none" w:pos="10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refinancing, which are excluded because they do not typically occur in the normal course of business and may obscure analysis of trends and financial performance. Additionally, the amount and frequency of these types of charges is not consistent and is significantly impacted by the timing and size of debt financing transactions.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50" w:lineRule="exact"/>
        <w:rPr>
          <w:sz w:val="20"/>
          <w:szCs w:val="20"/>
          <w:color w:val="auto"/>
        </w:rPr>
      </w:pPr>
    </w:p>
    <w:p>
      <w:pPr>
        <w:ind w:left="1100" w:hanging="622"/>
        <w:spacing w:after="0" w:line="268" w:lineRule="auto"/>
        <w:tabs>
          <w:tab w:leader="none" w:pos="10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Discontinued operations and other unusual items, which include costs or gains related to discrete projects or transactions and are excluded because they are not comparable from one period to the next and are not part of the ongoing operations of our underlying business.</w:t>
      </w:r>
    </w:p>
    <w:p>
      <w:pPr>
        <w:spacing w:after="0" w:line="50"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The tax effect for each of the items listed above is determined using the tax rate and other tax attributes applicable to the item and the jurisdiction(s) in which the item is recorded.</w:t>
      </w:r>
    </w:p>
    <w:p>
      <w:pPr>
        <w:spacing w:after="0" w:line="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Definitions of Non-GAAP Financial Measures</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reconciliations below include the following financial measures that are not calculated in accordance with GAAP:</w:t>
      </w:r>
    </w:p>
    <w:p>
      <w:pPr>
        <w:spacing w:after="0" w:line="159" w:lineRule="exact"/>
        <w:rPr>
          <w:sz w:val="20"/>
          <w:szCs w:val="20"/>
          <w:color w:val="auto"/>
        </w:rPr>
      </w:pPr>
    </w:p>
    <w:p>
      <w:pPr>
        <w:ind w:left="1100" w:hanging="622"/>
        <w:spacing w:after="0"/>
        <w:tabs>
          <w:tab w:leader="none" w:pos="11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Adjusted income (loss) from operations: </w:t>
      </w:r>
      <w:r>
        <w:rPr>
          <w:rFonts w:ascii="Times New Roman" w:cs="Times New Roman" w:eastAsia="Times New Roman" w:hAnsi="Times New Roman"/>
          <w:sz w:val="16"/>
          <w:szCs w:val="16"/>
          <w:color w:val="auto"/>
        </w:rPr>
        <w:t>Income (loss) from operations excluding impairment, restructuring and other charges / recoveries.</w:t>
      </w:r>
    </w:p>
    <w:p>
      <w:pPr>
        <w:spacing w:after="0" w:line="184" w:lineRule="exact"/>
        <w:rPr>
          <w:rFonts w:ascii="Times New Roman" w:cs="Times New Roman" w:eastAsia="Times New Roman" w:hAnsi="Times New Roman"/>
          <w:sz w:val="16"/>
          <w:szCs w:val="16"/>
          <w:color w:val="auto"/>
        </w:rPr>
      </w:pPr>
    </w:p>
    <w:p>
      <w:pPr>
        <w:ind w:left="1100" w:hanging="622"/>
        <w:spacing w:after="0" w:line="270" w:lineRule="auto"/>
        <w:tabs>
          <w:tab w:leader="none" w:pos="10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income (loss) from continuing operations: </w:t>
      </w:r>
      <w:r>
        <w:rPr>
          <w:rFonts w:ascii="Times New Roman" w:cs="Times New Roman" w:eastAsia="Times New Roman" w:hAnsi="Times New Roman"/>
          <w:sz w:val="18"/>
          <w:szCs w:val="18"/>
          <w:color w:val="auto"/>
        </w:rPr>
        <w:t>Income (loss) from continuing operations excluding impairment, restructuring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charges / recoveries, costs related to refinancing and certain other non-operating income / expense items, each net of tax.</w:t>
      </w:r>
    </w:p>
    <w:p>
      <w:pPr>
        <w:spacing w:after="0" w:line="112" w:lineRule="exact"/>
        <w:rPr>
          <w:rFonts w:ascii="Times New Roman" w:cs="Times New Roman" w:eastAsia="Times New Roman" w:hAnsi="Times New Roman"/>
          <w:sz w:val="18"/>
          <w:szCs w:val="18"/>
          <w:color w:val="auto"/>
        </w:rPr>
      </w:pPr>
    </w:p>
    <w:p>
      <w:pPr>
        <w:jc w:val="both"/>
        <w:ind w:left="1100" w:hanging="622"/>
        <w:spacing w:after="0" w:line="257" w:lineRule="auto"/>
        <w:tabs>
          <w:tab w:leader="none" w:pos="10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net income (loss) attributable to controlling interest from continuing operations: </w:t>
      </w:r>
      <w:r>
        <w:rPr>
          <w:rFonts w:ascii="Times New Roman" w:cs="Times New Roman" w:eastAsia="Times New Roman" w:hAnsi="Times New Roman"/>
          <w:sz w:val="18"/>
          <w:szCs w:val="18"/>
          <w:color w:val="auto"/>
        </w:rPr>
        <w:t>Net income (loss) attributable to controlling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excluding impairment, restructuring and other charges / recoveries, costs related to refinancing, certain other non-operating income / expense items and discontinued operations, each net of tax.</w:t>
      </w:r>
    </w:p>
    <w:p>
      <w:pPr>
        <w:spacing w:after="0" w:line="123" w:lineRule="exact"/>
        <w:rPr>
          <w:rFonts w:ascii="Times New Roman" w:cs="Times New Roman" w:eastAsia="Times New Roman" w:hAnsi="Times New Roman"/>
          <w:sz w:val="18"/>
          <w:szCs w:val="18"/>
          <w:color w:val="auto"/>
        </w:rPr>
      </w:pPr>
    </w:p>
    <w:p>
      <w:pPr>
        <w:jc w:val="both"/>
        <w:ind w:left="1100" w:hanging="622"/>
        <w:spacing w:after="0" w:line="257" w:lineRule="auto"/>
        <w:tabs>
          <w:tab w:leader="none" w:pos="10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diluted income (loss) per common share from continuing operations: </w:t>
      </w:r>
      <w:r>
        <w:rPr>
          <w:rFonts w:ascii="Times New Roman" w:cs="Times New Roman" w:eastAsia="Times New Roman" w:hAnsi="Times New Roman"/>
          <w:sz w:val="18"/>
          <w:szCs w:val="18"/>
          <w:color w:val="auto"/>
        </w:rPr>
        <w:t>Diluted net income (loss) per common share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continuing operations excluding impairment, restructuring and other charges / recoveries, costs related to refinancing and certain other non-operating income / expense items, each net of tax.</w:t>
      </w:r>
    </w:p>
    <w:p>
      <w:pPr>
        <w:spacing w:after="0" w:line="123" w:lineRule="exact"/>
        <w:rPr>
          <w:rFonts w:ascii="Times New Roman" w:cs="Times New Roman" w:eastAsia="Times New Roman" w:hAnsi="Times New Roman"/>
          <w:sz w:val="18"/>
          <w:szCs w:val="18"/>
          <w:color w:val="auto"/>
        </w:rPr>
      </w:pPr>
    </w:p>
    <w:p>
      <w:pPr>
        <w:jc w:val="both"/>
        <w:ind w:left="1100" w:hanging="622"/>
        <w:spacing w:after="0" w:line="250" w:lineRule="auto"/>
        <w:tabs>
          <w:tab w:leader="none" w:pos="10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Net income (loss) before interest, taxes, depreciation and amortization as well as certain other items such as the impact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cumulative effect of changes in accounting, costs associated with debt refinancing and other non-recurring or non-cash items affecting net income (loss). The presentation of adjusted EBITDA is intended to be consistent with the calculation of that measure as required by our borrowing arrangements, and used to calculate a leverage ratio (maximum of 6.25 at September 30, 2022) and an interest coverage ratio (minimum of 3.00 for the twelve months ended September 30, 2022).</w:t>
      </w:r>
    </w:p>
    <w:p>
      <w:pPr>
        <w:spacing w:after="0" w:line="131" w:lineRule="exact"/>
        <w:rPr>
          <w:rFonts w:ascii="Times New Roman" w:cs="Times New Roman" w:eastAsia="Times New Roman" w:hAnsi="Times New Roman"/>
          <w:sz w:val="18"/>
          <w:szCs w:val="18"/>
          <w:color w:val="auto"/>
        </w:rPr>
      </w:pPr>
    </w:p>
    <w:p>
      <w:pPr>
        <w:ind w:left="1100" w:hanging="622"/>
        <w:spacing w:after="0"/>
        <w:tabs>
          <w:tab w:leader="none" w:pos="1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18"/>
          <w:szCs w:val="18"/>
          <w:color w:val="auto"/>
        </w:rPr>
        <w:t>Net cash provided by (used in) operating activities reduced by investments in property, plant and equipment.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Reconciliations of the non-GAAP financial measures to the most directly comparable GAAP financial measures are presented in the following table: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3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3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from operations (GAAP)</w:t>
            </w:r>
          </w:p>
        </w:tc>
        <w:tc>
          <w:tcPr>
            <w:tcW w:w="102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585.2</w:t>
            </w:r>
          </w:p>
        </w:tc>
        <w:tc>
          <w:tcPr>
            <w:tcW w:w="0" w:type="dxa"/>
            <w:vAlign w:val="bottom"/>
          </w:tcPr>
          <w:p>
            <w:pPr>
              <w:spacing w:after="0"/>
              <w:rPr>
                <w:sz w:val="1"/>
                <w:szCs w:val="1"/>
                <w:color w:val="auto"/>
              </w:rPr>
            </w:pPr>
          </w:p>
        </w:tc>
      </w:tr>
      <w:tr>
        <w:trPr>
          <w:trHeight w:val="208"/>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Impairment, restructuring and other charges</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04"/>
        </w:trPr>
        <w:tc>
          <w:tcPr>
            <w:tcW w:w="6300" w:type="dxa"/>
            <w:vAlign w:val="bottom"/>
            <w:tcBorders>
              <w:bottom w:val="single" w:sz="8" w:color="CCEEFF"/>
            </w:tcBorders>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Adjusted income from operations (Non-GAAP)</w:t>
            </w:r>
          </w:p>
        </w:tc>
        <w:tc>
          <w:tcPr>
            <w:tcW w:w="1020" w:type="dxa"/>
            <w:vAlign w:val="bottom"/>
            <w:tcBorders>
              <w:bottom w:val="single" w:sz="8" w:color="auto"/>
            </w:tcBorders>
            <w:shd w:val="clear" w:color="auto" w:fill="CCEEFF"/>
          </w:tcPr>
          <w:p>
            <w:pPr>
              <w:jc w:val="right"/>
              <w:ind w:right="842"/>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418.2</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752.1</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602.0</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from continuing operations (GAAP)</w:t>
            </w:r>
          </w:p>
        </w:tc>
        <w:tc>
          <w:tcPr>
            <w:tcW w:w="10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gridSpan w:val="2"/>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300" w:type="dxa"/>
            <w:vAlign w:val="bottom"/>
            <w:tcBorders>
              <w:top w:val="single" w:sz="8" w:color="CCEEFF"/>
            </w:tcBorders>
            <w:vMerge w:val="continue"/>
          </w:tcPr>
          <w:p>
            <w:pPr>
              <w:spacing w:after="0"/>
              <w:rPr>
                <w:sz w:val="15"/>
                <w:szCs w:val="15"/>
                <w:color w:val="auto"/>
              </w:rPr>
            </w:pPr>
          </w:p>
        </w:tc>
        <w:tc>
          <w:tcPr>
            <w:tcW w:w="1020" w:type="dxa"/>
            <w:vAlign w:val="bottom"/>
            <w:tcBorders>
              <w:top w:val="single" w:sz="8" w:color="auto"/>
            </w:tcBorders>
          </w:tcPr>
          <w:p>
            <w:pPr>
              <w:jc w:val="right"/>
              <w:ind w:right="842"/>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(437.5)</w:t>
            </w:r>
          </w:p>
        </w:tc>
        <w:tc>
          <w:tcPr>
            <w:tcW w:w="100" w:type="dxa"/>
            <w:vAlign w:val="bottom"/>
          </w:tcPr>
          <w:p>
            <w:pPr>
              <w:spacing w:after="0"/>
              <w:rPr>
                <w:sz w:val="15"/>
                <w:szCs w:val="15"/>
                <w:color w:val="auto"/>
              </w:rPr>
            </w:pPr>
          </w:p>
        </w:tc>
        <w:tc>
          <w:tcPr>
            <w:tcW w:w="380" w:type="dxa"/>
            <w:vAlign w:val="bottom"/>
            <w:tcBorders>
              <w:top w:val="single" w:sz="8" w:color="auto"/>
            </w:tcBorders>
          </w:tcPr>
          <w:p>
            <w:pPr>
              <w:jc w:val="right"/>
              <w:ind w:right="20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517.3</w:t>
            </w:r>
          </w:p>
        </w:tc>
        <w:tc>
          <w:tcPr>
            <w:tcW w:w="100" w:type="dxa"/>
            <w:vAlign w:val="bottom"/>
          </w:tcPr>
          <w:p>
            <w:pPr>
              <w:spacing w:after="0"/>
              <w:rPr>
                <w:sz w:val="15"/>
                <w:szCs w:val="15"/>
                <w:color w:val="auto"/>
              </w:rPr>
            </w:pPr>
          </w:p>
        </w:tc>
        <w:tc>
          <w:tcPr>
            <w:tcW w:w="380" w:type="dxa"/>
            <w:vAlign w:val="bottom"/>
            <w:tcBorders>
              <w:top w:val="single" w:sz="8" w:color="auto"/>
            </w:tcBorders>
          </w:tcPr>
          <w:p>
            <w:pPr>
              <w:jc w:val="right"/>
              <w:ind w:right="20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386.9</w:t>
            </w:r>
          </w:p>
        </w:tc>
        <w:tc>
          <w:tcPr>
            <w:tcW w:w="0" w:type="dxa"/>
            <w:vAlign w:val="bottom"/>
          </w:tcPr>
          <w:p>
            <w:pPr>
              <w:spacing w:after="0"/>
              <w:rPr>
                <w:sz w:val="1"/>
                <w:szCs w:val="1"/>
                <w:color w:val="auto"/>
              </w:rPr>
            </w:pPr>
          </w:p>
        </w:tc>
      </w:tr>
      <w:tr>
        <w:trPr>
          <w:trHeight w:val="212"/>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restructuring and other charges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08"/>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related to refinancing</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212"/>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non-operating (income) expense, net</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08"/>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Adjustment to income tax expense (benefit) from continuing operations</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28"/>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income from continuing operations (Non-GAAP)</w:t>
            </w:r>
          </w:p>
        </w:tc>
        <w:tc>
          <w:tcPr>
            <w:tcW w:w="1020" w:type="dxa"/>
            <w:vAlign w:val="bottom"/>
            <w:tcBorders>
              <w:bottom w:val="single" w:sz="8" w:color="auto"/>
            </w:tcBorders>
            <w:shd w:val="clear" w:color="auto" w:fill="CCEEFF"/>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412.9</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controlling interest (GAAP)</w:t>
            </w:r>
          </w:p>
        </w:tc>
        <w:tc>
          <w:tcPr>
            <w:tcW w:w="10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gridSpan w:val="2"/>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tcBorders>
              <w:top w:val="single" w:sz="8" w:color="CCEEFF"/>
            </w:tcBorders>
            <w:vMerge w:val="continue"/>
          </w:tcPr>
          <w:p>
            <w:pPr>
              <w:spacing w:after="0"/>
              <w:rPr>
                <w:sz w:val="15"/>
                <w:szCs w:val="15"/>
                <w:color w:val="auto"/>
              </w:rPr>
            </w:pPr>
          </w:p>
        </w:tc>
        <w:tc>
          <w:tcPr>
            <w:tcW w:w="1020" w:type="dxa"/>
            <w:vAlign w:val="bottom"/>
            <w:tcBorders>
              <w:top w:val="single" w:sz="8" w:color="auto"/>
            </w:tcBorders>
          </w:tcPr>
          <w:p>
            <w:pPr>
              <w:jc w:val="right"/>
              <w:ind w:right="842"/>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(437.5)</w:t>
            </w:r>
          </w:p>
        </w:tc>
        <w:tc>
          <w:tcPr>
            <w:tcW w:w="100" w:type="dxa"/>
            <w:vAlign w:val="bottom"/>
          </w:tcPr>
          <w:p>
            <w:pPr>
              <w:spacing w:after="0"/>
              <w:rPr>
                <w:sz w:val="15"/>
                <w:szCs w:val="15"/>
                <w:color w:val="auto"/>
              </w:rPr>
            </w:pPr>
          </w:p>
        </w:tc>
        <w:tc>
          <w:tcPr>
            <w:tcW w:w="380" w:type="dxa"/>
            <w:vAlign w:val="bottom"/>
            <w:tcBorders>
              <w:top w:val="single" w:sz="8" w:color="auto"/>
            </w:tcBorders>
          </w:tcPr>
          <w:p>
            <w:pPr>
              <w:jc w:val="right"/>
              <w:ind w:right="201"/>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512.5</w:t>
            </w:r>
          </w:p>
        </w:tc>
        <w:tc>
          <w:tcPr>
            <w:tcW w:w="100" w:type="dxa"/>
            <w:vAlign w:val="bottom"/>
          </w:tcPr>
          <w:p>
            <w:pPr>
              <w:spacing w:after="0"/>
              <w:rPr>
                <w:sz w:val="15"/>
                <w:szCs w:val="15"/>
                <w:color w:val="auto"/>
              </w:rPr>
            </w:pPr>
          </w:p>
        </w:tc>
        <w:tc>
          <w:tcPr>
            <w:tcW w:w="380" w:type="dxa"/>
            <w:vAlign w:val="bottom"/>
            <w:tcBorders>
              <w:top w:val="single" w:sz="8" w:color="auto"/>
            </w:tcBorders>
          </w:tcPr>
          <w:p>
            <w:pPr>
              <w:jc w:val="right"/>
              <w:ind w:right="201"/>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387.4</w:t>
            </w:r>
          </w:p>
        </w:tc>
        <w:tc>
          <w:tcPr>
            <w:tcW w:w="0" w:type="dxa"/>
            <w:vAlign w:val="bottom"/>
          </w:tcPr>
          <w:p>
            <w:pPr>
              <w:spacing w:after="0"/>
              <w:rPr>
                <w:sz w:val="1"/>
                <w:szCs w:val="1"/>
                <w:color w:val="auto"/>
              </w:rPr>
            </w:pPr>
          </w:p>
        </w:tc>
      </w:tr>
      <w:tr>
        <w:trPr>
          <w:trHeight w:val="212"/>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discontinued operations, net of tax</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8"/>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restructuring and other charges</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12"/>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related to refinancing</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208"/>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non-operating (income) expense, net</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12"/>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 to income tax expense (benefit) from continuing operations</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138"/>
        </w:trPr>
        <w:tc>
          <w:tcPr>
            <w:tcW w:w="6300" w:type="dxa"/>
            <w:vAlign w:val="bottom"/>
          </w:tcPr>
          <w:p>
            <w:pPr>
              <w:ind w:left="20"/>
              <w:spacing w:after="0" w:line="138" w:lineRule="exact"/>
              <w:rPr>
                <w:sz w:val="20"/>
                <w:szCs w:val="20"/>
                <w:color w:val="auto"/>
              </w:rPr>
            </w:pPr>
            <w:r>
              <w:rPr>
                <w:rFonts w:ascii="Times New Roman" w:cs="Times New Roman" w:eastAsia="Times New Roman" w:hAnsi="Times New Roman"/>
                <w:sz w:val="15"/>
                <w:szCs w:val="15"/>
                <w:b w:val="1"/>
                <w:bCs w:val="1"/>
                <w:color w:val="auto"/>
              </w:rPr>
              <w:t>Adjusted net income attributable to controlling interest from continuing operations (Non-</w:t>
            </w:r>
          </w:p>
        </w:tc>
        <w:tc>
          <w:tcPr>
            <w:tcW w:w="1020" w:type="dxa"/>
            <w:vAlign w:val="bottom"/>
            <w:vMerge w:val="restart"/>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480" w:type="dxa"/>
            <w:vAlign w:val="bottom"/>
            <w:gridSpan w:val="2"/>
            <w:vMerge w:val="restart"/>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527.7</w:t>
            </w:r>
          </w:p>
        </w:tc>
        <w:tc>
          <w:tcPr>
            <w:tcW w:w="100" w:type="dxa"/>
            <w:vAlign w:val="bottom"/>
          </w:tcPr>
          <w:p>
            <w:pPr>
              <w:spacing w:after="0"/>
              <w:rPr>
                <w:sz w:val="11"/>
                <w:szCs w:val="11"/>
                <w:color w:val="auto"/>
              </w:rPr>
            </w:pPr>
          </w:p>
        </w:tc>
        <w:tc>
          <w:tcPr>
            <w:tcW w:w="380" w:type="dxa"/>
            <w:vAlign w:val="bottom"/>
            <w:vMerge w:val="restart"/>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411.7</w:t>
            </w:r>
          </w:p>
        </w:tc>
        <w:tc>
          <w:tcPr>
            <w:tcW w:w="0" w:type="dxa"/>
            <w:vAlign w:val="bottom"/>
          </w:tcPr>
          <w:p>
            <w:pPr>
              <w:spacing w:after="0"/>
              <w:rPr>
                <w:sz w:val="1"/>
                <w:szCs w:val="1"/>
                <w:color w:val="auto"/>
              </w:rPr>
            </w:pPr>
          </w:p>
        </w:tc>
      </w:tr>
      <w:tr>
        <w:trPr>
          <w:trHeight w:val="184"/>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GAAP)</w:t>
            </w:r>
          </w:p>
        </w:tc>
        <w:tc>
          <w:tcPr>
            <w:tcW w:w="102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 income (loss) per common share from continuing operations (GAAP)</w:t>
            </w:r>
          </w:p>
        </w:tc>
        <w:tc>
          <w:tcPr>
            <w:tcW w:w="102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0" w:type="dxa"/>
            <w:vAlign w:val="bottom"/>
          </w:tcPr>
          <w:p>
            <w:pPr>
              <w:spacing w:after="0"/>
              <w:rPr>
                <w:sz w:val="1"/>
                <w:szCs w:val="1"/>
                <w:color w:val="auto"/>
              </w:rPr>
            </w:pPr>
          </w:p>
        </w:tc>
      </w:tr>
      <w:tr>
        <w:trPr>
          <w:trHeight w:val="208"/>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restructuring and other charges</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0" w:type="dxa"/>
            <w:vAlign w:val="bottom"/>
          </w:tcPr>
          <w:p>
            <w:pPr>
              <w:spacing w:after="0"/>
              <w:rPr>
                <w:sz w:val="1"/>
                <w:szCs w:val="1"/>
                <w:color w:val="auto"/>
              </w:rPr>
            </w:pPr>
          </w:p>
        </w:tc>
      </w:tr>
      <w:tr>
        <w:trPr>
          <w:trHeight w:val="212"/>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related to refinancing</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0" w:type="dxa"/>
            <w:vAlign w:val="bottom"/>
          </w:tcPr>
          <w:p>
            <w:pPr>
              <w:spacing w:after="0"/>
              <w:rPr>
                <w:sz w:val="1"/>
                <w:szCs w:val="1"/>
                <w:color w:val="auto"/>
              </w:rPr>
            </w:pPr>
          </w:p>
        </w:tc>
      </w:tr>
      <w:tr>
        <w:trPr>
          <w:trHeight w:val="208"/>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non-operating (income) expense, net</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12"/>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 to income tax expense (benefit) from continuing operations</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0" w:type="dxa"/>
            <w:vAlign w:val="bottom"/>
          </w:tcPr>
          <w:p>
            <w:pPr>
              <w:spacing w:after="0"/>
              <w:rPr>
                <w:sz w:val="1"/>
                <w:szCs w:val="1"/>
                <w:color w:val="auto"/>
              </w:rPr>
            </w:pPr>
          </w:p>
        </w:tc>
      </w:tr>
      <w:tr>
        <w:trPr>
          <w:trHeight w:val="177"/>
        </w:trPr>
        <w:tc>
          <w:tcPr>
            <w:tcW w:w="6300" w:type="dxa"/>
            <w:vAlign w:val="bottom"/>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Adjusted diluted income per common share from continuing operations (Non-GAAP)</w:t>
            </w:r>
          </w:p>
        </w:tc>
        <w:tc>
          <w:tcPr>
            <w:tcW w:w="1020" w:type="dxa"/>
            <w:vAlign w:val="bottom"/>
            <w:tcBorders>
              <w:bottom w:val="single" w:sz="8" w:color="auto"/>
            </w:tcBorders>
          </w:tcPr>
          <w:p>
            <w:pPr>
              <w:jc w:val="right"/>
              <w:ind w:right="842"/>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4.10</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0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9.23</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0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7.24</w:t>
            </w:r>
          </w:p>
        </w:tc>
        <w:tc>
          <w:tcPr>
            <w:tcW w:w="0" w:type="dxa"/>
            <w:vAlign w:val="bottom"/>
          </w:tcPr>
          <w:p>
            <w:pPr>
              <w:spacing w:after="0"/>
              <w:rPr>
                <w:sz w:val="1"/>
                <w:szCs w:val="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provided by operating activities (GAAP)</w:t>
            </w:r>
          </w:p>
        </w:tc>
        <w:tc>
          <w:tcPr>
            <w:tcW w:w="102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558.0</w:t>
            </w:r>
          </w:p>
        </w:tc>
        <w:tc>
          <w:tcPr>
            <w:tcW w:w="0" w:type="dxa"/>
            <w:vAlign w:val="bottom"/>
          </w:tcPr>
          <w:p>
            <w:pPr>
              <w:spacing w:after="0"/>
              <w:rPr>
                <w:sz w:val="1"/>
                <w:szCs w:val="1"/>
                <w:color w:val="auto"/>
              </w:rPr>
            </w:pPr>
          </w:p>
        </w:tc>
      </w:tr>
      <w:tr>
        <w:trPr>
          <w:trHeight w:val="208"/>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Investments in property, plant and equipment</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0" w:type="dxa"/>
            <w:vAlign w:val="bottom"/>
          </w:tcPr>
          <w:p>
            <w:pPr>
              <w:spacing w:after="0"/>
              <w:rPr>
                <w:sz w:val="1"/>
                <w:szCs w:val="1"/>
                <w:color w:val="auto"/>
              </w:rPr>
            </w:pPr>
          </w:p>
        </w:tc>
      </w:tr>
      <w:tr>
        <w:trPr>
          <w:trHeight w:val="228"/>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Free cash flow (Non-GAAP)</w:t>
            </w:r>
          </w:p>
        </w:tc>
        <w:tc>
          <w:tcPr>
            <w:tcW w:w="1020" w:type="dxa"/>
            <w:vAlign w:val="bottom"/>
            <w:tcBorders>
              <w:bottom w:val="single" w:sz="8" w:color="auto"/>
            </w:tcBorders>
            <w:shd w:val="clear" w:color="auto" w:fill="CCEEFF"/>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495.3</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sum of the components may not equal the total due to rounding.</w:t>
      </w:r>
    </w:p>
    <w:p>
      <w:pPr>
        <w:spacing w:after="0" w:line="329"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Due to the GAAP net loss for fiscal 2022, diluted average common shares used in the GAAP diluted loss per common share calculation were 55.5 million, which excluded potential Common Shares of 0.6 million because the effect of their inclusion would be anti-dilutive. Diluted average common shares used in the fiscal 2022 non-GAAP adjusted diluted income per common share calculation, and the calculation of the fiscal 2022 earnings per share impact from the GAAP to non-GAAP reconciling items, were 56.1 million, which included dilutive potential Common Shares of 0.6 million.</w:t>
      </w:r>
    </w:p>
    <w:p>
      <w:pPr>
        <w:spacing w:after="0" w:line="64" w:lineRule="exact"/>
        <w:rPr>
          <w:sz w:val="20"/>
          <w:szCs w:val="20"/>
          <w:color w:val="auto"/>
        </w:rPr>
      </w:pPr>
    </w:p>
    <w:p>
      <w:pPr>
        <w:jc w:val="both"/>
        <w:ind w:firstLine="434"/>
        <w:spacing w:after="0" w:line="246" w:lineRule="auto"/>
        <w:rPr>
          <w:sz w:val="20"/>
          <w:szCs w:val="20"/>
          <w:color w:val="auto"/>
        </w:rPr>
      </w:pPr>
      <w:r>
        <w:rPr>
          <w:rFonts w:ascii="Times New Roman" w:cs="Times New Roman" w:eastAsia="Times New Roman" w:hAnsi="Times New Roman"/>
          <w:sz w:val="18"/>
          <w:szCs w:val="18"/>
          <w:color w:val="auto"/>
        </w:rPr>
        <w:t xml:space="preserve">We view our credit facility as material to our ability to fund operations, particularly in light of our seasonality. Refer to “ITEM 1A. RISK FACTORS — Risks Related to Our M&amp;A, Lending and Financing Activities — </w:t>
      </w:r>
      <w:r>
        <w:rPr>
          <w:rFonts w:ascii="Times New Roman" w:cs="Times New Roman" w:eastAsia="Times New Roman" w:hAnsi="Times New Roman"/>
          <w:sz w:val="18"/>
          <w:szCs w:val="18"/>
          <w:i w:val="1"/>
          <w:iCs w:val="1"/>
          <w:color w:val="auto"/>
        </w:rPr>
        <w:t>Our indebtedness could limit our flexibility and adversely affect our financial condition</w:t>
      </w:r>
      <w:r>
        <w:rPr>
          <w:rFonts w:ascii="Times New Roman" w:cs="Times New Roman" w:eastAsia="Times New Roman" w:hAnsi="Times New Roman"/>
          <w:sz w:val="18"/>
          <w:szCs w:val="18"/>
          <w:color w:val="auto"/>
        </w:rPr>
        <w:t>” of this Form 10-K for a more complete discussion of the risks associated with our debt and our credit facility and the restrictive covenants therein. Our ability to generate cash flows sufficient to cover our debt service costs is essential to our ability to maintain our borrowing capacity. We believe that Adjusted EBITDA provides additional information for determining our ability to meet debt service requirements. The presentation of Adjusted EBITDA herein is intended to be consistent with the calculation of that measure as required by our borrowing arrangements, and used to calculate a leverage ratio (maximum of 6.25 at September 30, 2022) and an interest coverage ratio (minimum of 3.00 for the twelve months ended September 30, 2022). The leverage ratio is calculated as average total indebtedness divided by Adjusted EBITDA. The interest coverage ratio is calculated as Adjusted EBITDA divided by interest expense, as described in the Sixth A&amp;R Credit Agreement, and excludes costs related to refinancings. Refer to “ITEM 7. MANAGEMENT’S DISCUSSION AND ANALYSIS OF FINANCIAL CONDITION AND RESULTS OF</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 Liquidity and Capital Resources — Borrowing Agreements” of this Form 10-K for more information regarding our credit facility.</w:t>
      </w:r>
    </w:p>
    <w:p>
      <w:pPr>
        <w:spacing w:after="0" w:line="82"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Beginning in fiscal 2022, equity in income / loss of unconsolidated affiliates is excluded from the calculation of non-GAAP Adjusted EBITDA. This exclusion is consistent with the calculation of that measure as required by the Company’s borrowing arrangements. This change has been reflected in the calculation of Adjusted EBITDA for fiscal 2022. The prior period amounts have not been reclassified to conform to the revised calculation.</w:t>
      </w:r>
    </w:p>
    <w:p>
      <w:pPr>
        <w:spacing w:after="0" w:line="61"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Our calculation of Adjusted EBITDA does not represent and should not be considered as an alternative to net income or cash flows from operating activities as determined by GAAP. We make no representation or assertion that Adjusted EBITDA is indicative of our cash flows from operating activities or results of operations. We have provided a reconciliation of Adjusted EBITDA to net income solely for the purpose of complying with SEC regulations and not as an indication that Adjusted EBITDA is a substitute measure for net income.</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reconciliation of net income to Adjusted EBITDA is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4"/>
        </w:trPr>
        <w:tc>
          <w:tcPr>
            <w:tcW w:w="63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63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(GAAP)</w:t>
            </w:r>
          </w:p>
        </w:tc>
        <w:tc>
          <w:tcPr>
            <w:tcW w:w="1020" w:type="dxa"/>
            <w:vAlign w:val="bottom"/>
            <w:shd w:val="clear" w:color="auto" w:fill="CCEEFF"/>
          </w:tcPr>
          <w:p>
            <w:pPr>
              <w:jc w:val="right"/>
              <w:ind w:right="84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388.6</w:t>
            </w:r>
          </w:p>
        </w:tc>
      </w:tr>
      <w:tr>
        <w:trPr>
          <w:trHeight w:val="208"/>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 (benefit) from continuing operations</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w:t>
            </w:r>
          </w:p>
        </w:tc>
      </w:tr>
      <w:tr>
        <w:trPr>
          <w:trHeight w:val="212"/>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 from discontinued operations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8"/>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contingent consideration from discontinued operations</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related to refinancing</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08"/>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w:t>
            </w:r>
          </w:p>
        </w:tc>
      </w:tr>
      <w:tr>
        <w:trPr>
          <w:trHeight w:val="212"/>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r>
      <w:tr>
        <w:trPr>
          <w:trHeight w:val="208"/>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r>
      <w:tr>
        <w:trPr>
          <w:trHeight w:val="212"/>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restructuring and other charges from continuing operations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08"/>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restructuring and other charges (recoveries) from discontinued operations</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2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loss of unconsolidated affiliates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8"/>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non-operating (income) expense, net</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2"/>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08"/>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w:t>
            </w:r>
          </w:p>
        </w:tc>
      </w:tr>
      <w:tr>
        <w:trPr>
          <w:trHeight w:val="228"/>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(Non-GAAP)</w:t>
            </w:r>
          </w:p>
        </w:tc>
        <w:tc>
          <w:tcPr>
            <w:tcW w:w="1020" w:type="dxa"/>
            <w:vAlign w:val="bottom"/>
            <w:tcBorders>
              <w:bottom w:val="single" w:sz="8" w:color="auto"/>
            </w:tcBorders>
            <w:shd w:val="clear" w:color="auto" w:fill="CCEEFF"/>
          </w:tcPr>
          <w:p>
            <w:pPr>
              <w:jc w:val="right"/>
              <w:ind w:right="84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766.6</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84" w:lineRule="exact"/>
        <w:rPr>
          <w:sz w:val="20"/>
          <w:szCs w:val="20"/>
          <w:color w:val="auto"/>
        </w:rPr>
      </w:pPr>
    </w:p>
    <w:p>
      <w:pPr>
        <w:jc w:val="both"/>
        <w:ind w:firstLine="434"/>
        <w:spacing w:after="0" w:line="282" w:lineRule="auto"/>
        <w:rPr>
          <w:sz w:val="20"/>
          <w:szCs w:val="20"/>
          <w:color w:val="auto"/>
        </w:rPr>
      </w:pPr>
      <w:r>
        <w:rPr>
          <w:rFonts w:ascii="Times New Roman" w:cs="Times New Roman" w:eastAsia="Times New Roman" w:hAnsi="Times New Roman"/>
          <w:sz w:val="16"/>
          <w:szCs w:val="16"/>
          <w:color w:val="auto"/>
        </w:rPr>
        <w:t>We are subject to local, state, federal and foreign environmental protection laws and regulations with respect to our business operations and believe we are operating in substantial compliance,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accruals, is not expected to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“ITEM 1. BUSINESS — Regulatory Considerations” and “ITEM 3. LEGAL PROCEEDINGS” of this Form 10-K.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7"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preparation of financial statements requires management to use judgment and make estimates that affect the reported amounts of assets, liabilities, revenues and expenses and related disclosures of contingent assets and liabilities. We evaluate our estimates on an ongoing basis. By their nature, these judgments are subject to uncertainty. We base our estimates on historical experience and on various other sources that we believe to be reasonable under the circumstances.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Certain accounting policies are particularly significant, including those related to revenue recognition, income taxes and goodwill and intangible assets.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critical accounting policies are reviewed periodically with the Audit Committee of the Board of Directors of Scotts Miracle-Gro.</w:t>
      </w:r>
    </w:p>
    <w:p>
      <w:pPr>
        <w:spacing w:after="0" w:line="1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Promotional Allowances</w:t>
      </w:r>
    </w:p>
    <w:p>
      <w:pPr>
        <w:spacing w:after="0" w:line="99"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Our revenue is primarily generated from sales of branded and private label lawn and garden care and indoor and hydroponic gardening finished products. Product sales are recognized at a point in time when control of products transfers to customers and we have no further obligation to provide services related to such products. Sales are typically recognized when products are delivered to or picked up by the customer. We are generally the principal in a transaction and, therefore, primarily record revenue on a gross basis. Revenue for product sales is recorded net of sales returns and allowances. Revenues are measured based on the amount of consideration that we expect to receive as derived from a list price, reduced by estimates for variable consideration. Variable consideration includes the cost of current and continuing promotional programs and expected sales returns.</w:t>
      </w:r>
    </w:p>
    <w:p>
      <w:pPr>
        <w:spacing w:after="0" w:line="70"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Our promotional programs primarily include rebates based on sales volumes, in-store promotional allowances, cooperative advertising programs, direct consumer rebate programs and special purchasing incentives. The cost of promotional programs is estimated considering all reasonably available information, including current expectations and historical experience. Promotional costs (including allowances and rebates) incurred during the year are expensed to interim periods in relation to revenues and are recorded as a reduction of net sales. Provisions for estimated returns and allowances are recorded at the time revenue is recognized based on historical rates and are periodically adjusted for known changes in return levels. Shipping and handling costs are accounted for as contract fulfillment costs and included in the “Cost of sales” line in the Consolidated Statements of Operations. We exclude from revenue any amounts collected from customers for sales or other taxes.</w:t>
      </w:r>
    </w:p>
    <w:p>
      <w:pPr>
        <w:spacing w:after="0" w:line="1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99" w:lineRule="exact"/>
        <w:rPr>
          <w:sz w:val="20"/>
          <w:szCs w:val="20"/>
          <w:color w:val="auto"/>
        </w:rPr>
      </w:pPr>
    </w:p>
    <w:p>
      <w:pPr>
        <w:jc w:val="both"/>
        <w:ind w:firstLine="434"/>
        <w:spacing w:after="0" w:line="246" w:lineRule="auto"/>
        <w:rPr>
          <w:sz w:val="20"/>
          <w:szCs w:val="20"/>
          <w:color w:val="auto"/>
        </w:rPr>
      </w:pPr>
      <w:r>
        <w:rPr>
          <w:rFonts w:ascii="Times New Roman" w:cs="Times New Roman" w:eastAsia="Times New Roman" w:hAnsi="Times New Roman"/>
          <w:sz w:val="18"/>
          <w:szCs w:val="18"/>
          <w:color w:val="auto"/>
        </w:rPr>
        <w:t>Our annual effective tax rate is established based on our pre-tax income (loss), statutory tax rates and the tax impacts of items treated differently for tax purposes than for financial reporting purposes. We record income tax liabilities utilizing known obligations and estimates of potential obligations. A deferred tax asset or liability is recognized whenever there are future tax effects from existing temporary differences and operating loss and tax credit carryforwards. Valuation allowances are used to reduce deferred tax assets to the balances that are more likely than not to be realized. We must make estimates and judgments on future taxable income, considering feasible tax planning strategies and taking into account existing facts and circumstances, to determine the proper valuation allowances. When we determine that deferred tax assets could be realized in greater or lesser amounts than recorded, the asset balance and Consolidated Statements of Operations reflect the change in the period such determination is made. Due to changes in facts and circumstances and the estimates and judgments involved in determining the proper valuation allowances, differences between actual future events and prior estimates and judgments could result in adjustments to these valuation allowances. We use an estimate of our annual effective tax rate at each interim period based on the facts and circumstances available at that time, while the actual effective tax rate is calculated at year-end.</w:t>
      </w:r>
    </w:p>
    <w:p>
      <w:pPr>
        <w:spacing w:after="0" w:line="1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 Assets</w:t>
      </w:r>
    </w:p>
    <w:p>
      <w:pPr>
        <w:spacing w:after="0" w:line="86"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We have significant investments in intangible assets and goodwill. We perform our annual goodwill and indefinite-lived intangible asset testing as of the first day of our fiscal fourth quarter or more frequently if circumstances indicate potential impairment. In our evaluation of impairment for goodwill and indefinite-lived intangible assets, we perform either an initial qualitative or quantitative evaluation for each of our reporting units and indefinite-lived intangible assets. Factors considered in the qualitative test include operating results as well as new events and circumstances impacting the operations or cash flows of the reporting unit or indefinite-lived intangible assets. For the quantitative test, the review for impairment of goodwill and indefinite-lived intangible assets is based on a combination of income-based approaches, including the relief-from-royalty method for indefinite-lived trade names, and market-based approaches. If it is determined that an impairment has occurred, an impairment loss is recognized for the amount by which the carrying value of the reporting unit or intangible asset exceeds its estimated fair value.</w:t>
      </w:r>
    </w:p>
    <w:p>
      <w:pPr>
        <w:spacing w:after="0" w:line="70"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Under the income-based approach, we determine fair value using a discounted cash flow approach that requires significant judgment with respect to revenue and profitability growth rates, based upon annual budgets and longer-range strategic plans, and the selection of an appropriate discount rate. These budgets and plans are used for internal purposes and are also the basis for communication with outside parties about future business trends. Under the market-based approach, we determine fair value by comparing our reporting units to similar businesses or guideline companies whose securities are actively traded in public markets. We also use the guideline transaction method to determine fair value based on pricing multiples derived from the sale of companies that are similar to our reporting units.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50" w:lineRule="exact"/>
        <w:rPr>
          <w:sz w:val="20"/>
          <w:szCs w:val="20"/>
          <w:color w:val="auto"/>
        </w:rPr>
      </w:pPr>
    </w:p>
    <w:p>
      <w:pPr>
        <w:jc w:val="both"/>
        <w:ind w:firstLine="434"/>
        <w:spacing w:after="0" w:line="282" w:lineRule="auto"/>
        <w:rPr>
          <w:sz w:val="20"/>
          <w:szCs w:val="20"/>
          <w:color w:val="auto"/>
        </w:rPr>
      </w:pPr>
      <w:r>
        <w:rPr>
          <w:rFonts w:ascii="Times New Roman" w:cs="Times New Roman" w:eastAsia="Times New Roman" w:hAnsi="Times New Roman"/>
          <w:sz w:val="16"/>
          <w:szCs w:val="16"/>
          <w:color w:val="auto"/>
        </w:rPr>
        <w:t>Fair value estimates employed in our annual impairment review of indefinite-lived intangible assets and goodwill were determined using models involving several assumptions. Changes in our assumptions could materially impact our fair value estimates. Assumptions critical to our fair value estimates were: (i) discount rates used in determining the fair value of the reporting units and intangible assets; (ii) royalty rates used in our intangible asset valuations;</w:t>
      </w:r>
    </w:p>
    <w:p>
      <w:pPr>
        <w:jc w:val="both"/>
        <w:ind w:firstLine="5"/>
        <w:spacing w:after="0" w:line="244" w:lineRule="auto"/>
        <w:tabs>
          <w:tab w:leader="none" w:pos="3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future revenues and profitability used in the reporting unit and intangible asset models; and (iv) projected long-term growth rates used in the derivation of terminal year values. These and other assumptions are impacted by economic conditions and expectations of management and may change in the future based on period specific facts and circumstances. While we believe the assumptions we used to estimate future cash flows are reasonable, there can be no assurance that the expected future cash flows will be realized. As a result, impairment charges that possibly would have been recognized in earlier periods may not be recognized until later periods if actual results deviate unfavorably from earlier estimates. The use of different assumptions would increase or decrease discounted cash flows or earnings projections and, therefore, could change impairment determinations.</w:t>
      </w:r>
    </w:p>
    <w:p>
      <w:pPr>
        <w:spacing w:after="0" w:line="87" w:lineRule="exact"/>
        <w:rPr>
          <w:sz w:val="20"/>
          <w:szCs w:val="20"/>
          <w:color w:val="auto"/>
        </w:rPr>
      </w:pPr>
    </w:p>
    <w:p>
      <w:pPr>
        <w:jc w:val="both"/>
        <w:ind w:firstLine="434"/>
        <w:spacing w:after="0" w:line="245" w:lineRule="auto"/>
        <w:rPr>
          <w:sz w:val="20"/>
          <w:szCs w:val="20"/>
          <w:color w:val="auto"/>
        </w:rPr>
      </w:pPr>
      <w:r>
        <w:rPr>
          <w:rFonts w:ascii="Times New Roman" w:cs="Times New Roman" w:eastAsia="Times New Roman" w:hAnsi="Times New Roman"/>
          <w:sz w:val="18"/>
          <w:szCs w:val="18"/>
          <w:color w:val="auto"/>
        </w:rPr>
        <w:t>During fiscal 2022, our Hawthorne reporting unit experienced adverse financial results due to decreased sales volume and higher transportation and warehousing costs. Sales volume decreased due to an oversupply of cannabis, which significantly decreased cannabis wholesale prices and indoor and outdoor cannabis cultivation. As a result, we revised our internal forecasts relating to our Hawthorne reporting unit. We concluded that the changes in circumstances in this reporting unit and the decline in the Company’s market capitalization triggered the need for an interim impairment review of its goodwill during the third quarter of fiscal 2022. We elected to bypass the qualitative assessment and perform quantitative interim goodwill impairment testing for our Hawthorne reporting unit. We updated our assumptions from prior periods to include the longer duration and increased significance of lower sales volumes and cost increases. This quantitative test resulted in a non-cash, pre-tax goodwill impairment charge of $522.4 related to our Hawthorne reporting unit, which was recognized during the third quarter of fiscal 2022 in the “Impairment, restructuring and other” line in the Consolidated Statements of Operations. The carrying value of goodwill of our Hawthorne reporting unit, after recognizing the impairment, is zero. The estimated fair value of our Hawthorne reporting unit was based upon an equal weighting of the income-based and market-based approaches, utilizing estimated cash flows and a terminal value, discounted at a rate of return that reflects the relative risk of the cash flows, as well as valuation multiples derived from comparable publicly traded companies that are applied to operating performance of the reporting unit. The fair value estimate utilizes significant unobservable inputs and, therefore, represents a Level 3 fair value measurement. While we consider our assumptions to be reasonable and appropriate, they are complex and subjective. Refer to “NOTE 5. GOODWILL AND INTANGIBLE ASSETS, NET” for more information.</w:t>
      </w:r>
    </w:p>
    <w:p>
      <w:pPr>
        <w:spacing w:after="0" w:line="144" w:lineRule="exact"/>
        <w:rPr>
          <w:sz w:val="20"/>
          <w:szCs w:val="20"/>
          <w:color w:val="auto"/>
        </w:rPr>
      </w:pPr>
    </w:p>
    <w:p>
      <w:pPr>
        <w:jc w:val="both"/>
        <w:ind w:firstLine="434"/>
        <w:spacing w:after="0" w:line="288" w:lineRule="auto"/>
        <w:rPr>
          <w:sz w:val="20"/>
          <w:szCs w:val="20"/>
          <w:color w:val="auto"/>
        </w:rPr>
      </w:pPr>
      <w:r>
        <w:rPr>
          <w:rFonts w:ascii="Times New Roman" w:cs="Times New Roman" w:eastAsia="Times New Roman" w:hAnsi="Times New Roman"/>
          <w:sz w:val="16"/>
          <w:szCs w:val="16"/>
          <w:color w:val="auto"/>
        </w:rPr>
        <w:t>At September 30, 2022, goodwill totaled $254.0, with $243.9, zero and $10.1 for our U.S. Consumer, Hawthorne and Other segments, respectively. We performed annual impairment testing as of the first day of our fiscal fourth quarter and, with the exception of the Hawthorne reporting unit in fiscal 2022, concluded that there were no impairments of goodwill as the estimated fair value of each reporting unit exceeded its carrying value. Based on the results of the annual quantitative evaluation for fiscal 2022, the fair values of our U.S. Consumer and Other segment reporting units exceeded their respective carrying values by 181% and 71%, respectively. A 100 basis point change in the discount rate would not have resulted in an impairment for any of our reporting units.</w:t>
      </w:r>
    </w:p>
    <w:p>
      <w:pPr>
        <w:spacing w:after="0" w:line="102" w:lineRule="exact"/>
        <w:rPr>
          <w:sz w:val="20"/>
          <w:szCs w:val="20"/>
          <w:color w:val="auto"/>
        </w:rPr>
      </w:pPr>
    </w:p>
    <w:p>
      <w:pPr>
        <w:jc w:val="both"/>
        <w:ind w:firstLine="434"/>
        <w:spacing w:after="0" w:line="236" w:lineRule="auto"/>
        <w:rPr>
          <w:sz w:val="20"/>
          <w:szCs w:val="20"/>
          <w:color w:val="auto"/>
        </w:rPr>
      </w:pPr>
      <w:r>
        <w:rPr>
          <w:rFonts w:ascii="Times New Roman" w:cs="Times New Roman" w:eastAsia="Times New Roman" w:hAnsi="Times New Roman"/>
          <w:sz w:val="18"/>
          <w:szCs w:val="18"/>
          <w:color w:val="auto"/>
        </w:rPr>
        <w:t>At September 30, 2022, indefinite-lived intangible assets consisted of trade names of $168.2 and the Roundup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marketing agreement amendment of $155.7. Based on the results of the annual evaluation for fiscal 2022, the fair values of our indefinite-lived intangible assets exceeded their respective carrying values in a range of 11% to over 1,100%. A 100 basis point change in the discount rate would not have resulted in an impairment of any of our indefinite-lived intangible assets.</w:t>
      </w:r>
    </w:p>
    <w:p>
      <w:pPr>
        <w:spacing w:after="0" w:line="1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Other Significant Accounting Policies</w:t>
      </w:r>
    </w:p>
    <w:p>
      <w:pPr>
        <w:spacing w:after="0" w:line="86"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Other significant accounting policies, primarily those with lower levels of uncertainty than those discussed above, are also critical to understanding the consolidated financial statements. The Notes to Consolidated Financial Statements included in this Form 10-K contain additional information related to our accounting policies, including recent accounting pronouncements, and should be read in conjunction with this discussion.</w:t>
      </w:r>
    </w:p>
    <w:p>
      <w:pPr>
        <w:spacing w:after="0" w:line="29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auto"/>
        </w:rPr>
        <w:t>ITEM 7A.</w:t>
      </w:r>
      <w:r>
        <w:rPr>
          <w:sz w:val="20"/>
          <w:szCs w:val="20"/>
          <w:color w:val="auto"/>
        </w:rPr>
        <w:tab/>
      </w:r>
      <w:r>
        <w:rPr>
          <w:rFonts w:ascii="Times New Roman" w:cs="Times New Roman" w:eastAsia="Times New Roman" w:hAnsi="Times New Roman"/>
          <w:sz w:val="16"/>
          <w:szCs w:val="16"/>
          <w:b w:val="1"/>
          <w:bCs w:val="1"/>
          <w:i w:val="1"/>
          <w:iCs w:val="1"/>
          <w:u w:val="single" w:color="auto"/>
          <w:color w:val="auto"/>
        </w:rPr>
        <w:t>QUANTITATIVE AND QUALITATIVE DISCLOSURES ABOUT MARKET RISK</w:t>
      </w:r>
    </w:p>
    <w:p>
      <w:pPr>
        <w:spacing w:after="0" w:line="257"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As part of our ongoing business, we are exposed to certain market risks, including fluctuations in interest rates, foreign currency exchange rates and commodity prices. Financial derivatives and other instruments are used to manage these risks. These instruments are not used for speculative purposes.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84"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The following table summarizes information about our debt instruments and derivative financial instruments that are sensitive to changes in interest rates as of September 30, 2022 and 2021. For debt instruments, the table presents principal cash flows and related weighted-average interest rates by expected maturity dates. For interest rate swap agreements, the table presents expected cash flows based on notional amounts and weighted-average interest rates by contractual maturity dates. We have outstanding interest rate swap agreements with major financial institutions that effectively convert a portion of the Company’s variable-rate debt to a fixed rate. The swap agreements had a maximum total U.S. dollar equivalent notional amount of $800.0 and $600.0 at September 30, 2022 and 2021, respectively. Weighted-average variable rates are based on rates in effect at September 30, 2022 and 2021. A change in our variable interest rate of 100 basis points for a full twelve-month period would have an impact of $10.0 on interest expense assuming approximately $1,000.0 of our average variable-rate debt had not been hedged via an interest rate swap agreement.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Expected Maturity Date</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restart"/>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24"/>
        </w:trPr>
        <w:tc>
          <w:tcPr>
            <w:tcW w:w="2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7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262"/>
              <w:spacing w:after="0" w:line="125"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ind w:right="242"/>
              <w:spacing w:after="0" w:line="125"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80"/>
              <w:spacing w:after="0" w:line="125"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ind w:right="262"/>
              <w:spacing w:after="0" w:line="125" w:lineRule="exact"/>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ind w:right="282"/>
              <w:spacing w:after="0" w:line="125" w:lineRule="exact"/>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ind w:right="262"/>
              <w:spacing w:after="0" w:line="125" w:lineRule="exact"/>
              <w:rPr>
                <w:sz w:val="20"/>
                <w:szCs w:val="20"/>
                <w:color w:val="auto"/>
              </w:rPr>
            </w:pPr>
            <w:r>
              <w:rPr>
                <w:rFonts w:ascii="Times New Roman" w:cs="Times New Roman" w:eastAsia="Times New Roman" w:hAnsi="Times New Roman"/>
                <w:sz w:val="14"/>
                <w:szCs w:val="14"/>
                <w:b w:val="1"/>
                <w:bCs w:val="1"/>
                <w:color w:val="auto"/>
              </w:rPr>
              <w:t>After</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center"/>
              <w:ind w:right="83"/>
              <w:spacing w:after="0" w:line="125"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280" w:type="dxa"/>
            <w:vAlign w:val="bottom"/>
            <w:tcBorders>
              <w:top w:val="single" w:sz="8" w:color="auto"/>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70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Long-term debt:</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rate debt</w:t>
            </w: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1,350.0</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1,600.0</w:t>
            </w:r>
          </w:p>
        </w:tc>
        <w:tc>
          <w:tcPr>
            <w:tcW w:w="100" w:type="dxa"/>
            <w:vAlign w:val="bottom"/>
          </w:tcPr>
          <w:p>
            <w:pPr>
              <w:spacing w:after="0"/>
              <w:rPr>
                <w:sz w:val="19"/>
                <w:szCs w:val="19"/>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rate</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Variable rate debt</w:t>
            </w: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125.0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50.0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50.0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50.0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1,075.5</w:t>
            </w:r>
          </w:p>
        </w:tc>
        <w:tc>
          <w:tcPr>
            <w:tcW w:w="10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1,350.5</w:t>
            </w:r>
          </w:p>
        </w:tc>
        <w:tc>
          <w:tcPr>
            <w:tcW w:w="100" w:type="dxa"/>
            <w:vAlign w:val="bottom"/>
          </w:tcPr>
          <w:p>
            <w:pPr>
              <w:spacing w:after="0"/>
              <w:rPr>
                <w:sz w:val="19"/>
                <w:szCs w:val="19"/>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rate</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rate</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Expected Maturity Date</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vMerge w:val="restart"/>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24"/>
        </w:trPr>
        <w:tc>
          <w:tcPr>
            <w:tcW w:w="2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7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202"/>
              <w:spacing w:after="0" w:line="125"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ind w:right="182"/>
              <w:spacing w:after="0" w:line="125"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ind w:right="183"/>
              <w:spacing w:after="0" w:line="125"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ind w:right="202"/>
              <w:spacing w:after="0" w:line="125"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ind w:right="262"/>
              <w:spacing w:after="0" w:line="125"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ind w:right="262"/>
              <w:spacing w:after="0" w:line="125" w:lineRule="exact"/>
              <w:rPr>
                <w:sz w:val="20"/>
                <w:szCs w:val="20"/>
                <w:color w:val="auto"/>
              </w:rPr>
            </w:pPr>
            <w:r>
              <w:rPr>
                <w:rFonts w:ascii="Times New Roman" w:cs="Times New Roman" w:eastAsia="Times New Roman" w:hAnsi="Times New Roman"/>
                <w:sz w:val="14"/>
                <w:szCs w:val="14"/>
                <w:b w:val="1"/>
                <w:bCs w:val="1"/>
                <w:color w:val="auto"/>
              </w:rPr>
              <w:t>After</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center"/>
              <w:ind w:right="83"/>
              <w:spacing w:after="0" w:line="125"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280" w:type="dxa"/>
            <w:vAlign w:val="bottom"/>
            <w:tcBorders>
              <w:top w:val="single" w:sz="8" w:color="auto"/>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70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Long-term debt:</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rate debt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1,600.0</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1,600.0</w:t>
            </w:r>
          </w:p>
        </w:tc>
        <w:tc>
          <w:tcPr>
            <w:tcW w:w="100" w:type="dxa"/>
            <w:vAlign w:val="bottom"/>
          </w:tcPr>
          <w:p>
            <w:pPr>
              <w:spacing w:after="0"/>
              <w:rPr>
                <w:sz w:val="19"/>
                <w:szCs w:val="19"/>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rate</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Variable rate debt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40.0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630.0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670.0</w:t>
            </w:r>
          </w:p>
        </w:tc>
        <w:tc>
          <w:tcPr>
            <w:tcW w:w="100" w:type="dxa"/>
            <w:vAlign w:val="bottom"/>
          </w:tcPr>
          <w:p>
            <w:pPr>
              <w:spacing w:after="0"/>
              <w:rPr>
                <w:sz w:val="19"/>
                <w:szCs w:val="19"/>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rate</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0.6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rate</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0.8 %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0.9 %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Excluded from the information provided above are miscellaneous debt instruments of $12.7 and $11.9 and finance lease obligations of $28.9 and $33.4 at September 30, 2022 and 2021, respectively.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Market Risks</w:t>
      </w:r>
    </w:p>
    <w:p>
      <w:pPr>
        <w:spacing w:after="0" w:line="163"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We are subject to market risk from fluctuations in foreign currency exchange rates and fluctuating prices of certain raw materials, including urea and other fertilizer inputs, resins, diesel, gasoline, natural gas, sphagnum peat, bark and grass seed. Refer to “NOTE 16. DERIVATIVE INSTRUMENTS AND HEDGING ACTIVITIES” of the Notes to Consolidated Financial Statements included in this Form 10-K for discussion of these market risks and the derivatives used to manage these risks.</w:t>
      </w:r>
    </w:p>
    <w:p>
      <w:pPr>
        <w:spacing w:after="0" w:line="36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u w:val="single" w:color="auto"/>
          <w:color w:val="auto"/>
        </w:rPr>
        <w:t>ITEM 8.</w:t>
      </w:r>
      <w:r>
        <w:rPr>
          <w:sz w:val="20"/>
          <w:szCs w:val="20"/>
          <w:color w:val="auto"/>
        </w:rPr>
        <w:tab/>
      </w:r>
      <w:r>
        <w:rPr>
          <w:rFonts w:ascii="Times New Roman" w:cs="Times New Roman" w:eastAsia="Times New Roman" w:hAnsi="Times New Roman"/>
          <w:sz w:val="16"/>
          <w:szCs w:val="16"/>
          <w:b w:val="1"/>
          <w:bCs w:val="1"/>
          <w:i w:val="1"/>
          <w:iCs w:val="1"/>
          <w:u w:val="single" w:color="auto"/>
          <w:color w:val="auto"/>
        </w:rPr>
        <w:t>FINANCIAL STATEMENTS AND SUPPLEMENTARY DATA</w:t>
      </w:r>
    </w:p>
    <w:p>
      <w:pPr>
        <w:spacing w:after="0" w:line="257"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financial statements and other information required by this Item are contained in the Consolidated Financial Statements, Notes to Consolidated Financial Statements and Schedules Supporting the Consolidated Financial Statements listed in the “Index to Consolidated Financial Statements and Financial Statement Schedules” on page 56 of this Form 10-K.</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u w:val="single" w:color="auto"/>
          <w:color w:val="auto"/>
        </w:rPr>
        <w:t>ITEM 9.</w:t>
      </w:r>
      <w:r>
        <w:rPr>
          <w:sz w:val="20"/>
          <w:szCs w:val="20"/>
          <w:color w:val="auto"/>
        </w:rPr>
        <w:tab/>
      </w:r>
      <w:r>
        <w:rPr>
          <w:rFonts w:ascii="Times New Roman" w:cs="Times New Roman" w:eastAsia="Times New Roman" w:hAnsi="Times New Roman"/>
          <w:sz w:val="16"/>
          <w:szCs w:val="16"/>
          <w:b w:val="1"/>
          <w:bCs w:val="1"/>
          <w:i w:val="1"/>
          <w:iCs w:val="1"/>
          <w:u w:val="single" w:color="auto"/>
          <w:color w:val="auto"/>
        </w:rPr>
        <w:t>CHANGES IN AND DISAGREEMENTS WITH ACCOUNTANTS ON ACCOUNTING AND FINANCIAL DISCLOSURE</w:t>
      </w:r>
    </w:p>
    <w:p>
      <w:pPr>
        <w:spacing w:after="0" w:line="2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3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auto"/>
        </w:rPr>
        <w:t>ITEM 9A.</w:t>
      </w:r>
      <w:r>
        <w:rPr>
          <w:sz w:val="20"/>
          <w:szCs w:val="20"/>
          <w:color w:val="auto"/>
        </w:rPr>
        <w:tab/>
      </w:r>
      <w:r>
        <w:rPr>
          <w:rFonts w:ascii="Times New Roman" w:cs="Times New Roman" w:eastAsia="Times New Roman" w:hAnsi="Times New Roman"/>
          <w:sz w:val="16"/>
          <w:szCs w:val="16"/>
          <w:b w:val="1"/>
          <w:bCs w:val="1"/>
          <w:i w:val="1"/>
          <w:iCs w:val="1"/>
          <w:u w:val="single" w:color="auto"/>
          <w:color w:val="auto"/>
        </w:rPr>
        <w:t>CONTROLS AND PROCEDURES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97"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With the participation of the principal executive officer and the principal financial officer of The Scotts Miracle-Gro Company (the “Registrant”), the Registrant’s management has evaluated the effectiveness of the Registrant’s disclosure controls and procedures (as defined in Rule 13a-15(e) under the Securities Exchange Act of 1934), as of the end of the fiscal year covered by this Form 10-K. Based upon that evaluation, the Registrant’s principal executive officer and principal financial officer have concluded that the Registrant’s disclosure controls and procedures were effective as of the end of the fiscal year covered by this Form 10-K.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84"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“Annual Report of Management on Internal Control Over Financial Reporting” required by Item 308(a) of SEC Regulation S-K is included on page 57 of this Form 10-K.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Independent Registered Public Accounting Firm</w:t>
      </w:r>
    </w:p>
    <w:p>
      <w:pPr>
        <w:spacing w:after="0" w:line="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“Report of Independent Registered Public Accounting Firm” required by Item 308(b) of SEC Regulation S-K is included on page 58 of this Form 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7"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No changes in the Registrant’s internal control over financial reporting (as defined in Rule 13a-15(f) under the Securities Exchange Act of 1934) occurred during the Registrant’s fiscal quarter ended September 30, 2022, that have materially affected, or are reasonably likely to materially affect, the Registrant’s internal control over financial reporting.</w:t>
      </w:r>
    </w:p>
    <w:p>
      <w:pPr>
        <w:spacing w:after="0" w:line="20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auto"/>
        </w:rPr>
        <w:t>ITEM 9B.</w:t>
      </w:r>
      <w:r>
        <w:rPr>
          <w:sz w:val="20"/>
          <w:szCs w:val="20"/>
          <w:color w:val="auto"/>
        </w:rPr>
        <w:tab/>
      </w:r>
      <w:r>
        <w:rPr>
          <w:rFonts w:ascii="Times New Roman" w:cs="Times New Roman" w:eastAsia="Times New Roman" w:hAnsi="Times New Roman"/>
          <w:sz w:val="16"/>
          <w:szCs w:val="16"/>
          <w:b w:val="1"/>
          <w:bCs w:val="1"/>
          <w:i w:val="1"/>
          <w:iCs w:val="1"/>
          <w:u w:val="single" w:color="auto"/>
          <w:color w:val="auto"/>
        </w:rPr>
        <w:t>OTHER INFORMATION</w:t>
      </w:r>
    </w:p>
    <w:p>
      <w:pPr>
        <w:spacing w:after="0" w:line="165"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As previously announced by the Company, David C. Evans will be stepping down from his role of Interim Chief Financial Officer effective as of November 30, 2022 but will continue to serve on Scotts Miracle-Gro’s Board of Directors.</w:t>
      </w:r>
    </w:p>
    <w:p>
      <w:pPr>
        <w:spacing w:after="0" w:line="116"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At the time of Mr. Evan’s appointment as Interim Chief Financial Officer, the Compensation Committee of the Board of Directors (“Compensation Committee”) approved a grant of 17,181 Restricted Stock Units (“RSUs”) with a grant date of September 1, 2022, and a provision for ratable vesting at the rate of 1/7th of the RSUs granted for each full or partial month of service between September 1, 2022, and March 31, 2023.</w:t>
      </w:r>
    </w:p>
    <w:p>
      <w:pPr>
        <w:spacing w:after="0" w:line="126"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In connection with his departure as Interim Chief Financial Officer, on November 27, 2022, the Compensation Committee elected to provide Mr. Evans with one additional month of the RSU vesting. As a result, Mr. Evans will receive an incremental 2,454 RSUs to the 7,362 RSUs he is already entitled to pursuant to the terms of the original grant.</w:t>
      </w:r>
    </w:p>
    <w:p>
      <w:pPr>
        <w:spacing w:after="0" w:line="20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auto"/>
        </w:rPr>
        <w:t>ITEM 9C.</w:t>
      </w:r>
      <w:r>
        <w:rPr>
          <w:sz w:val="20"/>
          <w:szCs w:val="20"/>
          <w:color w:val="auto"/>
        </w:rPr>
        <w:tab/>
      </w:r>
      <w:r>
        <w:rPr>
          <w:rFonts w:ascii="Times New Roman" w:cs="Times New Roman" w:eastAsia="Times New Roman" w:hAnsi="Times New Roman"/>
          <w:sz w:val="16"/>
          <w:szCs w:val="16"/>
          <w:b w:val="1"/>
          <w:bCs w:val="1"/>
          <w:i w:val="1"/>
          <w:iCs w:val="1"/>
          <w:u w:val="single" w:color="auto"/>
          <w:color w:val="auto"/>
        </w:rPr>
        <w:t>DISCLOSURE REGARDING FOREIGN JURISDICTIONS THAT PREVENT INSPECTIONS</w:t>
      </w:r>
    </w:p>
    <w:p>
      <w:pPr>
        <w:spacing w:after="0" w:line="2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u w:val="single" w:color="auto"/>
          <w:color w:val="auto"/>
        </w:rPr>
        <w:t>ITEM 10.</w:t>
      </w:r>
      <w:r>
        <w:rPr>
          <w:sz w:val="20"/>
          <w:szCs w:val="20"/>
          <w:color w:val="auto"/>
        </w:rPr>
        <w:tab/>
      </w:r>
      <w:r>
        <w:rPr>
          <w:rFonts w:ascii="Times New Roman" w:cs="Times New Roman" w:eastAsia="Times New Roman" w:hAnsi="Times New Roman"/>
          <w:sz w:val="16"/>
          <w:szCs w:val="16"/>
          <w:b w:val="1"/>
          <w:bCs w:val="1"/>
          <w:i w:val="1"/>
          <w:iCs w:val="1"/>
          <w:u w:val="single" w:color="auto"/>
          <w:color w:val="auto"/>
        </w:rPr>
        <w:t>DIRECTORS, EXECUTIVE OFFICERS AND CORPORATE GOVERNANCE</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Executive Officers and Persons Nominated or Chosen to Become Directors or Executive Officers</w:t>
      </w:r>
    </w:p>
    <w:p>
      <w:pPr>
        <w:spacing w:after="0" w:line="97"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The information required by Item 401 of SEC Regulation S-K concerning the directors of Scotts Miracle-Gro and the nominees for election or re-election as directors of Scotts Miracle-Gro at its Annual Meeting of Shareholders to be held on January 23, 2023 (the “2023 Annual Meeting”) is incorporated herein by reference from the disclosure which will be included under the caption “PROPOSAL NUMBER 1 — ELECTION OF DIRECTORS” in Scotts Miracle-Gro’s definitive Proxy Statement relating to the 2023 Annual Meeting (the “Proxy Statement”), which will be filed pursuant to SEC Regulation 14A not later than 120 days after the end of Scotts Miracle-Gro’s fiscal year ended September 30, 2022.</w:t>
      </w:r>
    </w:p>
    <w:p>
      <w:pPr>
        <w:spacing w:after="0" w:line="57" w:lineRule="exact"/>
        <w:rPr>
          <w:sz w:val="20"/>
          <w:szCs w:val="20"/>
          <w:color w:val="auto"/>
        </w:rPr>
      </w:pPr>
    </w:p>
    <w:p>
      <w:pPr>
        <w:jc w:val="both"/>
        <w:ind w:firstLine="434"/>
        <w:spacing w:after="0" w:line="331" w:lineRule="auto"/>
        <w:rPr>
          <w:sz w:val="20"/>
          <w:szCs w:val="20"/>
          <w:color w:val="auto"/>
        </w:rPr>
      </w:pPr>
      <w:r>
        <w:rPr>
          <w:rFonts w:ascii="Times New Roman" w:cs="Times New Roman" w:eastAsia="Times New Roman" w:hAnsi="Times New Roman"/>
          <w:sz w:val="16"/>
          <w:szCs w:val="16"/>
          <w:color w:val="auto"/>
        </w:rPr>
        <w:t>The information required by Item 401 of SEC Regulation S-K concerning the executive officers of Scotts Miracle-Gro is incorporated herein by reference from the disclosure included under the caption “SUPPLEMENTAL ITEM. EXECUTIVE OFFICERS OF THE REGISTRANT” in Part I of this Form 10-K.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Section 16(a) of the Securities Exchange Act of 1934</w:t>
      </w:r>
    </w:p>
    <w:p>
      <w:pPr>
        <w:spacing w:after="0" w:line="97"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information required by Item 405 of SEC Regulation S-K is incorporated herein by reference from the disclosure which will be included under the caption “SECTION 16(a) BENEFICIAL OWNERSHIP REPORTING COMPLIANCE” in its Proxy Statement.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for Recommending Director Nominees</w:t>
      </w:r>
    </w:p>
    <w:p>
      <w:pPr>
        <w:spacing w:after="0" w:line="97"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Information concerning the procedures by which shareholders of Scotts Miracle-Gro may recommend nominees to Scotts Miracle-Gro’s Board of Directors is incorporated herein by reference from the disclosures which will be included under the captions “CORPORATE GOVERNANCE — Nominations of Directors” and “MEETINGS AND COMMITTEES OF THE BOARD — Committees of the Board — Nominating and Governance Committee” in the Proxy Statement. These procedures have not materially changed from those described in Scotts Miracle-Gro’s definitive Proxy Statement for the 2022 Annual Meeting of Shareholders held on January 24,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84"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information required by Items 407(d)(4) and 407(d)(5) of SEC Regulation S-K is incorporated herein by reference from the disclosure which will be included under the caption “MEETINGS AND COMMITTEES OF THE BOARD — Committees of the Board” in the Proxy Statement.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 Charters; Code of Business Conduct &amp; Ethics; Corporate Governance Guidelines</w:t>
      </w:r>
    </w:p>
    <w:p>
      <w:pPr>
        <w:spacing w:after="0" w:line="97"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Board of Directors of Scotts Miracle-Gro has adopted charters for each of the Audit Committee, the Nominating and Governance Committee, the Compensation and Organization Committee, the Innovation and Technology Committee and the Finance Committee, as well as Corporate Governance Guidelines, as contemplated by the applicable sections of the New York Stock Exchange Listed Company Manual.</w:t>
      </w:r>
    </w:p>
    <w:p>
      <w:pPr>
        <w:spacing w:after="0" w:line="126" w:lineRule="exact"/>
        <w:rPr>
          <w:sz w:val="20"/>
          <w:szCs w:val="20"/>
          <w:color w:val="auto"/>
        </w:rPr>
      </w:pPr>
    </w:p>
    <w:p>
      <w:pPr>
        <w:jc w:val="both"/>
        <w:ind w:firstLine="434"/>
        <w:spacing w:after="0" w:line="245" w:lineRule="auto"/>
        <w:rPr>
          <w:sz w:val="20"/>
          <w:szCs w:val="20"/>
          <w:color w:val="auto"/>
        </w:rPr>
      </w:pPr>
      <w:r>
        <w:rPr>
          <w:rFonts w:ascii="Times New Roman" w:cs="Times New Roman" w:eastAsia="Times New Roman" w:hAnsi="Times New Roman"/>
          <w:sz w:val="18"/>
          <w:szCs w:val="18"/>
          <w:color w:val="auto"/>
        </w:rPr>
        <w:t>In accordance with the requirements of Section 303A.10 of the New York Stock Exchange Listed Company Manual and Item 406 of SEC Regulation S-K, the Board of Directors of Scotts Miracle-Gro has adopted a Code of Business Conduct &amp; Ethics covering the members of Scotts Miracle-Gro’s Board of Directors and associates (employees) of Scotts Miracle-Gro and its subsidiaries, including, without limitation, Scotts Miracle-Gro’s principal executive officer, principal financial officer and principal accounting officer. Scotts Miracle-Gro intends to disclose the following events, if they occur, on its Internet website located at http://investor.scotts.com within four business days following their occurrence: (A) the date and nature of any amendment to a provision of Scotts Miracle-Gro’s Code of Business Conduct &amp; Ethics that (i) applies to Scotts Miracle-Gro’s principal executive officer, principal financial officer, principal accounting officer or controller, or persons performing similar functions, (ii) relates to any element of the code of ethics definition enumerated in Item 406(b) of SEC Regulation S-K, and (iii) is not a technical, administrative or other non-substantive amendment; and (B) a description of any waiver (including the nature of the waiver, the name of the person to whom the waiver was granted and the date of the waiver), including an implicit waiver, from a provision of the Code of Business Conduct &amp; Ethics granted to Scotts Miracle-Gro’s principal executive officer, principal financial officer, principal accounting officer or controller, or persons performing similar functions, that relates to one or more of the elements of the code of ethics definition enumerated in Item 406(b) of SEC Regulation S-K. In addition, Scotts Miracle-Gro will disclose any waivers from the provisions of the Code of Business Conduct &amp; Ethics granted to an executive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officer or a director of Scotts Miracle-Gro on Scotts Miracle-Gro’s Internet website located at http://investor.scotts.com within four business days of the determination to grant any such waiver.</w:t>
      </w:r>
    </w:p>
    <w:p>
      <w:pPr>
        <w:spacing w:after="0" w:line="116"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The text of Scotts Miracle-Gro’s Code of Business Conduct &amp; Ethics, Scotts Miracle-Gro’s Corporate Governance Guidelines, the Audit Committee charter, the Nominating and Governance Committee charter, the Compensation and Organization Committee charter, the Innovation and Technology Committee charter and the Finance Committee charter are posted under the “Corporate Governance” link on Scotts Miracle-Gro’s Internet website located at http://investor.scotts.com. Interested persons and shareholders of Scotts Miracle-Gro may also obtain copies of each of these documents without charge by writing to The Scotts Miracle-Gro Company, Attention: Corporate Secretary, 14111 Scottslawn Road, Marysville, Ohio 43041.</w:t>
      </w:r>
    </w:p>
    <w:p>
      <w:pPr>
        <w:spacing w:after="0" w:line="18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11.</w:t>
      </w:r>
      <w:r>
        <w:rPr>
          <w:sz w:val="20"/>
          <w:szCs w:val="20"/>
          <w:color w:val="auto"/>
        </w:rPr>
        <w:tab/>
      </w:r>
      <w:r>
        <w:rPr>
          <w:rFonts w:ascii="Times New Roman" w:cs="Times New Roman" w:eastAsia="Times New Roman" w:hAnsi="Times New Roman"/>
          <w:sz w:val="16"/>
          <w:szCs w:val="16"/>
          <w:b w:val="1"/>
          <w:bCs w:val="1"/>
          <w:i w:val="1"/>
          <w:iCs w:val="1"/>
          <w:u w:val="single" w:color="auto"/>
          <w:color w:val="auto"/>
        </w:rPr>
        <w:t>EXECUTIVE COMPENSATION</w:t>
      </w:r>
    </w:p>
    <w:p>
      <w:pPr>
        <w:spacing w:after="0" w:line="257"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information required by Item 402 of SEC Regulation S-K is incorporated herein by reference from the disclosures which will be included under the captions “EXECUTIVE COMPENSATION,” “NON-EMPLOYEE DIRECTOR COMPENSATION,” “EXECUTIVE COMPENSATION TABLES,” “SEVERANCE AND CHANGE IN CONTROL (CIC) ARRANGEMENTS,” and “PAYMENTS ON TERMINATION OF EMPLOYMENT AND/OR CHANGE IN CONTROL” in the Proxy Statement.</w:t>
      </w:r>
    </w:p>
    <w:p>
      <w:pPr>
        <w:spacing w:after="0" w:line="130"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information required by Item 407(e)(4) of SEC Regulation S-K is incorporated herein by reference from the disclosure which will be included under the caption “MEETINGS AND COMMITTEES OF THE BOARD — Compensation and Organization Committee Interlocks and Insider Participation” in the Proxy Statement.</w:t>
      </w:r>
    </w:p>
    <w:p>
      <w:pPr>
        <w:spacing w:after="0" w:line="126"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information required by Item 407(e)(5) of SEC Regulation S-K is incorporated herein by reference from the disclosure which will be included under the caption “COMPENSATION COMMITTEE REPORT” in the Proxy Statement.</w:t>
      </w:r>
    </w:p>
    <w:p>
      <w:pPr>
        <w:spacing w:after="0" w:line="16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u w:val="single" w:color="auto"/>
          <w:color w:val="auto"/>
        </w:rPr>
        <w:t>ITEM 12.</w:t>
      </w:r>
      <w:r>
        <w:rPr>
          <w:sz w:val="20"/>
          <w:szCs w:val="20"/>
          <w:color w:val="auto"/>
        </w:rPr>
        <w:tab/>
      </w:r>
      <w:r>
        <w:rPr>
          <w:rFonts w:ascii="Times New Roman" w:cs="Times New Roman" w:eastAsia="Times New Roman" w:hAnsi="Times New Roman"/>
          <w:sz w:val="16"/>
          <w:szCs w:val="16"/>
          <w:b w:val="1"/>
          <w:bCs w:val="1"/>
          <w:i w:val="1"/>
          <w:iCs w:val="1"/>
          <w:u w:val="single" w:color="auto"/>
          <w:color w:val="auto"/>
        </w:rPr>
        <w:t>SECURITY OWNERSHIP OF CERTAIN BENEFICIAL OWNERS AND MANAGEMENT AND RELATED STOCKHOLDER MATTERS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of Common Shares of Scotts Miracle-Gro</w:t>
      </w:r>
    </w:p>
    <w:p>
      <w:pPr>
        <w:spacing w:after="0" w:line="97"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information required by Item 403 of SEC Regulation S-K is incorporated herein by reference from the disclosure which will be included under the caption “SECURITY OWNERSHIP OF CERTAIN BENEFICIAL OWNERS AND MANAGEMENT” in the Proxy Statement.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84"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information required by Item 201(d) of SEC Regulation S-K is incorporated herein by reference from the disclosure which will be included under the caption “EQUITY COMPENSATION PLAN INFORMATION” in the Proxy Statement.</w:t>
      </w:r>
    </w:p>
    <w:p>
      <w:pPr>
        <w:spacing w:after="0" w:line="19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u w:val="single" w:color="auto"/>
          <w:color w:val="auto"/>
        </w:rPr>
        <w:t>ITEM 13.</w:t>
      </w:r>
      <w:r>
        <w:rPr>
          <w:sz w:val="20"/>
          <w:szCs w:val="20"/>
          <w:color w:val="auto"/>
        </w:rPr>
        <w:tab/>
      </w:r>
      <w:r>
        <w:rPr>
          <w:rFonts w:ascii="Times New Roman" w:cs="Times New Roman" w:eastAsia="Times New Roman" w:hAnsi="Times New Roman"/>
          <w:sz w:val="16"/>
          <w:szCs w:val="16"/>
          <w:b w:val="1"/>
          <w:bCs w:val="1"/>
          <w:i w:val="1"/>
          <w:iCs w:val="1"/>
          <w:u w:val="single" w:color="auto"/>
          <w:color w:val="auto"/>
        </w:rPr>
        <w:t>CERTAIN RELATIONSHIPS AND RELATED TRANSACTIONS, AND DIRECTOR INDEPENDENCE</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97"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information required by Item 404 of SEC Regulation S-K is incorporated herein by reference from the disclosures which will be included under the caption “CERTAIN RELATIONSHIPS AND RELATED TRANSACTIONS” in the Proxy Statement.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97" w:lineRule="exact"/>
        <w:rPr>
          <w:sz w:val="20"/>
          <w:szCs w:val="20"/>
          <w:color w:val="auto"/>
        </w:rPr>
      </w:pPr>
    </w:p>
    <w:p>
      <w:pPr>
        <w:jc w:val="both"/>
        <w:ind w:firstLine="434"/>
        <w:spacing w:after="0" w:line="331" w:lineRule="auto"/>
        <w:rPr>
          <w:sz w:val="20"/>
          <w:szCs w:val="20"/>
          <w:color w:val="auto"/>
        </w:rPr>
      </w:pPr>
      <w:r>
        <w:rPr>
          <w:rFonts w:ascii="Times New Roman" w:cs="Times New Roman" w:eastAsia="Times New Roman" w:hAnsi="Times New Roman"/>
          <w:sz w:val="16"/>
          <w:szCs w:val="16"/>
          <w:color w:val="auto"/>
        </w:rPr>
        <w:t>The information required by Item 407(a) of SEC Regulation S-K is incorporated herein by reference from the disclosures which will be included under the captions “CORPORATE GOVERNANCE — Director Independence” and “MEETINGS AND COMMITTEES OF THE BOARD” in the Proxy Statement.</w:t>
      </w:r>
    </w:p>
    <w:p>
      <w:pPr>
        <w:spacing w:after="0" w:line="11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u w:val="single" w:color="auto"/>
          <w:color w:val="auto"/>
        </w:rPr>
        <w:t>ITEM 14.</w:t>
      </w:r>
      <w:r>
        <w:rPr>
          <w:sz w:val="20"/>
          <w:szCs w:val="20"/>
          <w:color w:val="auto"/>
        </w:rPr>
        <w:tab/>
      </w:r>
      <w:r>
        <w:rPr>
          <w:rFonts w:ascii="Times New Roman" w:cs="Times New Roman" w:eastAsia="Times New Roman" w:hAnsi="Times New Roman"/>
          <w:sz w:val="16"/>
          <w:szCs w:val="16"/>
          <w:b w:val="1"/>
          <w:bCs w:val="1"/>
          <w:i w:val="1"/>
          <w:iCs w:val="1"/>
          <w:u w:val="single" w:color="auto"/>
          <w:color w:val="auto"/>
        </w:rPr>
        <w:t>PRINCIPAL ACCOUNTANT FEES AND SERVICES</w:t>
      </w:r>
    </w:p>
    <w:p>
      <w:pPr>
        <w:spacing w:after="0" w:line="257"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information required by this Item 14 is incorporated herein by reference from the disclosures which will be included under the captions “AUDIT COMMITTEE MATTERS — Fees of the Independent Registered Public Accounting Firm” and “AUDIT COMMITTEE MATTERS — Pre-Approval of Services Performed by the Independent Registered Public Accounting Firm” in the Proxy Statement.</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u w:val="single" w:color="auto"/>
          <w:color w:val="auto"/>
        </w:rPr>
        <w:t>ITEM 15.</w:t>
      </w:r>
      <w:r>
        <w:rPr>
          <w:sz w:val="20"/>
          <w:szCs w:val="20"/>
          <w:color w:val="auto"/>
        </w:rPr>
        <w:tab/>
      </w:r>
      <w:r>
        <w:rPr>
          <w:rFonts w:ascii="Times New Roman" w:cs="Times New Roman" w:eastAsia="Times New Roman" w:hAnsi="Times New Roman"/>
          <w:sz w:val="16"/>
          <w:szCs w:val="16"/>
          <w:b w:val="1"/>
          <w:bCs w:val="1"/>
          <w:i w:val="1"/>
          <w:iCs w:val="1"/>
          <w:u w:val="single" w:color="auto"/>
          <w:color w:val="auto"/>
        </w:rPr>
        <w:t>EXHIBITS AND FINANCIAL STATEMENT SCHEDULES</w:t>
      </w:r>
    </w:p>
    <w:p>
      <w:pPr>
        <w:spacing w:after="0" w:line="163" w:lineRule="exact"/>
        <w:rPr>
          <w:sz w:val="20"/>
          <w:szCs w:val="20"/>
          <w:color w:val="auto"/>
        </w:rPr>
      </w:pPr>
    </w:p>
    <w:p>
      <w:pPr>
        <w:ind w:left="680" w:hanging="24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LIST OF DOCUMENTS FILED AS PART OF THIS REPORT</w:t>
      </w:r>
    </w:p>
    <w:p>
      <w:pPr>
        <w:spacing w:after="0" w:line="9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and 2. Financial Statements and Financial Statement Schedules:</w:t>
      </w:r>
    </w:p>
    <w:p>
      <w:pPr>
        <w:spacing w:after="0" w:line="82" w:lineRule="exact"/>
        <w:rPr>
          <w:sz w:val="20"/>
          <w:szCs w:val="20"/>
          <w:color w:val="auto"/>
        </w:rPr>
      </w:pPr>
    </w:p>
    <w:p>
      <w:pPr>
        <w:ind w:firstLine="867"/>
        <w:spacing w:after="0" w:line="268" w:lineRule="auto"/>
        <w:rPr>
          <w:sz w:val="20"/>
          <w:szCs w:val="20"/>
          <w:color w:val="auto"/>
        </w:rPr>
      </w:pPr>
      <w:r>
        <w:rPr>
          <w:rFonts w:ascii="Times New Roman" w:cs="Times New Roman" w:eastAsia="Times New Roman" w:hAnsi="Times New Roman"/>
          <w:sz w:val="18"/>
          <w:szCs w:val="18"/>
          <w:color w:val="auto"/>
        </w:rPr>
        <w:t>The response to this portion of Item 15 is submitted as a separate section of this Form 10-K. Reference is made to the “Index to Consolidated Financial Statements and Financial Statement Schedules” on page 56 of this Form 10-K.</w:t>
      </w:r>
    </w:p>
    <w:p>
      <w:pPr>
        <w:spacing w:after="0" w:line="114" w:lineRule="exact"/>
        <w:rPr>
          <w:sz w:val="20"/>
          <w:szCs w:val="20"/>
          <w:color w:val="auto"/>
        </w:rPr>
      </w:pPr>
    </w:p>
    <w:p>
      <w:pPr>
        <w:ind w:left="680" w:hanging="24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97"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The exhibits listed on the “Index to Exhibits” beginning on page 109 of this Form 10-K are filed or furnished with this Form 10-K or incorporated herein by reference as noted in the “Index to Exhibits.”</w:t>
      </w:r>
    </w:p>
    <w:p>
      <w:pPr>
        <w:spacing w:after="0" w:line="114" w:lineRule="exact"/>
        <w:rPr>
          <w:sz w:val="20"/>
          <w:szCs w:val="20"/>
          <w:color w:val="auto"/>
        </w:rPr>
      </w:pPr>
    </w:p>
    <w:p>
      <w:pPr>
        <w:ind w:left="680" w:hanging="24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p>
    <w:p>
      <w:pPr>
        <w:spacing w:after="0" w:line="97"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The financial statement schedule filed with this Form 10-K is submitted in a separate section hereof. For a description of such financial statement schedules, see “Index to Consolidated Financial Statements and Financial Statement Schedules” on page 56 of this Form 10-K.</w:t>
      </w:r>
    </w:p>
    <w:p>
      <w:pPr>
        <w:spacing w:after="0" w:line="19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u w:val="single" w:color="auto"/>
          <w:color w:val="auto"/>
        </w:rPr>
        <w:t>ITEM 16.</w:t>
      </w:r>
      <w:r>
        <w:rPr>
          <w:sz w:val="20"/>
          <w:szCs w:val="20"/>
          <w:color w:val="auto"/>
        </w:rPr>
        <w:tab/>
      </w:r>
      <w:r>
        <w:rPr>
          <w:rFonts w:ascii="Times New Roman" w:cs="Times New Roman" w:eastAsia="Times New Roman" w:hAnsi="Times New Roman"/>
          <w:sz w:val="16"/>
          <w:szCs w:val="16"/>
          <w:b w:val="1"/>
          <w:bCs w:val="1"/>
          <w:i w:val="1"/>
          <w:iCs w:val="1"/>
          <w:u w:val="single" w:color="auto"/>
          <w:color w:val="auto"/>
        </w:rPr>
        <w:t>FORM 10-K SUMMARY</w:t>
      </w:r>
    </w:p>
    <w:p>
      <w:pPr>
        <w:spacing w:after="0" w:line="2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3" w:lineRule="exact"/>
        <w:rPr>
          <w:sz w:val="20"/>
          <w:szCs w:val="20"/>
          <w:color w:val="auto"/>
        </w:rPr>
      </w:pPr>
    </w:p>
    <w:p>
      <w:pPr>
        <w:ind w:firstLine="43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79" w:lineRule="exact"/>
        <w:rPr>
          <w:sz w:val="20"/>
          <w:szCs w:val="20"/>
          <w:color w:val="auto"/>
        </w:rPr>
      </w:pPr>
    </w:p>
    <w:p>
      <w:pPr>
        <w:ind w:left="6480"/>
        <w:spacing w:after="0"/>
        <w:tabs>
          <w:tab w:leader="none" w:pos="7080" w:val="left"/>
          <w:tab w:leader="none" w:pos="7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4502150</wp:posOffset>
            </wp:positionH>
            <wp:positionV relativeFrom="paragraph">
              <wp:posOffset>13970</wp:posOffset>
            </wp:positionV>
            <wp:extent cx="26371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37155" cy="8255"/>
                    </a:xfrm>
                    <a:prstGeom prst="rect">
                      <a:avLst/>
                    </a:prstGeom>
                    <a:noFill/>
                  </pic:spPr>
                </pic:pic>
              </a:graphicData>
            </a:graphic>
          </wp:anchor>
        </w:drawing>
      </w:r>
    </w:p>
    <w:p>
      <w:pPr>
        <w:ind w:left="7100"/>
        <w:spacing w:after="0"/>
        <w:rPr>
          <w:sz w:val="20"/>
          <w:szCs w:val="20"/>
          <w:color w:val="auto"/>
        </w:rPr>
      </w:pPr>
      <w:r>
        <w:rPr>
          <w:rFonts w:ascii="Times New Roman" w:cs="Times New Roman" w:eastAsia="Times New Roman" w:hAnsi="Times New Roman"/>
          <w:sz w:val="18"/>
          <w:szCs w:val="18"/>
          <w:color w:val="auto"/>
        </w:rPr>
        <w:t>James Hagedorn, Chief Executive Officer and Chairman</w:t>
      </w:r>
    </w:p>
    <w:p>
      <w:pPr>
        <w:ind w:left="7100"/>
        <w:spacing w:after="0"/>
        <w:rPr>
          <w:sz w:val="20"/>
          <w:szCs w:val="20"/>
          <w:color w:val="auto"/>
        </w:rPr>
      </w:pPr>
      <w:r>
        <w:rPr>
          <w:rFonts w:ascii="Times New Roman" w:cs="Times New Roman" w:eastAsia="Times New Roman" w:hAnsi="Times New Roman"/>
          <w:sz w:val="18"/>
          <w:szCs w:val="18"/>
          <w:color w:val="auto"/>
        </w:rPr>
        <w:t>of the Board</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28, 2022</w:t>
      </w:r>
    </w:p>
    <w:p>
      <w:pPr>
        <w:spacing w:after="0" w:line="95" w:lineRule="exact"/>
        <w:rPr>
          <w:sz w:val="20"/>
          <w:szCs w:val="20"/>
          <w:color w:val="auto"/>
        </w:rPr>
      </w:pPr>
    </w:p>
    <w:p>
      <w:pPr>
        <w:ind w:firstLine="434"/>
        <w:spacing w:after="0" w:line="26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tbl>
      <w:tblPr>
        <w:tblLayout w:type="fixed"/>
        <w:tblInd w:w="40"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60" w:type="dxa"/>
            <w:vAlign w:val="bottom"/>
            <w:gridSpan w:val="2"/>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Signature</w:t>
            </w:r>
          </w:p>
        </w:tc>
        <w:tc>
          <w:tcPr>
            <w:tcW w:w="2740" w:type="dxa"/>
            <w:vAlign w:val="bottom"/>
          </w:tcPr>
          <w:p>
            <w:pPr>
              <w:spacing w:after="0"/>
              <w:rPr>
                <w:sz w:val="13"/>
                <w:szCs w:val="13"/>
                <w:color w:val="auto"/>
              </w:rPr>
            </w:pPr>
          </w:p>
        </w:tc>
        <w:tc>
          <w:tcPr>
            <w:tcW w:w="2800" w:type="dxa"/>
            <w:vAlign w:val="bottom"/>
            <w:gridSpan w:val="2"/>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Title</w:t>
            </w:r>
          </w:p>
        </w:tc>
        <w:tc>
          <w:tcPr>
            <w:tcW w:w="1880" w:type="dxa"/>
            <w:vAlign w:val="bottom"/>
            <w:gridSpan w:val="3"/>
          </w:tcPr>
          <w:p>
            <w:pPr>
              <w:jc w:val="center"/>
              <w:ind w:left="395"/>
              <w:spacing w:after="0" w:line="156" w:lineRule="exact"/>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518"/>
        </w:trPr>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3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DAVID C. EVANS</w:t>
            </w:r>
          </w:p>
        </w:tc>
        <w:tc>
          <w:tcPr>
            <w:tcW w:w="5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Interim Chief Financial Officer, Executive Vice President and Director</w:t>
            </w:r>
          </w:p>
        </w:tc>
        <w:tc>
          <w:tcPr>
            <w:tcW w:w="1880" w:type="dxa"/>
            <w:vAlign w:val="bottom"/>
            <w:gridSpan w:val="3"/>
          </w:tcPr>
          <w:p>
            <w:pPr>
              <w:jc w:val="center"/>
              <w:ind w:left="395"/>
              <w:spacing w:after="0"/>
              <w:rPr>
                <w:sz w:val="20"/>
                <w:szCs w:val="20"/>
                <w:color w:val="auto"/>
              </w:rPr>
            </w:pPr>
            <w:r>
              <w:rPr>
                <w:rFonts w:ascii="Times New Roman" w:cs="Times New Roman" w:eastAsia="Times New Roman" w:hAnsi="Times New Roman"/>
                <w:sz w:val="18"/>
                <w:szCs w:val="18"/>
                <w:color w:val="auto"/>
                <w:w w:val="97"/>
              </w:rPr>
              <w:t>November 28, 2022</w:t>
            </w:r>
          </w:p>
        </w:tc>
      </w:tr>
      <w:tr>
        <w:trPr>
          <w:trHeight w:val="222"/>
        </w:trPr>
        <w:tc>
          <w:tcPr>
            <w:tcW w:w="3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David C. Evans</w:t>
            </w:r>
          </w:p>
        </w:tc>
        <w:tc>
          <w:tcPr>
            <w:tcW w:w="5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81"/>
        </w:trPr>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3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JAMES HAGEDORN</w:t>
            </w:r>
          </w:p>
        </w:tc>
        <w:tc>
          <w:tcPr>
            <w:tcW w:w="5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Chairman of the Board and Director</w:t>
            </w:r>
          </w:p>
        </w:tc>
        <w:tc>
          <w:tcPr>
            <w:tcW w:w="1880" w:type="dxa"/>
            <w:vAlign w:val="bottom"/>
            <w:gridSpan w:val="3"/>
          </w:tcPr>
          <w:p>
            <w:pPr>
              <w:jc w:val="center"/>
              <w:ind w:left="395"/>
              <w:spacing w:after="0"/>
              <w:rPr>
                <w:sz w:val="20"/>
                <w:szCs w:val="20"/>
                <w:color w:val="auto"/>
              </w:rPr>
            </w:pPr>
            <w:r>
              <w:rPr>
                <w:rFonts w:ascii="Times New Roman" w:cs="Times New Roman" w:eastAsia="Times New Roman" w:hAnsi="Times New Roman"/>
                <w:sz w:val="18"/>
                <w:szCs w:val="18"/>
                <w:color w:val="auto"/>
                <w:w w:val="97"/>
              </w:rPr>
              <w:t>November 28, 2022</w:t>
            </w:r>
          </w:p>
        </w:tc>
      </w:tr>
      <w:tr>
        <w:trPr>
          <w:trHeight w:val="222"/>
        </w:trPr>
        <w:tc>
          <w:tcPr>
            <w:tcW w:w="3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James Hagedorn</w:t>
            </w:r>
          </w:p>
        </w:tc>
        <w:tc>
          <w:tcPr>
            <w:tcW w:w="5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81"/>
        </w:trPr>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3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BRIAN D. FINN*</w:t>
            </w:r>
          </w:p>
        </w:tc>
        <w:tc>
          <w:tcPr>
            <w:tcW w:w="5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gridSpan w:val="3"/>
          </w:tcPr>
          <w:p>
            <w:pPr>
              <w:jc w:val="center"/>
              <w:ind w:left="395"/>
              <w:spacing w:after="0"/>
              <w:rPr>
                <w:sz w:val="20"/>
                <w:szCs w:val="20"/>
                <w:color w:val="auto"/>
              </w:rPr>
            </w:pPr>
            <w:r>
              <w:rPr>
                <w:rFonts w:ascii="Times New Roman" w:cs="Times New Roman" w:eastAsia="Times New Roman" w:hAnsi="Times New Roman"/>
                <w:sz w:val="18"/>
                <w:szCs w:val="18"/>
                <w:color w:val="auto"/>
                <w:w w:val="97"/>
              </w:rPr>
              <w:t>November 28, 2022</w:t>
            </w:r>
          </w:p>
        </w:tc>
      </w:tr>
      <w:tr>
        <w:trPr>
          <w:trHeight w:val="222"/>
        </w:trPr>
        <w:tc>
          <w:tcPr>
            <w:tcW w:w="3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Brian D. Finn</w:t>
            </w:r>
          </w:p>
        </w:tc>
        <w:tc>
          <w:tcPr>
            <w:tcW w:w="2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81"/>
        </w:trPr>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3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ADAM HANFT*</w:t>
            </w:r>
          </w:p>
        </w:tc>
        <w:tc>
          <w:tcPr>
            <w:tcW w:w="5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gridSpan w:val="3"/>
          </w:tcPr>
          <w:p>
            <w:pPr>
              <w:jc w:val="center"/>
              <w:ind w:left="395"/>
              <w:spacing w:after="0"/>
              <w:rPr>
                <w:sz w:val="20"/>
                <w:szCs w:val="20"/>
                <w:color w:val="auto"/>
              </w:rPr>
            </w:pPr>
            <w:r>
              <w:rPr>
                <w:rFonts w:ascii="Times New Roman" w:cs="Times New Roman" w:eastAsia="Times New Roman" w:hAnsi="Times New Roman"/>
                <w:sz w:val="18"/>
                <w:szCs w:val="18"/>
                <w:color w:val="auto"/>
                <w:w w:val="97"/>
              </w:rPr>
              <w:t>November 28, 2022</w:t>
            </w:r>
          </w:p>
        </w:tc>
      </w:tr>
      <w:tr>
        <w:trPr>
          <w:trHeight w:val="222"/>
        </w:trPr>
        <w:tc>
          <w:tcPr>
            <w:tcW w:w="3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Adam Hanft</w:t>
            </w:r>
          </w:p>
        </w:tc>
        <w:tc>
          <w:tcPr>
            <w:tcW w:w="2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81"/>
        </w:trPr>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3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STEPHEN L. JOHNSON*</w:t>
            </w:r>
          </w:p>
        </w:tc>
        <w:tc>
          <w:tcPr>
            <w:tcW w:w="5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gridSpan w:val="3"/>
          </w:tcPr>
          <w:p>
            <w:pPr>
              <w:jc w:val="center"/>
              <w:ind w:left="395"/>
              <w:spacing w:after="0"/>
              <w:rPr>
                <w:sz w:val="20"/>
                <w:szCs w:val="20"/>
                <w:color w:val="auto"/>
              </w:rPr>
            </w:pPr>
            <w:r>
              <w:rPr>
                <w:rFonts w:ascii="Times New Roman" w:cs="Times New Roman" w:eastAsia="Times New Roman" w:hAnsi="Times New Roman"/>
                <w:sz w:val="18"/>
                <w:szCs w:val="18"/>
                <w:color w:val="auto"/>
                <w:w w:val="97"/>
              </w:rPr>
              <w:t>November 28, 2022</w:t>
            </w:r>
          </w:p>
        </w:tc>
      </w:tr>
      <w:tr>
        <w:trPr>
          <w:trHeight w:val="222"/>
        </w:trPr>
        <w:tc>
          <w:tcPr>
            <w:tcW w:w="3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Stephen L. Johnson</w:t>
            </w:r>
          </w:p>
        </w:tc>
        <w:tc>
          <w:tcPr>
            <w:tcW w:w="2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81"/>
        </w:trPr>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3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THOMAS N. KELLY JR.*</w:t>
            </w:r>
          </w:p>
        </w:tc>
        <w:tc>
          <w:tcPr>
            <w:tcW w:w="5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gridSpan w:val="3"/>
          </w:tcPr>
          <w:p>
            <w:pPr>
              <w:jc w:val="center"/>
              <w:ind w:left="395"/>
              <w:spacing w:after="0"/>
              <w:rPr>
                <w:sz w:val="20"/>
                <w:szCs w:val="20"/>
                <w:color w:val="auto"/>
              </w:rPr>
            </w:pPr>
            <w:r>
              <w:rPr>
                <w:rFonts w:ascii="Times New Roman" w:cs="Times New Roman" w:eastAsia="Times New Roman" w:hAnsi="Times New Roman"/>
                <w:sz w:val="18"/>
                <w:szCs w:val="18"/>
                <w:color w:val="auto"/>
                <w:w w:val="97"/>
              </w:rPr>
              <w:t>November 28, 2022</w:t>
            </w:r>
          </w:p>
        </w:tc>
      </w:tr>
      <w:tr>
        <w:trPr>
          <w:trHeight w:val="222"/>
        </w:trPr>
        <w:tc>
          <w:tcPr>
            <w:tcW w:w="3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Thomas N. Kelly Jr.</w:t>
            </w:r>
          </w:p>
        </w:tc>
        <w:tc>
          <w:tcPr>
            <w:tcW w:w="2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44"/>
        </w:trPr>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KATHERINE HAGEDORN</w:t>
            </w:r>
          </w:p>
        </w:tc>
        <w:tc>
          <w:tcPr>
            <w:tcW w:w="5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gridSpan w:val="3"/>
          </w:tcPr>
          <w:p>
            <w:pPr>
              <w:jc w:val="center"/>
              <w:ind w:left="395"/>
              <w:spacing w:after="0"/>
              <w:rPr>
                <w:sz w:val="20"/>
                <w:szCs w:val="20"/>
                <w:color w:val="auto"/>
              </w:rPr>
            </w:pPr>
            <w:r>
              <w:rPr>
                <w:rFonts w:ascii="Times New Roman" w:cs="Times New Roman" w:eastAsia="Times New Roman" w:hAnsi="Times New Roman"/>
                <w:sz w:val="18"/>
                <w:szCs w:val="18"/>
                <w:color w:val="auto"/>
                <w:w w:val="97"/>
              </w:rPr>
              <w:t>November 28, 2022</w:t>
            </w:r>
          </w:p>
        </w:tc>
      </w:tr>
    </w:tbl>
    <w:p>
      <w:pPr>
        <w:ind w:left="60"/>
        <w:spacing w:after="0"/>
        <w:rPr>
          <w:sz w:val="20"/>
          <w:szCs w:val="20"/>
          <w:color w:val="auto"/>
        </w:rPr>
      </w:pPr>
      <w:r>
        <w:rPr>
          <w:rFonts w:ascii="Times New Roman" w:cs="Times New Roman" w:eastAsia="Times New Roman" w:hAnsi="Times New Roman"/>
          <w:sz w:val="18"/>
          <w:szCs w:val="18"/>
          <w:color w:val="auto"/>
        </w:rPr>
        <w:t>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9525</wp:posOffset>
            </wp:positionV>
            <wp:extent cx="22453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45360" cy="825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Katherine Hagedorn Littlefield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740" w:type="dxa"/>
            <w:vAlign w:val="bottom"/>
          </w:tcPr>
          <w:p>
            <w:pPr>
              <w:spacing w:after="0"/>
              <w:rPr>
                <w:sz w:val="13"/>
                <w:szCs w:val="13"/>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900" w:type="dxa"/>
            <w:vAlign w:val="bottom"/>
            <w:gridSpan w:val="3"/>
          </w:tcPr>
          <w:p>
            <w:pPr>
              <w:jc w:val="center"/>
              <w:ind w:left="1415"/>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781"/>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NANCY G. MISTRETTA*</w:t>
            </w:r>
          </w:p>
        </w:tc>
        <w:tc>
          <w:tcPr>
            <w:tcW w:w="4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900" w:type="dxa"/>
            <w:vAlign w:val="bottom"/>
            <w:gridSpan w:val="3"/>
          </w:tcPr>
          <w:p>
            <w:pPr>
              <w:jc w:val="center"/>
              <w:ind w:left="1415"/>
              <w:spacing w:after="0"/>
              <w:rPr>
                <w:sz w:val="20"/>
                <w:szCs w:val="20"/>
                <w:color w:val="auto"/>
              </w:rPr>
            </w:pPr>
            <w:r>
              <w:rPr>
                <w:rFonts w:ascii="Times New Roman" w:cs="Times New Roman" w:eastAsia="Times New Roman" w:hAnsi="Times New Roman"/>
                <w:sz w:val="18"/>
                <w:szCs w:val="18"/>
                <w:color w:val="auto"/>
                <w:w w:val="97"/>
              </w:rPr>
              <w:t>November 28, 2022</w:t>
            </w:r>
          </w:p>
        </w:tc>
      </w:tr>
      <w:tr>
        <w:trPr>
          <w:trHeight w:val="222"/>
        </w:trPr>
        <w:tc>
          <w:tcPr>
            <w:tcW w:w="3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Nancy G. Mistretta</w:t>
            </w:r>
          </w:p>
        </w:tc>
        <w:tc>
          <w:tcPr>
            <w:tcW w:w="2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81"/>
        </w:trPr>
        <w:tc>
          <w:tcPr>
            <w:tcW w:w="35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/s/ BRIAN E. SANDOVAL*</w:t>
            </w:r>
          </w:p>
        </w:tc>
        <w:tc>
          <w:tcPr>
            <w:tcW w:w="4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900" w:type="dxa"/>
            <w:vAlign w:val="bottom"/>
            <w:gridSpan w:val="3"/>
          </w:tcPr>
          <w:p>
            <w:pPr>
              <w:jc w:val="center"/>
              <w:ind w:left="1415"/>
              <w:spacing w:after="0"/>
              <w:rPr>
                <w:sz w:val="20"/>
                <w:szCs w:val="20"/>
                <w:color w:val="auto"/>
              </w:rPr>
            </w:pPr>
            <w:r>
              <w:rPr>
                <w:rFonts w:ascii="Times New Roman" w:cs="Times New Roman" w:eastAsia="Times New Roman" w:hAnsi="Times New Roman"/>
                <w:sz w:val="18"/>
                <w:szCs w:val="18"/>
                <w:color w:val="auto"/>
                <w:w w:val="97"/>
              </w:rPr>
              <w:t>November 28, 2022</w:t>
            </w:r>
          </w:p>
        </w:tc>
      </w:tr>
      <w:tr>
        <w:trPr>
          <w:trHeight w:val="222"/>
        </w:trPr>
        <w:tc>
          <w:tcPr>
            <w:tcW w:w="3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Brian E. Sandoval</w:t>
            </w:r>
          </w:p>
        </w:tc>
        <w:tc>
          <w:tcPr>
            <w:tcW w:w="2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81"/>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PETER E. SHUMLIN*</w:t>
            </w:r>
          </w:p>
        </w:tc>
        <w:tc>
          <w:tcPr>
            <w:tcW w:w="4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900" w:type="dxa"/>
            <w:vAlign w:val="bottom"/>
            <w:gridSpan w:val="3"/>
          </w:tcPr>
          <w:p>
            <w:pPr>
              <w:jc w:val="center"/>
              <w:ind w:left="1415"/>
              <w:spacing w:after="0"/>
              <w:rPr>
                <w:sz w:val="20"/>
                <w:szCs w:val="20"/>
                <w:color w:val="auto"/>
              </w:rPr>
            </w:pPr>
            <w:r>
              <w:rPr>
                <w:rFonts w:ascii="Times New Roman" w:cs="Times New Roman" w:eastAsia="Times New Roman" w:hAnsi="Times New Roman"/>
                <w:sz w:val="18"/>
                <w:szCs w:val="18"/>
                <w:color w:val="auto"/>
                <w:w w:val="97"/>
              </w:rPr>
              <w:t>November 28, 2022</w:t>
            </w:r>
          </w:p>
        </w:tc>
      </w:tr>
      <w:tr>
        <w:trPr>
          <w:trHeight w:val="222"/>
        </w:trPr>
        <w:tc>
          <w:tcPr>
            <w:tcW w:w="3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Peter E. Shumlin</w:t>
            </w:r>
          </w:p>
        </w:tc>
        <w:tc>
          <w:tcPr>
            <w:tcW w:w="2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81"/>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JOHN R. VINES*</w:t>
            </w:r>
          </w:p>
        </w:tc>
        <w:tc>
          <w:tcPr>
            <w:tcW w:w="4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900" w:type="dxa"/>
            <w:vAlign w:val="bottom"/>
            <w:gridSpan w:val="3"/>
          </w:tcPr>
          <w:p>
            <w:pPr>
              <w:jc w:val="center"/>
              <w:ind w:left="1415"/>
              <w:spacing w:after="0"/>
              <w:rPr>
                <w:sz w:val="20"/>
                <w:szCs w:val="20"/>
                <w:color w:val="auto"/>
              </w:rPr>
            </w:pPr>
            <w:r>
              <w:rPr>
                <w:rFonts w:ascii="Times New Roman" w:cs="Times New Roman" w:eastAsia="Times New Roman" w:hAnsi="Times New Roman"/>
                <w:sz w:val="18"/>
                <w:szCs w:val="18"/>
                <w:color w:val="auto"/>
                <w:w w:val="97"/>
              </w:rPr>
              <w:t>November 28, 2022</w:t>
            </w:r>
          </w:p>
        </w:tc>
      </w:tr>
      <w:tr>
        <w:trPr>
          <w:trHeight w:val="222"/>
        </w:trPr>
        <w:tc>
          <w:tcPr>
            <w:tcW w:w="3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John R. Vines</w:t>
            </w:r>
          </w:p>
        </w:tc>
        <w:tc>
          <w:tcPr>
            <w:tcW w:w="2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81"/>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GERALD VOLAS*</w:t>
            </w:r>
          </w:p>
        </w:tc>
        <w:tc>
          <w:tcPr>
            <w:tcW w:w="4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900" w:type="dxa"/>
            <w:vAlign w:val="bottom"/>
            <w:gridSpan w:val="3"/>
          </w:tcPr>
          <w:p>
            <w:pPr>
              <w:jc w:val="center"/>
              <w:ind w:left="1415"/>
              <w:spacing w:after="0"/>
              <w:rPr>
                <w:sz w:val="20"/>
                <w:szCs w:val="20"/>
                <w:color w:val="auto"/>
              </w:rPr>
            </w:pPr>
            <w:r>
              <w:rPr>
                <w:rFonts w:ascii="Times New Roman" w:cs="Times New Roman" w:eastAsia="Times New Roman" w:hAnsi="Times New Roman"/>
                <w:sz w:val="18"/>
                <w:szCs w:val="18"/>
                <w:color w:val="auto"/>
                <w:w w:val="97"/>
              </w:rPr>
              <w:t>November 28, 2022</w:t>
            </w:r>
          </w:p>
        </w:tc>
      </w:tr>
      <w:tr>
        <w:trPr>
          <w:trHeight w:val="222"/>
        </w:trPr>
        <w:tc>
          <w:tcPr>
            <w:tcW w:w="3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Gerald Volas</w:t>
            </w:r>
          </w:p>
        </w:tc>
        <w:tc>
          <w:tcPr>
            <w:tcW w:w="2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r>
    </w:tbl>
    <w:p>
      <w:pPr>
        <w:spacing w:after="0" w:line="306" w:lineRule="exact"/>
        <w:rPr>
          <w:sz w:val="20"/>
          <w:szCs w:val="20"/>
          <w:color w:val="auto"/>
        </w:rPr>
      </w:pPr>
    </w:p>
    <w:p>
      <w:pPr>
        <w:ind w:left="460" w:hanging="437"/>
        <w:spacing w:after="0" w:line="268"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by signing his name hereto, does hereby sign this Report on behalf of each of the directors of the Registrant identified above pursuant to Powers of Attorney executed by the directors identified above, which Powers of Attorney are filed with this Report as exhibits.</w:t>
      </w:r>
    </w:p>
    <w:p>
      <w:pPr>
        <w:spacing w:after="0" w:line="300"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wp:posOffset>
            </wp:positionH>
            <wp:positionV relativeFrom="paragraph">
              <wp:posOffset>13970</wp:posOffset>
            </wp:positionV>
            <wp:extent cx="27959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95905" cy="8255"/>
                    </a:xfrm>
                    <a:prstGeom prst="rect">
                      <a:avLst/>
                    </a:prstGeom>
                    <a:noFill/>
                  </pic:spPr>
                </pic:pic>
              </a:graphicData>
            </a:graphic>
          </wp:anchor>
        </w:drawing>
      </w:r>
    </w:p>
    <w:p>
      <w:pPr>
        <w:spacing w:after="0" w:line="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David C. Evans,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FINANCIAL STATEMENT SCHEDULES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3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1036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auto"/>
              </w:rPr>
              <w:t>Consolidated Financial Statements of The Scotts Miracle-Gro Company and Subsidiaries:</w:t>
            </w: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0360" w:type="dxa"/>
            <w:vAlign w:val="bottom"/>
            <w:gridSpan w:val="12"/>
            <w:vMerge w:val="continue"/>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1004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FF"/>
              </w:rPr>
              <w:t>Annual Report of Management on Internal Control Over Financial Reporting</w:t>
            </w:r>
          </w:p>
        </w:tc>
        <w:tc>
          <w:tcPr>
            <w:tcW w:w="8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0" w:type="dxa"/>
            <w:vAlign w:val="bottom"/>
          </w:tcPr>
          <w:p>
            <w:pPr>
              <w:spacing w:after="0"/>
              <w:rPr>
                <w:sz w:val="17"/>
                <w:szCs w:val="17"/>
                <w:color w:val="auto"/>
              </w:rPr>
            </w:pPr>
          </w:p>
        </w:tc>
        <w:tc>
          <w:tcPr>
            <w:tcW w:w="10040" w:type="dxa"/>
            <w:vAlign w:val="bottom"/>
            <w:gridSpan w:val="11"/>
          </w:tcPr>
          <w:p>
            <w:pPr>
              <w:spacing w:after="0" w:line="203" w:lineRule="exact"/>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3051F2"/>
              </w:rPr>
              <w:t>(PCAOB ID: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34</w:t>
            </w:r>
            <w:r>
              <w:rPr>
                <w:rFonts w:ascii="Times New Roman" w:cs="Times New Roman" w:eastAsia="Times New Roman" w:hAnsi="Times New Roman"/>
                <w:sz w:val="18"/>
                <w:szCs w:val="18"/>
                <w:u w:val="single" w:color="auto"/>
                <w:color w:val="3051F2"/>
              </w:rPr>
              <w:t>)</w:t>
            </w:r>
          </w:p>
        </w:tc>
        <w:tc>
          <w:tcPr>
            <w:tcW w:w="840" w:type="dxa"/>
            <w:vAlign w:val="bottom"/>
            <w:gridSpan w:val="4"/>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rPr>
              <w:t>58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840" w:type="dxa"/>
            <w:vAlign w:val="bottom"/>
            <w:shd w:val="clear" w:color="auto" w:fill="3051F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0" w:type="dxa"/>
            <w:vAlign w:val="bottom"/>
          </w:tcPr>
          <w:p>
            <w:pPr>
              <w:spacing w:after="0"/>
              <w:rPr>
                <w:sz w:val="17"/>
                <w:szCs w:val="17"/>
                <w:color w:val="auto"/>
              </w:rPr>
            </w:pPr>
          </w:p>
        </w:tc>
        <w:tc>
          <w:tcPr>
            <w:tcW w:w="10040" w:type="dxa"/>
            <w:vAlign w:val="bottom"/>
            <w:gridSpan w:val="11"/>
          </w:tcPr>
          <w:p>
            <w:pPr>
              <w:spacing w:after="0" w:line="203" w:lineRule="exact"/>
              <w:rPr>
                <w:sz w:val="20"/>
                <w:szCs w:val="20"/>
                <w:color w:val="auto"/>
              </w:rPr>
            </w:pPr>
            <w:r>
              <w:rPr>
                <w:rFonts w:ascii="Times New Roman" w:cs="Times New Roman" w:eastAsia="Times New Roman" w:hAnsi="Times New Roman"/>
                <w:sz w:val="18"/>
                <w:szCs w:val="18"/>
                <w:color w:val="0000FF"/>
              </w:rPr>
              <w:t>Consolidated Statements of Operations for the fiscal years ended September 30, 2022, 2021 and 2020</w:t>
            </w:r>
          </w:p>
        </w:tc>
        <w:tc>
          <w:tcPr>
            <w:tcW w:w="840" w:type="dxa"/>
            <w:vAlign w:val="bottom"/>
            <w:gridSpan w:val="4"/>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rPr>
              <w:t>62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0" w:type="dxa"/>
            <w:vAlign w:val="bottom"/>
          </w:tcPr>
          <w:p>
            <w:pPr>
              <w:spacing w:after="0"/>
              <w:rPr>
                <w:sz w:val="17"/>
                <w:szCs w:val="17"/>
                <w:color w:val="auto"/>
              </w:rPr>
            </w:pPr>
          </w:p>
        </w:tc>
        <w:tc>
          <w:tcPr>
            <w:tcW w:w="8520" w:type="dxa"/>
            <w:vAlign w:val="bottom"/>
            <w:tcBorders>
              <w:bottom w:val="single" w:sz="8" w:color="0000FF"/>
            </w:tcBorders>
            <w:gridSpan w:val="10"/>
          </w:tcPr>
          <w:p>
            <w:pPr>
              <w:spacing w:after="0" w:line="203" w:lineRule="exact"/>
              <w:rPr>
                <w:sz w:val="20"/>
                <w:szCs w:val="20"/>
                <w:color w:val="auto"/>
              </w:rPr>
            </w:pPr>
            <w:r>
              <w:rPr>
                <w:rFonts w:ascii="Times New Roman" w:cs="Times New Roman" w:eastAsia="Times New Roman" w:hAnsi="Times New Roman"/>
                <w:sz w:val="18"/>
                <w:szCs w:val="18"/>
                <w:color w:val="0000FF"/>
                <w:w w:val="97"/>
              </w:rPr>
              <w:t>Consolidated Statements of Comprehensive Income (Loss) for the fiscal years ended September 30, 2022, 2021 and 2020</w:t>
            </w:r>
          </w:p>
        </w:tc>
        <w:tc>
          <w:tcPr>
            <w:tcW w:w="1520" w:type="dxa"/>
            <w:vAlign w:val="bottom"/>
          </w:tcPr>
          <w:p>
            <w:pPr>
              <w:spacing w:after="0"/>
              <w:rPr>
                <w:sz w:val="17"/>
                <w:szCs w:val="17"/>
                <w:color w:val="auto"/>
              </w:rPr>
            </w:pPr>
          </w:p>
        </w:tc>
        <w:tc>
          <w:tcPr>
            <w:tcW w:w="640" w:type="dxa"/>
            <w:vAlign w:val="bottom"/>
            <w:gridSpan w:val="2"/>
          </w:tcPr>
          <w:p>
            <w:pPr>
              <w:spacing w:after="0"/>
              <w:rPr>
                <w:sz w:val="17"/>
                <w:szCs w:val="17"/>
                <w:color w:val="auto"/>
              </w:rPr>
            </w:pPr>
          </w:p>
        </w:tc>
        <w:tc>
          <w:tcPr>
            <w:tcW w:w="180" w:type="dxa"/>
            <w:vAlign w:val="bottom"/>
            <w:tcBorders>
              <w:bottom w:val="single" w:sz="8" w:color="0000FF"/>
            </w:tcBorders>
          </w:tcPr>
          <w:p>
            <w:pPr>
              <w:jc w:val="right"/>
              <w:spacing w:after="0" w:line="203" w:lineRule="exact"/>
              <w:rPr>
                <w:sz w:val="20"/>
                <w:szCs w:val="20"/>
                <w:color w:val="auto"/>
              </w:rPr>
            </w:pPr>
            <w:r>
              <w:rPr>
                <w:rFonts w:ascii="Times New Roman" w:cs="Times New Roman" w:eastAsia="Times New Roman" w:hAnsi="Times New Roman"/>
                <w:sz w:val="18"/>
                <w:szCs w:val="18"/>
                <w:color w:val="0000FF"/>
                <w:w w:val="88"/>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7180" w:type="dxa"/>
            <w:vAlign w:val="bottom"/>
            <w:tcBorders>
              <w:bottom w:val="single" w:sz="8" w:color="0000FF"/>
            </w:tcBorders>
            <w:gridSpan w:val="8"/>
          </w:tcPr>
          <w:p>
            <w:pPr>
              <w:spacing w:after="0" w:line="203" w:lineRule="exact"/>
              <w:rPr>
                <w:sz w:val="20"/>
                <w:szCs w:val="20"/>
                <w:color w:val="auto"/>
              </w:rPr>
            </w:pPr>
            <w:r>
              <w:rPr>
                <w:rFonts w:ascii="Times New Roman" w:cs="Times New Roman" w:eastAsia="Times New Roman" w:hAnsi="Times New Roman"/>
                <w:sz w:val="18"/>
                <w:szCs w:val="18"/>
                <w:color w:val="0000FF"/>
                <w:w w:val="97"/>
              </w:rPr>
              <w:t>Consolidated Statements of Cash Flows for the fiscal years ended September 30, 2022, 2021 and 2020</w:t>
            </w:r>
          </w:p>
        </w:tc>
        <w:tc>
          <w:tcPr>
            <w:tcW w:w="2860" w:type="dxa"/>
            <w:vAlign w:val="bottom"/>
            <w:gridSpan w:val="3"/>
          </w:tcPr>
          <w:p>
            <w:pPr>
              <w:spacing w:after="0"/>
              <w:rPr>
                <w:sz w:val="17"/>
                <w:szCs w:val="17"/>
                <w:color w:val="auto"/>
              </w:rPr>
            </w:pPr>
          </w:p>
        </w:tc>
        <w:tc>
          <w:tcPr>
            <w:tcW w:w="640" w:type="dxa"/>
            <w:vAlign w:val="bottom"/>
            <w:gridSpan w:val="2"/>
          </w:tcPr>
          <w:p>
            <w:pPr>
              <w:spacing w:after="0"/>
              <w:rPr>
                <w:sz w:val="17"/>
                <w:szCs w:val="17"/>
                <w:color w:val="auto"/>
              </w:rPr>
            </w:pPr>
          </w:p>
        </w:tc>
        <w:tc>
          <w:tcPr>
            <w:tcW w:w="180" w:type="dxa"/>
            <w:vAlign w:val="bottom"/>
            <w:tcBorders>
              <w:bottom w:val="single" w:sz="8" w:color="0000FF"/>
            </w:tcBorders>
          </w:tcPr>
          <w:p>
            <w:pPr>
              <w:jc w:val="right"/>
              <w:spacing w:after="0" w:line="203" w:lineRule="exact"/>
              <w:rPr>
                <w:sz w:val="20"/>
                <w:szCs w:val="20"/>
                <w:color w:val="auto"/>
              </w:rPr>
            </w:pPr>
            <w:r>
              <w:rPr>
                <w:rFonts w:ascii="Times New Roman" w:cs="Times New Roman" w:eastAsia="Times New Roman" w:hAnsi="Times New Roman"/>
                <w:sz w:val="18"/>
                <w:szCs w:val="18"/>
                <w:color w:val="0000FF"/>
                <w:w w:val="88"/>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10040" w:type="dxa"/>
            <w:vAlign w:val="bottom"/>
            <w:gridSpan w:val="11"/>
          </w:tcPr>
          <w:p>
            <w:pPr>
              <w:spacing w:after="0" w:line="203" w:lineRule="exact"/>
              <w:rPr>
                <w:sz w:val="20"/>
                <w:szCs w:val="20"/>
                <w:color w:val="auto"/>
              </w:rPr>
            </w:pPr>
            <w:r>
              <w:rPr>
                <w:rFonts w:ascii="Times New Roman" w:cs="Times New Roman" w:eastAsia="Times New Roman" w:hAnsi="Times New Roman"/>
                <w:sz w:val="18"/>
                <w:szCs w:val="18"/>
                <w:color w:val="0000FF"/>
              </w:rPr>
              <w:t>Consolidated Balance Sheets at September 30, 2022 and 2021</w:t>
            </w:r>
          </w:p>
        </w:tc>
        <w:tc>
          <w:tcPr>
            <w:tcW w:w="840" w:type="dxa"/>
            <w:vAlign w:val="bottom"/>
            <w:gridSpan w:val="4"/>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rPr>
              <w:t>65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0" w:type="dxa"/>
            <w:vAlign w:val="bottom"/>
          </w:tcPr>
          <w:p>
            <w:pPr>
              <w:spacing w:after="0"/>
              <w:rPr>
                <w:sz w:val="17"/>
                <w:szCs w:val="17"/>
                <w:color w:val="auto"/>
              </w:rPr>
            </w:pPr>
          </w:p>
        </w:tc>
        <w:tc>
          <w:tcPr>
            <w:tcW w:w="7840" w:type="dxa"/>
            <w:vAlign w:val="bottom"/>
            <w:tcBorders>
              <w:bottom w:val="single" w:sz="8" w:color="0000FF"/>
            </w:tcBorders>
            <w:gridSpan w:val="9"/>
          </w:tcPr>
          <w:p>
            <w:pPr>
              <w:spacing w:after="0" w:line="203" w:lineRule="exact"/>
              <w:rPr>
                <w:sz w:val="20"/>
                <w:szCs w:val="20"/>
                <w:color w:val="auto"/>
              </w:rPr>
            </w:pPr>
            <w:r>
              <w:rPr>
                <w:rFonts w:ascii="Times New Roman" w:cs="Times New Roman" w:eastAsia="Times New Roman" w:hAnsi="Times New Roman"/>
                <w:sz w:val="18"/>
                <w:szCs w:val="18"/>
                <w:color w:val="0000FF"/>
                <w:w w:val="97"/>
              </w:rPr>
              <w:t>Consolidated Statements of Shareholders’ Equity for the fiscal years ended September 30, 2022, 2021 and 2020</w:t>
            </w:r>
          </w:p>
        </w:tc>
        <w:tc>
          <w:tcPr>
            <w:tcW w:w="2200" w:type="dxa"/>
            <w:vAlign w:val="bottom"/>
            <w:gridSpan w:val="2"/>
          </w:tcPr>
          <w:p>
            <w:pPr>
              <w:spacing w:after="0"/>
              <w:rPr>
                <w:sz w:val="17"/>
                <w:szCs w:val="17"/>
                <w:color w:val="auto"/>
              </w:rPr>
            </w:pPr>
          </w:p>
        </w:tc>
        <w:tc>
          <w:tcPr>
            <w:tcW w:w="640" w:type="dxa"/>
            <w:vAlign w:val="bottom"/>
            <w:gridSpan w:val="2"/>
          </w:tcPr>
          <w:p>
            <w:pPr>
              <w:spacing w:after="0"/>
              <w:rPr>
                <w:sz w:val="17"/>
                <w:szCs w:val="17"/>
                <w:color w:val="auto"/>
              </w:rPr>
            </w:pPr>
          </w:p>
        </w:tc>
        <w:tc>
          <w:tcPr>
            <w:tcW w:w="180" w:type="dxa"/>
            <w:vAlign w:val="bottom"/>
            <w:tcBorders>
              <w:bottom w:val="single" w:sz="8" w:color="0000FF"/>
            </w:tcBorders>
          </w:tcPr>
          <w:p>
            <w:pPr>
              <w:jc w:val="right"/>
              <w:spacing w:after="0" w:line="203" w:lineRule="exact"/>
              <w:rPr>
                <w:sz w:val="20"/>
                <w:szCs w:val="20"/>
                <w:color w:val="auto"/>
              </w:rPr>
            </w:pPr>
            <w:r>
              <w:rPr>
                <w:rFonts w:ascii="Times New Roman" w:cs="Times New Roman" w:eastAsia="Times New Roman" w:hAnsi="Times New Roman"/>
                <w:sz w:val="18"/>
                <w:szCs w:val="18"/>
                <w:color w:val="0000FF"/>
                <w:w w:val="88"/>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10040" w:type="dxa"/>
            <w:vAlign w:val="bottom"/>
            <w:gridSpan w:val="11"/>
          </w:tcPr>
          <w:p>
            <w:pPr>
              <w:spacing w:after="0" w:line="203"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840" w:type="dxa"/>
            <w:vAlign w:val="bottom"/>
            <w:gridSpan w:val="4"/>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rPr>
              <w:t>67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4780" w:type="dxa"/>
            <w:vAlign w:val="bottom"/>
            <w:gridSpan w:val="8"/>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03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Schedules Supporting the Consolidated Financial Statements:</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784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w w:val="96"/>
              </w:rPr>
              <w:t>Schedule II—Valuation and Qualifying Accounts for the fiscal years ended September 30, 2022, 2021 and 2020</w:t>
            </w:r>
          </w:p>
        </w:tc>
        <w:tc>
          <w:tcPr>
            <w:tcW w:w="2200" w:type="dxa"/>
            <w:vAlign w:val="bottom"/>
            <w:gridSpan w:val="2"/>
          </w:tcPr>
          <w:p>
            <w:pPr>
              <w:spacing w:after="0"/>
              <w:rPr>
                <w:sz w:val="16"/>
                <w:szCs w:val="16"/>
                <w:color w:val="auto"/>
              </w:rPr>
            </w:pPr>
          </w:p>
        </w:tc>
        <w:tc>
          <w:tcPr>
            <w:tcW w:w="8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6"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All other financial statement schedules for which provision is made in the applicable accounting regulations of the Securities and Exchange Commission are omitted because they are not required or are not applicable, or the required information has been presented in the Consolidated Financial Statements or Notes thereto.</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4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ANNUAL REPORT OF MANAGEMENT ON INTERNAL</w:t>
      </w:r>
    </w:p>
    <w:p>
      <w:pPr>
        <w:spacing w:after="0" w:line="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CONTROL OVER FINANCIAL REPORTING</w:t>
      </w:r>
    </w:p>
    <w:p>
      <w:pPr>
        <w:spacing w:after="0" w:line="143" w:lineRule="exact"/>
        <w:rPr>
          <w:sz w:val="20"/>
          <w:szCs w:val="20"/>
          <w:color w:val="auto"/>
        </w:rPr>
      </w:pPr>
    </w:p>
    <w:p>
      <w:pPr>
        <w:jc w:val="both"/>
        <w:ind w:right="100" w:firstLine="434"/>
        <w:spacing w:after="0" w:line="24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accounting principles generally accepted in the United States of America. Internal control over financial reporting includes those policies and procedures that (i) pertain to the maintenance of records that, in reasonable detail, accurately and fairly reflect the transactions and dispositions of the assets of The Scotts Miracle-Gro Company and our consolidated subsidiaries; (ii) provide reasonable assurance that transactions are recorded as necessary to permit preparation of financial statements in accordance with accounting principles generally accepted in the United States of America, and that receipts and expenditures of The Scotts Miracle-Gro Company and our consolidated subsidiaries are being made only in accordance with authorizations of management and directors of The Scotts Miracle-Gro Company and our consolidated subsidiaries, as appropriate; and (iii) provide reasonable assurance regarding prevention or timely detection of unauthorized acquisition, use or disposition of the assets of The Scotts Miracle-Gro Company and our consolidated subsidiaries that could have a material effect on our consolidated financial statements.</w:t>
      </w:r>
    </w:p>
    <w:p>
      <w:pPr>
        <w:spacing w:after="0" w:line="139" w:lineRule="exact"/>
        <w:rPr>
          <w:sz w:val="20"/>
          <w:szCs w:val="20"/>
          <w:color w:val="auto"/>
        </w:rPr>
      </w:pPr>
    </w:p>
    <w:p>
      <w:pPr>
        <w:jc w:val="both"/>
        <w:ind w:right="100" w:firstLine="434"/>
        <w:spacing w:after="0" w:line="247" w:lineRule="auto"/>
        <w:rPr>
          <w:sz w:val="20"/>
          <w:szCs w:val="20"/>
          <w:color w:val="auto"/>
        </w:rPr>
      </w:pPr>
      <w:r>
        <w:rPr>
          <w:rFonts w:ascii="Times New Roman" w:cs="Times New Roman" w:eastAsia="Times New Roman" w:hAnsi="Times New Roman"/>
          <w:sz w:val="18"/>
          <w:szCs w:val="18"/>
          <w:color w:val="auto"/>
        </w:rPr>
        <w:t xml:space="preserve">Management, with the participation of our principal executive officer and principal financial officer, assessed the effectiveness of our internal control over financial reporting as of September 30, 2022, the end of our fiscal year. Management based its assessment on criteria established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the Committee of Sponsoring Organizations of the Treadway Commission. Management’s assessment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evaluation of such elements as the design and operating effectiveness of key financial reporting controls, process documentation, accounting policies and our overall control environment. This assessment is supported by testing and monitoring performed under the direction of management. As allowed by the SEC guidance, management excluded from the assessment the internal control over financial reporting at True Liberty Bags, Luxx Lighting, Inc. and S.J. Enterprises PTY LTD, d.b.a. Cyco, which were acquired in fiscal 2022. These acquisitions constituted 1% of total assets and revenues and 0% of net income included in our consolidated financial statements as of and for the fiscal year ended September 30, 2022.</w:t>
      </w:r>
    </w:p>
    <w:p>
      <w:pPr>
        <w:spacing w:after="0" w:line="136" w:lineRule="exact"/>
        <w:rPr>
          <w:sz w:val="20"/>
          <w:szCs w:val="20"/>
          <w:color w:val="auto"/>
        </w:rPr>
      </w:pPr>
    </w:p>
    <w:p>
      <w:pPr>
        <w:jc w:val="both"/>
        <w:ind w:right="100" w:firstLine="434"/>
        <w:spacing w:after="0" w:line="25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evaluations of effectiveness to future periods are subject to the risk that controls may become inadequate because of changes in conditions, or that the degree of compliance with the policies or procedures may deteriorate. Accordingly, even an effective system of internal control over financial reporting will provide only reasonable assurance with respect to financial statement preparation.</w:t>
      </w:r>
    </w:p>
    <w:p>
      <w:pPr>
        <w:spacing w:after="0" w:line="130" w:lineRule="exact"/>
        <w:rPr>
          <w:sz w:val="20"/>
          <w:szCs w:val="20"/>
          <w:color w:val="auto"/>
        </w:rPr>
      </w:pPr>
    </w:p>
    <w:p>
      <w:pPr>
        <w:jc w:val="both"/>
        <w:ind w:right="100" w:firstLine="434"/>
        <w:spacing w:after="0" w:line="252" w:lineRule="auto"/>
        <w:rPr>
          <w:sz w:val="20"/>
          <w:szCs w:val="20"/>
          <w:color w:val="auto"/>
        </w:rPr>
      </w:pPr>
      <w:r>
        <w:rPr>
          <w:rFonts w:ascii="Times New Roman" w:cs="Times New Roman" w:eastAsia="Times New Roman" w:hAnsi="Times New Roman"/>
          <w:sz w:val="18"/>
          <w:szCs w:val="18"/>
          <w:color w:val="auto"/>
        </w:rPr>
        <w:t>Based on our assessment, management has concluded that our internal control over financial reporting was effective as of September 30, 2022, to provide reasonable assurance regarding the reliability of financial reporting and the preparation of financial statements for external reporting purposes in accordance with accounting principles generally accepted in the United States of America. We reviewed the results of management’s assessment with the Audit Committee of the Board of Directors of The Scotts Miracle-Gro Company.</w:t>
      </w:r>
    </w:p>
    <w:p>
      <w:pPr>
        <w:spacing w:after="0" w:line="130" w:lineRule="exact"/>
        <w:rPr>
          <w:sz w:val="20"/>
          <w:szCs w:val="20"/>
          <w:color w:val="auto"/>
        </w:rPr>
      </w:pPr>
    </w:p>
    <w:p>
      <w:pPr>
        <w:jc w:val="both"/>
        <w:ind w:right="100" w:firstLine="434"/>
        <w:spacing w:after="0" w:line="268" w:lineRule="auto"/>
        <w:rPr>
          <w:sz w:val="20"/>
          <w:szCs w:val="20"/>
          <w:color w:val="auto"/>
        </w:rPr>
      </w:pPr>
      <w:r>
        <w:rPr>
          <w:rFonts w:ascii="Times New Roman" w:cs="Times New Roman" w:eastAsia="Times New Roman" w:hAnsi="Times New Roman"/>
          <w:sz w:val="18"/>
          <w:szCs w:val="18"/>
          <w:color w:val="auto"/>
        </w:rPr>
        <w:t>Our independent registered public accounting firm, Deloitte &amp; Touche LLP, independently audited our internal control over financial reporting as of September 30, 2022 and has issued their attestation report which appears herein.</w:t>
      </w:r>
    </w:p>
    <w:p>
      <w:pPr>
        <w:spacing w:after="0" w:line="392" w:lineRule="exact"/>
        <w:rPr>
          <w:sz w:val="20"/>
          <w:szCs w:val="20"/>
          <w:color w:val="auto"/>
        </w:rPr>
      </w:pPr>
    </w:p>
    <w:tbl>
      <w:tblPr>
        <w:tblLayout w:type="fixed"/>
        <w:tblInd w:w="440" w:type="dxa"/>
        <w:tblCellMar>
          <w:top w:w="0" w:type="dxa"/>
          <w:left w:w="0" w:type="dxa"/>
          <w:bottom w:w="0" w:type="dxa"/>
          <w:right w:w="0" w:type="dxa"/>
        </w:tblCellMar>
      </w:tblPr>
      <w:tr>
        <w:trPr>
          <w:trHeight w:val="228"/>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JAMES HAGEDORN</w:t>
            </w: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  DAVID C. EVANS</w:t>
            </w:r>
          </w:p>
        </w:tc>
      </w:tr>
      <w:tr>
        <w:trPr>
          <w:trHeight w:val="212"/>
        </w:trPr>
        <w:tc>
          <w:tcPr>
            <w:tcW w:w="5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James Hagedorn</w:t>
            </w:r>
          </w:p>
        </w:tc>
        <w:tc>
          <w:tcPr>
            <w:tcW w:w="120" w:type="dxa"/>
            <w:vAlign w:val="bottom"/>
          </w:tcPr>
          <w:p>
            <w:pPr>
              <w:spacing w:after="0"/>
              <w:rPr>
                <w:sz w:val="18"/>
                <w:szCs w:val="18"/>
                <w:color w:val="auto"/>
              </w:rPr>
            </w:pPr>
          </w:p>
        </w:tc>
        <w:tc>
          <w:tcPr>
            <w:tcW w:w="5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David C. Evans</w:t>
            </w:r>
          </w:p>
        </w:tc>
      </w:tr>
      <w:tr>
        <w:trPr>
          <w:trHeight w:val="228"/>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76"/>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Dated:    November 28, 2022</w:t>
            </w: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28,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4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15"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We have audited the accompanying consolidated balance sheets of The Scotts Miracle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Gro Company and subsidiaries (the “Company”) as of September 30, 2022 and 2021, the related consolidated statements of operations, comprehensive income (loss), shareholders’ equity, and cash flows, for each of the three years in the period ended September 30, 2022, and the related notes and the schedules listed in the Index at Item 15 (collectively referred to as the “financial statements”). In our opinion, the financial statements present fairly, in all material respects, the financial position of the Company as of September 30, 2022 and 2021, and the results of its operations and its cash flows for each of the three years in the period ended September 30, 2022, in conformity with accounting principles generally accepted in the United States of America.</w:t>
      </w: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September 30, 2022, based on criteria established in Internal Control—Integrated Framework (2013) issued by the Committee of Sponsoring Organizations of the Treadway Commission and our report dated November 28, 2022, expressed an unqualified opinion on the Company’s internal control over financial reporting.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 Impairment — Hawthorne Reporting Unit — Refer to Notes 1 and 5 to the financial statements</w:t>
      </w:r>
      <w:r>
        <w:rPr>
          <w:rFonts w:ascii="Times New Roman" w:cs="Times New Roman" w:eastAsia="Times New Roman" w:hAnsi="Times New Roman"/>
          <w:sz w:val="18"/>
          <w:szCs w:val="18"/>
          <w:i w:val="1"/>
          <w:iCs w:val="1"/>
          <w:color w:val="auto"/>
        </w:rPr>
        <w: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4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Company’s impairment evaluation of its Hawthorne goodwill, tradename finite-lived intangible assets, and customer relationships finite-lived intangible assets involves the comparison of the fair value of each reporting unit or intangible asset to its carrying value. For Hawthorne goodwill, the Company determines the fair value of its reporting unit using a combination of income-based and market-based approaches and incorporates assumptions it believes market participants would utilize. Under the income-based approach, the Company determines fair value using a discounted cash flow approach that requires significant judgment with respect to revenue growth rates based upon annual budgets and longer-range strategic plans and the selection of an appropriate discount rate. Under the market-based approach, the Company determines fair value by comparing its reporting unit to similar businesses or guideline companies whose securities are actively traded in public markets. For the Hawthorne tradename and customer relationships intangible assets the Company determines fair value using an income approach. The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Company used a relief from royalty method for the Hawthorne tradename intangible assets’ fair values and a multi-period excess earnings method to estimate the fair values for the Hawthorne customer relationships intangible assets.</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During the year, management recorded a $522.4 million impairment charge of its Hawthorne reporting unit goodwill and a $145.3 million impairment charge related to the Hawthorne tradenames and customer relationships intangible assets.</w:t>
      </w:r>
    </w:p>
    <w:p>
      <w:pPr>
        <w:spacing w:after="0" w:line="19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Given the significant estimates and assumptions management makes to estimate the fair values of the Hawthorne reporting unit goodwill, tradenames, and customer relationships and the sensitivity of Hawthorne’s operations to changes in the U.S. retail hydroponic market, performing audit procedures to evaluate the reasonableness of management’s estimates and assumptions with respect to the revenue growth rates, royalty rates, and the selection of appropriate discount rates for Hawthorne, required a high degree of auditor judgment and an increased extent of effort, including the need to involve our fair value specialists.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Our audit procedures with respect to revenue growth rates, royalty rates, and the selection of appropriate discount rates for Hawthorne included the following, among others:</w:t>
      </w:r>
    </w:p>
    <w:p>
      <w:pPr>
        <w:spacing w:after="0" w:line="195" w:lineRule="exact"/>
        <w:rPr>
          <w:sz w:val="20"/>
          <w:szCs w:val="20"/>
          <w:color w:val="auto"/>
        </w:rPr>
      </w:pPr>
    </w:p>
    <w:p>
      <w:pPr>
        <w:jc w:val="both"/>
        <w:ind w:left="320" w:hanging="315"/>
        <w:spacing w:after="0" w:line="256" w:lineRule="auto"/>
        <w:tabs>
          <w:tab w:leader="none" w:pos="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management’s goodwill and intangible asset impairment evaluations, including those over the determination of the fair value of Hawthorne goodwill and finite-lived intangible assets, such as controls related to the revenue growth rates, royalty rates, and the selection of appropriate discount rates.</w:t>
      </w:r>
    </w:p>
    <w:p>
      <w:pPr>
        <w:spacing w:after="0" w:line="205" w:lineRule="exact"/>
        <w:rPr>
          <w:rFonts w:ascii="Times New Roman" w:cs="Times New Roman" w:eastAsia="Times New Roman" w:hAnsi="Times New Roman"/>
          <w:sz w:val="18"/>
          <w:szCs w:val="18"/>
          <w:color w:val="auto"/>
        </w:rPr>
      </w:pPr>
    </w:p>
    <w:p>
      <w:pPr>
        <w:jc w:val="both"/>
        <w:ind w:left="320" w:hanging="315"/>
        <w:spacing w:after="0" w:line="256" w:lineRule="auto"/>
        <w:tabs>
          <w:tab w:leader="none" w:pos="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long-term growth rate, including testing the source information underlying the determination of the long-term growth rate, testing the mathematical accuracy of the calculation, and developing a range of independent estimates and comparing those to the long-term growth rate selected by management.</w:t>
      </w:r>
    </w:p>
    <w:p>
      <w:pPr>
        <w:spacing w:after="0" w:line="205" w:lineRule="exact"/>
        <w:rPr>
          <w:rFonts w:ascii="Times New Roman" w:cs="Times New Roman" w:eastAsia="Times New Roman" w:hAnsi="Times New Roman"/>
          <w:sz w:val="18"/>
          <w:szCs w:val="18"/>
          <w:color w:val="auto"/>
        </w:rPr>
      </w:pPr>
    </w:p>
    <w:p>
      <w:pPr>
        <w:jc w:val="both"/>
        <w:ind w:left="320" w:hanging="315"/>
        <w:spacing w:after="0" w:line="252" w:lineRule="auto"/>
        <w:tabs>
          <w:tab w:leader="none" w:pos="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the revenue growth rates by comparing actual results to management’s historical forecasts. Due to the uncertain growth in the U.S. retail hydroponic market, we evaluated the reasonableness of management’s forecasts of the revenue growth rates by comparing the forecasts to (1) the historical results of Hawthorne, (2) internal communications to management and the board of directors, (3) external communications made by management to analysts and investors, and (4) industry reports containing analyses of the Company’s markets.</w:t>
      </w:r>
    </w:p>
    <w:p>
      <w:pPr>
        <w:spacing w:after="0" w:line="208"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considered the impact of changes in the regulatory environment on management’s forecasts of the revenue growth rates.</w:t>
      </w:r>
    </w:p>
    <w:p>
      <w:pPr>
        <w:spacing w:after="0" w:line="239" w:lineRule="exact"/>
        <w:rPr>
          <w:rFonts w:ascii="Times New Roman" w:cs="Times New Roman" w:eastAsia="Times New Roman" w:hAnsi="Times New Roman"/>
          <w:sz w:val="18"/>
          <w:szCs w:val="18"/>
          <w:color w:val="auto"/>
        </w:rPr>
      </w:pPr>
    </w:p>
    <w:p>
      <w:pPr>
        <w:jc w:val="both"/>
        <w:ind w:left="320" w:hanging="315"/>
        <w:spacing w:after="0" w:line="256" w:lineRule="auto"/>
        <w:tabs>
          <w:tab w:leader="none" w:pos="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royalty rates, including testing the source information underlying the determination of the royalty rates, testing the mathematical accuracy of the calculations, and developing a range of independent estimates and comparing those to the royalty rates selected by management.</w:t>
      </w:r>
    </w:p>
    <w:p>
      <w:pPr>
        <w:spacing w:after="0" w:line="205" w:lineRule="exact"/>
        <w:rPr>
          <w:rFonts w:ascii="Times New Roman" w:cs="Times New Roman" w:eastAsia="Times New Roman" w:hAnsi="Times New Roman"/>
          <w:sz w:val="18"/>
          <w:szCs w:val="18"/>
          <w:color w:val="auto"/>
        </w:rPr>
      </w:pPr>
    </w:p>
    <w:p>
      <w:pPr>
        <w:jc w:val="both"/>
        <w:ind w:left="320" w:hanging="315"/>
        <w:spacing w:after="0" w:line="256" w:lineRule="auto"/>
        <w:tabs>
          <w:tab w:leader="none" w:pos="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discount rates, including testing the source information underlying the determination of the discount rates, testing the mathematical accuracy of the calculations, and developing a range of independent estimates and comparing those to the discount rates selected by management.</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Columbus, Ohio</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28, 2022</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have served as the Company’s auditor since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40" w:lineRule="exact"/>
        <w:rPr>
          <w:sz w:val="20"/>
          <w:szCs w:val="20"/>
          <w:color w:val="auto"/>
        </w:rPr>
      </w:pPr>
    </w:p>
    <w:p>
      <w:pPr>
        <w:ind w:right="2620" w:firstLine="2619"/>
        <w:spacing w:after="0" w:line="453"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The Scotts Miracle-Gro Company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The Scotts Miracle-Gro Company and subsidiaries (the “Company”) as of September 30,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September 30,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September 30, 2022, of the Company and our report dated November 28, 2022, expressed an unqualified opinion on those financial statements.</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As described in Annual Report of Management on Internal Control Over Financial Reporting, management excluded from its assessment the internal control over financial reporting at True Liberty Bags, Luxx Lighting, Inc. and S.J. Enterprises PTY LTD, d.b.a. Cyco, which were acquired during the year ended September 30, 2022 and whose financial statements constitute 1% of total assets and revenues and 0% of net income of the consolidated financial statement amounts as of and for the fiscal year ended September 30, 2022. Accordingly, our audit did not include the internal control over financial reporting at True Liberty Bags, Luxx Lighting, Inc. and S.J. Enterprises PTY LTD, d.b.a. Cyco.</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Annual Report of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4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Columbus, Ohio</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28,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4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9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 Ended September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4,131.6</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2,768.6</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7"/>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margin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1,347.0</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(income) loss of unconsolidated affiliates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related to refinancing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7"/>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 from continuing operations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0" w:type="dxa"/>
            <w:vAlign w:val="bottom"/>
          </w:tcPr>
          <w:p>
            <w:pPr>
              <w:spacing w:after="0"/>
              <w:rPr>
                <w:sz w:val="1"/>
                <w:szCs w:val="1"/>
                <w:color w:val="auto"/>
              </w:rPr>
            </w:pPr>
          </w:p>
        </w:tc>
      </w:tr>
      <w:tr>
        <w:trPr>
          <w:trHeight w:val="217"/>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income (loss) per common share: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44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42"/>
        </w:trPr>
        <w:tc>
          <w:tcPr>
            <w:tcW w:w="6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net income (loss) per common share</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income (loss) per common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7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44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42"/>
        </w:trPr>
        <w:tc>
          <w:tcPr>
            <w:tcW w:w="6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 net income (loss) per common share</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4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14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40" w:type="dxa"/>
            <w:vAlign w:val="bottom"/>
            <w:gridSpan w:val="6"/>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000" w:type="dxa"/>
            <w:vAlign w:val="bottom"/>
          </w:tcPr>
          <w:p>
            <w:pPr>
              <w:spacing w:after="0"/>
              <w:rPr>
                <w:sz w:val="16"/>
                <w:szCs w:val="16"/>
                <w:color w:val="auto"/>
              </w:rPr>
            </w:pPr>
          </w:p>
        </w:tc>
      </w:tr>
      <w:tr>
        <w:trPr>
          <w:trHeight w:val="24"/>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7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7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foreign currency translation adjustment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3"/>
        </w:trPr>
        <w:tc>
          <w:tcPr>
            <w:tcW w:w="7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unrealized gain (loss) on derivative instruments, net of tax</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179"/>
        </w:trPr>
        <w:tc>
          <w:tcPr>
            <w:tcW w:w="7060" w:type="dxa"/>
            <w:vAlign w:val="bottom"/>
            <w:shd w:val="clear" w:color="auto" w:fill="CCEEFF"/>
          </w:tcPr>
          <w:p>
            <w:pPr>
              <w:ind w:left="460"/>
              <w:spacing w:after="0" w:line="179" w:lineRule="exact"/>
              <w:rPr>
                <w:sz w:val="20"/>
                <w:szCs w:val="20"/>
                <w:color w:val="auto"/>
              </w:rPr>
            </w:pPr>
            <w:r>
              <w:rPr>
                <w:rFonts w:ascii="Times New Roman" w:cs="Times New Roman" w:eastAsia="Times New Roman" w:hAnsi="Times New Roman"/>
                <w:sz w:val="18"/>
                <w:szCs w:val="18"/>
                <w:color w:val="auto"/>
                <w:w w:val="99"/>
              </w:rPr>
              <w:t>Reclassification of net unrealized (gains) losses on derivative instruments to net income, net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29"/>
        </w:trPr>
        <w:tc>
          <w:tcPr>
            <w:tcW w:w="7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of tax</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7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unrealized loss on securities, net of tax</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unrealized gain (loss) in pension and other post-retirement benefits, net of tax</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3"/>
        </w:trPr>
        <w:tc>
          <w:tcPr>
            <w:tcW w:w="70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Pension and other post-retirement benefit adjustments, net of tax</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controlling interest</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382.2</w:t>
            </w: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6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9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7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6"/>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760" w:type="dxa"/>
            <w:vAlign w:val="bottom"/>
          </w:tcPr>
          <w:p>
            <w:pPr>
              <w:spacing w:after="0"/>
              <w:rPr>
                <w:sz w:val="16"/>
                <w:szCs w:val="16"/>
                <w:color w:val="auto"/>
              </w:rPr>
            </w:pPr>
          </w:p>
        </w:tc>
      </w:tr>
      <w:tr>
        <w:trPr>
          <w:trHeight w:val="24"/>
        </w:trPr>
        <w:tc>
          <w:tcPr>
            <w:tcW w:w="7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4"/>
        </w:trPr>
        <w:tc>
          <w:tcPr>
            <w:tcW w:w="78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8"/>
        </w:trPr>
        <w:tc>
          <w:tcPr>
            <w:tcW w:w="7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(437.5)</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513.4</w:t>
            </w:r>
          </w:p>
        </w:tc>
        <w:tc>
          <w:tcPr>
            <w:tcW w:w="120" w:type="dxa"/>
            <w:vAlign w:val="bottom"/>
          </w:tcPr>
          <w:p>
            <w:pPr>
              <w:spacing w:after="0"/>
              <w:rPr>
                <w:sz w:val="18"/>
                <w:szCs w:val="18"/>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388.6</w:t>
            </w:r>
          </w:p>
        </w:tc>
      </w:tr>
      <w:tr>
        <w:trPr>
          <w:trHeight w:val="212"/>
        </w:trPr>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(loss) to net cash (used in) provided by operating activities: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8"/>
        </w:trPr>
        <w:tc>
          <w:tcPr>
            <w:tcW w:w="78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Impairment, restructuring and other</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Costs related to refinancing</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08"/>
        </w:trPr>
        <w:tc>
          <w:tcPr>
            <w:tcW w:w="78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w:t>
            </w:r>
          </w:p>
        </w:tc>
      </w:tr>
      <w:tr>
        <w:trPr>
          <w:trHeight w:val="212"/>
        </w:trPr>
        <w:tc>
          <w:tcPr>
            <w:tcW w:w="7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Depreciation</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r>
      <w:tr>
        <w:trPr>
          <w:trHeight w:val="208"/>
        </w:trPr>
        <w:tc>
          <w:tcPr>
            <w:tcW w:w="78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Amortization</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r>
      <w:tr>
        <w:trPr>
          <w:trHeight w:val="212"/>
        </w:trPr>
        <w:tc>
          <w:tcPr>
            <w:tcW w:w="7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Deferred taxes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08"/>
        </w:trPr>
        <w:tc>
          <w:tcPr>
            <w:tcW w:w="78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Equity in (income) loss of unconsolidated affiliates, net of distributions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08"/>
        </w:trPr>
        <w:tc>
          <w:tcPr>
            <w:tcW w:w="78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Changes in assets and liabilities, net of acquisitions: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78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w:t>
            </w:r>
          </w:p>
        </w:tc>
      </w:tr>
      <w:tr>
        <w:trPr>
          <w:trHeight w:val="208"/>
        </w:trPr>
        <w:tc>
          <w:tcPr>
            <w:tcW w:w="78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w:t>
            </w:r>
          </w:p>
        </w:tc>
      </w:tr>
      <w:tr>
        <w:trPr>
          <w:trHeight w:val="212"/>
        </w:trPr>
        <w:tc>
          <w:tcPr>
            <w:tcW w:w="78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Prepaid and other assets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r>
      <w:tr>
        <w:trPr>
          <w:trHeight w:val="208"/>
        </w:trPr>
        <w:tc>
          <w:tcPr>
            <w:tcW w:w="78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w:t>
            </w:r>
          </w:p>
        </w:tc>
      </w:tr>
      <w:tr>
        <w:trPr>
          <w:trHeight w:val="212"/>
        </w:trPr>
        <w:tc>
          <w:tcPr>
            <w:tcW w:w="78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w:t>
            </w:r>
          </w:p>
        </w:tc>
      </w:tr>
      <w:tr>
        <w:trPr>
          <w:trHeight w:val="208"/>
        </w:trPr>
        <w:tc>
          <w:tcPr>
            <w:tcW w:w="78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Other non-current items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r>
      <w:tr>
        <w:trPr>
          <w:trHeight w:val="212"/>
        </w:trPr>
        <w:tc>
          <w:tcPr>
            <w:tcW w:w="78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02"/>
        </w:trPr>
        <w:tc>
          <w:tcPr>
            <w:tcW w:w="7860" w:type="dxa"/>
            <w:vAlign w:val="bottom"/>
            <w:tcBorders>
              <w:bottom w:val="single" w:sz="8" w:color="CCEEFF"/>
            </w:tcBorders>
          </w:tcPr>
          <w:p>
            <w:pPr>
              <w:ind w:left="126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271.5</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558.0</w:t>
            </w:r>
          </w:p>
        </w:tc>
      </w:tr>
      <w:tr>
        <w:trPr>
          <w:trHeight w:val="192"/>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08"/>
        </w:trPr>
        <w:tc>
          <w:tcPr>
            <w:tcW w:w="7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sale of long-lived assets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2"/>
        </w:trPr>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Investments in property, plant and equipment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w:t>
            </w:r>
          </w:p>
        </w:tc>
      </w:tr>
      <w:tr>
        <w:trPr>
          <w:trHeight w:val="208"/>
        </w:trPr>
        <w:tc>
          <w:tcPr>
            <w:tcW w:w="7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Investments in loans receivable</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2"/>
        </w:trPr>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sale of brand extension assets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w:t>
            </w:r>
          </w:p>
        </w:tc>
      </w:tr>
      <w:tr>
        <w:trPr>
          <w:trHeight w:val="208"/>
        </w:trPr>
        <w:tc>
          <w:tcPr>
            <w:tcW w:w="7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Payment for acquisitions, net of cash acquired</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 of convertible debt investments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investing, net</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2"/>
        </w:trPr>
        <w:tc>
          <w:tcPr>
            <w:tcW w:w="7860" w:type="dxa"/>
            <w:vAlign w:val="bottom"/>
            <w:tcBorders>
              <w:bottom w:val="single" w:sz="8" w:color="CCEEFF"/>
            </w:tcBorders>
          </w:tcPr>
          <w:p>
            <w:pPr>
              <w:ind w:left="126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(538.6)</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w:t>
            </w:r>
          </w:p>
        </w:tc>
      </w:tr>
      <w:tr>
        <w:trPr>
          <w:trHeight w:val="192"/>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08"/>
        </w:trPr>
        <w:tc>
          <w:tcPr>
            <w:tcW w:w="7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Borrowings under revolving and bank lines of credit and term loans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1,222.7</w:t>
            </w:r>
          </w:p>
        </w:tc>
      </w:tr>
      <w:tr>
        <w:trPr>
          <w:trHeight w:val="212"/>
        </w:trPr>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Repayments under revolving and bank lines of credit and term loans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(1,413.8)</w:t>
            </w:r>
          </w:p>
        </w:tc>
      </w:tr>
      <w:tr>
        <w:trPr>
          <w:trHeight w:val="223"/>
        </w:trPr>
        <w:tc>
          <w:tcPr>
            <w:tcW w:w="7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issuance of 4.000% Senior Notes</w:t>
            </w: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issuance of 4.375% Senior Notes</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8"/>
        </w:trPr>
        <w:tc>
          <w:tcPr>
            <w:tcW w:w="7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issuance of 4.500% Senior Notes</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w:t>
            </w:r>
          </w:p>
        </w:tc>
      </w:tr>
      <w:tr>
        <w:trPr>
          <w:trHeight w:val="212"/>
        </w:trPr>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Repayment of 6.000% Senior Notes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r>
      <w:tr>
        <w:trPr>
          <w:trHeight w:val="208"/>
        </w:trPr>
        <w:tc>
          <w:tcPr>
            <w:tcW w:w="7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Financing and issuance fees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12"/>
        </w:trPr>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Dividends paid</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(411.2)</w:t>
            </w:r>
          </w:p>
        </w:tc>
      </w:tr>
      <w:tr>
        <w:trPr>
          <w:trHeight w:val="208"/>
        </w:trPr>
        <w:tc>
          <w:tcPr>
            <w:tcW w:w="7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 of Common Shares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r>
      <w:tr>
        <w:trPr>
          <w:trHeight w:val="212"/>
        </w:trPr>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Payments on seller notes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08"/>
        </w:trPr>
        <w:tc>
          <w:tcPr>
            <w:tcW w:w="7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received from exercise of stock options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12"/>
        </w:trPr>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Acquisition of noncontrolling interests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7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financing, net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860" w:type="dxa"/>
            <w:vAlign w:val="bottom"/>
            <w:tcBorders>
              <w:top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494.0</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(607.1)</w:t>
            </w:r>
          </w:p>
        </w:tc>
      </w:tr>
      <w:tr>
        <w:trPr>
          <w:trHeight w:val="202"/>
        </w:trPr>
        <w:tc>
          <w:tcPr>
            <w:tcW w:w="7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8"/>
        </w:trPr>
        <w:tc>
          <w:tcPr>
            <w:tcW w:w="7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228"/>
        </w:trPr>
        <w:tc>
          <w:tcPr>
            <w:tcW w:w="7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end of year</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4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9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6"/>
                <w:szCs w:val="16"/>
                <w:color w:val="auto"/>
              </w:rPr>
            </w:pPr>
          </w:p>
        </w:tc>
      </w:tr>
      <w:tr>
        <w:trPr>
          <w:trHeight w:val="24"/>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8240" w:type="dxa"/>
            <w:vAlign w:val="bottom"/>
            <w:shd w:val="clear" w:color="auto" w:fill="CCEEFF"/>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w:t>
            </w:r>
          </w:p>
        </w:tc>
      </w:tr>
      <w:tr>
        <w:trPr>
          <w:trHeight w:val="223"/>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less allowances of $14.4 in 2022 and $16.8 in 2021</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w:t>
            </w:r>
          </w:p>
        </w:tc>
      </w:tr>
      <w:tr>
        <w:trPr>
          <w:trHeight w:val="22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pledged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1,126.6</w:t>
            </w:r>
          </w:p>
        </w:tc>
      </w:tr>
      <w:tr>
        <w:trPr>
          <w:trHeight w:val="22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w:t>
            </w:r>
          </w:p>
        </w:tc>
      </w:tr>
      <w:tr>
        <w:trPr>
          <w:trHeight w:val="217"/>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2,024.0</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unconsolidated affiliates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622.2</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709.6</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w:t>
            </w:r>
          </w:p>
        </w:tc>
      </w:tr>
      <w:tr>
        <w:trPr>
          <w:trHeight w:val="217"/>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4,296.8</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4,800.0</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0"/>
        </w:trPr>
        <w:tc>
          <w:tcPr>
            <w:tcW w:w="8240" w:type="dxa"/>
            <w:vAlign w:val="bottom"/>
            <w:shd w:val="clear" w:color="auto" w:fill="CCEEFF"/>
          </w:tcPr>
          <w:p>
            <w:pPr>
              <w:ind w:left="4500"/>
              <w:spacing w:after="0" w:line="189"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debt</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23"/>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609.4</w:t>
            </w:r>
          </w:p>
        </w:tc>
      </w:tr>
      <w:tr>
        <w:trPr>
          <w:trHeight w:val="22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w:t>
            </w:r>
          </w:p>
        </w:tc>
      </w:tr>
      <w:tr>
        <w:trPr>
          <w:trHeight w:val="217"/>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1,140.4</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2,236.7</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409.6</w:t>
            </w:r>
          </w:p>
        </w:tc>
      </w:tr>
      <w:tr>
        <w:trPr>
          <w:trHeight w:val="217"/>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3,786.7</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(Notes 18, 19 and 20)</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171"/>
        </w:trPr>
        <w:tc>
          <w:tcPr>
            <w:tcW w:w="8240" w:type="dxa"/>
            <w:vAlign w:val="bottom"/>
          </w:tcPr>
          <w:p>
            <w:pPr>
              <w:ind w:left="340"/>
              <w:spacing w:after="0" w:line="171" w:lineRule="exact"/>
              <w:rPr>
                <w:sz w:val="20"/>
                <w:szCs w:val="20"/>
                <w:color w:val="auto"/>
              </w:rPr>
            </w:pPr>
            <w:r>
              <w:rPr>
                <w:rFonts w:ascii="Times New Roman" w:cs="Times New Roman" w:eastAsia="Times New Roman" w:hAnsi="Times New Roman"/>
                <w:sz w:val="18"/>
                <w:szCs w:val="18"/>
                <w:color w:val="auto"/>
              </w:rPr>
              <w:t>Common shares and capital in excess of $0.01 stated value per share; shares outstanding of 55.5 and 55.6,</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36"/>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w:t>
            </w:r>
          </w:p>
        </w:tc>
      </w:tr>
      <w:tr>
        <w:trPr>
          <w:trHeight w:val="224"/>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1,605.1</w:t>
            </w:r>
          </w:p>
        </w:tc>
      </w:tr>
      <w:tr>
        <w:trPr>
          <w:trHeight w:val="223"/>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Treasury shares, at cost; 12.8 and 12.6 shares, respectively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(1,002.4)</w:t>
            </w:r>
          </w:p>
        </w:tc>
      </w:tr>
      <w:tr>
        <w:trPr>
          <w:trHeight w:val="22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17"/>
        </w:trPr>
        <w:tc>
          <w:tcPr>
            <w:tcW w:w="82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equity</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1,013.3</w:t>
            </w:r>
          </w:p>
        </w:tc>
      </w:tr>
      <w:tr>
        <w:trPr>
          <w:trHeight w:val="242"/>
        </w:trPr>
        <w:tc>
          <w:tcPr>
            <w:tcW w:w="82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4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9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440" w:type="dxa"/>
            <w:vAlign w:val="bottom"/>
          </w:tcPr>
          <w:p>
            <w:pPr>
              <w:spacing w:after="0"/>
              <w:rPr>
                <w:sz w:val="14"/>
                <w:szCs w:val="14"/>
                <w:color w:val="auto"/>
              </w:rPr>
            </w:pPr>
          </w:p>
        </w:tc>
        <w:tc>
          <w:tcPr>
            <w:tcW w:w="1520" w:type="dxa"/>
            <w:vAlign w:val="bottom"/>
            <w:gridSpan w:val="5"/>
          </w:tcPr>
          <w:p>
            <w:pPr>
              <w:ind w:left="280"/>
              <w:spacing w:after="0"/>
              <w:rPr>
                <w:sz w:val="20"/>
                <w:szCs w:val="20"/>
                <w:color w:val="auto"/>
              </w:rPr>
            </w:pPr>
            <w:r>
              <w:rPr>
                <w:rFonts w:ascii="Times New Roman" w:cs="Times New Roman" w:eastAsia="Times New Roman" w:hAnsi="Times New Roman"/>
                <w:sz w:val="12"/>
                <w:szCs w:val="12"/>
                <w:b w:val="1"/>
                <w:bCs w:val="1"/>
                <w:color w:val="auto"/>
              </w:rPr>
              <w:t>Common Shares</w:t>
            </w:r>
          </w:p>
        </w:tc>
        <w:tc>
          <w:tcPr>
            <w:tcW w:w="10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Capital in</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Treasury Shares</w:t>
            </w: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Non-</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244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gridSpan w:val="2"/>
          </w:tcPr>
          <w:p>
            <w:pPr>
              <w:jc w:val="center"/>
              <w:ind w:right="200"/>
              <w:spacing w:after="0" w:line="59" w:lineRule="exact"/>
              <w:rPr>
                <w:sz w:val="20"/>
                <w:szCs w:val="20"/>
                <w:color w:val="auto"/>
              </w:rPr>
            </w:pPr>
            <w:r>
              <w:rPr>
                <w:rFonts w:ascii="Times New Roman" w:cs="Times New Roman" w:eastAsia="Times New Roman" w:hAnsi="Times New Roman"/>
                <w:sz w:val="6"/>
                <w:szCs w:val="6"/>
                <w:b w:val="1"/>
                <w:bCs w:val="1"/>
                <w:color w:val="auto"/>
              </w:rPr>
              <w:t>Excess of</w:t>
            </w:r>
          </w:p>
        </w:tc>
        <w:tc>
          <w:tcPr>
            <w:tcW w:w="140" w:type="dxa"/>
            <w:vAlign w:val="bottom"/>
          </w:tcPr>
          <w:p>
            <w:pPr>
              <w:spacing w:after="0"/>
              <w:rPr>
                <w:sz w:val="5"/>
                <w:szCs w:val="5"/>
                <w:color w:val="auto"/>
              </w:rPr>
            </w:pPr>
          </w:p>
        </w:tc>
        <w:tc>
          <w:tcPr>
            <w:tcW w:w="780" w:type="dxa"/>
            <w:vAlign w:val="bottom"/>
            <w:gridSpan w:val="2"/>
          </w:tcPr>
          <w:p>
            <w:pPr>
              <w:ind w:left="40"/>
              <w:spacing w:after="0" w:line="59" w:lineRule="exact"/>
              <w:rPr>
                <w:sz w:val="20"/>
                <w:szCs w:val="20"/>
                <w:color w:val="auto"/>
              </w:rPr>
            </w:pPr>
            <w:r>
              <w:rPr>
                <w:rFonts w:ascii="Times New Roman" w:cs="Times New Roman" w:eastAsia="Times New Roman" w:hAnsi="Times New Roman"/>
                <w:sz w:val="6"/>
                <w:szCs w:val="6"/>
                <w:b w:val="1"/>
                <w:bCs w:val="1"/>
                <w:color w:val="auto"/>
              </w:rPr>
              <w:t>Retained</w:t>
            </w: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gridSpan w:val="2"/>
          </w:tcPr>
          <w:p>
            <w:pPr>
              <w:jc w:val="center"/>
              <w:ind w:right="260"/>
              <w:spacing w:after="0" w:line="59" w:lineRule="exact"/>
              <w:rPr>
                <w:sz w:val="20"/>
                <w:szCs w:val="20"/>
                <w:color w:val="auto"/>
              </w:rPr>
            </w:pPr>
            <w:r>
              <w:rPr>
                <w:rFonts w:ascii="Times New Roman" w:cs="Times New Roman" w:eastAsia="Times New Roman" w:hAnsi="Times New Roman"/>
                <w:sz w:val="6"/>
                <w:szCs w:val="6"/>
                <w:b w:val="1"/>
                <w:bCs w:val="1"/>
                <w:color w:val="auto"/>
              </w:rPr>
              <w:t>Comprehensive</w:t>
            </w: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tcPr>
          <w:p>
            <w:pPr>
              <w:jc w:val="center"/>
              <w:ind w:right="220"/>
              <w:spacing w:after="0" w:line="59" w:lineRule="exact"/>
              <w:rPr>
                <w:sz w:val="20"/>
                <w:szCs w:val="20"/>
                <w:color w:val="auto"/>
              </w:rPr>
            </w:pPr>
            <w:r>
              <w:rPr>
                <w:rFonts w:ascii="Times New Roman" w:cs="Times New Roman" w:eastAsia="Times New Roman" w:hAnsi="Times New Roman"/>
                <w:sz w:val="6"/>
                <w:szCs w:val="6"/>
                <w:b w:val="1"/>
                <w:bCs w:val="1"/>
                <w:color w:val="auto"/>
              </w:rPr>
              <w:t>controlling</w:t>
            </w: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2440" w:type="dxa"/>
            <w:vAlign w:val="bottom"/>
          </w:tcPr>
          <w:p>
            <w:pPr>
              <w:spacing w:after="0"/>
              <w:rPr>
                <w:sz w:val="15"/>
                <w:szCs w:val="15"/>
                <w:color w:val="auto"/>
              </w:rPr>
            </w:pP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Stated Value</w:t>
            </w:r>
          </w:p>
        </w:tc>
        <w:tc>
          <w:tcPr>
            <w:tcW w:w="14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6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0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Interest</w:t>
            </w:r>
          </w:p>
        </w:tc>
        <w:tc>
          <w:tcPr>
            <w:tcW w:w="160" w:type="dxa"/>
            <w:vAlign w:val="bottom"/>
          </w:tcPr>
          <w:p>
            <w:pPr>
              <w:spacing w:after="0"/>
              <w:rPr>
                <w:sz w:val="15"/>
                <w:szCs w:val="15"/>
                <w:color w:val="auto"/>
              </w:rPr>
            </w:pPr>
          </w:p>
        </w:tc>
        <w:tc>
          <w:tcPr>
            <w:tcW w:w="620" w:type="dxa"/>
            <w:vAlign w:val="bottom"/>
          </w:tcPr>
          <w:p>
            <w:pPr>
              <w:jc w:val="right"/>
              <w:ind w:right="19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97"/>
        </w:trPr>
        <w:tc>
          <w:tcPr>
            <w:tcW w:w="2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2019</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1,274.7</w:t>
            </w: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723.2</w:t>
            </w:r>
          </w:p>
        </w:tc>
        <w:tc>
          <w:tcPr>
            <w:tcW w:w="0" w:type="dxa"/>
            <w:vAlign w:val="bottom"/>
          </w:tcPr>
          <w:p>
            <w:pPr>
              <w:spacing w:after="0"/>
              <w:rPr>
                <w:sz w:val="1"/>
                <w:szCs w:val="1"/>
                <w:color w:val="auto"/>
              </w:rPr>
            </w:pPr>
          </w:p>
        </w:tc>
      </w:tr>
      <w:tr>
        <w:trPr>
          <w:trHeight w:val="190"/>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387.4</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388.6</w:t>
            </w:r>
          </w:p>
        </w:tc>
        <w:tc>
          <w:tcPr>
            <w:tcW w:w="0" w:type="dxa"/>
            <w:vAlign w:val="bottom"/>
          </w:tcPr>
          <w:p>
            <w:pPr>
              <w:spacing w:after="0"/>
              <w:rPr>
                <w:sz w:val="1"/>
                <w:szCs w:val="1"/>
                <w:color w:val="auto"/>
              </w:rPr>
            </w:pPr>
          </w:p>
        </w:tc>
      </w:tr>
      <w:tr>
        <w:trPr>
          <w:trHeight w:val="204"/>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90"/>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0" w:type="dxa"/>
            <w:vAlign w:val="bottom"/>
          </w:tcPr>
          <w:p>
            <w:pPr>
              <w:spacing w:after="0"/>
              <w:rPr>
                <w:sz w:val="1"/>
                <w:szCs w:val="1"/>
                <w:color w:val="auto"/>
              </w:rPr>
            </w:pPr>
          </w:p>
        </w:tc>
      </w:tr>
      <w:tr>
        <w:trPr>
          <w:trHeight w:val="204"/>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($7.36 per share)</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(426.5)</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(426.5)</w:t>
            </w:r>
          </w:p>
        </w:tc>
        <w:tc>
          <w:tcPr>
            <w:tcW w:w="0" w:type="dxa"/>
            <w:vAlign w:val="bottom"/>
          </w:tcPr>
          <w:p>
            <w:pPr>
              <w:spacing w:after="0"/>
              <w:rPr>
                <w:sz w:val="1"/>
                <w:szCs w:val="1"/>
                <w:color w:val="auto"/>
              </w:rPr>
            </w:pPr>
          </w:p>
        </w:tc>
      </w:tr>
      <w:tr>
        <w:trPr>
          <w:trHeight w:val="190"/>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share purchases</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0" w:type="dxa"/>
            <w:vAlign w:val="bottom"/>
          </w:tcPr>
          <w:p>
            <w:pPr>
              <w:spacing w:after="0"/>
              <w:rPr>
                <w:sz w:val="1"/>
                <w:szCs w:val="1"/>
                <w:color w:val="auto"/>
              </w:rPr>
            </w:pPr>
          </w:p>
        </w:tc>
      </w:tr>
      <w:tr>
        <w:trPr>
          <w:trHeight w:val="204"/>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share issuances</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0" w:type="dxa"/>
            <w:vAlign w:val="bottom"/>
          </w:tcPr>
          <w:p>
            <w:pPr>
              <w:spacing w:after="0"/>
              <w:rPr>
                <w:sz w:val="1"/>
                <w:szCs w:val="1"/>
                <w:color w:val="auto"/>
              </w:rPr>
            </w:pPr>
          </w:p>
        </w:tc>
      </w:tr>
      <w:tr>
        <w:trPr>
          <w:trHeight w:val="183"/>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2020</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482.2</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1,235.6</w:t>
            </w:r>
          </w:p>
        </w:tc>
        <w:tc>
          <w:tcPr>
            <w:tcW w:w="100" w:type="dxa"/>
            <w:vAlign w:val="bottom"/>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(921.8)</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(99.1)</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697.2</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702.9</w:t>
            </w:r>
          </w:p>
        </w:tc>
        <w:tc>
          <w:tcPr>
            <w:tcW w:w="0" w:type="dxa"/>
            <w:vAlign w:val="bottom"/>
          </w:tcPr>
          <w:p>
            <w:pPr>
              <w:spacing w:after="0"/>
              <w:rPr>
                <w:sz w:val="1"/>
                <w:szCs w:val="1"/>
                <w:color w:val="auto"/>
              </w:rPr>
            </w:pPr>
          </w:p>
        </w:tc>
      </w:tr>
      <w:tr>
        <w:trPr>
          <w:trHeight w:val="204"/>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512.5</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513.4</w:t>
            </w:r>
          </w:p>
        </w:tc>
        <w:tc>
          <w:tcPr>
            <w:tcW w:w="0" w:type="dxa"/>
            <w:vAlign w:val="bottom"/>
          </w:tcPr>
          <w:p>
            <w:pPr>
              <w:spacing w:after="0"/>
              <w:rPr>
                <w:sz w:val="1"/>
                <w:szCs w:val="1"/>
                <w:color w:val="auto"/>
              </w:rPr>
            </w:pPr>
          </w:p>
        </w:tc>
      </w:tr>
      <w:tr>
        <w:trPr>
          <w:trHeight w:val="190"/>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204"/>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0" w:type="dxa"/>
            <w:vAlign w:val="bottom"/>
          </w:tcPr>
          <w:p>
            <w:pPr>
              <w:spacing w:after="0"/>
              <w:rPr>
                <w:sz w:val="1"/>
                <w:szCs w:val="1"/>
                <w:color w:val="auto"/>
              </w:rPr>
            </w:pPr>
          </w:p>
        </w:tc>
      </w:tr>
      <w:tr>
        <w:trPr>
          <w:trHeight w:val="190"/>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 ($2.52 per share)</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0" w:type="dxa"/>
            <w:vAlign w:val="bottom"/>
          </w:tcPr>
          <w:p>
            <w:pPr>
              <w:spacing w:after="0"/>
              <w:rPr>
                <w:sz w:val="1"/>
                <w:szCs w:val="1"/>
                <w:color w:val="auto"/>
              </w:rPr>
            </w:pPr>
          </w:p>
        </w:tc>
      </w:tr>
      <w:tr>
        <w:trPr>
          <w:trHeight w:val="204"/>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share purchases</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0" w:type="dxa"/>
            <w:vAlign w:val="bottom"/>
          </w:tcPr>
          <w:p>
            <w:pPr>
              <w:spacing w:after="0"/>
              <w:rPr>
                <w:sz w:val="1"/>
                <w:szCs w:val="1"/>
                <w:color w:val="auto"/>
              </w:rPr>
            </w:pPr>
          </w:p>
        </w:tc>
      </w:tr>
      <w:tr>
        <w:trPr>
          <w:trHeight w:val="190"/>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share issuances</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139"/>
        </w:trPr>
        <w:tc>
          <w:tcPr>
            <w:tcW w:w="24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Acquisition of remaining noncontrolling</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197"/>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 AeroGrow</w:t>
            </w: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2021</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476.7</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1,605.1</w:t>
            </w:r>
          </w:p>
        </w:tc>
        <w:tc>
          <w:tcPr>
            <w:tcW w:w="100" w:type="dxa"/>
            <w:vAlign w:val="bottom"/>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(1,002.4)</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1,013.3</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1,013.3</w:t>
            </w:r>
          </w:p>
        </w:tc>
        <w:tc>
          <w:tcPr>
            <w:tcW w:w="0" w:type="dxa"/>
            <w:vAlign w:val="bottom"/>
          </w:tcPr>
          <w:p>
            <w:pPr>
              <w:spacing w:after="0"/>
              <w:rPr>
                <w:sz w:val="1"/>
                <w:szCs w:val="1"/>
                <w:color w:val="auto"/>
              </w:rPr>
            </w:pPr>
          </w:p>
        </w:tc>
      </w:tr>
      <w:tr>
        <w:trPr>
          <w:trHeight w:val="204"/>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(437.5)</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(437.5)</w:t>
            </w:r>
          </w:p>
        </w:tc>
        <w:tc>
          <w:tcPr>
            <w:tcW w:w="0" w:type="dxa"/>
            <w:vAlign w:val="bottom"/>
          </w:tcPr>
          <w:p>
            <w:pPr>
              <w:spacing w:after="0"/>
              <w:rPr>
                <w:sz w:val="1"/>
                <w:szCs w:val="1"/>
                <w:color w:val="auto"/>
              </w:rPr>
            </w:pPr>
          </w:p>
        </w:tc>
      </w:tr>
      <w:tr>
        <w:trPr>
          <w:trHeight w:val="190"/>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0" w:type="dxa"/>
            <w:vAlign w:val="bottom"/>
          </w:tcPr>
          <w:p>
            <w:pPr>
              <w:spacing w:after="0"/>
              <w:rPr>
                <w:sz w:val="1"/>
                <w:szCs w:val="1"/>
                <w:color w:val="auto"/>
              </w:rPr>
            </w:pPr>
          </w:p>
        </w:tc>
      </w:tr>
      <w:tr>
        <w:trPr>
          <w:trHeight w:val="204"/>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0" w:type="dxa"/>
            <w:vAlign w:val="bottom"/>
          </w:tcPr>
          <w:p>
            <w:pPr>
              <w:spacing w:after="0"/>
              <w:rPr>
                <w:sz w:val="1"/>
                <w:szCs w:val="1"/>
                <w:color w:val="auto"/>
              </w:rPr>
            </w:pPr>
          </w:p>
        </w:tc>
      </w:tr>
      <w:tr>
        <w:trPr>
          <w:trHeight w:val="190"/>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 ($2.64 per share)</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w:t>
            </w:r>
          </w:p>
        </w:tc>
        <w:tc>
          <w:tcPr>
            <w:tcW w:w="0" w:type="dxa"/>
            <w:vAlign w:val="bottom"/>
          </w:tcPr>
          <w:p>
            <w:pPr>
              <w:spacing w:after="0"/>
              <w:rPr>
                <w:sz w:val="1"/>
                <w:szCs w:val="1"/>
                <w:color w:val="auto"/>
              </w:rPr>
            </w:pPr>
          </w:p>
        </w:tc>
      </w:tr>
      <w:tr>
        <w:trPr>
          <w:trHeight w:val="204"/>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share purchases</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(257.9)</w:t>
            </w:r>
          </w:p>
        </w:tc>
        <w:tc>
          <w:tcPr>
            <w:tcW w:w="0" w:type="dxa"/>
            <w:vAlign w:val="bottom"/>
          </w:tcPr>
          <w:p>
            <w:pPr>
              <w:spacing w:after="0"/>
              <w:rPr>
                <w:sz w:val="1"/>
                <w:szCs w:val="1"/>
                <w:color w:val="auto"/>
              </w:rPr>
            </w:pPr>
          </w:p>
        </w:tc>
      </w:tr>
      <w:tr>
        <w:trPr>
          <w:trHeight w:val="190"/>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share issuances</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0" w:type="dxa"/>
            <w:vAlign w:val="bottom"/>
          </w:tcPr>
          <w:p>
            <w:pPr>
              <w:spacing w:after="0"/>
              <w:rPr>
                <w:sz w:val="1"/>
                <w:szCs w:val="1"/>
                <w:color w:val="auto"/>
              </w:rPr>
            </w:pPr>
          </w:p>
        </w:tc>
      </w:tr>
      <w:tr>
        <w:trPr>
          <w:trHeight w:val="215"/>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2022</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1,020.1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sum of the components may not equal due to rounding.</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tbl>
      <w:tblPr>
        <w:tblLayout w:type="fixed"/>
        <w:tblInd w:w="20" w:type="dxa"/>
        <w:tblCellMar>
          <w:top w:w="0" w:type="dxa"/>
          <w:left w:w="0" w:type="dxa"/>
          <w:bottom w:w="0" w:type="dxa"/>
          <w:right w:w="0" w:type="dxa"/>
        </w:tblCellMar>
      </w:tblPr>
      <w:tr>
        <w:trPr>
          <w:trHeight w:val="212"/>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5740" w:type="dxa"/>
            <w:vAlign w:val="bottom"/>
          </w:tcPr>
          <w:p>
            <w:pPr>
              <w:jc w:val="center"/>
              <w:ind w:left="1058"/>
              <w:spacing w:after="0"/>
              <w:rPr>
                <w:sz w:val="20"/>
                <w:szCs w:val="20"/>
                <w:color w:val="auto"/>
              </w:rPr>
            </w:pPr>
            <w:r>
              <w:rPr>
                <w:rFonts w:ascii="Times New Roman" w:cs="Times New Roman" w:eastAsia="Times New Roman" w:hAnsi="Times New Roman"/>
                <w:sz w:val="18"/>
                <w:szCs w:val="18"/>
                <w:b w:val="1"/>
                <w:bCs w:val="1"/>
                <w:color w:val="auto"/>
                <w:w w:val="96"/>
              </w:rPr>
              <w:t>THE SCOTTS MIRACLE-GRO COMPANY</w:t>
            </w:r>
          </w:p>
        </w:tc>
      </w:tr>
      <w:tr>
        <w:trPr>
          <w:trHeight w:val="178"/>
        </w:trPr>
        <w:tc>
          <w:tcPr>
            <w:tcW w:w="2160" w:type="dxa"/>
            <w:vAlign w:val="bottom"/>
          </w:tcPr>
          <w:p>
            <w:pPr>
              <w:spacing w:after="0"/>
              <w:rPr>
                <w:sz w:val="15"/>
                <w:szCs w:val="15"/>
                <w:color w:val="auto"/>
              </w:rPr>
            </w:pPr>
          </w:p>
        </w:tc>
        <w:tc>
          <w:tcPr>
            <w:tcW w:w="5740" w:type="dxa"/>
            <w:vAlign w:val="bottom"/>
          </w:tcPr>
          <w:p>
            <w:pPr>
              <w:jc w:val="center"/>
              <w:ind w:left="1058"/>
              <w:spacing w:after="0" w:line="178" w:lineRule="exact"/>
              <w:rPr>
                <w:sz w:val="20"/>
                <w:szCs w:val="20"/>
                <w:color w:val="auto"/>
              </w:rPr>
            </w:pPr>
            <w:r>
              <w:rPr>
                <w:rFonts w:ascii="Times New Roman" w:cs="Times New Roman" w:eastAsia="Times New Roman" w:hAnsi="Times New Roman"/>
                <w:sz w:val="18"/>
                <w:szCs w:val="18"/>
                <w:b w:val="1"/>
                <w:bCs w:val="1"/>
                <w:color w:val="auto"/>
                <w:w w:val="96"/>
              </w:rPr>
              <w:t>NOTES TO CONSOLIDATED FINANCIAL STATEMENTS</w:t>
            </w:r>
          </w:p>
        </w:tc>
      </w:tr>
      <w:tr>
        <w:trPr>
          <w:trHeight w:val="185"/>
        </w:trPr>
        <w:tc>
          <w:tcPr>
            <w:tcW w:w="2160" w:type="dxa"/>
            <w:vAlign w:val="bottom"/>
          </w:tcPr>
          <w:p>
            <w:pPr>
              <w:spacing w:after="0"/>
              <w:rPr>
                <w:sz w:val="16"/>
                <w:szCs w:val="16"/>
                <w:color w:val="auto"/>
              </w:rPr>
            </w:pPr>
          </w:p>
        </w:tc>
        <w:tc>
          <w:tcPr>
            <w:tcW w:w="5740" w:type="dxa"/>
            <w:vAlign w:val="bottom"/>
          </w:tcPr>
          <w:p>
            <w:pPr>
              <w:jc w:val="center"/>
              <w:ind w:left="1078"/>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1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Nature of Operations</w:t>
      </w:r>
    </w:p>
    <w:p>
      <w:pPr>
        <w:spacing w:after="0" w:line="99"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Scotts Miracle-Gro Company (“Scotts Miracle-Gro” or “Parent”) and its subsidiaries (collectively, together with Scotts Miracle-Gro, the “Company”) are engaged in the manufacturing, marketing and sale of products for lawn and garden care and indoor and hydroponic gardening. The Company’s products are sold in North America, Europe and Asia.</w:t>
      </w:r>
    </w:p>
    <w:p>
      <w:pPr>
        <w:spacing w:after="0" w:line="47"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Company’s North America consumer lawn and garden business is highly seasonal, with approximately 75% of its annual net sales occurring in the second and third fiscal quarters. For the Company’s Hawthorne segment, sales are also impacted by seasonal patterns for certain product categories due to the timing of outdoor growing in North America during the second and third fiscal quarters, and the timing of certain controlled agricultural lighting project sales during the third and fourth fiscal quarters.</w:t>
      </w:r>
    </w:p>
    <w:p>
      <w:pPr>
        <w:spacing w:after="0" w:line="1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Organization and Basis of Presentation</w:t>
      </w:r>
    </w:p>
    <w:p>
      <w:pPr>
        <w:spacing w:after="0" w:line="99" w:lineRule="exact"/>
        <w:rPr>
          <w:sz w:val="20"/>
          <w:szCs w:val="20"/>
          <w:color w:val="auto"/>
        </w:rPr>
      </w:pPr>
    </w:p>
    <w:p>
      <w:pPr>
        <w:jc w:val="both"/>
        <w:ind w:firstLine="434"/>
        <w:spacing w:after="0" w:line="246" w:lineRule="auto"/>
        <w:rPr>
          <w:sz w:val="20"/>
          <w:szCs w:val="20"/>
          <w:color w:val="auto"/>
        </w:rPr>
      </w:pPr>
      <w:r>
        <w:rPr>
          <w:rFonts w:ascii="Times New Roman" w:cs="Times New Roman" w:eastAsia="Times New Roman" w:hAnsi="Times New Roman"/>
          <w:sz w:val="18"/>
          <w:szCs w:val="18"/>
          <w:color w:val="auto"/>
        </w:rPr>
        <w:t>The Company’s consolidated financial statements are presented in accordance with accounting principles generally accepted in the United States of America (“GAAP”). The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On February 26, 2021, the Company acquired the remaining outstanding shares of AeroGrow International, Inc. (“AeroGrow”). Prior to this date, the equity owned by other shareholders was shown as noncontrolling interest in the Consolidated Balance Sheets, and the other shareholders’ portion of net earnings and other comprehensive income was shown as net (income) loss or comprehensive (income) loss attributable to noncontrolling interest in the Consolidated Statements of Operations and Consolidated Statements of Comprehensive Income (Loss), respectively. The results of businesses acquired or disposed of are included in the consolidated financial statements from the date of each acquisition or up to the date of disposal, respectively.</w:t>
      </w:r>
    </w:p>
    <w:p>
      <w:pPr>
        <w:spacing w:after="0" w:line="1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Use of Estimates</w:t>
      </w:r>
    </w:p>
    <w:p>
      <w:pPr>
        <w:spacing w:after="0" w:line="99"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consolidated financial statements and accompanying notes and related disclosures. Although these estimates are based on management’s best knowledge of current events and actions the Company may undertake in the future, actual results ultimately may differ from the estimates.</w:t>
      </w:r>
    </w:p>
    <w:p>
      <w:pPr>
        <w:spacing w:after="0" w:line="1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Advertising</w:t>
      </w:r>
    </w:p>
    <w:p>
      <w:pPr>
        <w:spacing w:after="0" w:line="86"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Advertising costs incurred during the year are expensed to interim periods in relation to revenues. All advertising costs, except for external production costs, are expensed within the fiscal year in which such costs are incurred. External production costs for advertising programs are deferred until the period in which the advertising is first aired. Costs deferred at September 30, 2022 and 2021 were not material. Advertising expenses were $120.3, $165.7 and $147.4 for fiscal 2022, fiscal 2021 and fiscal 2020, respectively.</w:t>
      </w:r>
    </w:p>
    <w:p>
      <w:pPr>
        <w:spacing w:after="0" w:line="1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w:t>
      </w:r>
    </w:p>
    <w:p>
      <w:pPr>
        <w:spacing w:after="0" w:line="99"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Costs associated with research and development are generally charged to expense as incurred. Expenses for fiscal 2022, fiscal 2021 and fiscal 2020 were $45.3, $45.4 and $39.7, respectively, including product registration costs of $13.0, $12.3 and $11.0, respectively.</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Environmental Costs</w:t>
      </w:r>
    </w:p>
    <w:p>
      <w:pPr>
        <w:spacing w:after="0" w:line="99"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Company recognizes environmental liabilities when conditions requiring remediation are probable and the amounts can be reasonably estimated. Expenditures which extend the life of the related property or mitigate or prevent future environmental contamination are capitalized. Environmental liabilities are not discounted or reduced for possible recoveries from insurance carriers.</w:t>
      </w:r>
    </w:p>
    <w:p>
      <w:pPr>
        <w:spacing w:after="0" w:line="1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Earnings per Common Share</w:t>
      </w:r>
    </w:p>
    <w:p>
      <w:pPr>
        <w:spacing w:after="0" w:line="86" w:lineRule="exact"/>
        <w:rPr>
          <w:sz w:val="20"/>
          <w:szCs w:val="20"/>
          <w:color w:val="auto"/>
        </w:rPr>
      </w:pPr>
    </w:p>
    <w:p>
      <w:pPr>
        <w:jc w:val="both"/>
        <w:ind w:firstLine="434"/>
        <w:spacing w:after="0" w:line="293" w:lineRule="auto"/>
        <w:rPr>
          <w:sz w:val="20"/>
          <w:szCs w:val="20"/>
          <w:color w:val="auto"/>
        </w:rPr>
      </w:pPr>
      <w:r>
        <w:rPr>
          <w:rFonts w:ascii="Times New Roman" w:cs="Times New Roman" w:eastAsia="Times New Roman" w:hAnsi="Times New Roman"/>
          <w:sz w:val="16"/>
          <w:szCs w:val="16"/>
          <w:color w:val="auto"/>
        </w:rPr>
        <w:t>Basic income (loss) per common share of Scotts Miracle-Gro (“Common Share”) is computed by dividing income (loss) attributable to controlling interest from continuing operations, income (loss) from discontinued operations or net income (loss) attributable to controlling interest by the weighted average number of Common Shares outstanding each period. Diluted income (loss) per Common Share is computed by dividing income (loss) attributable to controlling interest from continuing operations, income (loss) from discontinued operations or net income (loss) attributable to controlling interest by the weighted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68" w:name="page69"/>
    <w:bookmarkEnd w:id="68"/>
    <w:tbl>
      <w:tblPr>
        <w:tblLayout w:type="fixed"/>
        <w:tblInd w:w="20" w:type="dxa"/>
        <w:tblCellMar>
          <w:top w:w="0" w:type="dxa"/>
          <w:left w:w="0" w:type="dxa"/>
          <w:bottom w:w="0" w:type="dxa"/>
          <w:right w:w="0" w:type="dxa"/>
        </w:tblCellMar>
      </w:tblPr>
      <w:tr>
        <w:trPr>
          <w:trHeight w:val="21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620" w:type="dxa"/>
            <w:vAlign w:val="bottom"/>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6"/>
              </w:rPr>
              <w:t>THE SCOTTS MIRACLE-GRO COMPANY</w:t>
            </w:r>
          </w:p>
        </w:tc>
      </w:tr>
      <w:tr>
        <w:trPr>
          <w:trHeight w:val="178"/>
        </w:trPr>
        <w:tc>
          <w:tcPr>
            <w:tcW w:w="1860" w:type="dxa"/>
            <w:vAlign w:val="bottom"/>
          </w:tcPr>
          <w:p>
            <w:pPr>
              <w:spacing w:after="0"/>
              <w:rPr>
                <w:sz w:val="15"/>
                <w:szCs w:val="15"/>
                <w:color w:val="auto"/>
              </w:rPr>
            </w:pPr>
          </w:p>
        </w:tc>
        <w:tc>
          <w:tcPr>
            <w:tcW w:w="6620" w:type="dxa"/>
            <w:vAlign w:val="bottom"/>
          </w:tcPr>
          <w:p>
            <w:pPr>
              <w:jc w:val="center"/>
              <w:ind w:left="778"/>
              <w:spacing w:after="0" w:line="178" w:lineRule="exact"/>
              <w:rPr>
                <w:sz w:val="20"/>
                <w:szCs w:val="20"/>
                <w:color w:val="auto"/>
              </w:rPr>
            </w:pPr>
            <w:r>
              <w:rPr>
                <w:rFonts w:ascii="Times New Roman" w:cs="Times New Roman" w:eastAsia="Times New Roman" w:hAnsi="Times New Roman"/>
                <w:sz w:val="18"/>
                <w:szCs w:val="18"/>
                <w:b w:val="1"/>
                <w:bCs w:val="1"/>
                <w:color w:val="auto"/>
                <w:w w:val="96"/>
              </w:rPr>
              <w:t>NOTES TO CONSOLIDATED FINANCIAL STATEMENTS — (Continued)</w:t>
            </w:r>
          </w:p>
        </w:tc>
      </w:tr>
      <w:tr>
        <w:trPr>
          <w:trHeight w:val="185"/>
        </w:trPr>
        <w:tc>
          <w:tcPr>
            <w:tcW w:w="1860" w:type="dxa"/>
            <w:vAlign w:val="bottom"/>
          </w:tcPr>
          <w:p>
            <w:pPr>
              <w:spacing w:after="0"/>
              <w:rPr>
                <w:sz w:val="16"/>
                <w:szCs w:val="16"/>
                <w:color w:val="auto"/>
              </w:rPr>
            </w:pPr>
          </w:p>
        </w:tc>
        <w:tc>
          <w:tcPr>
            <w:tcW w:w="6620" w:type="dxa"/>
            <w:vAlign w:val="bottom"/>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average number of Common Shares outstanding plus all dilutive potential Common Shares (stock options, restricted stock units, deferred stock units and performance-based award units) outstanding each period.</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Share-Based Compensation Awards</w:t>
      </w:r>
    </w:p>
    <w:p>
      <w:pPr>
        <w:spacing w:after="0" w:line="99" w:lineRule="exact"/>
        <w:rPr>
          <w:sz w:val="20"/>
          <w:szCs w:val="20"/>
          <w:color w:val="auto"/>
        </w:rPr>
      </w:pPr>
    </w:p>
    <w:p>
      <w:pPr>
        <w:jc w:val="both"/>
        <w:ind w:firstLine="434"/>
        <w:spacing w:after="0" w:line="293" w:lineRule="auto"/>
        <w:rPr>
          <w:sz w:val="20"/>
          <w:szCs w:val="20"/>
          <w:color w:val="auto"/>
        </w:rPr>
      </w:pPr>
      <w:r>
        <w:rPr>
          <w:rFonts w:ascii="Times New Roman" w:cs="Times New Roman" w:eastAsia="Times New Roman" w:hAnsi="Times New Roman"/>
          <w:sz w:val="16"/>
          <w:szCs w:val="16"/>
          <w:color w:val="auto"/>
        </w:rPr>
        <w:t>Scotts Miracle-Gro grants share-based awards annually to officers and certain other employees and to the non-employee directors of Scotts Miracle-Gro. The share-based awards have consisted of stock options, restricted stock units, deferred stock units and performance-based award units. All of these share-based awards have been made under plans approved by the shareholders. The fair value of awards is expensed over the requisite service period which is typically the vesting period, generally three to five years for awards granted to officers and other employees and one year for awards granted to non-employee directors.</w:t>
      </w:r>
    </w:p>
    <w:p>
      <w:pPr>
        <w:spacing w:after="0" w:line="35"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For restricted stock units, deferred stock units and performance-based award units, the fair value of each award is estimated on the date of grant based on the current market price of the Common Shares. The grant date fair value of stock option awards is estimated using a binomial model. Expected market price volatility is based on implied volatilities from traded options on Common Shares and historical volatility specific to the Common Shares. Historical data, including demographic factors impacting historical exercise behavior, is used to estimate stock option exercises and employee terminations within the valuation model. The risk-free rate for periods within the contractual life of the stock option is based on the U.S. Treasury yield curve in effect at the time of grant. The expected life of stock options is based on historical experience and expectations for grants outstanding.</w:t>
      </w:r>
    </w:p>
    <w:p>
      <w:pPr>
        <w:spacing w:after="0" w:line="57"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Vesting of performance-based award units depends on service and achievement of specified performance targets. Based on the extent to which the targets are achieved, vested shares may range from 50% to 250% of the target award amount. The total amount of compensation expense recognized reflects management’s assessment of the probability that performance goals will be achieved. A cumulative adjustment is recognized to compensation expense in the current period to reflect any changes in the probability of achievement of performance goals.</w:t>
      </w:r>
    </w:p>
    <w:p>
      <w:pPr>
        <w:spacing w:after="0" w:line="64" w:lineRule="exact"/>
        <w:rPr>
          <w:sz w:val="20"/>
          <w:szCs w:val="20"/>
          <w:color w:val="auto"/>
        </w:rPr>
      </w:pPr>
    </w:p>
    <w:p>
      <w:pPr>
        <w:jc w:val="both"/>
        <w:ind w:firstLine="434"/>
        <w:spacing w:after="0" w:line="281" w:lineRule="auto"/>
        <w:rPr>
          <w:sz w:val="20"/>
          <w:szCs w:val="20"/>
          <w:color w:val="auto"/>
        </w:rPr>
      </w:pPr>
      <w:r>
        <w:rPr>
          <w:rFonts w:ascii="Times New Roman" w:cs="Times New Roman" w:eastAsia="Times New Roman" w:hAnsi="Times New Roman"/>
          <w:sz w:val="16"/>
          <w:szCs w:val="16"/>
          <w:color w:val="auto"/>
        </w:rPr>
        <w:t>Restricted stock units, deferred stock units and performance-based award units receive dividend equivalents equal to the cash dividends earned during the vesting period that are only paid out upon vesting. Share-based award units are generally forfeited if a holder terminates employment or service with the Company prior to the vesting date, except in cases where employees are eligible for accelerated vesting based on having satisfied retirement requirements relating to age and years of service. The Company estimates that 15% of its share-based awards will be forfeited based on an analysis of historical trends. The Company evaluates the estimated forfeiture rate on an annual basis and makes adjustments as appropriate. Stock options have exercise prices equal to the market price of the underlying Common Shares on the date of grant and a term of 10 years. If available, Scotts Miracle-Gro typically uses treasury shares, or if not available, newly-issued Common Shares, to settle vested share-based awards. The Company classifies share-based compensation expense within selling, general and administrative expenses to correspond with the same line item as cash compensation paid to employees. Cash flows resulting from tax deductions in excess of the cumulative compensation cost recognized for share-based awards (excess tax benefits) are classified as operating cash inflows.</w:t>
      </w:r>
    </w:p>
    <w:p>
      <w:pPr>
        <w:spacing w:after="0" w:line="1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and Cash Equivalents</w:t>
      </w:r>
    </w:p>
    <w:p>
      <w:pPr>
        <w:spacing w:after="0" w:line="99"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Cash and cash equivalents were held in cash depository accounts with major financial institutions around the world or invested in high quality, short-term liquid investments. The Company considers all highly liquid financial instruments with original maturities of three months or less to be cash equivalents. The Company maintains cash deposits in banks which from time to time exceed the amount of deposit insurance available. Management periodically assesses the financial condition of the Company’s banks and believes that the risk of any potential credit loss is minimal.</w:t>
      </w:r>
    </w:p>
    <w:p>
      <w:pPr>
        <w:spacing w:after="0" w:line="1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Accounts Receivable and Allowances</w:t>
      </w:r>
    </w:p>
    <w:p>
      <w:pPr>
        <w:spacing w:after="0" w:line="86"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Trade accounts receivable are recorded at the invoiced amount and do not bear interest. Allowances for doubtful accounts reflect the Company’s estimate of amounts in its existing accounts receivable that may not be collected due to customer claims or customer inability or unwillingness to pay. The allowance is determined based on a combination of factors, including the Company’s ongoing risk assessment regarding the credit worthiness of its customers, historical collection experience and length of time the receivables are past due. Account balances are charged off against the allowance when the Company believes it is probable the receivable will not be recovered.</w:t>
      </w:r>
    </w:p>
    <w:p>
      <w:pPr>
        <w:spacing w:after="0" w:line="1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Inventories</w:t>
      </w:r>
    </w:p>
    <w:p>
      <w:pPr>
        <w:spacing w:after="0" w:line="99"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and include the cost of raw materials, labor, manufacturing overhead and freight and inbound handling costs incurred to pre-position goods in the Company’s warehouse network. The Company makes provisions for obsolete or slow-moving inventories as necessary to properly reflect inventory at</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69" w:name="page70"/>
    <w:bookmarkEnd w:id="69"/>
    <w:tbl>
      <w:tblPr>
        <w:tblLayout w:type="fixed"/>
        <w:tblInd w:w="20" w:type="dxa"/>
        <w:tblCellMar>
          <w:top w:w="0" w:type="dxa"/>
          <w:left w:w="0" w:type="dxa"/>
          <w:bottom w:w="0" w:type="dxa"/>
          <w:right w:w="0" w:type="dxa"/>
        </w:tblCellMar>
      </w:tblPr>
      <w:tr>
        <w:trPr>
          <w:trHeight w:val="21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620" w:type="dxa"/>
            <w:vAlign w:val="bottom"/>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6"/>
              </w:rPr>
              <w:t>THE SCOTTS MIRACLE-GRO COMPANY</w:t>
            </w:r>
          </w:p>
        </w:tc>
      </w:tr>
      <w:tr>
        <w:trPr>
          <w:trHeight w:val="178"/>
        </w:trPr>
        <w:tc>
          <w:tcPr>
            <w:tcW w:w="1860" w:type="dxa"/>
            <w:vAlign w:val="bottom"/>
          </w:tcPr>
          <w:p>
            <w:pPr>
              <w:spacing w:after="0"/>
              <w:rPr>
                <w:sz w:val="15"/>
                <w:szCs w:val="15"/>
                <w:color w:val="auto"/>
              </w:rPr>
            </w:pPr>
          </w:p>
        </w:tc>
        <w:tc>
          <w:tcPr>
            <w:tcW w:w="6620" w:type="dxa"/>
            <w:vAlign w:val="bottom"/>
          </w:tcPr>
          <w:p>
            <w:pPr>
              <w:jc w:val="center"/>
              <w:ind w:left="778"/>
              <w:spacing w:after="0" w:line="178" w:lineRule="exact"/>
              <w:rPr>
                <w:sz w:val="20"/>
                <w:szCs w:val="20"/>
                <w:color w:val="auto"/>
              </w:rPr>
            </w:pPr>
            <w:r>
              <w:rPr>
                <w:rFonts w:ascii="Times New Roman" w:cs="Times New Roman" w:eastAsia="Times New Roman" w:hAnsi="Times New Roman"/>
                <w:sz w:val="18"/>
                <w:szCs w:val="18"/>
                <w:b w:val="1"/>
                <w:bCs w:val="1"/>
                <w:color w:val="auto"/>
                <w:w w:val="96"/>
              </w:rPr>
              <w:t>NOTES TO CONSOLIDATED FINANCIAL STATEMENTS — (Continued)</w:t>
            </w:r>
          </w:p>
        </w:tc>
      </w:tr>
      <w:tr>
        <w:trPr>
          <w:trHeight w:val="185"/>
        </w:trPr>
        <w:tc>
          <w:tcPr>
            <w:tcW w:w="1860" w:type="dxa"/>
            <w:vAlign w:val="bottom"/>
          </w:tcPr>
          <w:p>
            <w:pPr>
              <w:spacing w:after="0"/>
              <w:rPr>
                <w:sz w:val="16"/>
                <w:szCs w:val="16"/>
                <w:color w:val="auto"/>
              </w:rPr>
            </w:pPr>
          </w:p>
        </w:tc>
        <w:tc>
          <w:tcPr>
            <w:tcW w:w="6620" w:type="dxa"/>
            <w:vAlign w:val="bottom"/>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lower of cost or net realizable value. Inventories are valued using the first in, first out method. Adjustments to reflect inventories at net realizable values were $118.8 and $22.5 at September 30, 2022 and 2021, respectively. Refer to “NOTE 4. IMPAIRMENT, RESTRUCTURING AND OTHER” for more information.</w:t>
      </w:r>
    </w:p>
    <w:p>
      <w:pPr>
        <w:spacing w:after="0" w:line="1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Loans Receivable</w:t>
      </w:r>
    </w:p>
    <w:p>
      <w:pPr>
        <w:spacing w:after="0" w:line="99"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Loans receivable are carried at outstanding principal amount, and are recognized in the “Other assets” line in the Consolidated Balance Sheets. Loans receivable are impaired when, based on current information and events, it is probable that the Company will be unable to collect all amounts due according to the contractual terms of the loan agreement. If it is determined that an impairment has occurred, an impairment loss is recognized for the amount by which the carrying value of the asset exceeds the present value of expected future cash flows. Interest income on loans receivable was $2.7, $3.8 and $7.6 for fiscal 2022, fiscal 2021 and fiscal 2020, respectively. Interest income is recorded on an accrual basis and is classified in the “Other non-operating income, net” line in the Consolidated Statements of Operations.</w:t>
      </w:r>
    </w:p>
    <w:p>
      <w:pPr>
        <w:spacing w:after="0" w:line="1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Investment in Unconsolidated Affiliates</w:t>
      </w:r>
    </w:p>
    <w:p>
      <w:pPr>
        <w:spacing w:after="0" w:line="99"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Non-marketable equity investments in which the Company has the ability to exercise significant influence, but does not control, are accounted for using the equity method of accounting, with the Company’s proportionate share of the earnings and losses of these entities reflected in the Consolidated Statements of Operations. The Company evaluates its equity method investments for impairment whenever events or changes in circumstances indicate that the carrying amounts of such investments may be impaired. If a decline in the value of an equity method investment is determined to be other than temporary, an impairment loss is recognized in earnings for the amount by which the carrying amount of the investment exceeds its estimated fair value.</w:t>
      </w:r>
    </w:p>
    <w:p>
      <w:pPr>
        <w:spacing w:after="0" w:line="1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Long-Lived Assets</w:t>
      </w:r>
    </w:p>
    <w:p>
      <w:pPr>
        <w:spacing w:after="0" w:line="86"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Property, plant and equipment are stated at cost. Interest capitalized in property, plant and equipment amounted to $2.2, $0.8 and $0.4 during fiscal 2022, fiscal 2021 and fiscal 2020, respectively. Expenditures for maintenance and repairs are charged to expense as incurred. When properties are retired or otherwise disposed of, the cost of the asset and the related accumulated depreciation are removed from the accounts with the resulting gain or loss being reflected in income from operations.</w:t>
      </w:r>
    </w:p>
    <w:p>
      <w:pPr>
        <w:spacing w:after="0" w:line="64"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Depreciation of property, plant and equipment is provided on the straight-line method and is based on the estimated useful economic lives of the assets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4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25 years</w:t>
            </w: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4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40 years</w:t>
            </w: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4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15 years</w:t>
            </w: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10 years</w:t>
            </w: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4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 – 8 years</w:t>
            </w:r>
          </w:p>
        </w:tc>
      </w:tr>
    </w:tbl>
    <w:p>
      <w:pPr>
        <w:spacing w:after="0" w:line="297"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Intangible assets subject to amortization include technology, patents, customer relationships, non-compete agreements and certain trade names. These intangible assets are amortized over their estimated useful economic lives, which typically range from 3 to 25 years. The Company’s fixed assets and intangible assets subject to amortization are required to be tested for recoverability whenever events or changes in circumstances indicate that carrying amounts may not be recoverable. If an evaluation of recoverability is required, the estimated undiscounted future cash flows associated with the asset group would be compared to the asset group carrying amount to determine if a write-down is required. If the undiscounted cash flows are less than the carrying amount, an impairment loss is recorded to the extent that the carrying amount exceeds fair value and classified as “Impairment, restructuring and other” within “Operating expenses” in the Consolidated Statements of Operations.</w:t>
      </w:r>
    </w:p>
    <w:p>
      <w:pPr>
        <w:spacing w:after="0" w:line="73"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Company had non-cash investing activities of $33.3, $41.6 and $26.4 during fiscal 2022, fiscal 2021 and fiscal 2020, respectively, representing unpaid liabilities to acquire property, plant and equipment.</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Internal Use Software</w:t>
      </w:r>
    </w:p>
    <w:p>
      <w:pPr>
        <w:spacing w:after="0" w:line="99"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The Company capitalizes certain qualifying costs incurred in the acquisition and development of software for internal use, including the costs of the software, materials, consultants, interest and payroll and payroll-related costs for employees during the application development stage. Internal and external costs incurred during the preliminary project stage and post implementation-operation stage, mainly training and maintenance costs, are expensed as incurred. Once the application is substantially complete and ready for its intended use, qualifying costs are amortized on a straight-line basis over the software’s estimated useful life. Capitalized internal use software is included in the “Property, plant and equipment, net” line in the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70" w:name="page71"/>
    <w:bookmarkEnd w:id="70"/>
    <w:tbl>
      <w:tblPr>
        <w:tblLayout w:type="fixed"/>
        <w:tblInd w:w="20" w:type="dxa"/>
        <w:tblCellMar>
          <w:top w:w="0" w:type="dxa"/>
          <w:left w:w="0" w:type="dxa"/>
          <w:bottom w:w="0" w:type="dxa"/>
          <w:right w:w="0" w:type="dxa"/>
        </w:tblCellMar>
      </w:tblPr>
      <w:tr>
        <w:trPr>
          <w:trHeight w:val="21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620" w:type="dxa"/>
            <w:vAlign w:val="bottom"/>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6"/>
              </w:rPr>
              <w:t>THE SCOTTS MIRACLE-GRO COMPANY</w:t>
            </w:r>
          </w:p>
        </w:tc>
      </w:tr>
      <w:tr>
        <w:trPr>
          <w:trHeight w:val="178"/>
        </w:trPr>
        <w:tc>
          <w:tcPr>
            <w:tcW w:w="1860" w:type="dxa"/>
            <w:vAlign w:val="bottom"/>
          </w:tcPr>
          <w:p>
            <w:pPr>
              <w:spacing w:after="0"/>
              <w:rPr>
                <w:sz w:val="15"/>
                <w:szCs w:val="15"/>
                <w:color w:val="auto"/>
              </w:rPr>
            </w:pPr>
          </w:p>
        </w:tc>
        <w:tc>
          <w:tcPr>
            <w:tcW w:w="6620" w:type="dxa"/>
            <w:vAlign w:val="bottom"/>
          </w:tcPr>
          <w:p>
            <w:pPr>
              <w:jc w:val="center"/>
              <w:ind w:left="778"/>
              <w:spacing w:after="0" w:line="178" w:lineRule="exact"/>
              <w:rPr>
                <w:sz w:val="20"/>
                <w:szCs w:val="20"/>
                <w:color w:val="auto"/>
              </w:rPr>
            </w:pPr>
            <w:r>
              <w:rPr>
                <w:rFonts w:ascii="Times New Roman" w:cs="Times New Roman" w:eastAsia="Times New Roman" w:hAnsi="Times New Roman"/>
                <w:sz w:val="18"/>
                <w:szCs w:val="18"/>
                <w:b w:val="1"/>
                <w:bCs w:val="1"/>
                <w:color w:val="auto"/>
                <w:w w:val="96"/>
              </w:rPr>
              <w:t>NOTES TO CONSOLIDATED FINANCIAL STATEMENTS — (Continued)</w:t>
            </w:r>
          </w:p>
        </w:tc>
      </w:tr>
      <w:tr>
        <w:trPr>
          <w:trHeight w:val="185"/>
        </w:trPr>
        <w:tc>
          <w:tcPr>
            <w:tcW w:w="1860" w:type="dxa"/>
            <w:vAlign w:val="bottom"/>
          </w:tcPr>
          <w:p>
            <w:pPr>
              <w:spacing w:after="0"/>
              <w:rPr>
                <w:sz w:val="16"/>
                <w:szCs w:val="16"/>
                <w:color w:val="auto"/>
              </w:rPr>
            </w:pPr>
          </w:p>
        </w:tc>
        <w:tc>
          <w:tcPr>
            <w:tcW w:w="6620" w:type="dxa"/>
            <w:vAlign w:val="bottom"/>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Consolidated Balance Sheets. Capitalized software as a service is included in the “Prepaid and other current assets” line in the Consolidated Balance Sheets and is amortized using the straight-line method over the term of the hosting arrangement which typically ranges from 3 to 7 years.</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Goodwill and Indefinite-lived Intangible Assets</w:t>
      </w:r>
    </w:p>
    <w:p>
      <w:pPr>
        <w:spacing w:after="0" w:line="99" w:lineRule="exact"/>
        <w:rPr>
          <w:sz w:val="20"/>
          <w:szCs w:val="20"/>
          <w:color w:val="auto"/>
        </w:rPr>
      </w:pPr>
    </w:p>
    <w:p>
      <w:pPr>
        <w:jc w:val="both"/>
        <w:ind w:firstLine="434"/>
        <w:spacing w:after="0" w:line="280" w:lineRule="auto"/>
        <w:rPr>
          <w:sz w:val="20"/>
          <w:szCs w:val="20"/>
          <w:color w:val="auto"/>
        </w:rPr>
      </w:pPr>
      <w:r>
        <w:rPr>
          <w:rFonts w:ascii="Times New Roman" w:cs="Times New Roman" w:eastAsia="Times New Roman" w:hAnsi="Times New Roman"/>
          <w:sz w:val="16"/>
          <w:szCs w:val="16"/>
          <w:color w:val="auto"/>
        </w:rPr>
        <w:t>Goodwill and indefinite-lived intangible assets are not subject to amortization. Goodwill and indefinite-lived intangible assets are reviewed for impairment by applying a fair-value based test on an annual basis as of the first day of the Company’s fiscal fourth quarter or more frequently if circumstances indicate impairment may have occurred. With respect to goodwill, the Company performs either a qualitative or quantitative evaluation for each of its reporting units. Factors considered in the qualitative test include reporting unit specific operating results as well as new events and circumstances impacting the operations or cash flows of the reporting units. For the quantitative test, the Company assesses goodwill for impairment by comparing the carrying value of its reporting units to their respective fair values. A reporting unit is defined as an operating segment or one level below an operating segment. The Company determines the fair value of its reporting units using a combination of income-based and market-based approaches and incorporates assumptions it believes market participants would utilize. The income-based approach utilizes discounted cash flows while the market-based approach utilizes market multiples. These approaches depend upon internally-developed forecasts based on annual budgets and longer-range strategic plans. The Company uses discount rates that are commensurate with the risks and uncertainties inherent in the respective reporting units and in the internally-developed forecasts. To further substantiate fair value, the Company compares the aggregate fair value of the reporting units to the Company’s total market capitalization.</w:t>
      </w:r>
    </w:p>
    <w:p>
      <w:pPr>
        <w:spacing w:after="0" w:line="259" w:lineRule="exact"/>
        <w:rPr>
          <w:sz w:val="20"/>
          <w:szCs w:val="20"/>
          <w:color w:val="auto"/>
        </w:rPr>
      </w:pPr>
    </w:p>
    <w:p>
      <w:pPr>
        <w:jc w:val="both"/>
        <w:ind w:firstLine="434"/>
        <w:spacing w:after="0" w:line="288" w:lineRule="auto"/>
        <w:rPr>
          <w:sz w:val="20"/>
          <w:szCs w:val="20"/>
          <w:color w:val="auto"/>
        </w:rPr>
      </w:pPr>
      <w:r>
        <w:rPr>
          <w:rFonts w:ascii="Times New Roman" w:cs="Times New Roman" w:eastAsia="Times New Roman" w:hAnsi="Times New Roman"/>
          <w:sz w:val="16"/>
          <w:szCs w:val="16"/>
          <w:color w:val="auto"/>
        </w:rPr>
        <w:t>With respect to indefinite-lived intangible assets, the Company performs either a qualitative or quantitative evaluation for each asset. Factors considered in the qualitative test include asset specific operating results as well as new events and circumstances impacting the cash flows of the assets. For the quantitative test, the fair value of the Company’s indefinite-lived intangible assets is determined under the income-based approach utilizing discounted cash flows and incorporating assumptions the Company believes market participants would utilize. For trade names, fair value is determined using a relief-from-royalty methodology similar to that employed when the associated businesses were acquired but using updated estimates of sales, cash flow and profitability.</w:t>
      </w:r>
    </w:p>
    <w:p>
      <w:pPr>
        <w:spacing w:after="0" w:line="26"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If it is determined that an impairment has occurred, an impairment loss is recognized for the amount by which the carrying value of the reporting unit or intangible asset exceeds its estimated fair value and classified as “Impairment, restructuring and other” within “Operating expenses” in the Consolidated Statements of Operations.</w:t>
      </w:r>
    </w:p>
    <w:p>
      <w:pPr>
        <w:spacing w:after="0" w:line="1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Investments in Securities</w:t>
      </w:r>
    </w:p>
    <w:p>
      <w:pPr>
        <w:spacing w:after="0" w:line="99"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Convertible debt investments are classified as “available for sale,” are reported at fair value and are presented in the “Other assets” line in the Consolidated Balance Sheets. Unrealized gains and losses on these investments are included in accumulated other comprehensive loss (“AOCL”) in the Consolidated Balance Sheets. When a decline in fair value is considered to be other-than-temporary at the balance sheet date, an allowance for credit losses (impairment), including any write-off of accrued interest receivable, is charged to earnings. If management can assert that it does not intend to sell the security and it is not more likely than not that it will have to sell the security before recovering its amortized cost basis (net of allowance), then the impairment allowance is separated into two components: (i) the amount related to credit losses (recorded in earnings) and (ii) the amount related to all other factors (recorded in other comprehensive income). Interest income is recorded on an accrual basis and is classified in the “Other non-operating income, net” line in the Consolidated Statements of Operations.</w:t>
      </w:r>
    </w:p>
    <w:p>
      <w:pPr>
        <w:spacing w:after="0" w:line="1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Insurance and Self-Insurance</w:t>
      </w:r>
    </w:p>
    <w:p>
      <w:pPr>
        <w:spacing w:after="0" w:line="99"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Company maintains insurance for certain risks, including workers’ compensation, general liability and vehicle liability, and is self-insured for employee-related health care benefits up to a specified level for individual claims. The Company accrues for the expected costs associated with these risks by considering historical claims experience, demographic factors, severity factors and other relevant information. Costs are recognized in the period the claim is incurred, and accruals include an actuarially determined estimate of claims incurred but not yet reported.</w:t>
      </w:r>
    </w:p>
    <w:p>
      <w:pPr>
        <w:spacing w:after="0" w:line="1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86"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The Company uses the asset and liability method to account for income taxes. Deferred tax assets and liabilities are recognized for the anticipated future tax consequences attributable to differences between financial statement amounts and their respective tax bases. Management reviews the Company’s deferred tax assets to determine whether their value can be realized based upon available evidence. A valuation allowance is established when management believes that it is more likely than not that some portion of its deferred tax assets will not be realized. Changes in valuation allowances from period to period are included in the Company’s tax provision in the period of change.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71" w:name="page72"/>
    <w:bookmarkEnd w:id="71"/>
    <w:tbl>
      <w:tblPr>
        <w:tblLayout w:type="fixed"/>
        <w:tblInd w:w="20" w:type="dxa"/>
        <w:tblCellMar>
          <w:top w:w="0" w:type="dxa"/>
          <w:left w:w="0" w:type="dxa"/>
          <w:bottom w:w="0" w:type="dxa"/>
          <w:right w:w="0" w:type="dxa"/>
        </w:tblCellMar>
      </w:tblPr>
      <w:tr>
        <w:trPr>
          <w:trHeight w:val="21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620" w:type="dxa"/>
            <w:vAlign w:val="bottom"/>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6"/>
              </w:rPr>
              <w:t>THE SCOTTS MIRACLE-GRO COMPANY</w:t>
            </w:r>
          </w:p>
        </w:tc>
      </w:tr>
      <w:tr>
        <w:trPr>
          <w:trHeight w:val="178"/>
        </w:trPr>
        <w:tc>
          <w:tcPr>
            <w:tcW w:w="1860" w:type="dxa"/>
            <w:vAlign w:val="bottom"/>
          </w:tcPr>
          <w:p>
            <w:pPr>
              <w:spacing w:after="0"/>
              <w:rPr>
                <w:sz w:val="15"/>
                <w:szCs w:val="15"/>
                <w:color w:val="auto"/>
              </w:rPr>
            </w:pPr>
          </w:p>
        </w:tc>
        <w:tc>
          <w:tcPr>
            <w:tcW w:w="6620" w:type="dxa"/>
            <w:vAlign w:val="bottom"/>
          </w:tcPr>
          <w:p>
            <w:pPr>
              <w:jc w:val="center"/>
              <w:ind w:left="778"/>
              <w:spacing w:after="0" w:line="178" w:lineRule="exact"/>
              <w:rPr>
                <w:sz w:val="20"/>
                <w:szCs w:val="20"/>
                <w:color w:val="auto"/>
              </w:rPr>
            </w:pPr>
            <w:r>
              <w:rPr>
                <w:rFonts w:ascii="Times New Roman" w:cs="Times New Roman" w:eastAsia="Times New Roman" w:hAnsi="Times New Roman"/>
                <w:sz w:val="18"/>
                <w:szCs w:val="18"/>
                <w:b w:val="1"/>
                <w:bCs w:val="1"/>
                <w:color w:val="auto"/>
                <w:w w:val="96"/>
              </w:rPr>
              <w:t>NOTES TO CONSOLIDATED FINANCIAL STATEMENTS — (Continued)</w:t>
            </w:r>
          </w:p>
        </w:tc>
      </w:tr>
      <w:tr>
        <w:trPr>
          <w:trHeight w:val="185"/>
        </w:trPr>
        <w:tc>
          <w:tcPr>
            <w:tcW w:w="1860" w:type="dxa"/>
            <w:vAlign w:val="bottom"/>
          </w:tcPr>
          <w:p>
            <w:pPr>
              <w:spacing w:after="0"/>
              <w:rPr>
                <w:sz w:val="16"/>
                <w:szCs w:val="16"/>
                <w:color w:val="auto"/>
              </w:rPr>
            </w:pPr>
          </w:p>
        </w:tc>
        <w:tc>
          <w:tcPr>
            <w:tcW w:w="6620" w:type="dxa"/>
            <w:vAlign w:val="bottom"/>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The Company establishes a liability for tax return positions in which there is uncertainty as to whether or not the position will ultimately be sustained. Amounts for uncertain tax positions are adjusted in quarters when new information becomes available or when positions are effectively settled. The Company recognizes interest expense and penalties related to these unrecognized tax benefits within income tax expense. GAAP provides that a tax benefit from an uncertain tax position may be recognized when it is more likely than not that the position will be sustained upon examination, including resolutions of any related appeals or litigation processes, based on the technical merits of the position. The amount recognized is measured as the largest amount of tax benefit that is greater than 50% likely of being realized upon settlement.</w:t>
      </w:r>
    </w:p>
    <w:p>
      <w:pPr>
        <w:spacing w:after="0" w:line="136"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U.S. income tax expense and foreign withholding taxes are provided on unremitted foreign earnings that are not indefinitely reinvested at the time the earnings are generated. Where foreign earnings are indefinitely reinvested, no provision for U.S. income or foreign withholding taxes is made. When circumstances change and the Company determines that some or all of the undistributed earnings will be remitted in the foreseeable future, the Company accrues an expense in the current period for U.S. income taxes and foreign withholding taxes attributable to the anticipated remittance.</w:t>
      </w:r>
    </w:p>
    <w:p>
      <w:pPr>
        <w:spacing w:after="0" w:line="1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Translation of Foreign Currencies</w:t>
      </w:r>
    </w:p>
    <w:p>
      <w:pPr>
        <w:spacing w:after="0" w:line="86"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The functional currency for each Scotts Miracle-Gro subsidiary is generally its local currency. Assets and liabilities of these subsidiaries are translated at the exchange rate in effect at each fiscal year-end. Income and expense accounts are translated at the average rate of exchange prevailing during the year. Translation gains and losses arising from the use of differing exchange rates from period to period are included in AOCL within shareholders’ equity. Foreign exchange transaction gains and losses are included in the determination of net income and classified as “Other (income) expense, net” in the Consolidated Statements of Operations. The Company recognized foreign exchange transaction (gains) losses of $1.3, $(1.8) and $0.9 during fiscal 2022, fiscal 2021 and fiscal 2020, respectively.</w:t>
      </w:r>
    </w:p>
    <w:p>
      <w:pPr>
        <w:spacing w:after="0" w:line="1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Derivative Instruments</w:t>
      </w:r>
    </w:p>
    <w:p>
      <w:pPr>
        <w:spacing w:after="0" w:line="99"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The Company is exposed to market risks, such as changes in interest rates, currency exchange rates and commodity prices. A variety of financial instruments, including forwards, futures and swap contracts, are used to manage these exposures. These financial instruments are recognized at fair value in the Consolidated Balance Sheets, and all changes in fair value are recognized in net income or shareholders’ equity through AOCL. The Company’s objective in managing these exposures is to better control these elements of cost and mitigate the earnings and cash flow volatility associated with changes in the applicable rates and prices.</w:t>
      </w:r>
    </w:p>
    <w:p>
      <w:pPr>
        <w:spacing w:after="0" w:line="70"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Company has established policies and procedures that encompass risk-management philosophy and objectives, guidelines for derivative instrument usage, counterparty credit approval, and the monitoring and reporting of derivative activity. The Company does not enter into derivative instruments for the purpose of speculation.</w:t>
      </w:r>
    </w:p>
    <w:p>
      <w:pPr>
        <w:spacing w:after="0" w:line="47" w:lineRule="exact"/>
        <w:rPr>
          <w:sz w:val="20"/>
          <w:szCs w:val="20"/>
          <w:color w:val="auto"/>
        </w:rPr>
      </w:pPr>
    </w:p>
    <w:p>
      <w:pPr>
        <w:jc w:val="both"/>
        <w:ind w:firstLine="434"/>
        <w:spacing w:after="0" w:line="283" w:lineRule="auto"/>
        <w:rPr>
          <w:sz w:val="20"/>
          <w:szCs w:val="20"/>
          <w:color w:val="auto"/>
        </w:rPr>
      </w:pPr>
      <w:r>
        <w:rPr>
          <w:rFonts w:ascii="Times New Roman" w:cs="Times New Roman" w:eastAsia="Times New Roman" w:hAnsi="Times New Roman"/>
          <w:sz w:val="16"/>
          <w:szCs w:val="16"/>
          <w:color w:val="auto"/>
        </w:rPr>
        <w:t>The Company formally designates and documents instruments at inception that qualify for hedge accounting of underlying exposures in accordance with GAAP. The Company formally assesses, both at inception and at least quarterly, whether the financial instruments used in hedging transactions are effective at offsetting changes in cash flows of the related underlying exposure. Fluctuations in the value of these instruments generally are offset by changes in the expected cash flows of the underlying exposures being hedged. This offset is driven by the high degree of effectiveness between the exposure being hedged and the hedging instrument. The Company designates certain commodity hedges as cash flow hedges of forecasted purchases of commodities and interest rate swap agreements as cash flow hedges of interest payments on variable rate borrowings. Changes in the fair value of derivative contracts that qualify for hedge accounting are recorded in AOCL. For commodity hedges, realized gains or losses remain as a component of AOCL until the related inventory is sold.</w:t>
      </w:r>
    </w:p>
    <w:p>
      <w:pPr>
        <w:spacing w:after="0" w:line="45"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During the second quarter of fiscal 2016, the Company entered into definitive agreements with Bonnie Plants, Inc. and its sole shareholder, Alabama Farmers Cooperative, Inc. (“AFC”), that included options beginning in fiscal 2020 providing for either (i) the Company to increase its economic interest in Bonnie’s business of planting, growing, developing, manufacturing, distributing, marketing, and selling live plants, plant food, fertilizer and potting soil (the “Bonnie Business”) or (ii) AFC and Bonnie to repurchase the Company’s economic interest in the Bonnie Business (collectively, the “Bonnie Option”). The Bonnie Option was surrendered at the time of the formation of the Bonnie Plants, LLC joint venture on December 31, 2020. Prior to this, the Bonnie Option was required to be accounted for as a derivative instrument and was recorded at fair value in the “Other assets” line in the Consolidated Balance Sheets, with changes in fair value recognized in the “Other non-operating income, net” line in the Consolidated Statements of Operations.</w:t>
      </w:r>
    </w:p>
    <w:p>
      <w:pPr>
        <w:spacing w:after="0" w:line="1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Leases</w:t>
      </w:r>
    </w:p>
    <w:p>
      <w:pPr>
        <w:spacing w:after="0" w:line="99"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Company determines whether an arrangement contains a lease at inception by determining if the contract conveys the right to control the use of identified property, plant or equipment for a period of time in exchange for consideration and other facts and circumstances. Right-of-use (“ROU”) assets represent the Company’s right to use an underlying asset for the lease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72" w:name="page73"/>
    <w:bookmarkEnd w:id="72"/>
    <w:tbl>
      <w:tblPr>
        <w:tblLayout w:type="fixed"/>
        <w:tblInd w:w="20" w:type="dxa"/>
        <w:tblCellMar>
          <w:top w:w="0" w:type="dxa"/>
          <w:left w:w="0" w:type="dxa"/>
          <w:bottom w:w="0" w:type="dxa"/>
          <w:right w:w="0" w:type="dxa"/>
        </w:tblCellMar>
      </w:tblPr>
      <w:tr>
        <w:trPr>
          <w:trHeight w:val="21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620" w:type="dxa"/>
            <w:vAlign w:val="bottom"/>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6"/>
              </w:rPr>
              <w:t>THE SCOTTS MIRACLE-GRO COMPANY</w:t>
            </w:r>
          </w:p>
        </w:tc>
      </w:tr>
      <w:tr>
        <w:trPr>
          <w:trHeight w:val="178"/>
        </w:trPr>
        <w:tc>
          <w:tcPr>
            <w:tcW w:w="1860" w:type="dxa"/>
            <w:vAlign w:val="bottom"/>
          </w:tcPr>
          <w:p>
            <w:pPr>
              <w:spacing w:after="0"/>
              <w:rPr>
                <w:sz w:val="15"/>
                <w:szCs w:val="15"/>
                <w:color w:val="auto"/>
              </w:rPr>
            </w:pPr>
          </w:p>
        </w:tc>
        <w:tc>
          <w:tcPr>
            <w:tcW w:w="6620" w:type="dxa"/>
            <w:vAlign w:val="bottom"/>
          </w:tcPr>
          <w:p>
            <w:pPr>
              <w:jc w:val="center"/>
              <w:ind w:left="778"/>
              <w:spacing w:after="0" w:line="178" w:lineRule="exact"/>
              <w:rPr>
                <w:sz w:val="20"/>
                <w:szCs w:val="20"/>
                <w:color w:val="auto"/>
              </w:rPr>
            </w:pPr>
            <w:r>
              <w:rPr>
                <w:rFonts w:ascii="Times New Roman" w:cs="Times New Roman" w:eastAsia="Times New Roman" w:hAnsi="Times New Roman"/>
                <w:sz w:val="18"/>
                <w:szCs w:val="18"/>
                <w:b w:val="1"/>
                <w:bCs w:val="1"/>
                <w:color w:val="auto"/>
                <w:w w:val="96"/>
              </w:rPr>
              <w:t>NOTES TO CONSOLIDATED FINANCIAL STATEMENTS — (Continued)</w:t>
            </w:r>
          </w:p>
        </w:tc>
      </w:tr>
      <w:tr>
        <w:trPr>
          <w:trHeight w:val="185"/>
        </w:trPr>
        <w:tc>
          <w:tcPr>
            <w:tcW w:w="1860" w:type="dxa"/>
            <w:vAlign w:val="bottom"/>
          </w:tcPr>
          <w:p>
            <w:pPr>
              <w:spacing w:after="0"/>
              <w:rPr>
                <w:sz w:val="16"/>
                <w:szCs w:val="16"/>
                <w:color w:val="auto"/>
              </w:rPr>
            </w:pPr>
          </w:p>
        </w:tc>
        <w:tc>
          <w:tcPr>
            <w:tcW w:w="6620" w:type="dxa"/>
            <w:vAlign w:val="bottom"/>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term and lease liabilities represent the Company’s obligation to make lease payments arising from the lease. ROU assets are calculated based on the lease liability adjusted for any lease payments paid to the lessor at or before the commencement date and initial direct costs incurred by the Company and exclude any lease incentives received from the lessor. Lease liabilities are recognized based on the present value of the future minimum lease payments over the lease term. The lease term may include options to extend or terminate the lease when it is reasonably certain that the Company will exercise that option. As the Company’s leases typically do not contain a readily determinable implicit rate, the Company determines the present value of the lease liability using its incremental borrowing rate at the lease commencement date based on the lease term. The Company considers its credit rating and the current economic environment in determining this collateralized rate. Variable lease payments are the portion of lease payments that are not fixed over the lease term. Variable lease payments are expensed as incurred and include certain non-lease components, such as maintenance and other services provided by the lessor, and other charges included in the lease, as applicable. The Company elected to exclude short-term leases, defined as leases with initial terms of 12 months or less, from its Consolidated Balance Sheets.</w:t>
      </w:r>
    </w:p>
    <w:p>
      <w:pPr>
        <w:spacing w:after="0" w:line="1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Statements of Cash Flows</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Supplemental cash flow information was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Year Ended September 30,</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6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67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920" w:type="dxa"/>
            <w:vAlign w:val="bottom"/>
            <w:shd w:val="clear" w:color="auto" w:fill="CCEEFF"/>
          </w:tcPr>
          <w:p>
            <w:pPr>
              <w:jc w:val="right"/>
              <w:ind w:right="74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r>
      <w:tr>
        <w:trPr>
          <w:trHeight w:val="228"/>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paid</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r>
    </w:tbl>
    <w:p>
      <w:pPr>
        <w:spacing w:after="0" w:line="214"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Cash flow from operating activities in fiscal 2022 and fiscal 2021 was favorably impacted by extended payment terms with vendors across the U.S. Consumer and Hawthorne segments, as well as Monsanto Company, a subsidiary of Bayer AG (“Monsanto”), for payments originally due in the final weeks of fiscal 2022 and fiscal 2021 that were paid in the first quarter of fiscal 2023 and 2022, respectively.</w:t>
      </w:r>
    </w:p>
    <w:p>
      <w:pPr>
        <w:spacing w:after="0" w:line="61"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Company received (paid) cash of $29.3, $(8.7) and $(2.9) during fiscal 2022, fiscal 2021 and fiscal 2020, respectively, associated with currency forward contracts, which was classified as an investing activity in the “Other investing, net” line in the Consolidated Statements of Cash Flows.</w:t>
      </w:r>
    </w:p>
    <w:p>
      <w:pPr>
        <w:spacing w:after="0" w:line="50"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Company uses the “cumulative earnings” approach for determining cash flow presentation of distributions from unconsolidated affiliates. Distributions received are included in the Consolidated Statements of Cash Flows as operating activities, unless the cumulative distributions exceed the portion of the cumulative equity in the net earnings of the unconsolidated affiliate, in which case the excess distributions are deemed to be returns of the investment and are classified as investing activities in the Consolidated Statements of Cash Flows.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ADOPTED ACCOUNTING PRONOUNCEMENTS</w:t>
      </w:r>
    </w:p>
    <w:p>
      <w:pPr>
        <w:spacing w:after="0" w:line="84" w:lineRule="exact"/>
        <w:rPr>
          <w:sz w:val="20"/>
          <w:szCs w:val="20"/>
          <w:color w:val="auto"/>
        </w:rPr>
      </w:pPr>
    </w:p>
    <w:p>
      <w:pPr>
        <w:jc w:val="both"/>
        <w:ind w:firstLine="434"/>
        <w:spacing w:after="0" w:line="293" w:lineRule="auto"/>
        <w:rPr>
          <w:sz w:val="20"/>
          <w:szCs w:val="20"/>
          <w:color w:val="auto"/>
        </w:rPr>
      </w:pPr>
      <w:r>
        <w:rPr>
          <w:rFonts w:ascii="Times New Roman" w:cs="Times New Roman" w:eastAsia="Times New Roman" w:hAnsi="Times New Roman"/>
          <w:sz w:val="16"/>
          <w:szCs w:val="16"/>
          <w:color w:val="auto"/>
        </w:rPr>
        <w:t>In December 2019, the Financial Accounting Standards Board (“FASB”) issued Accounting Standards Update (“ASU”) No. 2019-12, “Income taxes (Topic 740): Simplifying the Accounting for Income Taxes,” which simplifies the accounting for income taxes by removing certain exceptions to the general principles in ASC 740 and also clarifies and amends existing guidance to improve consistent application. The company adopted this guidance on October 1, 2021. The adoption of this guidance did not have a material impact on the Company’s consolidated financial position, results of operations or cash flows.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 RECOGNITION</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Nature of Goods and Services</w:t>
      </w:r>
    </w:p>
    <w:p>
      <w:pPr>
        <w:spacing w:after="0" w:line="99" w:lineRule="exact"/>
        <w:rPr>
          <w:sz w:val="20"/>
          <w:szCs w:val="20"/>
          <w:color w:val="auto"/>
        </w:rPr>
      </w:pPr>
    </w:p>
    <w:p>
      <w:pPr>
        <w:jc w:val="both"/>
        <w:ind w:firstLine="434"/>
        <w:spacing w:after="0" w:line="254" w:lineRule="auto"/>
        <w:rPr>
          <w:sz w:val="20"/>
          <w:szCs w:val="20"/>
          <w:color w:val="auto"/>
        </w:rPr>
      </w:pPr>
      <w:r>
        <w:rPr>
          <w:rFonts w:ascii="Times New Roman" w:cs="Times New Roman" w:eastAsia="Times New Roman" w:hAnsi="Times New Roman"/>
          <w:sz w:val="17"/>
          <w:szCs w:val="17"/>
          <w:color w:val="auto"/>
        </w:rPr>
        <w:t>The Company’s revenue is primarily generated from sales of branded and private label lawn and garden care and indoor and hydroponic gardening finished products to home centers, mass merchandisers, warehouse clubs, large hardware chains, independent hardware stores, nurseries, garden centers, e-commerce platforms, food and drug stores, indoor gardening and hydroponic product distributors, retailers and growers. In addition to product sales, the Company acts as the exclusive agent of Monsanto for the marketing and distribution of certain of Monsanto’s consumer Roundup</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branded products in the United States and certain other specified countries, and performs certain other services under ancillary agreements with Monsanto. Prior to December 31, 2020, the Company also provided marketing, research and development and certain ancillary services to Bonnie. Refer to “NOTE 21. SEGMENT INFORMATION” for disaggregated revenue information and “NOTE 7. MARKETING AGREEMENT” for revenue information related to the Monsanto agreements.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73" w:name="page74"/>
    <w:bookmarkEnd w:id="73"/>
    <w:tbl>
      <w:tblPr>
        <w:tblLayout w:type="fixed"/>
        <w:tblInd w:w="20" w:type="dxa"/>
        <w:tblCellMar>
          <w:top w:w="0" w:type="dxa"/>
          <w:left w:w="0" w:type="dxa"/>
          <w:bottom w:w="0" w:type="dxa"/>
          <w:right w:w="0" w:type="dxa"/>
        </w:tblCellMar>
      </w:tblPr>
      <w:tr>
        <w:trPr>
          <w:trHeight w:val="21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620" w:type="dxa"/>
            <w:vAlign w:val="bottom"/>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6"/>
              </w:rPr>
              <w:t>THE SCOTTS MIRACLE-GRO COMPANY</w:t>
            </w:r>
          </w:p>
        </w:tc>
      </w:tr>
      <w:tr>
        <w:trPr>
          <w:trHeight w:val="178"/>
        </w:trPr>
        <w:tc>
          <w:tcPr>
            <w:tcW w:w="1860" w:type="dxa"/>
            <w:vAlign w:val="bottom"/>
          </w:tcPr>
          <w:p>
            <w:pPr>
              <w:spacing w:after="0"/>
              <w:rPr>
                <w:sz w:val="15"/>
                <w:szCs w:val="15"/>
                <w:color w:val="auto"/>
              </w:rPr>
            </w:pPr>
          </w:p>
        </w:tc>
        <w:tc>
          <w:tcPr>
            <w:tcW w:w="6620" w:type="dxa"/>
            <w:vAlign w:val="bottom"/>
          </w:tcPr>
          <w:p>
            <w:pPr>
              <w:jc w:val="center"/>
              <w:ind w:left="778"/>
              <w:spacing w:after="0" w:line="178" w:lineRule="exact"/>
              <w:rPr>
                <w:sz w:val="20"/>
                <w:szCs w:val="20"/>
                <w:color w:val="auto"/>
              </w:rPr>
            </w:pPr>
            <w:r>
              <w:rPr>
                <w:rFonts w:ascii="Times New Roman" w:cs="Times New Roman" w:eastAsia="Times New Roman" w:hAnsi="Times New Roman"/>
                <w:sz w:val="18"/>
                <w:szCs w:val="18"/>
                <w:b w:val="1"/>
                <w:bCs w:val="1"/>
                <w:color w:val="auto"/>
                <w:w w:val="96"/>
              </w:rPr>
              <w:t>NOTES TO CONSOLIDATED FINANCIAL STATEMENTS — (Continued)</w:t>
            </w:r>
          </w:p>
        </w:tc>
      </w:tr>
      <w:tr>
        <w:trPr>
          <w:trHeight w:val="185"/>
        </w:trPr>
        <w:tc>
          <w:tcPr>
            <w:tcW w:w="1860" w:type="dxa"/>
            <w:vAlign w:val="bottom"/>
          </w:tcPr>
          <w:p>
            <w:pPr>
              <w:spacing w:after="0"/>
              <w:rPr>
                <w:sz w:val="16"/>
                <w:szCs w:val="16"/>
                <w:color w:val="auto"/>
              </w:rPr>
            </w:pPr>
          </w:p>
        </w:tc>
        <w:tc>
          <w:tcPr>
            <w:tcW w:w="6620" w:type="dxa"/>
            <w:vAlign w:val="bottom"/>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Identification and Satisfaction of Performance Obligations</w:t>
      </w:r>
    </w:p>
    <w:p>
      <w:pPr>
        <w:spacing w:after="0" w:line="86"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The Company recognizes product sales at a point in time when it transfers control of products to customers and has no further obligation to provide services related to such products. Control is the ability of customers to direct the “use of” and “obtain” the benefit from the Company’s products. In evaluating the timing of the transfer of control of products to customers, the Company considers several control indicators, including significant risks and rewards of products, the Company’s right to payment and the legal title of the products. Based on the assessment of control indicators, sales are typically recognized when products are delivered to or picked up by the customer. The Company is generally the principal in a transaction and, therefore, primarily records revenue on a gross basis. When the Company is a principal in a transaction, it has determined that it controls the ability to direct the use of the product prior to transfer to a customer, is primarily responsible for fulfilling the promise to provide the product or service to the customer, has discretion in establishing prices, and ultimately controls the transfer of the product or services provided to the customer.</w:t>
      </w:r>
    </w:p>
    <w:p>
      <w:pPr>
        <w:spacing w:after="0" w:line="70" w:lineRule="exact"/>
        <w:rPr>
          <w:sz w:val="20"/>
          <w:szCs w:val="20"/>
          <w:color w:val="auto"/>
        </w:rPr>
      </w:pPr>
    </w:p>
    <w:p>
      <w:pPr>
        <w:jc w:val="both"/>
        <w:ind w:firstLine="434"/>
        <w:spacing w:after="0" w:line="235" w:lineRule="auto"/>
        <w:rPr>
          <w:sz w:val="20"/>
          <w:szCs w:val="20"/>
          <w:color w:val="auto"/>
        </w:rPr>
      </w:pPr>
      <w:r>
        <w:rPr>
          <w:rFonts w:ascii="Times New Roman" w:cs="Times New Roman" w:eastAsia="Times New Roman" w:hAnsi="Times New Roman"/>
          <w:sz w:val="18"/>
          <w:szCs w:val="18"/>
          <w:color w:val="auto"/>
        </w:rPr>
        <w:t>Under the terms of the Third Amended and Restated Exclusive Agency and Marketing Agreement (the “Third Restated Agreement”), pursuant to which the Company serves as the exclusive agent of Monsanto for the marketing and distribution of certain of Monsanto’s consumer Roundup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branded products in the United States and certain other specified countries, the Company is entitled to receive an annual commission from Monsanto as consideration for the performance of the Company’s duties as agent. The Third Restated Agreement also requires the Company to make annual payments to Monsanto as a contribution against the overall expenses of its consumer Roundup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business. The gross commission earned under the Third Restated Agreement and the contribution payments to Monsanto are included in the “Net sales” line in the Consolidated Statements of Operations. The Company performs other services, including conversion services, pursuant to ancillary agreements with Monsanto. The actual costs incurred for these activities are charged to and reimbursed by Monsanto. The Company records costs incurred for which the Company is the primary obligor on a gross basis, recognizing such costs in the “Cost of sales” line and the reimbursement of these costs in the “Net sales” line in the Consolidated Statements of Operations, with no effect on gross margin dollars or net income.</w:t>
      </w:r>
    </w:p>
    <w:p>
      <w:pPr>
        <w:spacing w:after="0" w:line="78"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Prior to December 31, 2020, in exchange for services performed pursuant to the terms of the Marketing, R&amp;D and Ancillary Services Agreement (the “Services Agreement”) between the Company and AFC, Bonnie reimbursed the Company for certain costs and provided a commission fee earned based on a percentage of the growth in earnings before interest, income taxes and amortization of the Bonnie Business. The commission earned under the Services Agreement was included in the “Net sales” line in the Consolidated Statements of Operations. Additionally, the Company recorded costs incurred under the Services Agreement for which the Company is the primary obligor on a gross basis, recognizing such costs in the “Cost of sales” line and the reimbursement of these costs in the “Net sales” line in the Consolidated Statements of Operations, with no effect on gross margin dollars or net income.</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Transactional Price and Promotional Allowances</w:t>
      </w:r>
    </w:p>
    <w:p>
      <w:pPr>
        <w:spacing w:after="0" w:line="86"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Revenue for product sales is recorded net of sales returns and allowances. Revenues are measured based on the amount of consideration that the Company expects to receive as derived from a list price, reduced by estimates for variable consideration. Variable consideration includes the cost of current and continuing promotional programs and expected sales returns. Commission income related to the Monsanto agreements is recognized over the program year as the services are performed based upon the commission income formula in the agreements.</w:t>
      </w:r>
    </w:p>
    <w:p>
      <w:pPr>
        <w:spacing w:after="0" w:line="64"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The Company’s promotional programs primarily include rebates based on sales volumes, in-store promotional allowances, cooperative advertising programs, direct consumer rebate programs and special purchasing incentives. The cost of promotional programs is estimated considering all reasonably available information, including current expectations and historical experience. Promotional costs (including allowances and rebates) incurred during the year are expensed to interim periods in relation to revenues and are recorded as a reduction of net sales. Accruals for expected payouts under these programs are included in the “Other current liabilities” line in the Consolidated Balance Sheets. Provisions for estimated returns and allowances are recorded at the time revenue is recognized based on historical rates and are periodically adjusted for known changes in return levels. Shipping and handling costs are accounted for as contract fulfillment costs and included in the “Cost of sales” line in the Consolidated Statements of Operations. The Company excludes from revenue any amounts collected from customers for sales or other taxes.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74" w:name="page75"/>
    <w:bookmarkEnd w:id="74"/>
    <w:tbl>
      <w:tblPr>
        <w:tblLayout w:type="fixed"/>
        <w:tblInd w:w="20" w:type="dxa"/>
        <w:tblCellMar>
          <w:top w:w="0" w:type="dxa"/>
          <w:left w:w="0" w:type="dxa"/>
          <w:bottom w:w="0" w:type="dxa"/>
          <w:right w:w="0" w:type="dxa"/>
        </w:tblCellMar>
      </w:tblPr>
      <w:tr>
        <w:trPr>
          <w:trHeight w:val="21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620" w:type="dxa"/>
            <w:vAlign w:val="bottom"/>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6"/>
              </w:rPr>
              <w:t>THE SCOTTS MIRACLE-GRO COMPANY</w:t>
            </w:r>
          </w:p>
        </w:tc>
      </w:tr>
      <w:tr>
        <w:trPr>
          <w:trHeight w:val="178"/>
        </w:trPr>
        <w:tc>
          <w:tcPr>
            <w:tcW w:w="1860" w:type="dxa"/>
            <w:vAlign w:val="bottom"/>
          </w:tcPr>
          <w:p>
            <w:pPr>
              <w:spacing w:after="0"/>
              <w:rPr>
                <w:sz w:val="15"/>
                <w:szCs w:val="15"/>
                <w:color w:val="auto"/>
              </w:rPr>
            </w:pPr>
          </w:p>
        </w:tc>
        <w:tc>
          <w:tcPr>
            <w:tcW w:w="6620" w:type="dxa"/>
            <w:vAlign w:val="bottom"/>
          </w:tcPr>
          <w:p>
            <w:pPr>
              <w:jc w:val="center"/>
              <w:ind w:left="778"/>
              <w:spacing w:after="0" w:line="178" w:lineRule="exact"/>
              <w:rPr>
                <w:sz w:val="20"/>
                <w:szCs w:val="20"/>
                <w:color w:val="auto"/>
              </w:rPr>
            </w:pPr>
            <w:r>
              <w:rPr>
                <w:rFonts w:ascii="Times New Roman" w:cs="Times New Roman" w:eastAsia="Times New Roman" w:hAnsi="Times New Roman"/>
                <w:sz w:val="18"/>
                <w:szCs w:val="18"/>
                <w:b w:val="1"/>
                <w:bCs w:val="1"/>
                <w:color w:val="auto"/>
                <w:w w:val="96"/>
              </w:rPr>
              <w:t>NOTES TO CONSOLIDATED FINANCIAL STATEMENTS — (Continued)</w:t>
            </w:r>
          </w:p>
        </w:tc>
      </w:tr>
      <w:tr>
        <w:trPr>
          <w:trHeight w:val="185"/>
        </w:trPr>
        <w:tc>
          <w:tcPr>
            <w:tcW w:w="1860" w:type="dxa"/>
            <w:vAlign w:val="bottom"/>
          </w:tcPr>
          <w:p>
            <w:pPr>
              <w:spacing w:after="0"/>
              <w:rPr>
                <w:sz w:val="16"/>
                <w:szCs w:val="16"/>
                <w:color w:val="auto"/>
              </w:rPr>
            </w:pPr>
          </w:p>
        </w:tc>
        <w:tc>
          <w:tcPr>
            <w:tcW w:w="6620" w:type="dxa"/>
            <w:vAlign w:val="bottom"/>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DISCONTINUED OPERATIONS</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International Business</w:t>
      </w:r>
    </w:p>
    <w:p>
      <w:pPr>
        <w:spacing w:after="0" w:line="86" w:lineRule="exact"/>
        <w:rPr>
          <w:sz w:val="20"/>
          <w:szCs w:val="20"/>
          <w:color w:val="auto"/>
        </w:rPr>
      </w:pPr>
    </w:p>
    <w:p>
      <w:pPr>
        <w:jc w:val="both"/>
        <w:ind w:firstLine="434"/>
        <w:spacing w:after="0" w:line="246" w:lineRule="auto"/>
        <w:rPr>
          <w:sz w:val="20"/>
          <w:szCs w:val="20"/>
          <w:color w:val="auto"/>
        </w:rPr>
      </w:pPr>
      <w:r>
        <w:rPr>
          <w:rFonts w:ascii="Times New Roman" w:cs="Times New Roman" w:eastAsia="Times New Roman" w:hAnsi="Times New Roman"/>
          <w:sz w:val="18"/>
          <w:szCs w:val="18"/>
          <w:color w:val="auto"/>
        </w:rPr>
        <w:t>Prior to August 31, 2017, the Company operated consumer lawn and garden businesses located in Australia, Austria, Belgium, Luxembourg, Czech Republic, France, Germany, Poland and the United Kingdom (the “International Business”). On August 31, 2017, the Company completed the sale of the International Business. As a result, effective in its fourth quarter of fiscal 2017, the Company classified its results of operations for all periods presented to reflect the International Business as a discontinued operation. The sale proceeds were net of seller financing provided by the Company in the form of a $29.7 loan for seven years bearing interest at 5% for the first three years, with annual 2.5% increases thereafter. The seller financing loan receivable is recorded in the “Other assets” line in the Consolidated Balance Sheets as of September 30, 2022. The transaction also included contingent consideration with a maximum payout of $23.8 and an initial fair value of $18.2, the payment of which depended on the achievement of certain performance criteria by the International Business following the closing of the transaction through fiscal 2020. During fiscal 2021, the Company agreed to accept a contingent consideration payout of $6.0 and recorded a pre-tax charge of $12.2 in the “Income (loss) from discontinued operations, net of tax” line in the Consolidated Statements of Operations during fiscal 2021 to write-down the contingent consideration receivable to the agreed upon payout amount. This contingent consideration payment was received during fiscal 2022 and this amount was classified as a financing activity in the “Other financing, net” line in the Consolidated Statements of Cash Flows.</w:t>
      </w:r>
    </w:p>
    <w:p>
      <w:pPr>
        <w:spacing w:after="0" w:line="70"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following table summarizes the results of discontinued operations described above and reflected within discontinued operations in the Company’s consolidated financial statements for each of the periods presented: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Year Ended September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and exit costs</w:t>
            </w:r>
          </w:p>
        </w:tc>
        <w:tc>
          <w:tcPr>
            <w:tcW w:w="1020" w:type="dxa"/>
            <w:vAlign w:val="bottom"/>
            <w:shd w:val="clear" w:color="auto" w:fill="CCEEFF"/>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restructuring and other charges (recoveries)</w:t>
            </w:r>
          </w:p>
        </w:tc>
        <w:tc>
          <w:tcPr>
            <w:tcW w:w="1020" w:type="dxa"/>
            <w:vAlign w:val="bottom"/>
          </w:tcPr>
          <w:p>
            <w:pPr>
              <w:spacing w:after="0"/>
              <w:rPr>
                <w:sz w:val="19"/>
                <w:szCs w:val="19"/>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Write-down of contingent consideration receivable</w:t>
            </w:r>
          </w:p>
        </w:tc>
        <w:tc>
          <w:tcPr>
            <w:tcW w:w="10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before income taxes</w:t>
            </w:r>
          </w:p>
        </w:tc>
        <w:tc>
          <w:tcPr>
            <w:tcW w:w="102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 from discontinued operations</w:t>
            </w:r>
          </w:p>
        </w:tc>
        <w:tc>
          <w:tcPr>
            <w:tcW w:w="10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020" w:type="dxa"/>
            <w:vAlign w:val="bottom"/>
            <w:tcBorders>
              <w:bottom w:val="single" w:sz="8" w:color="auto"/>
            </w:tcBorders>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6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Consolidated Statements of Cash Flows do not present the cash flows from discontinued operations separately from cash flows from continuing operations. Cash provided by (used in) operating activities related to discontinued operations was zero for fiscal 2022 and fiscal 2021, and was $3.6 for fiscal 2020. Cash (used in) provided by investing activities related to discontinued operations was zero for fiscal 2022, fiscal 2021 and fiscal 2020.</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75" w:name="page76"/>
    <w:bookmarkEnd w:id="75"/>
    <w:tbl>
      <w:tblPr>
        <w:tblLayout w:type="fixed"/>
        <w:tblInd w:w="20" w:type="dxa"/>
        <w:tblCellMar>
          <w:top w:w="0" w:type="dxa"/>
          <w:left w:w="0" w:type="dxa"/>
          <w:bottom w:w="0" w:type="dxa"/>
          <w:right w:w="0" w:type="dxa"/>
        </w:tblCellMar>
      </w:tblPr>
      <w:tr>
        <w:trPr>
          <w:trHeight w:val="21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620" w:type="dxa"/>
            <w:vAlign w:val="bottom"/>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6"/>
              </w:rPr>
              <w:t>THE SCOTTS MIRACLE-GRO COMPANY</w:t>
            </w:r>
          </w:p>
        </w:tc>
      </w:tr>
      <w:tr>
        <w:trPr>
          <w:trHeight w:val="178"/>
        </w:trPr>
        <w:tc>
          <w:tcPr>
            <w:tcW w:w="1860" w:type="dxa"/>
            <w:vAlign w:val="bottom"/>
          </w:tcPr>
          <w:p>
            <w:pPr>
              <w:spacing w:after="0"/>
              <w:rPr>
                <w:sz w:val="15"/>
                <w:szCs w:val="15"/>
                <w:color w:val="auto"/>
              </w:rPr>
            </w:pPr>
          </w:p>
        </w:tc>
        <w:tc>
          <w:tcPr>
            <w:tcW w:w="6620" w:type="dxa"/>
            <w:vAlign w:val="bottom"/>
          </w:tcPr>
          <w:p>
            <w:pPr>
              <w:jc w:val="center"/>
              <w:ind w:left="778"/>
              <w:spacing w:after="0" w:line="178" w:lineRule="exact"/>
              <w:rPr>
                <w:sz w:val="20"/>
                <w:szCs w:val="20"/>
                <w:color w:val="auto"/>
              </w:rPr>
            </w:pPr>
            <w:r>
              <w:rPr>
                <w:rFonts w:ascii="Times New Roman" w:cs="Times New Roman" w:eastAsia="Times New Roman" w:hAnsi="Times New Roman"/>
                <w:sz w:val="18"/>
                <w:szCs w:val="18"/>
                <w:b w:val="1"/>
                <w:bCs w:val="1"/>
                <w:color w:val="auto"/>
                <w:w w:val="96"/>
              </w:rPr>
              <w:t>NOTES TO CONSOLIDATED FINANCIAL STATEMENTS — (Continued)</w:t>
            </w:r>
          </w:p>
        </w:tc>
      </w:tr>
      <w:tr>
        <w:trPr>
          <w:trHeight w:val="185"/>
        </w:trPr>
        <w:tc>
          <w:tcPr>
            <w:tcW w:w="1860" w:type="dxa"/>
            <w:vAlign w:val="bottom"/>
          </w:tcPr>
          <w:p>
            <w:pPr>
              <w:spacing w:after="0"/>
              <w:rPr>
                <w:sz w:val="16"/>
                <w:szCs w:val="16"/>
                <w:color w:val="auto"/>
              </w:rPr>
            </w:pPr>
          </w:p>
        </w:tc>
        <w:tc>
          <w:tcPr>
            <w:tcW w:w="6620" w:type="dxa"/>
            <w:vAlign w:val="bottom"/>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IMPAIRMENT, RESTRUCTURING AND OTHER</w:t>
      </w:r>
    </w:p>
    <w:p>
      <w:pPr>
        <w:spacing w:after="0" w:line="84"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Activity described herein is classified within the “Cost of sales—impairment, restructuring and other,” “Impairment, restructuring and other” and “Income (loss) from discontinued operations, net of tax” lines in the Consolidated Statements of Operations. The following table details impairment, restructuring and other charges (recoveries) for each of the periods presented: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Year Ended September 30,</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67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67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3"/>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COVID-19 related costs</w:t>
            </w:r>
          </w:p>
        </w:tc>
        <w:tc>
          <w:tcPr>
            <w:tcW w:w="900" w:type="dxa"/>
            <w:vAlign w:val="bottom"/>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and other charges (recoveries), net</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impairments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expenses—impairment, restructuring and other:</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3"/>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COVID-19 related costs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and other charges (recoveries), net</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Gains on sale of property, plant and equipment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 and intangible asset impairments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restructuring and other charges from continuing operations</w:t>
            </w:r>
          </w:p>
        </w:tc>
        <w:tc>
          <w:tcPr>
            <w:tcW w:w="9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 (recoveries), net, from discontinued operations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7"/>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impairment, restructuring and other charges</w:t>
            </w:r>
          </w:p>
        </w:tc>
        <w:tc>
          <w:tcPr>
            <w:tcW w:w="900" w:type="dxa"/>
            <w:vAlign w:val="bottom"/>
            <w:tcBorders>
              <w:top w:val="single" w:sz="8" w:color="auto"/>
              <w:bottom w:val="single" w:sz="8" w:color="auto"/>
            </w:tcBorders>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0"/>
        </w:trPr>
        <w:tc>
          <w:tcPr>
            <w:tcW w:w="6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liabilities associated with restructuring activities for each of the periods presented: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Year Ended September 30,</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6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67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accrued for restructuring activities at beginning of year</w:t>
            </w:r>
          </w:p>
        </w:tc>
        <w:tc>
          <w:tcPr>
            <w:tcW w:w="920" w:type="dxa"/>
            <w:vAlign w:val="bottom"/>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 from continuing operations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and other</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17"/>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accrued for restructuring activities at end of year</w:t>
            </w:r>
          </w:p>
        </w:tc>
        <w:tc>
          <w:tcPr>
            <w:tcW w:w="92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Included in restructuring accruals, as of September 30, 2022, is $4.6 that is classified as long-term. The remaining amounts accrued will continue to be paid out over the course of the next twelve months.</w:t>
      </w:r>
    </w:p>
    <w:p>
      <w:pPr>
        <w:spacing w:after="0" w:line="50"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During fiscal 2022, the Company recognized non-cash, pre-tax goodwill and intangible asset impairment charges of $632.4 as a result of interim impairment testing of its Hawthorne segment in the “Impairment, restructuring and other” line in the Consolidated Statements of Operations, comprised of $522.4 of goodwill impairment charges and $110.0 of finite-lived intangible asset impairment charges.</w:t>
      </w:r>
    </w:p>
    <w:p>
      <w:pPr>
        <w:spacing w:after="0" w:line="61" w:lineRule="exact"/>
        <w:rPr>
          <w:sz w:val="20"/>
          <w:szCs w:val="20"/>
          <w:color w:val="auto"/>
        </w:rPr>
      </w:pPr>
    </w:p>
    <w:p>
      <w:pPr>
        <w:jc w:val="both"/>
        <w:ind w:firstLine="434"/>
        <w:spacing w:after="0" w:line="303" w:lineRule="auto"/>
        <w:rPr>
          <w:sz w:val="20"/>
          <w:szCs w:val="20"/>
          <w:color w:val="auto"/>
        </w:rPr>
      </w:pPr>
      <w:r>
        <w:rPr>
          <w:rFonts w:ascii="Times New Roman" w:cs="Times New Roman" w:eastAsia="Times New Roman" w:hAnsi="Times New Roman"/>
          <w:sz w:val="16"/>
          <w:szCs w:val="16"/>
          <w:color w:val="auto"/>
        </w:rPr>
        <w:t>During fiscal 2022, the Company incurred inventory write-down charges of $120.9 in the “Cost of sales—impairment, restructuring and other” line in the Consolidated Statements of Operations and finite-lived intangible asset impairment charges of $35.3 in the “Impairment, restructuring and other” line in the Consolidated Statements of Operations associated with its decision to discontinue and exit the market for certain Hawthorne lighting products and brands.</w:t>
      </w:r>
    </w:p>
    <w:p>
      <w:pPr>
        <w:spacing w:after="0" w:line="13"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During fiscal 2022, the Company began implementing a series of organizational changes and initiatives intended to create operational and management-level efficiencies. As part of this restructuring program, the Company is reducing the size of its supply chain network, reducing staffing levels and implementing other cost-reduction initiatives. During fiscal 2022, the Company incurred costs of $65.2 associated with this restructuring initiative primarily related to employee termination benefits and impairment of property, plant and equipment. The Company incurred costs of $9.7 in its U.S. Consumer segment and $27.1 in its Hawthorne segment in the “Cost of sales—impairment, restructuring and other” line in the Consolidated Statements of Operations during fiscal 2022. The Company incurred costs of $11.9 in its U.S. Consumer segment, $8.1 in its Hawthorne segment, $0.7 in its Other segment and $7.7 at Corporate in the “Impairment, restructuring and other” line in the Consolidated Statements of Operations during fiscal 2022.</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76" w:name="page77"/>
    <w:bookmarkEnd w:id="76"/>
    <w:tbl>
      <w:tblPr>
        <w:tblLayout w:type="fixed"/>
        <w:tblInd w:w="20" w:type="dxa"/>
        <w:tblCellMar>
          <w:top w:w="0" w:type="dxa"/>
          <w:left w:w="0" w:type="dxa"/>
          <w:bottom w:w="0" w:type="dxa"/>
          <w:right w:w="0" w:type="dxa"/>
        </w:tblCellMar>
      </w:tblPr>
      <w:tr>
        <w:trPr>
          <w:trHeight w:val="21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620" w:type="dxa"/>
            <w:vAlign w:val="bottom"/>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6"/>
              </w:rPr>
              <w:t>THE SCOTTS MIRACLE-GRO COMPANY</w:t>
            </w:r>
          </w:p>
        </w:tc>
      </w:tr>
      <w:tr>
        <w:trPr>
          <w:trHeight w:val="178"/>
        </w:trPr>
        <w:tc>
          <w:tcPr>
            <w:tcW w:w="1860" w:type="dxa"/>
            <w:vAlign w:val="bottom"/>
          </w:tcPr>
          <w:p>
            <w:pPr>
              <w:spacing w:after="0"/>
              <w:rPr>
                <w:sz w:val="15"/>
                <w:szCs w:val="15"/>
                <w:color w:val="auto"/>
              </w:rPr>
            </w:pPr>
          </w:p>
        </w:tc>
        <w:tc>
          <w:tcPr>
            <w:tcW w:w="6620" w:type="dxa"/>
            <w:vAlign w:val="bottom"/>
          </w:tcPr>
          <w:p>
            <w:pPr>
              <w:jc w:val="center"/>
              <w:ind w:left="778"/>
              <w:spacing w:after="0" w:line="178" w:lineRule="exact"/>
              <w:rPr>
                <w:sz w:val="20"/>
                <w:szCs w:val="20"/>
                <w:color w:val="auto"/>
              </w:rPr>
            </w:pPr>
            <w:r>
              <w:rPr>
                <w:rFonts w:ascii="Times New Roman" w:cs="Times New Roman" w:eastAsia="Times New Roman" w:hAnsi="Times New Roman"/>
                <w:sz w:val="18"/>
                <w:szCs w:val="18"/>
                <w:b w:val="1"/>
                <w:bCs w:val="1"/>
                <w:color w:val="auto"/>
                <w:w w:val="96"/>
              </w:rPr>
              <w:t>NOTES TO CONSOLIDATED FINANCIAL STATEMENTS — (Continued)</w:t>
            </w:r>
          </w:p>
        </w:tc>
      </w:tr>
      <w:tr>
        <w:trPr>
          <w:trHeight w:val="185"/>
        </w:trPr>
        <w:tc>
          <w:tcPr>
            <w:tcW w:w="1860" w:type="dxa"/>
            <w:vAlign w:val="bottom"/>
          </w:tcPr>
          <w:p>
            <w:pPr>
              <w:spacing w:after="0"/>
              <w:rPr>
                <w:sz w:val="16"/>
                <w:szCs w:val="16"/>
                <w:color w:val="auto"/>
              </w:rPr>
            </w:pPr>
          </w:p>
        </w:tc>
        <w:tc>
          <w:tcPr>
            <w:tcW w:w="6620" w:type="dxa"/>
            <w:vAlign w:val="bottom"/>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During fiscal 2022, the Company recognized gains of $16.2 in the “Impairment, restructuring and other” line in the Consolidated Statements of Operations associated with the sale of property, plant and equipment.</w:t>
      </w:r>
    </w:p>
    <w:p>
      <w:pPr>
        <w:spacing w:after="0" w:line="50" w:lineRule="exact"/>
        <w:rPr>
          <w:sz w:val="20"/>
          <w:szCs w:val="20"/>
          <w:color w:val="auto"/>
        </w:rPr>
      </w:pPr>
    </w:p>
    <w:p>
      <w:pPr>
        <w:jc w:val="both"/>
        <w:ind w:firstLine="434"/>
        <w:spacing w:after="0" w:line="246" w:lineRule="auto"/>
        <w:rPr>
          <w:sz w:val="20"/>
          <w:szCs w:val="20"/>
          <w:color w:val="auto"/>
        </w:rPr>
      </w:pPr>
      <w:r>
        <w:rPr>
          <w:rFonts w:ascii="Times New Roman" w:cs="Times New Roman" w:eastAsia="Times New Roman" w:hAnsi="Times New Roman"/>
          <w:sz w:val="18"/>
          <w:szCs w:val="18"/>
          <w:color w:val="auto"/>
        </w:rPr>
        <w:t>Costs incurred during fiscal 2022 related to COVID-19 were immaterial. During 2021, the Company incurred costs of $29.2 associated with the COVID-19 pandemic primarily related to premium pay. The Company incurred costs of $21.2 in its U.S. Consumer segment, $3.2 in its Hawthorne segment and $0.6 in its Other segment in the “Cost of sales—impairment, restructuring and other” line in the Consolidated Statements of Operations during fiscal 2021. The Company incurred costs of $4.0 in its U.S. Consumer segment and $0.2 in its Other segment in the “Impairment, restructuring and other” line in the Consolidated Statements of Operations during fiscal 2021. During fiscal 2020, the Company incurred costs of $19.4 associated with the COVID-19 pandemic primarily related to premium pay. The Company incurred costs of $12.4 in its U.S. Consumer segment, $2.6 in its Hawthorne segment and $0.5 in its Other segment in the “Cost of sales—impairment, restructuring and other” line in the Consolidated Statements of Operations during fiscal 2020. The Company incurred costs of $3.8 in its U.S. Consumer segment and $0.1 in its Other segment in the “Impairment, restructuring and other” line in the Consolidated Statements of Operations during fiscal 2020.</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GOODWILL AND INTANGIBLE ASSETS, NET</w:t>
      </w:r>
    </w:p>
    <w:p>
      <w:pPr>
        <w:spacing w:after="0" w:line="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displays a rollforward of the carrying amount of goodwill by reportable segment:</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U.S. Consumer</w:t>
            </w:r>
          </w:p>
        </w:tc>
        <w:tc>
          <w:tcPr>
            <w:tcW w:w="18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Hawthorne</w:t>
            </w:r>
          </w:p>
        </w:tc>
        <w:tc>
          <w:tcPr>
            <w:tcW w:w="26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45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2020</w:t>
            </w:r>
          </w:p>
        </w:tc>
        <w:tc>
          <w:tcPr>
            <w:tcW w:w="1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and measurement-period adjustments</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Reallocation</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5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2021</w:t>
            </w:r>
          </w:p>
        </w:tc>
        <w:tc>
          <w:tcPr>
            <w:tcW w:w="15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and measurement-period adjustments</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5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2022</w:t>
            </w:r>
          </w:p>
        </w:tc>
        <w:tc>
          <w:tcPr>
            <w:tcW w:w="15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ind w:right="252"/>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3"/>
        </w:trPr>
        <w:tc>
          <w:tcPr>
            <w:tcW w:w="456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56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77" w:name="page78"/>
    <w:bookmarkEnd w:id="77"/>
    <w:tbl>
      <w:tblPr>
        <w:tblLayout w:type="fixed"/>
        <w:tblInd w:w="20" w:type="dxa"/>
        <w:tblCellMar>
          <w:top w:w="0" w:type="dxa"/>
          <w:left w:w="0" w:type="dxa"/>
          <w:bottom w:w="0" w:type="dxa"/>
          <w:right w:w="0" w:type="dxa"/>
        </w:tblCellMar>
      </w:tblPr>
      <w:tr>
        <w:trPr>
          <w:trHeight w:val="21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620" w:type="dxa"/>
            <w:vAlign w:val="bottom"/>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6"/>
              </w:rPr>
              <w:t>THE SCOTTS MIRACLE-GRO COMPANY</w:t>
            </w:r>
          </w:p>
        </w:tc>
      </w:tr>
      <w:tr>
        <w:trPr>
          <w:trHeight w:val="178"/>
        </w:trPr>
        <w:tc>
          <w:tcPr>
            <w:tcW w:w="1860" w:type="dxa"/>
            <w:vAlign w:val="bottom"/>
          </w:tcPr>
          <w:p>
            <w:pPr>
              <w:spacing w:after="0"/>
              <w:rPr>
                <w:sz w:val="15"/>
                <w:szCs w:val="15"/>
                <w:color w:val="auto"/>
              </w:rPr>
            </w:pPr>
          </w:p>
        </w:tc>
        <w:tc>
          <w:tcPr>
            <w:tcW w:w="6620" w:type="dxa"/>
            <w:vAlign w:val="bottom"/>
          </w:tcPr>
          <w:p>
            <w:pPr>
              <w:jc w:val="center"/>
              <w:ind w:left="778"/>
              <w:spacing w:after="0" w:line="178" w:lineRule="exact"/>
              <w:rPr>
                <w:sz w:val="20"/>
                <w:szCs w:val="20"/>
                <w:color w:val="auto"/>
              </w:rPr>
            </w:pPr>
            <w:r>
              <w:rPr>
                <w:rFonts w:ascii="Times New Roman" w:cs="Times New Roman" w:eastAsia="Times New Roman" w:hAnsi="Times New Roman"/>
                <w:sz w:val="18"/>
                <w:szCs w:val="18"/>
                <w:b w:val="1"/>
                <w:bCs w:val="1"/>
                <w:color w:val="auto"/>
                <w:w w:val="96"/>
              </w:rPr>
              <w:t>NOTES TO CONSOLIDATED FINANCIAL STATEMENTS — (Continued)</w:t>
            </w:r>
          </w:p>
        </w:tc>
      </w:tr>
      <w:tr>
        <w:trPr>
          <w:trHeight w:val="185"/>
        </w:trPr>
        <w:tc>
          <w:tcPr>
            <w:tcW w:w="1860" w:type="dxa"/>
            <w:vAlign w:val="bottom"/>
          </w:tcPr>
          <w:p>
            <w:pPr>
              <w:spacing w:after="0"/>
              <w:rPr>
                <w:sz w:val="16"/>
                <w:szCs w:val="16"/>
                <w:color w:val="auto"/>
              </w:rPr>
            </w:pPr>
          </w:p>
        </w:tc>
        <w:tc>
          <w:tcPr>
            <w:tcW w:w="6620" w:type="dxa"/>
            <w:vAlign w:val="bottom"/>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intangible assets, net of accumulated amortization and impairment charges: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200" w:type="dxa"/>
            <w:vAlign w:val="bottom"/>
          </w:tcPr>
          <w:p>
            <w:pPr>
              <w:spacing w:after="0"/>
              <w:rPr>
                <w:sz w:val="10"/>
                <w:szCs w:val="10"/>
                <w:color w:val="auto"/>
              </w:rPr>
            </w:pPr>
          </w:p>
        </w:tc>
        <w:tc>
          <w:tcPr>
            <w:tcW w:w="96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200" w:type="dxa"/>
            <w:vAlign w:val="bottom"/>
          </w:tcPr>
          <w:p>
            <w:pPr>
              <w:spacing w:after="0"/>
              <w:rPr>
                <w:sz w:val="10"/>
                <w:szCs w:val="10"/>
                <w:color w:val="auto"/>
              </w:rPr>
            </w:pPr>
          </w:p>
        </w:tc>
        <w:tc>
          <w:tcPr>
            <w:tcW w:w="96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5"/>
        </w:trPr>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rPr>
              <w:t>Impairment</w:t>
            </w:r>
          </w:p>
        </w:tc>
        <w:tc>
          <w:tcPr>
            <w:tcW w:w="200" w:type="dxa"/>
            <w:vAlign w:val="bottom"/>
          </w:tcPr>
          <w:p>
            <w:pPr>
              <w:spacing w:after="0"/>
              <w:rPr>
                <w:sz w:val="12"/>
                <w:szCs w:val="12"/>
                <w:color w:val="auto"/>
              </w:rPr>
            </w:pPr>
          </w:p>
        </w:tc>
        <w:tc>
          <w:tcPr>
            <w:tcW w:w="960" w:type="dxa"/>
            <w:vAlign w:val="bottom"/>
          </w:tcPr>
          <w:p>
            <w:pPr>
              <w:jc w:val="center"/>
              <w:ind w:right="117"/>
              <w:spacing w:after="0" w:line="143"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rPr>
              <w:t>Impairment</w:t>
            </w:r>
          </w:p>
        </w:tc>
        <w:tc>
          <w:tcPr>
            <w:tcW w:w="200" w:type="dxa"/>
            <w:vAlign w:val="bottom"/>
          </w:tcPr>
          <w:p>
            <w:pPr>
              <w:spacing w:after="0"/>
              <w:rPr>
                <w:sz w:val="12"/>
                <w:szCs w:val="12"/>
                <w:color w:val="auto"/>
              </w:rPr>
            </w:pPr>
          </w:p>
        </w:tc>
        <w:tc>
          <w:tcPr>
            <w:tcW w:w="960" w:type="dxa"/>
            <w:vAlign w:val="bottom"/>
          </w:tcPr>
          <w:p>
            <w:pPr>
              <w:jc w:val="center"/>
              <w:ind w:right="117"/>
              <w:spacing w:after="0" w:line="143"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2"/>
        </w:trPr>
        <w:tc>
          <w:tcPr>
            <w:tcW w:w="3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200" w:type="dxa"/>
            <w:vAlign w:val="bottom"/>
          </w:tcPr>
          <w:p>
            <w:pPr>
              <w:spacing w:after="0"/>
              <w:rPr>
                <w:sz w:val="16"/>
                <w:szCs w:val="16"/>
                <w:color w:val="auto"/>
              </w:rPr>
            </w:pPr>
          </w:p>
        </w:tc>
        <w:tc>
          <w:tcPr>
            <w:tcW w:w="96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200" w:type="dxa"/>
            <w:vAlign w:val="bottom"/>
          </w:tcPr>
          <w:p>
            <w:pPr>
              <w:spacing w:after="0"/>
              <w:rPr>
                <w:sz w:val="16"/>
                <w:szCs w:val="16"/>
                <w:color w:val="auto"/>
              </w:rPr>
            </w:pPr>
          </w:p>
        </w:tc>
        <w:tc>
          <w:tcPr>
            <w:tcW w:w="96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209"/>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0" w:type="dxa"/>
            <w:vAlign w:val="bottom"/>
          </w:tcPr>
          <w:p>
            <w:pPr>
              <w:spacing w:after="0"/>
              <w:rPr>
                <w:sz w:val="1"/>
                <w:szCs w:val="1"/>
                <w:color w:val="auto"/>
              </w:rPr>
            </w:pPr>
          </w:p>
        </w:tc>
      </w:tr>
      <w:tr>
        <w:trPr>
          <w:trHeight w:val="223"/>
        </w:trPr>
        <w:tc>
          <w:tcPr>
            <w:tcW w:w="3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Technology</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7"/>
        </w:trPr>
        <w:tc>
          <w:tcPr>
            <w:tcW w:w="3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finite-lived intangible assets, net</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Indefinite-lived trade names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340"/>
              <w:spacing w:after="0" w:line="223" w:lineRule="exact"/>
              <w:rPr>
                <w:sz w:val="20"/>
                <w:szCs w:val="20"/>
                <w:color w:val="auto"/>
              </w:rPr>
            </w:pPr>
            <w:r>
              <w:rPr>
                <w:rFonts w:ascii="Times New Roman" w:cs="Times New Roman" w:eastAsia="Times New Roman" w:hAnsi="Times New Roman"/>
                <w:sz w:val="18"/>
                <w:szCs w:val="18"/>
                <w:color w:val="auto"/>
              </w:rPr>
              <w:t>Roundup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marketing agreement amendment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0" w:type="dxa"/>
            <w:vAlign w:val="bottom"/>
          </w:tcPr>
          <w:p>
            <w:pPr>
              <w:spacing w:after="0"/>
              <w:rPr>
                <w:sz w:val="1"/>
                <w:szCs w:val="1"/>
                <w:color w:val="auto"/>
              </w:rPr>
            </w:pPr>
          </w:p>
        </w:tc>
      </w:tr>
      <w:tr>
        <w:trPr>
          <w:trHeight w:val="217"/>
        </w:trPr>
        <w:tc>
          <w:tcPr>
            <w:tcW w:w="3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indefinite-lived intangible assets</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0" w:type="dxa"/>
            <w:vAlign w:val="bottom"/>
          </w:tcPr>
          <w:p>
            <w:pPr>
              <w:spacing w:after="0"/>
              <w:rPr>
                <w:sz w:val="1"/>
                <w:szCs w:val="1"/>
                <w:color w:val="auto"/>
              </w:rPr>
            </w:pPr>
          </w:p>
        </w:tc>
      </w:tr>
      <w:tr>
        <w:trPr>
          <w:trHeight w:val="242"/>
        </w:trPr>
        <w:tc>
          <w:tcPr>
            <w:tcW w:w="3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firstLine="434"/>
        <w:spacing w:after="0" w:line="246" w:lineRule="auto"/>
        <w:rPr>
          <w:sz w:val="20"/>
          <w:szCs w:val="20"/>
          <w:color w:val="auto"/>
        </w:rPr>
      </w:pPr>
      <w:r>
        <w:rPr>
          <w:rFonts w:ascii="Times New Roman" w:cs="Times New Roman" w:eastAsia="Times New Roman" w:hAnsi="Times New Roman"/>
          <w:sz w:val="18"/>
          <w:szCs w:val="18"/>
          <w:color w:val="auto"/>
        </w:rPr>
        <w:t>During fiscal 2022, the Company’s Hawthorne reporting unit experienced adverse financial results due to decreased sales volume and higher transportation and warehousing costs. Sales volume decreased due to an oversupply of cannabis, which significantly decreased cannabis wholesale prices and indoor and outdoor cannabis cultivation. As a result, the Company revised its internal forecasts relating to its Hawthorne reporting unit. The Company concluded that the changes in circumstances in this reporting unit and the decline in the Company’s market capitalization triggered the need for an interim impairment review of its goodwill during the third quarter of fiscal 2022. These changes in circumstances also indicated that the carrying amounts of Hawthorne’s long-lived assets, including trade names and customer relationships, may not be recoverable. Accordingly, the Company performed a recoverability test for long-lived assets during the third quarter of fiscal 2022. The Company concluded that the carrying value of long-lived assets exceeded their estimated fair value and recorded pre-tax impairment charges of $69.0 related to trade names and $41.0 related to customer relationships, which were recognized during the third quarter of fiscal 2022 in the “Impairment, restructuring and other” line in the Consolidated Statements of Operations. The fair values of long-lived assets were determined using income-based approaches, including the relief-from-royalty method for trade names, that include market participant expectations of cash flows that the assets will generate over the remaining useful life discounted to present value using an appropriate discount rate. These fair value estimates utilize significant unobservable inputs and, therefore, represent Level 3 fair value measurements.</w:t>
      </w:r>
    </w:p>
    <w:p>
      <w:pPr>
        <w:spacing w:after="0" w:line="70"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After adjusting the carrying values of the finite-lived intangible assets, the Company completed an interim quantitative impairment test for goodwill during the third quarter of fiscal 2022. This quantitative test resulted in a non-cash, pre-tax goodwill impairment charge of $522.4 related to the Hawthorne reporting unit, which was recognized during the third quarter of fiscal 2022 in the “Impairment, restructuring and other” line in the Consolidated Statements of Operations. The carrying value of goodwill of the Hawthorne reporting unit, after recognizing the impairment, is zero. The estimated fair value of the Hawthorne reporting unit was based upon an equal weighting of the income-based and market-based approaches, utilizing estimated cash flows and a terminal value, discounted at a rate of return that reflects the relative risk of the cash flows, as well as valuation multiples derived from comparable publicly traded companies that are applied to operating performance of the reporting unit. The fair value estimate utilizes significant unobservable inputs and thus represents a Level 3 fair value measurement.</w:t>
      </w:r>
    </w:p>
    <w:p>
      <w:pPr>
        <w:spacing w:after="0" w:line="57"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During fiscal 2022, the Company also incurred additional finite-lived intangible asset impairment charges of $35.3, comprised of $22.5 related to trade names and $12.8 related to customer relationships, which were recognized during the fourth quarter of fiscal 2022 in the “Impairment, restructuring and other” line in the Consolidated Statements of Operations, associated with its decision to discontinue and exit the market for certain Hawthorne lighting products and brands.</w:t>
      </w:r>
    </w:p>
    <w:p>
      <w:pPr>
        <w:spacing w:after="0" w:line="64" w:lineRule="exact"/>
        <w:rPr>
          <w:sz w:val="20"/>
          <w:szCs w:val="20"/>
          <w:color w:val="auto"/>
        </w:rPr>
      </w:pPr>
    </w:p>
    <w:p>
      <w:pPr>
        <w:jc w:val="both"/>
        <w:ind w:firstLine="434"/>
        <w:spacing w:after="0" w:line="293" w:lineRule="auto"/>
        <w:rPr>
          <w:sz w:val="20"/>
          <w:szCs w:val="20"/>
          <w:color w:val="auto"/>
        </w:rPr>
      </w:pPr>
      <w:r>
        <w:rPr>
          <w:rFonts w:ascii="Times New Roman" w:cs="Times New Roman" w:eastAsia="Times New Roman" w:hAnsi="Times New Roman"/>
          <w:sz w:val="16"/>
          <w:szCs w:val="16"/>
          <w:color w:val="auto"/>
        </w:rPr>
        <w:t>During fiscal 2021, the Company changed its internal organization structure such that AeroGrow is now managed by and reported within the U.S. Consumer segment. Within the U.S. Consumer segment, AeroGrow is integrated into the Company’s overall direct to consumer focus and strategy. AeroGrow was previously managed by and reported within the Hawthorne segment. This change in organization structure resulted in a change in the Company’s reporting units. As a result, goodwill included in impacted reporting units was reallocated using a relative fair value approach, resulting in $15.8 of goodwill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78" w:name="page79"/>
    <w:bookmarkEnd w:id="78"/>
    <w:tbl>
      <w:tblPr>
        <w:tblLayout w:type="fixed"/>
        <w:tblInd w:w="20" w:type="dxa"/>
        <w:tblCellMar>
          <w:top w:w="0" w:type="dxa"/>
          <w:left w:w="0" w:type="dxa"/>
          <w:bottom w:w="0" w:type="dxa"/>
          <w:right w:w="0" w:type="dxa"/>
        </w:tblCellMar>
      </w:tblPr>
      <w:tr>
        <w:trPr>
          <w:trHeight w:val="21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620" w:type="dxa"/>
            <w:vAlign w:val="bottom"/>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6"/>
              </w:rPr>
              <w:t>THE SCOTTS MIRACLE-GRO COMPANY</w:t>
            </w:r>
          </w:p>
        </w:tc>
      </w:tr>
      <w:tr>
        <w:trPr>
          <w:trHeight w:val="178"/>
        </w:trPr>
        <w:tc>
          <w:tcPr>
            <w:tcW w:w="1860" w:type="dxa"/>
            <w:vAlign w:val="bottom"/>
          </w:tcPr>
          <w:p>
            <w:pPr>
              <w:spacing w:after="0"/>
              <w:rPr>
                <w:sz w:val="15"/>
                <w:szCs w:val="15"/>
                <w:color w:val="auto"/>
              </w:rPr>
            </w:pPr>
          </w:p>
        </w:tc>
        <w:tc>
          <w:tcPr>
            <w:tcW w:w="6620" w:type="dxa"/>
            <w:vAlign w:val="bottom"/>
          </w:tcPr>
          <w:p>
            <w:pPr>
              <w:jc w:val="center"/>
              <w:ind w:left="778"/>
              <w:spacing w:after="0" w:line="178" w:lineRule="exact"/>
              <w:rPr>
                <w:sz w:val="20"/>
                <w:szCs w:val="20"/>
                <w:color w:val="auto"/>
              </w:rPr>
            </w:pPr>
            <w:r>
              <w:rPr>
                <w:rFonts w:ascii="Times New Roman" w:cs="Times New Roman" w:eastAsia="Times New Roman" w:hAnsi="Times New Roman"/>
                <w:sz w:val="18"/>
                <w:szCs w:val="18"/>
                <w:b w:val="1"/>
                <w:bCs w:val="1"/>
                <w:color w:val="auto"/>
                <w:w w:val="96"/>
              </w:rPr>
              <w:t>NOTES TO CONSOLIDATED FINANCIAL STATEMENTS — (Continued)</w:t>
            </w:r>
          </w:p>
        </w:tc>
      </w:tr>
      <w:tr>
        <w:trPr>
          <w:trHeight w:val="185"/>
        </w:trPr>
        <w:tc>
          <w:tcPr>
            <w:tcW w:w="1860" w:type="dxa"/>
            <w:vAlign w:val="bottom"/>
          </w:tcPr>
          <w:p>
            <w:pPr>
              <w:spacing w:after="0"/>
              <w:rPr>
                <w:sz w:val="16"/>
                <w:szCs w:val="16"/>
                <w:color w:val="auto"/>
              </w:rPr>
            </w:pPr>
          </w:p>
        </w:tc>
        <w:tc>
          <w:tcPr>
            <w:tcW w:w="6620" w:type="dxa"/>
            <w:vAlign w:val="bottom"/>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reallocated from the Hawthorne segment to the U.S. Consumer segment during fiscal 2021. In addition, the Company completed an assessment of potential goodwill impairment immediately before and after the reallocation and determined that no impairment existed.</w:t>
      </w:r>
    </w:p>
    <w:p>
      <w:pPr>
        <w:spacing w:after="0" w:line="50"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Total amortization expense was $37.1, $30.9 and $32.5 for fiscal 2022, fiscal 2021 and fiscal 2020, respectively. Amortization expense is estimated to be as follows for the years ending September 30: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38"/>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6. DETAIL OF CERTAIN FINANCIAL STATEMENT ACCOUNTS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0" w:type="dxa"/>
            <w:vAlign w:val="bottom"/>
          </w:tcPr>
          <w:p>
            <w:pPr>
              <w:spacing w:after="0"/>
              <w:rPr>
                <w:sz w:val="24"/>
                <w:szCs w:val="24"/>
                <w:color w:val="auto"/>
              </w:rPr>
            </w:pPr>
          </w:p>
        </w:tc>
        <w:tc>
          <w:tcPr>
            <w:tcW w:w="8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following presents detail regarding certain financial statement accounts: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8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8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80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Finished goods</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926.2</w:t>
            </w: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Raw materials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Work-in-progress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0"/>
                <w:szCs w:val="20"/>
                <w:color w:val="auto"/>
              </w:rPr>
            </w:pPr>
          </w:p>
        </w:tc>
        <w:tc>
          <w:tcPr>
            <w:tcW w:w="80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 w:type="dxa"/>
            <w:vAlign w:val="bottom"/>
          </w:tcPr>
          <w:p>
            <w:pPr>
              <w:spacing w:after="0"/>
              <w:rPr>
                <w:sz w:val="14"/>
                <w:szCs w:val="14"/>
                <w:color w:val="auto"/>
              </w:rPr>
            </w:pPr>
          </w:p>
        </w:tc>
        <w:tc>
          <w:tcPr>
            <w:tcW w:w="80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Land and improvements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Buildings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Furniture and fixtures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Software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Finance leases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Aircraft</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0"/>
                <w:szCs w:val="20"/>
                <w:color w:val="auto"/>
              </w:rPr>
            </w:pPr>
          </w:p>
        </w:tc>
        <w:tc>
          <w:tcPr>
            <w:tcW w:w="80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 w:type="dxa"/>
            <w:vAlign w:val="bottom"/>
          </w:tcPr>
          <w:p>
            <w:pPr>
              <w:spacing w:after="0"/>
              <w:rPr>
                <w:sz w:val="14"/>
                <w:szCs w:val="14"/>
                <w:color w:val="auto"/>
              </w:rPr>
            </w:pPr>
          </w:p>
        </w:tc>
        <w:tc>
          <w:tcPr>
            <w:tcW w:w="80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Convertible debt investments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pension, postretirement and executive retirement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Loans receivable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0"/>
                <w:szCs w:val="20"/>
                <w:color w:val="auto"/>
              </w:rPr>
            </w:pPr>
          </w:p>
        </w:tc>
        <w:tc>
          <w:tcPr>
            <w:tcW w:w="80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During fiscal 2022, the Company sold certain property, plant and equipment, including building, land and aircraft, for proceeds of $63.3, and recognized gains of $16.2 in the “Impairment, restructuring and other” line in the Consolidated Statements of Operations associated with these sales.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79" w:name="page80"/>
    <w:bookmarkEnd w:id="79"/>
    <w:tbl>
      <w:tblPr>
        <w:tblLayout w:type="fixed"/>
        <w:tblInd w:w="20" w:type="dxa"/>
        <w:tblCellMar>
          <w:top w:w="0" w:type="dxa"/>
          <w:left w:w="0" w:type="dxa"/>
          <w:bottom w:w="0" w:type="dxa"/>
          <w:right w:w="0" w:type="dxa"/>
        </w:tblCellMar>
      </w:tblPr>
      <w:tr>
        <w:trPr>
          <w:trHeight w:val="212"/>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5480" w:type="dxa"/>
            <w:vAlign w:val="bottom"/>
            <w:gridSpan w:val="2"/>
          </w:tcPr>
          <w:p>
            <w:pPr>
              <w:jc w:val="center"/>
              <w:ind w:right="1318"/>
              <w:spacing w:after="0"/>
              <w:rPr>
                <w:sz w:val="20"/>
                <w:szCs w:val="20"/>
                <w:color w:val="auto"/>
              </w:rPr>
            </w:pPr>
            <w:r>
              <w:rPr>
                <w:rFonts w:ascii="Times New Roman" w:cs="Times New Roman" w:eastAsia="Times New Roman" w:hAnsi="Times New Roman"/>
                <w:sz w:val="18"/>
                <w:szCs w:val="18"/>
                <w:b w:val="1"/>
                <w:bCs w:val="1"/>
                <w:color w:val="auto"/>
                <w:w w:val="96"/>
              </w:rPr>
              <w:t>THE SCOTTS MIRACLE-GRO COMPANY</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78"/>
        </w:trPr>
        <w:tc>
          <w:tcPr>
            <w:tcW w:w="20" w:type="dxa"/>
            <w:vAlign w:val="bottom"/>
          </w:tcPr>
          <w:p>
            <w:pPr>
              <w:spacing w:after="0"/>
              <w:rPr>
                <w:sz w:val="15"/>
                <w:szCs w:val="15"/>
                <w:color w:val="auto"/>
              </w:rPr>
            </w:pPr>
          </w:p>
        </w:tc>
        <w:tc>
          <w:tcPr>
            <w:tcW w:w="9020" w:type="dxa"/>
            <w:vAlign w:val="bottom"/>
            <w:gridSpan w:val="3"/>
          </w:tcPr>
          <w:p>
            <w:pPr>
              <w:jc w:val="center"/>
              <w:ind w:left="2052"/>
              <w:spacing w:after="0" w:line="178" w:lineRule="exact"/>
              <w:rPr>
                <w:sz w:val="20"/>
                <w:szCs w:val="20"/>
                <w:color w:val="auto"/>
              </w:rPr>
            </w:pPr>
            <w:r>
              <w:rPr>
                <w:rFonts w:ascii="Times New Roman" w:cs="Times New Roman" w:eastAsia="Times New Roman" w:hAnsi="Times New Roman"/>
                <w:sz w:val="18"/>
                <w:szCs w:val="18"/>
                <w:b w:val="1"/>
                <w:bCs w:val="1"/>
                <w:color w:val="auto"/>
                <w:w w:val="96"/>
              </w:rPr>
              <w:t>NOTES TO CONSOLIDATED FINANCIAL STATEMENTS — (Continued)</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5480" w:type="dxa"/>
            <w:vAlign w:val="bottom"/>
            <w:gridSpan w:val="2"/>
          </w:tcPr>
          <w:p>
            <w:pPr>
              <w:jc w:val="center"/>
              <w:ind w:right="1298"/>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830"/>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Pr>
          <w:p>
            <w:pPr>
              <w:spacing w:after="0"/>
              <w:rPr>
                <w:sz w:val="24"/>
                <w:szCs w:val="24"/>
                <w:color w:val="auto"/>
              </w:rPr>
            </w:pPr>
          </w:p>
        </w:tc>
      </w:tr>
      <w:tr>
        <w:trPr>
          <w:trHeight w:val="24"/>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54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4"/>
        </w:trPr>
        <w:tc>
          <w:tcPr>
            <w:tcW w:w="20" w:type="dxa"/>
            <w:vAlign w:val="bottom"/>
          </w:tcPr>
          <w:p>
            <w:pPr>
              <w:spacing w:after="0"/>
              <w:rPr>
                <w:sz w:val="16"/>
                <w:szCs w:val="16"/>
                <w:color w:val="auto"/>
              </w:rPr>
            </w:pPr>
          </w:p>
        </w:tc>
        <w:tc>
          <w:tcPr>
            <w:tcW w:w="3540" w:type="dxa"/>
            <w:vAlign w:val="bottom"/>
            <w:tcBorders>
              <w:bottom w:val="single" w:sz="8" w:color="CCEEFF"/>
            </w:tcBorders>
          </w:tcPr>
          <w:p>
            <w:pPr>
              <w:spacing w:after="0"/>
              <w:rPr>
                <w:sz w:val="16"/>
                <w:szCs w:val="16"/>
                <w:color w:val="auto"/>
              </w:rPr>
            </w:pPr>
          </w:p>
        </w:tc>
        <w:tc>
          <w:tcPr>
            <w:tcW w:w="450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20" w:type="dxa"/>
            <w:vAlign w:val="bottom"/>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4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5480" w:type="dxa"/>
            <w:vAlign w:val="bottom"/>
            <w:gridSpan w:val="2"/>
          </w:tcPr>
          <w:p>
            <w:pPr>
              <w:jc w:val="right"/>
              <w:ind w:right="79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23"/>
        </w:trPr>
        <w:tc>
          <w:tcPr>
            <w:tcW w:w="20" w:type="dxa"/>
            <w:vAlign w:val="bottom"/>
          </w:tcPr>
          <w:p>
            <w:pPr>
              <w:spacing w:after="0"/>
              <w:rPr>
                <w:sz w:val="19"/>
                <w:szCs w:val="19"/>
                <w:color w:val="auto"/>
              </w:rPr>
            </w:pPr>
          </w:p>
        </w:tc>
        <w:tc>
          <w:tcPr>
            <w:tcW w:w="3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Advertising and promotional accruals</w:t>
            </w:r>
          </w:p>
        </w:tc>
        <w:tc>
          <w:tcPr>
            <w:tcW w:w="4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r>
      <w:tr>
        <w:trPr>
          <w:trHeight w:val="223"/>
        </w:trPr>
        <w:tc>
          <w:tcPr>
            <w:tcW w:w="20" w:type="dxa"/>
            <w:vAlign w:val="bottom"/>
          </w:tcPr>
          <w:p>
            <w:pPr>
              <w:spacing w:after="0"/>
              <w:rPr>
                <w:sz w:val="19"/>
                <w:szCs w:val="19"/>
                <w:color w:val="auto"/>
              </w:rPr>
            </w:pPr>
          </w:p>
        </w:tc>
        <w:tc>
          <w:tcPr>
            <w:tcW w:w="3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Payroll and other compensation accruals</w:t>
            </w:r>
          </w:p>
        </w:tc>
        <w:tc>
          <w:tcPr>
            <w:tcW w:w="4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r>
      <w:tr>
        <w:trPr>
          <w:trHeight w:val="223"/>
        </w:trPr>
        <w:tc>
          <w:tcPr>
            <w:tcW w:w="20" w:type="dxa"/>
            <w:vAlign w:val="bottom"/>
          </w:tcPr>
          <w:p>
            <w:pPr>
              <w:spacing w:after="0"/>
              <w:rPr>
                <w:sz w:val="19"/>
                <w:szCs w:val="19"/>
                <w:color w:val="auto"/>
              </w:rPr>
            </w:pPr>
          </w:p>
        </w:tc>
        <w:tc>
          <w:tcPr>
            <w:tcW w:w="3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taxes</w:t>
            </w:r>
          </w:p>
        </w:tc>
        <w:tc>
          <w:tcPr>
            <w:tcW w:w="4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23"/>
        </w:trPr>
        <w:tc>
          <w:tcPr>
            <w:tcW w:w="20" w:type="dxa"/>
            <w:vAlign w:val="bottom"/>
          </w:tcPr>
          <w:p>
            <w:pPr>
              <w:spacing w:after="0"/>
              <w:rPr>
                <w:sz w:val="19"/>
                <w:szCs w:val="19"/>
                <w:color w:val="auto"/>
              </w:rPr>
            </w:pPr>
          </w:p>
        </w:tc>
        <w:tc>
          <w:tcPr>
            <w:tcW w:w="3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interest</w:t>
            </w:r>
          </w:p>
        </w:tc>
        <w:tc>
          <w:tcPr>
            <w:tcW w:w="4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23"/>
        </w:trPr>
        <w:tc>
          <w:tcPr>
            <w:tcW w:w="20" w:type="dxa"/>
            <w:vAlign w:val="bottom"/>
          </w:tcPr>
          <w:p>
            <w:pPr>
              <w:spacing w:after="0"/>
              <w:rPr>
                <w:sz w:val="19"/>
                <w:szCs w:val="19"/>
                <w:color w:val="auto"/>
              </w:rPr>
            </w:pPr>
          </w:p>
        </w:tc>
        <w:tc>
          <w:tcPr>
            <w:tcW w:w="3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45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r>
      <w:tr>
        <w:trPr>
          <w:trHeight w:val="217"/>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980" w:type="dxa"/>
            <w:vAlign w:val="bottom"/>
            <w:tcBorders>
              <w:bottom w:val="single" w:sz="8" w:color="auto"/>
            </w:tcBorders>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473.2</w:t>
            </w:r>
          </w:p>
        </w:tc>
      </w:tr>
      <w:tr>
        <w:trPr>
          <w:trHeight w:val="20"/>
        </w:trPr>
        <w:tc>
          <w:tcPr>
            <w:tcW w:w="20" w:type="dxa"/>
            <w:vAlign w:val="bottom"/>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5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45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3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5480" w:type="dxa"/>
            <w:vAlign w:val="bottom"/>
            <w:gridSpan w:val="2"/>
          </w:tcPr>
          <w:p>
            <w:pPr>
              <w:jc w:val="right"/>
              <w:ind w:right="79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w:t>
            </w:r>
          </w:p>
        </w:tc>
      </w:tr>
      <w:tr>
        <w:trPr>
          <w:trHeight w:val="223"/>
        </w:trPr>
        <w:tc>
          <w:tcPr>
            <w:tcW w:w="20" w:type="dxa"/>
            <w:vAlign w:val="bottom"/>
          </w:tcPr>
          <w:p>
            <w:pPr>
              <w:spacing w:after="0"/>
              <w:rPr>
                <w:sz w:val="19"/>
                <w:szCs w:val="19"/>
                <w:color w:val="auto"/>
              </w:rPr>
            </w:pPr>
          </w:p>
        </w:tc>
        <w:tc>
          <w:tcPr>
            <w:tcW w:w="90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pension, postretirement and executive retirement liabilities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r>
      <w:tr>
        <w:trPr>
          <w:trHeight w:val="223"/>
        </w:trPr>
        <w:tc>
          <w:tcPr>
            <w:tcW w:w="20" w:type="dxa"/>
            <w:vAlign w:val="bottom"/>
          </w:tcPr>
          <w:p>
            <w:pPr>
              <w:spacing w:after="0"/>
              <w:rPr>
                <w:sz w:val="19"/>
                <w:szCs w:val="19"/>
                <w:color w:val="auto"/>
              </w:rPr>
            </w:pPr>
          </w:p>
        </w:tc>
        <w:tc>
          <w:tcPr>
            <w:tcW w:w="3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23"/>
        </w:trPr>
        <w:tc>
          <w:tcPr>
            <w:tcW w:w="20" w:type="dxa"/>
            <w:vAlign w:val="bottom"/>
          </w:tcPr>
          <w:p>
            <w:pPr>
              <w:spacing w:after="0"/>
              <w:rPr>
                <w:sz w:val="19"/>
                <w:szCs w:val="19"/>
                <w:color w:val="auto"/>
              </w:rPr>
            </w:pPr>
          </w:p>
        </w:tc>
        <w:tc>
          <w:tcPr>
            <w:tcW w:w="3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45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17"/>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980" w:type="dxa"/>
            <w:vAlign w:val="bottom"/>
            <w:tcBorders>
              <w:bottom w:val="single" w:sz="8" w:color="auto"/>
            </w:tcBorders>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409.6</w:t>
            </w: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MARKETING AGREEMENT</w:t>
      </w:r>
    </w:p>
    <w:p>
      <w:pPr>
        <w:spacing w:after="0" w:line="84" w:lineRule="exact"/>
        <w:rPr>
          <w:sz w:val="20"/>
          <w:szCs w:val="20"/>
          <w:color w:val="auto"/>
        </w:rPr>
      </w:pPr>
    </w:p>
    <w:p>
      <w:pPr>
        <w:jc w:val="both"/>
        <w:ind w:firstLine="434"/>
        <w:spacing w:after="0" w:line="222" w:lineRule="auto"/>
        <w:rPr>
          <w:sz w:val="20"/>
          <w:szCs w:val="20"/>
          <w:color w:val="auto"/>
        </w:rPr>
      </w:pPr>
      <w:r>
        <w:rPr>
          <w:rFonts w:ascii="Times New Roman" w:cs="Times New Roman" w:eastAsia="Times New Roman" w:hAnsi="Times New Roman"/>
          <w:sz w:val="18"/>
          <w:szCs w:val="18"/>
          <w:color w:val="auto"/>
        </w:rPr>
        <w:t>The Scotts Company LLC (“Scotts LLC”) is the exclusive agent of Monsanto for the marketing and distribution of certain of Monsanto’s consumer Roundup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branded products in the United States and certain other specified countries. The annual commission payable under the Third Restated Agreement is equal to 50% of the actual earnings before interest and income taxes of Monsanto’s consumer Roundup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business for each program year in the markets covered by the Third Restated Agreement (“Program EBIT”). The Third Restated Agreement also requires the Company to make annual payments of $18.0 to Monsanto as a contribution against the overall expenses of its consumer Roundup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business, subject to reduction pursuant to the Third Restated Agreement for any program year in which the Program EBIT does not equal or exceed $36.0.</w:t>
      </w:r>
    </w:p>
    <w:p>
      <w:pPr>
        <w:spacing w:after="0" w:line="77"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Unless Monsanto terminates the Third Restated Agreement due to an event of default by the Company, termination rights under the Third Restated Agreement include the following:</w:t>
      </w:r>
    </w:p>
    <w:p>
      <w:pPr>
        <w:spacing w:after="0" w:line="63" w:lineRule="exact"/>
        <w:rPr>
          <w:sz w:val="20"/>
          <w:szCs w:val="20"/>
          <w:color w:val="auto"/>
        </w:rPr>
      </w:pPr>
    </w:p>
    <w:p>
      <w:pPr>
        <w:ind w:left="940" w:hanging="304"/>
        <w:spacing w:after="0"/>
        <w:tabs>
          <w:tab w:leader="none" w:pos="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terminate the Third Restated Agreement upon the insolvency or bankruptcy of Monsanto;</w:t>
      </w:r>
    </w:p>
    <w:p>
      <w:pPr>
        <w:spacing w:after="0" w:line="108" w:lineRule="exact"/>
        <w:rPr>
          <w:rFonts w:ascii="Times New Roman" w:cs="Times New Roman" w:eastAsia="Times New Roman" w:hAnsi="Times New Roman"/>
          <w:sz w:val="18"/>
          <w:szCs w:val="18"/>
          <w:color w:val="auto"/>
        </w:rPr>
      </w:pPr>
    </w:p>
    <w:p>
      <w:pPr>
        <w:jc w:val="both"/>
        <w:ind w:left="960" w:hanging="324"/>
        <w:spacing w:after="0" w:line="256" w:lineRule="auto"/>
        <w:tabs>
          <w:tab w:leader="none" w:pos="95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Monsanto may terminate the Third Restated Agreement in the event that Monsanto decides to decommission the permits, licenses and registrations needed for, and the trademarks, trade names, packages, copyrights and designs used in, the sale of the Roundup® products in the lawn and garden market (a “Brand Decommissioning Termination”); and</w:t>
      </w:r>
    </w:p>
    <w:p>
      <w:pPr>
        <w:spacing w:after="0" w:line="73" w:lineRule="exact"/>
        <w:rPr>
          <w:rFonts w:ascii="Times New Roman" w:cs="Times New Roman" w:eastAsia="Times New Roman" w:hAnsi="Times New Roman"/>
          <w:sz w:val="18"/>
          <w:szCs w:val="18"/>
          <w:color w:val="auto"/>
        </w:rPr>
      </w:pPr>
    </w:p>
    <w:p>
      <w:pPr>
        <w:ind w:left="960" w:hanging="324"/>
        <w:spacing w:after="0" w:line="268" w:lineRule="auto"/>
        <w:tabs>
          <w:tab w:leader="none" w:pos="95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may terminate the Third Restated Agreement if Program EBIT falls below $50.0 and, in such case, no termination fee would be payable to either party.</w:t>
      </w:r>
    </w:p>
    <w:p>
      <w:pPr>
        <w:spacing w:after="0" w:line="37"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termination fee structure requires Monsanto to pay a termination fee to the Company in an amount equal to (i) $375.0 upon a Brand Decommissioning Termination, and (ii) the greater of $175.0 or four times an amount equal to the average of the Program EBIT for the three program years before the year of termination, minus $186.4, if Monsanto or its successor terminates the Third Restated Agreement as a result of a Roundup Sale or Change of Control of Monsanto (each, as defined in the Third Restated Agreement).</w:t>
      </w:r>
    </w:p>
    <w:p>
      <w:pPr>
        <w:spacing w:after="0" w:line="64" w:lineRule="exact"/>
        <w:rPr>
          <w:sz w:val="20"/>
          <w:szCs w:val="20"/>
          <w:color w:val="auto"/>
        </w:rPr>
      </w:pPr>
    </w:p>
    <w:p>
      <w:pPr>
        <w:jc w:val="both"/>
        <w:ind w:firstLine="434"/>
        <w:spacing w:after="0" w:line="239" w:lineRule="auto"/>
        <w:rPr>
          <w:sz w:val="20"/>
          <w:szCs w:val="20"/>
          <w:color w:val="auto"/>
        </w:rPr>
      </w:pPr>
      <w:r>
        <w:rPr>
          <w:rFonts w:ascii="Times New Roman" w:cs="Times New Roman" w:eastAsia="Times New Roman" w:hAnsi="Times New Roman"/>
          <w:sz w:val="18"/>
          <w:szCs w:val="18"/>
          <w:color w:val="auto"/>
        </w:rPr>
        <w:t>The Company entered into the Brand Extension Agreement Asset Purchase Agreement (the “BEA Purchase Agreement”) on August 1, 2019 in connection with signing of the Third Restated Agreement. The BEA Purchase Agreement provides for the sale by the Company to Monsanto of specified assets related to, among other things, the development, manufacture, production, advertising, marketing, promotion, distribution, importation, exportation, offer for sale and sale of specified Roundup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branded products sold outside the non-selective weedkiller category within the residential lawn and garden market. The consideration paid by Monsanto was $112.0 plus the value of finished goods inventory of $3.5. This consideration receivable was recorded in the “Prepaid and other current assets” line in the Consolidated Balance Sheets until it was received by the Company on January 13, 2020. The carrying value of the assets sold, which included the brand extension agreement intangible asset with a carrying value of $111.7, approximated the consideration received, resulting in an insignificant gain on the sale.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80" w:name="page81"/>
    <w:bookmarkEnd w:id="80"/>
    <w:tbl>
      <w:tblPr>
        <w:tblLayout w:type="fixed"/>
        <w:tblInd w:w="20" w:type="dxa"/>
        <w:tblCellMar>
          <w:top w:w="0" w:type="dxa"/>
          <w:left w:w="0" w:type="dxa"/>
          <w:bottom w:w="0" w:type="dxa"/>
          <w:right w:w="0" w:type="dxa"/>
        </w:tblCellMar>
      </w:tblPr>
      <w:tr>
        <w:trPr>
          <w:trHeight w:val="21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620" w:type="dxa"/>
            <w:vAlign w:val="bottom"/>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6"/>
              </w:rPr>
              <w:t>THE SCOTTS MIRACLE-GRO COMPANY</w:t>
            </w:r>
          </w:p>
        </w:tc>
      </w:tr>
      <w:tr>
        <w:trPr>
          <w:trHeight w:val="178"/>
        </w:trPr>
        <w:tc>
          <w:tcPr>
            <w:tcW w:w="1860" w:type="dxa"/>
            <w:vAlign w:val="bottom"/>
          </w:tcPr>
          <w:p>
            <w:pPr>
              <w:spacing w:after="0"/>
              <w:rPr>
                <w:sz w:val="15"/>
                <w:szCs w:val="15"/>
                <w:color w:val="auto"/>
              </w:rPr>
            </w:pPr>
          </w:p>
        </w:tc>
        <w:tc>
          <w:tcPr>
            <w:tcW w:w="6620" w:type="dxa"/>
            <w:vAlign w:val="bottom"/>
          </w:tcPr>
          <w:p>
            <w:pPr>
              <w:jc w:val="center"/>
              <w:ind w:left="778"/>
              <w:spacing w:after="0" w:line="178" w:lineRule="exact"/>
              <w:rPr>
                <w:sz w:val="20"/>
                <w:szCs w:val="20"/>
                <w:color w:val="auto"/>
              </w:rPr>
            </w:pPr>
            <w:r>
              <w:rPr>
                <w:rFonts w:ascii="Times New Roman" w:cs="Times New Roman" w:eastAsia="Times New Roman" w:hAnsi="Times New Roman"/>
                <w:sz w:val="18"/>
                <w:szCs w:val="18"/>
                <w:b w:val="1"/>
                <w:bCs w:val="1"/>
                <w:color w:val="auto"/>
                <w:w w:val="96"/>
              </w:rPr>
              <w:t>NOTES TO CONSOLIDATED FINANCIAL STATEMENTS — (Continued)</w:t>
            </w:r>
          </w:p>
        </w:tc>
      </w:tr>
      <w:tr>
        <w:trPr>
          <w:trHeight w:val="185"/>
        </w:trPr>
        <w:tc>
          <w:tcPr>
            <w:tcW w:w="1860" w:type="dxa"/>
            <w:vAlign w:val="bottom"/>
          </w:tcPr>
          <w:p>
            <w:pPr>
              <w:spacing w:after="0"/>
              <w:rPr>
                <w:sz w:val="16"/>
                <w:szCs w:val="16"/>
                <w:color w:val="auto"/>
              </w:rPr>
            </w:pPr>
          </w:p>
        </w:tc>
        <w:tc>
          <w:tcPr>
            <w:tcW w:w="6620" w:type="dxa"/>
            <w:vAlign w:val="bottom"/>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elements of the net commission and reimbursements earned under the Third Restated Agreement and included in the “Net sales” line in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commission</w:t>
            </w:r>
          </w:p>
        </w:tc>
        <w:tc>
          <w:tcPr>
            <w:tcW w:w="92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Contribution expenses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17"/>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commission</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23"/>
        </w:trPr>
        <w:tc>
          <w:tcPr>
            <w:tcW w:w="670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Reimbursements associated with Roundup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marketing agreement</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42"/>
        </w:trPr>
        <w:tc>
          <w:tcPr>
            <w:tcW w:w="6700" w:type="dxa"/>
            <w:vAlign w:val="bottom"/>
            <w:tcBorders>
              <w:bottom w:val="single" w:sz="8" w:color="CCEEFF"/>
            </w:tcBorders>
            <w:shd w:val="clear" w:color="auto" w:fill="CCEEFF"/>
          </w:tcPr>
          <w:p>
            <w:pPr>
              <w:ind w:left="340"/>
              <w:spacing w:after="0" w:line="217" w:lineRule="exact"/>
              <w:rPr>
                <w:sz w:val="20"/>
                <w:szCs w:val="20"/>
                <w:color w:val="auto"/>
              </w:rPr>
            </w:pPr>
            <w:r>
              <w:rPr>
                <w:rFonts w:ascii="Times New Roman" w:cs="Times New Roman" w:eastAsia="Times New Roman" w:hAnsi="Times New Roman"/>
                <w:sz w:val="18"/>
                <w:szCs w:val="18"/>
                <w:color w:val="auto"/>
              </w:rPr>
              <w:t>Total net sales associated with Roundup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marketing agreement</w:t>
            </w:r>
          </w:p>
        </w:tc>
        <w:tc>
          <w:tcPr>
            <w:tcW w:w="920" w:type="dxa"/>
            <w:vAlign w:val="bottom"/>
            <w:tcBorders>
              <w:bottom w:val="single" w:sz="8" w:color="auto"/>
            </w:tcBorders>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ACQUISITIONS AND INVESTMENTS</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Cyco</w:t>
      </w:r>
    </w:p>
    <w:p>
      <w:pPr>
        <w:spacing w:after="0" w:line="165" w:lineRule="exact"/>
        <w:rPr>
          <w:sz w:val="20"/>
          <w:szCs w:val="20"/>
          <w:color w:val="auto"/>
        </w:rPr>
      </w:pPr>
    </w:p>
    <w:p>
      <w:pPr>
        <w:jc w:val="both"/>
        <w:ind w:firstLine="394"/>
        <w:spacing w:after="0" w:line="278" w:lineRule="auto"/>
        <w:rPr>
          <w:sz w:val="20"/>
          <w:szCs w:val="20"/>
          <w:color w:val="auto"/>
        </w:rPr>
      </w:pPr>
      <w:r>
        <w:rPr>
          <w:rFonts w:ascii="Times New Roman" w:cs="Times New Roman" w:eastAsia="Times New Roman" w:hAnsi="Times New Roman"/>
          <w:sz w:val="16"/>
          <w:szCs w:val="16"/>
          <w:color w:val="auto"/>
        </w:rPr>
        <w:t>On April 28, 2022, the Company’s Hawthorne segment completed the acquisition of substantially all of the assets of S.J. Enterprises PTY LTD, d.b.a. Cyco (“Cyco”), an Australia-based provider of premium nutrients, additives and growing media products for indoor growing sold mostly in the United States, for an estimated purchase price of $37.3. The purchase price includes contingent consideration, a non-cash investing activity, with an initial fair value of $3.1 and a maximum payout of $10.0, which will be paid by the Company based on the achievement of certain performance metrics through December 31, 2024. Prior to the transaction, the Company served as the exclusive distributor of Cyco’s products in the United States. The valuation of the acquired assets included</w:t>
      </w:r>
    </w:p>
    <w:p>
      <w:pPr>
        <w:spacing w:after="0" w:line="4" w:lineRule="exact"/>
        <w:rPr>
          <w:sz w:val="20"/>
          <w:szCs w:val="20"/>
          <w:color w:val="auto"/>
        </w:rPr>
      </w:pPr>
    </w:p>
    <w:p>
      <w:pPr>
        <w:jc w:val="both"/>
        <w:ind w:firstLine="5"/>
        <w:spacing w:after="0" w:line="245" w:lineRule="auto"/>
        <w:tabs>
          <w:tab w:leader="none" w:pos="22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of inventory, (ii) $10.5 of finite-lived identifiable intangible assets and (iii) $25.6 of tax-deductible goodwill. Identifiable intangible assets included trade names, customer relationships and non-compete agreements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Luxx Lighting</w:t>
      </w:r>
    </w:p>
    <w:p>
      <w:pPr>
        <w:spacing w:after="0" w:line="165"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On December 30, 2021, the Company’s Hawthorne segment completed the acquisition of substantially all of the assets of Luxx Lighting, Inc., a provider of lighting products for indoor growing. The purchase price was $213.2, a portion of which was paid by the issuance of 0.1 million Common Shares, a non-cash investing and financing activity, with a fair value of $21.0 based on the share price at the time of payment. The valuation of the acquired assets included (i) $32.8 of inventory and accounts receivable, (ii) $5.7 of other current assets, (iii) $24.2 of current liabilities, (iv) $47.3 of finite-lived identifiable intangible assets and (v) $151.6 of tax-deductible goodwill. Identifiable intangible assets included trade names, customer relationships and non-compete agreements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spacing w:after="0" w:line="57"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During the fourth quarter of fiscal 2022, the Company decided it would discontinue and exit the market for certain Hawthorne lighting products and brands, including Luxx Lighting. Refer to “NOTE 4. IMPAIRMENT, RESTRUCTURING AND OTHER” for more information.</w:t>
      </w:r>
    </w:p>
    <w:p>
      <w:pPr>
        <w:spacing w:after="0" w:line="1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True Liberty Bags</w:t>
      </w:r>
    </w:p>
    <w:p>
      <w:pPr>
        <w:spacing w:after="0" w:line="165" w:lineRule="exact"/>
        <w:rPr>
          <w:sz w:val="20"/>
          <w:szCs w:val="20"/>
          <w:color w:val="auto"/>
        </w:rPr>
      </w:pPr>
    </w:p>
    <w:p>
      <w:pPr>
        <w:jc w:val="both"/>
        <w:ind w:firstLine="394"/>
        <w:spacing w:after="0" w:line="248" w:lineRule="auto"/>
        <w:rPr>
          <w:sz w:val="20"/>
          <w:szCs w:val="20"/>
          <w:color w:val="auto"/>
        </w:rPr>
      </w:pPr>
      <w:r>
        <w:rPr>
          <w:rFonts w:ascii="Times New Roman" w:cs="Times New Roman" w:eastAsia="Times New Roman" w:hAnsi="Times New Roman"/>
          <w:sz w:val="18"/>
          <w:szCs w:val="18"/>
          <w:color w:val="auto"/>
        </w:rPr>
        <w:t>On December 23, 2021, the Company’s Hawthorne segment completed the acquisition of substantially all of the assets of True Liberty Bags, a leading provider of liners and storage solutions to dry and cure plant products, for $10.1. The valuation of the acquired assets included (i) $1.1 of inventory, (ii) $5.8 of finite-lived identifiable intangible assets and (iii) $3.2 of tax-deductible goodwill. Identifiable intangible assets included trade names and customer relationships with useful lives of 15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Hydro-Logic</w:t>
      </w:r>
    </w:p>
    <w:p>
      <w:pPr>
        <w:spacing w:after="0" w:line="165"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On August 27, 2021, the Company’s Hawthorne segment completed the acquisition of substantially all of the assets of Hydro-Logic Purification Systems, Inc., a leading provider of products, accessories and systems for water filtration and purification, for $65.3. The valuation of the acquired assets included (i) $4.5 of inventory and accounts receivable, (ii) $1.6 of</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81" w:name="page82"/>
    <w:bookmarkEnd w:id="81"/>
    <w:tbl>
      <w:tblPr>
        <w:tblLayout w:type="fixed"/>
        <w:tblInd w:w="20" w:type="dxa"/>
        <w:tblCellMar>
          <w:top w:w="0" w:type="dxa"/>
          <w:left w:w="0" w:type="dxa"/>
          <w:bottom w:w="0" w:type="dxa"/>
          <w:right w:w="0" w:type="dxa"/>
        </w:tblCellMar>
      </w:tblPr>
      <w:tr>
        <w:trPr>
          <w:trHeight w:val="21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620" w:type="dxa"/>
            <w:vAlign w:val="bottom"/>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6"/>
              </w:rPr>
              <w:t>THE SCOTTS MIRACLE-GRO COMPANY</w:t>
            </w:r>
          </w:p>
        </w:tc>
      </w:tr>
      <w:tr>
        <w:trPr>
          <w:trHeight w:val="178"/>
        </w:trPr>
        <w:tc>
          <w:tcPr>
            <w:tcW w:w="1860" w:type="dxa"/>
            <w:vAlign w:val="bottom"/>
          </w:tcPr>
          <w:p>
            <w:pPr>
              <w:spacing w:after="0"/>
              <w:rPr>
                <w:sz w:val="15"/>
                <w:szCs w:val="15"/>
                <w:color w:val="auto"/>
              </w:rPr>
            </w:pPr>
          </w:p>
        </w:tc>
        <w:tc>
          <w:tcPr>
            <w:tcW w:w="6620" w:type="dxa"/>
            <w:vAlign w:val="bottom"/>
          </w:tcPr>
          <w:p>
            <w:pPr>
              <w:jc w:val="center"/>
              <w:ind w:left="778"/>
              <w:spacing w:after="0" w:line="178" w:lineRule="exact"/>
              <w:rPr>
                <w:sz w:val="20"/>
                <w:szCs w:val="20"/>
                <w:color w:val="auto"/>
              </w:rPr>
            </w:pPr>
            <w:r>
              <w:rPr>
                <w:rFonts w:ascii="Times New Roman" w:cs="Times New Roman" w:eastAsia="Times New Roman" w:hAnsi="Times New Roman"/>
                <w:sz w:val="18"/>
                <w:szCs w:val="18"/>
                <w:b w:val="1"/>
                <w:bCs w:val="1"/>
                <w:color w:val="auto"/>
                <w:w w:val="96"/>
              </w:rPr>
              <w:t>NOTES TO CONSOLIDATED FINANCIAL STATEMENTS — (Continued)</w:t>
            </w:r>
          </w:p>
        </w:tc>
      </w:tr>
      <w:tr>
        <w:trPr>
          <w:trHeight w:val="185"/>
        </w:trPr>
        <w:tc>
          <w:tcPr>
            <w:tcW w:w="1860" w:type="dxa"/>
            <w:vAlign w:val="bottom"/>
          </w:tcPr>
          <w:p>
            <w:pPr>
              <w:spacing w:after="0"/>
              <w:rPr>
                <w:sz w:val="16"/>
                <w:szCs w:val="16"/>
                <w:color w:val="auto"/>
              </w:rPr>
            </w:pPr>
          </w:p>
        </w:tc>
        <w:tc>
          <w:tcPr>
            <w:tcW w:w="6620" w:type="dxa"/>
            <w:vAlign w:val="bottom"/>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non-current assets, (iii) $2.6 of other liabilities, (iv) $23.1 of finite-lived identifiable intangible assets and (v) $38.7 of tax-deductible goodwill. Identifiable intangible assets included trade names, customer relationships and non-compete agreements with useful lives ranging between 5 and 15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The Hawthorne Collective</w:t>
      </w:r>
    </w:p>
    <w:p>
      <w:pPr>
        <w:spacing w:after="0" w:line="165" w:lineRule="exact"/>
        <w:rPr>
          <w:sz w:val="20"/>
          <w:szCs w:val="20"/>
          <w:color w:val="auto"/>
        </w:rPr>
      </w:pPr>
    </w:p>
    <w:p>
      <w:pPr>
        <w:jc w:val="both"/>
        <w:ind w:firstLine="394"/>
        <w:spacing w:after="0" w:line="248" w:lineRule="auto"/>
        <w:rPr>
          <w:sz w:val="20"/>
          <w:szCs w:val="20"/>
          <w:color w:val="auto"/>
        </w:rPr>
      </w:pPr>
      <w:r>
        <w:rPr>
          <w:rFonts w:ascii="Times New Roman" w:cs="Times New Roman" w:eastAsia="Times New Roman" w:hAnsi="Times New Roman"/>
          <w:sz w:val="18"/>
          <w:szCs w:val="18"/>
          <w:color w:val="auto"/>
        </w:rPr>
        <w:t>On August 24, 2021, the Company’s wholly-owned subsidiary, The Hawthorne Collective, Inc. (“THC”), made its initial investment under the Company’s strategic minority non-equity investment initiative in the form of a $150.0 six-year convertible note issued to the Company by Toronto-based RIV Capital Inc. (“RIV Capital”) (CSE: RIV) (OTC: CNPOF), a cannabis investment and acquisition firm listed on the Canadian Securities Exchange. The note bears interest on the principal amount at a rate of approximately 2% for the first two years of the term. No interest will accrue on the note for the remainder of the term. The note is convertible into RIV Capital common shares at a conversion price of CAD $1.90 per share which is based upon the RIV Capital closing stock price on August 9, 2021.</w:t>
      </w:r>
    </w:p>
    <w:p>
      <w:pPr>
        <w:spacing w:after="0" w:line="136"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On April 22, 2022, pursuant to its follow-on investment rights, the Company made an additional investment in RIV Capital in the form of a $25.0 convertible note which matures on August 24, 2027. The note bears interest on the principal amount at a rate of approximately 2% for the first two years of the term. No interest will accrue on the note for the remainder of the term. The note is convertible into RIV Capital common shares at a conversion price of CAD $1.65 per share which is based upon the RIV Capital closing stock price on March 29, 2022.</w:t>
      </w:r>
    </w:p>
    <w:p>
      <w:pPr>
        <w:spacing w:after="0" w:line="130" w:lineRule="exact"/>
        <w:rPr>
          <w:sz w:val="20"/>
          <w:szCs w:val="20"/>
          <w:color w:val="auto"/>
        </w:rPr>
      </w:pPr>
    </w:p>
    <w:p>
      <w:pPr>
        <w:jc w:val="both"/>
        <w:ind w:firstLine="394"/>
        <w:spacing w:after="0" w:line="248" w:lineRule="auto"/>
        <w:rPr>
          <w:sz w:val="20"/>
          <w:szCs w:val="20"/>
          <w:color w:val="auto"/>
        </w:rPr>
      </w:pPr>
      <w:r>
        <w:rPr>
          <w:rFonts w:ascii="Times New Roman" w:cs="Times New Roman" w:eastAsia="Times New Roman" w:hAnsi="Times New Roman"/>
          <w:sz w:val="18"/>
          <w:szCs w:val="18"/>
          <w:color w:val="auto"/>
        </w:rPr>
        <w:t>Accrued interest on the initial $150.0 convertible note and the follow-on $25.0 convertible note (collectively, the “RIV Convertible Notes”) will be payable to THC at maturity or will be included in the conversion value of the notes at the time of conversion. Assuming full conversion of the RIV Convertible Notes, including the full amount of the anticipated accrued interest over the life of the notes, THC would be entitled to receive approximately 123.0 million common shares of RIV Capital, representing approximately 42% of RIV Capital’s outstanding shares as of September 30, 2022. The RIV Convertible Notes are convertible into common shares of RIV Capital either (i) at the election of THC or (ii) at the election of RIV Capital after the date on which federal laws in the United States are amended to allow for the general cultivation, distribution, and possession of cannabis.</w:t>
      </w:r>
    </w:p>
    <w:p>
      <w:pPr>
        <w:spacing w:after="0" w:line="136"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In connection with issuance of the RIV Convertible Notes, the Company entered into an investor rights agreement with RIV Capital providing for, among other things, customary registration rights, participation rights, as well as certain standstill and transfer restrictions. In addition, THC is entitled to designate three nominees to the RIV Capital board of directors for so long as the board is comprised of seven directors, and shall be entitled to designate four nominees to the RIV Capital board of directors if the size of the board is increased to nine directors.</w:t>
      </w:r>
    </w:p>
    <w:p>
      <w:pPr>
        <w:spacing w:after="0" w:line="130"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During the fourth quarter of fiscal 2021, THC made minority non-equity investments of $43.1 in other entities focused on branded cannabis and high quality genetics. These additional investments also include conversion features that would provide the Company with minority ownership interests if it exercises the conversion features.</w:t>
      </w:r>
    </w:p>
    <w:p>
      <w:pPr>
        <w:spacing w:after="0" w:line="126"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The Company or THC will not have control of or an active day-to-day role in any entity in which THC has a convertible debt investment. The convertible notes include restrictions that the funds received from the Company will be used for general corporate and other lawful purposes, which could include acquisitions, and that the funds will not be used in connection with or for any cannabis or cannabis-related operations in the U.S. unless and until such operations comply with all applicable U.S. federal laws.</w:t>
      </w:r>
    </w:p>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Rhizoflora</w:t>
      </w:r>
    </w:p>
    <w:p>
      <w:pPr>
        <w:spacing w:after="0" w:line="165" w:lineRule="exact"/>
        <w:rPr>
          <w:sz w:val="20"/>
          <w:szCs w:val="20"/>
          <w:color w:val="auto"/>
        </w:rPr>
      </w:pPr>
    </w:p>
    <w:p>
      <w:pPr>
        <w:jc w:val="both"/>
        <w:ind w:firstLine="394"/>
        <w:spacing w:after="0" w:line="238" w:lineRule="auto"/>
        <w:rPr>
          <w:sz w:val="20"/>
          <w:szCs w:val="20"/>
          <w:color w:val="auto"/>
        </w:rPr>
      </w:pPr>
      <w:r>
        <w:rPr>
          <w:rFonts w:ascii="Times New Roman" w:cs="Times New Roman" w:eastAsia="Times New Roman" w:hAnsi="Times New Roman"/>
          <w:sz w:val="18"/>
          <w:szCs w:val="18"/>
          <w:color w:val="auto"/>
        </w:rPr>
        <w:t>On August 13, 2021, the Company’s Hawthorne segment completed the acquisition of substantially all of the assets of Rhizoflora, Inc., the manufacturer of terpene enhancing nutrient products Terpinator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Purpinator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for $33.7. The valuation of the acquired assets included (i) $0.6 of inventory, (ii) $10.9 of finite-lived identifiable intangible assets and (iii) $22.2 of tax-deductible goodwill. Identifiable intangible assets included trade names, customer relationships and non-compete agreements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82" w:name="page83"/>
    <w:bookmarkEnd w:id="82"/>
    <w:tbl>
      <w:tblPr>
        <w:tblLayout w:type="fixed"/>
        <w:tblInd w:w="20" w:type="dxa"/>
        <w:tblCellMar>
          <w:top w:w="0" w:type="dxa"/>
          <w:left w:w="0" w:type="dxa"/>
          <w:bottom w:w="0" w:type="dxa"/>
          <w:right w:w="0" w:type="dxa"/>
        </w:tblCellMar>
      </w:tblPr>
      <w:tr>
        <w:trPr>
          <w:trHeight w:val="21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620" w:type="dxa"/>
            <w:vAlign w:val="bottom"/>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6"/>
              </w:rPr>
              <w:t>THE SCOTTS MIRACLE-GRO COMPANY</w:t>
            </w:r>
          </w:p>
        </w:tc>
      </w:tr>
      <w:tr>
        <w:trPr>
          <w:trHeight w:val="178"/>
        </w:trPr>
        <w:tc>
          <w:tcPr>
            <w:tcW w:w="1860" w:type="dxa"/>
            <w:vAlign w:val="bottom"/>
          </w:tcPr>
          <w:p>
            <w:pPr>
              <w:spacing w:after="0"/>
              <w:rPr>
                <w:sz w:val="15"/>
                <w:szCs w:val="15"/>
                <w:color w:val="auto"/>
              </w:rPr>
            </w:pPr>
          </w:p>
        </w:tc>
        <w:tc>
          <w:tcPr>
            <w:tcW w:w="6620" w:type="dxa"/>
            <w:vAlign w:val="bottom"/>
          </w:tcPr>
          <w:p>
            <w:pPr>
              <w:jc w:val="center"/>
              <w:ind w:left="778"/>
              <w:spacing w:after="0" w:line="178" w:lineRule="exact"/>
              <w:rPr>
                <w:sz w:val="20"/>
                <w:szCs w:val="20"/>
                <w:color w:val="auto"/>
              </w:rPr>
            </w:pPr>
            <w:r>
              <w:rPr>
                <w:rFonts w:ascii="Times New Roman" w:cs="Times New Roman" w:eastAsia="Times New Roman" w:hAnsi="Times New Roman"/>
                <w:sz w:val="18"/>
                <w:szCs w:val="18"/>
                <w:b w:val="1"/>
                <w:bCs w:val="1"/>
                <w:color w:val="auto"/>
                <w:w w:val="96"/>
              </w:rPr>
              <w:t>NOTES TO CONSOLIDATED FINANCIAL STATEMENTS — (Continued)</w:t>
            </w:r>
          </w:p>
        </w:tc>
      </w:tr>
      <w:tr>
        <w:trPr>
          <w:trHeight w:val="185"/>
        </w:trPr>
        <w:tc>
          <w:tcPr>
            <w:tcW w:w="1860" w:type="dxa"/>
            <w:vAlign w:val="bottom"/>
          </w:tcPr>
          <w:p>
            <w:pPr>
              <w:spacing w:after="0"/>
              <w:rPr>
                <w:sz w:val="16"/>
                <w:szCs w:val="16"/>
                <w:color w:val="auto"/>
              </w:rPr>
            </w:pPr>
          </w:p>
        </w:tc>
        <w:tc>
          <w:tcPr>
            <w:tcW w:w="6620" w:type="dxa"/>
            <w:vAlign w:val="bottom"/>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AeroGrow</w:t>
      </w:r>
    </w:p>
    <w:p>
      <w:pPr>
        <w:spacing w:after="0" w:line="86" w:lineRule="exact"/>
        <w:rPr>
          <w:sz w:val="20"/>
          <w:szCs w:val="20"/>
          <w:color w:val="auto"/>
        </w:rPr>
      </w:pPr>
    </w:p>
    <w:p>
      <w:pPr>
        <w:jc w:val="both"/>
        <w:ind w:firstLine="394"/>
        <w:spacing w:after="0" w:line="288" w:lineRule="auto"/>
        <w:rPr>
          <w:sz w:val="20"/>
          <w:szCs w:val="20"/>
          <w:color w:val="auto"/>
        </w:rPr>
      </w:pPr>
      <w:r>
        <w:rPr>
          <w:rFonts w:ascii="Times New Roman" w:cs="Times New Roman" w:eastAsia="Times New Roman" w:hAnsi="Times New Roman"/>
          <w:sz w:val="16"/>
          <w:szCs w:val="16"/>
          <w:color w:val="auto"/>
        </w:rPr>
        <w:t>On November 11, 2020, the Company entered into an agreement and plan of merger to acquire the remaining outstanding shares of AeroGrow for cash consideration of $3.00 per share, or approximately $20.1. The merger closed on February 26, 2021. SMG Growing Media, Inc., a wholly-owned subsidiary of Scotts Miracle-Gro, was the holder of 80.5% of the outstanding shares of AeroGrow prior to the closing and now holds 100% of the outstanding shares of AeroGrow. The closing date carrying value of the noncontrolling interest was $6.7 and the $13.4 difference between the purchase price and carrying value was recognized in the “Common shares and capital in excess of $0.01 stated value per share” line within “Total equity” in the Consolidated Balance Sheets.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INVESTMENT IN UNCONSOLIDATED AFFILIATES</w:t>
      </w:r>
    </w:p>
    <w:p>
      <w:pPr>
        <w:spacing w:after="0" w:line="97" w:lineRule="exact"/>
        <w:rPr>
          <w:sz w:val="20"/>
          <w:szCs w:val="20"/>
          <w:color w:val="auto"/>
        </w:rPr>
      </w:pPr>
    </w:p>
    <w:p>
      <w:pPr>
        <w:jc w:val="both"/>
        <w:ind w:firstLine="394"/>
        <w:spacing w:after="0" w:line="279" w:lineRule="auto"/>
        <w:rPr>
          <w:sz w:val="20"/>
          <w:szCs w:val="20"/>
          <w:color w:val="auto"/>
        </w:rPr>
      </w:pPr>
      <w:r>
        <w:rPr>
          <w:rFonts w:ascii="Times New Roman" w:cs="Times New Roman" w:eastAsia="Times New Roman" w:hAnsi="Times New Roman"/>
          <w:sz w:val="16"/>
          <w:szCs w:val="16"/>
          <w:color w:val="auto"/>
        </w:rPr>
        <w:t>On December 31, 2020, pursuant to the terms of the Contribution and Unit Purchase Agreement between the Company and AFC, the Company acquired a 50% equity interest in the Bonnie Plants business of planting, growing, developing, distributing, marketing and selling live plants through a joint venture with AFC (“Bonnie Plants, LLC”) in exchange for cash payments of $102.3, as well as non-cash investing activities that included forgiveness of the Company’s outstanding loan receivable with AFC and surrender of the Company’s options to increase its economic interest in the Bonnie Plants business. The Company’s loan receivable with AFC, which was previously recognized in the “Other assets” line in the Consolidated Balance Sheets, had a carrying value of $66.4 on December 31, 2020 and the Company recognized a gain of $12.5 during the first quarter of fiscal 2021 to write-up the value of the loan to its closing date fair value of $78.9 in the “Other non-operating income, net” line in the Consolidated Statements of Operations. The Company’s options to increase its economic interest in the Bonnie Plants business were previously recognized in the “Other assets” line in the Consolidated Balance Sheets and had an estimated fair value of $23.3 on December 31, 2020. The Company’s interest in Bonnie Plants, LLC had an initial fair value of $202.9 and is recorded in the “Investment in unconsolidated affiliates” line in the Consolidated Balance Sheets. The estimated fair value of the loan receivable with AFC was determined using an income-based approach, which includes market participant expectations of cash flows over the remaining useful life discounted to present value using an appropriate discount rate. The fair value estimate utilized significant unobservable inputs and thus represents a Level 3 nonrecurring fair value measurement.</w:t>
      </w:r>
    </w:p>
    <w:p>
      <w:pPr>
        <w:spacing w:after="0" w:line="263" w:lineRule="exact"/>
        <w:rPr>
          <w:sz w:val="20"/>
          <w:szCs w:val="20"/>
          <w:color w:val="auto"/>
        </w:rPr>
      </w:pPr>
    </w:p>
    <w:p>
      <w:pPr>
        <w:jc w:val="both"/>
        <w:ind w:firstLine="394"/>
        <w:spacing w:after="0" w:line="293" w:lineRule="auto"/>
        <w:rPr>
          <w:sz w:val="20"/>
          <w:szCs w:val="20"/>
          <w:color w:val="auto"/>
        </w:rPr>
      </w:pPr>
      <w:r>
        <w:rPr>
          <w:rFonts w:ascii="Times New Roman" w:cs="Times New Roman" w:eastAsia="Times New Roman" w:hAnsi="Times New Roman"/>
          <w:sz w:val="16"/>
          <w:szCs w:val="16"/>
          <w:color w:val="auto"/>
        </w:rPr>
        <w:t>The Company’s interest is accounted for using the equity method of accounting, with the Company’s proportionate share of Bonnie Plants, LLC earnings subsequent to December 31, 2020 reflected in the Consolidated Statements of Operations. The Company recorded equity in (income) loss of unconsolidated affiliates associated with Bonnie Plants, LLC of $12.9 and $(14.4) during fiscal 2022 and fiscal 2021, respectively. The Company also received a distribution of $12.0 from Bonnie Plants, LLC during fiscal 2021, which was classified as an operating activity in the Consolidated Statements of Cash Flows.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RETIREMENT PLANS</w:t>
      </w:r>
    </w:p>
    <w:p>
      <w:pPr>
        <w:spacing w:after="0" w:line="84"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Company sponsors a defined contribution 401(k) plan for substantially all U.S. associates. The Company matches 200% of associates’ initial 3% contribution and 50% of their remaining contribution up to 6%. The Company may make additional discretionary profit sharing matching contributions to eligible employees on their initial 4% contribution. The Company recorded charges of $28.3, $30.1 and $27.7 under the plan in fiscal 2022, fiscal 2021 and fiscal 2020, respectively.</w:t>
      </w:r>
    </w:p>
    <w:p>
      <w:pPr>
        <w:spacing w:after="0" w:line="64"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The Company sponsors two defined benefit pension plans for certain U.S. associates and three defined benefit pension plans associated with the former businesses in the United Kingdom and Germany. Benefits under these plans have been frozen and closed to new associates since 1997 for the U.S. plans, 2010 for the United Kingdom plans and 2017 for the Germany plan. The benefits under the plans are based on years of service and compensation levels. The Company’s funding policy for the defined benefit pension plans, consistent with statutory requirements and tax considerations, is based on actuarial computations using the Projected Unit Credit method.</w:t>
      </w:r>
    </w:p>
    <w:p>
      <w:pPr>
        <w:spacing w:after="0" w:line="70"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During fiscal 2021, a defined benefit pension plan associated with the former business in the United Kingdom entered into a buy-in insurance policy in exchange for a premium payment of $67.7, which is subject to adjustment as a result of subsequent data cleansing activities. Under the terms of this buy-in insurance policy, the insurer is liable to pay the benefits to the plan but the plan still retains full legal responsibility to pay the benefits to plan participants using the insurance payments. The buy-in policy will be treated as an asset of the plan going forward until such time as the buy-in policy is converted to a buy-out policy, which is when individual insurance policies will be assigned to each plan participant and the plan will no longer have legal responsibility to pay the benefits to the plan participants.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83" w:name="page84"/>
    <w:bookmarkEnd w:id="83"/>
    <w:tbl>
      <w:tblPr>
        <w:tblLayout w:type="fixed"/>
        <w:tblInd w:w="20" w:type="dxa"/>
        <w:tblCellMar>
          <w:top w:w="0" w:type="dxa"/>
          <w:left w:w="0" w:type="dxa"/>
          <w:bottom w:w="0" w:type="dxa"/>
          <w:right w:w="0" w:type="dxa"/>
        </w:tblCellMar>
      </w:tblPr>
      <w:tr>
        <w:trPr>
          <w:trHeight w:val="21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620" w:type="dxa"/>
            <w:vAlign w:val="bottom"/>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6"/>
              </w:rPr>
              <w:t>THE SCOTTS MIRACLE-GRO COMPANY</w:t>
            </w:r>
          </w:p>
        </w:tc>
      </w:tr>
      <w:tr>
        <w:trPr>
          <w:trHeight w:val="178"/>
        </w:trPr>
        <w:tc>
          <w:tcPr>
            <w:tcW w:w="1860" w:type="dxa"/>
            <w:vAlign w:val="bottom"/>
          </w:tcPr>
          <w:p>
            <w:pPr>
              <w:spacing w:after="0"/>
              <w:rPr>
                <w:sz w:val="15"/>
                <w:szCs w:val="15"/>
                <w:color w:val="auto"/>
              </w:rPr>
            </w:pPr>
          </w:p>
        </w:tc>
        <w:tc>
          <w:tcPr>
            <w:tcW w:w="6620" w:type="dxa"/>
            <w:vAlign w:val="bottom"/>
          </w:tcPr>
          <w:p>
            <w:pPr>
              <w:jc w:val="center"/>
              <w:ind w:left="778"/>
              <w:spacing w:after="0" w:line="178" w:lineRule="exact"/>
              <w:rPr>
                <w:sz w:val="20"/>
                <w:szCs w:val="20"/>
                <w:color w:val="auto"/>
              </w:rPr>
            </w:pPr>
            <w:r>
              <w:rPr>
                <w:rFonts w:ascii="Times New Roman" w:cs="Times New Roman" w:eastAsia="Times New Roman" w:hAnsi="Times New Roman"/>
                <w:sz w:val="18"/>
                <w:szCs w:val="18"/>
                <w:b w:val="1"/>
                <w:bCs w:val="1"/>
                <w:color w:val="auto"/>
                <w:w w:val="96"/>
              </w:rPr>
              <w:t>NOTES TO CONSOLIDATED FINANCIAL STATEMENTS — (Continued)</w:t>
            </w:r>
          </w:p>
        </w:tc>
      </w:tr>
      <w:tr>
        <w:trPr>
          <w:trHeight w:val="185"/>
        </w:trPr>
        <w:tc>
          <w:tcPr>
            <w:tcW w:w="1860" w:type="dxa"/>
            <w:vAlign w:val="bottom"/>
          </w:tcPr>
          <w:p>
            <w:pPr>
              <w:spacing w:after="0"/>
              <w:rPr>
                <w:sz w:val="16"/>
                <w:szCs w:val="16"/>
                <w:color w:val="auto"/>
              </w:rPr>
            </w:pPr>
          </w:p>
        </w:tc>
        <w:tc>
          <w:tcPr>
            <w:tcW w:w="6620" w:type="dxa"/>
            <w:vAlign w:val="bottom"/>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The following tables present information about benefit obligations, plan assets, annual expense, assumptions and other information about the Company’s defined benefit pension plans. The defined benefit pension plans are valued using a September 30 measurement date.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80" w:type="dxa"/>
            <w:vAlign w:val="bottom"/>
            <w:gridSpan w:val="3"/>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U.S. Defined</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0" w:type="dxa"/>
            <w:vAlign w:val="bottom"/>
            <w:gridSpan w:val="3"/>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gridSpan w:val="3"/>
          </w:tcPr>
          <w:p>
            <w:pPr>
              <w:jc w:val="center"/>
              <w:ind w:left="516"/>
              <w:spacing w:after="0" w:line="143" w:lineRule="exact"/>
              <w:rPr>
                <w:sz w:val="20"/>
                <w:szCs w:val="20"/>
                <w:color w:val="auto"/>
              </w:rPr>
            </w:pPr>
            <w:r>
              <w:rPr>
                <w:rFonts w:ascii="Times New Roman" w:cs="Times New Roman" w:eastAsia="Times New Roman" w:hAnsi="Times New Roman"/>
                <w:sz w:val="14"/>
                <w:szCs w:val="14"/>
                <w:b w:val="1"/>
                <w:bCs w:val="1"/>
                <w:color w:val="auto"/>
              </w:rPr>
              <w:t>Defined</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460" w:type="dxa"/>
            <w:vAlign w:val="bottom"/>
          </w:tcPr>
          <w:p>
            <w:pPr>
              <w:spacing w:after="0"/>
              <w:rPr>
                <w:sz w:val="16"/>
                <w:szCs w:val="16"/>
                <w:color w:val="auto"/>
              </w:rPr>
            </w:pPr>
          </w:p>
        </w:tc>
        <w:tc>
          <w:tcPr>
            <w:tcW w:w="2340" w:type="dxa"/>
            <w:vAlign w:val="bottom"/>
            <w:tcBorders>
              <w:bottom w:val="single" w:sz="8" w:color="auto"/>
            </w:tcBorders>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Benefit Pension Plans</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w w:val="99"/>
              </w:rPr>
              <w:t>Benefit Pension Plans</w:t>
            </w:r>
          </w:p>
        </w:tc>
        <w:tc>
          <w:tcPr>
            <w:tcW w:w="0" w:type="dxa"/>
            <w:vAlign w:val="bottom"/>
          </w:tcPr>
          <w:p>
            <w:pPr>
              <w:spacing w:after="0"/>
              <w:rPr>
                <w:sz w:val="1"/>
                <w:szCs w:val="1"/>
                <w:color w:val="auto"/>
              </w:rPr>
            </w:pPr>
          </w:p>
        </w:tc>
      </w:tr>
      <w:tr>
        <w:trPr>
          <w:trHeight w:val="189"/>
        </w:trPr>
        <w:tc>
          <w:tcPr>
            <w:tcW w:w="54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projected benefit obligation:</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860" w:type="dxa"/>
            <w:vAlign w:val="bottom"/>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20" w:type="dxa"/>
            <w:vAlign w:val="bottom"/>
          </w:tcPr>
          <w:p>
            <w:pPr>
              <w:spacing w:after="0"/>
              <w:rPr>
                <w:sz w:val="19"/>
                <w:szCs w:val="19"/>
                <w:color w:val="auto"/>
              </w:rPr>
            </w:pPr>
          </w:p>
        </w:tc>
        <w:tc>
          <w:tcPr>
            <w:tcW w:w="860" w:type="dxa"/>
            <w:vAlign w:val="bottom"/>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109.8</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gain</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6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42"/>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(“PBO”) at end of year</w:t>
            </w:r>
          </w:p>
        </w:tc>
        <w:tc>
          <w:tcPr>
            <w:tcW w:w="860" w:type="dxa"/>
            <w:vAlign w:val="bottom"/>
            <w:tcBorders>
              <w:top w:val="single" w:sz="8" w:color="auto"/>
              <w:bottom w:val="single" w:sz="8" w:color="auto"/>
            </w:tcBorders>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benefit obligation (“ABO”) at end of year</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60" w:type="dxa"/>
            <w:vAlign w:val="bottom"/>
            <w:vMerge w:val="continue"/>
          </w:tcPr>
          <w:p>
            <w:pPr>
              <w:spacing w:after="0"/>
              <w:rPr>
                <w:sz w:val="17"/>
                <w:szCs w:val="17"/>
                <w:color w:val="auto"/>
              </w:rPr>
            </w:pPr>
          </w:p>
        </w:tc>
        <w:tc>
          <w:tcPr>
            <w:tcW w:w="860" w:type="dxa"/>
            <w:vAlign w:val="bottom"/>
            <w:tcBorders>
              <w:bottom w:val="single" w:sz="8" w:color="auto"/>
            </w:tcBorders>
          </w:tcPr>
          <w:p>
            <w:pPr>
              <w:jc w:val="right"/>
              <w:ind w:right="677"/>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77.7</w:t>
            </w:r>
          </w:p>
        </w:tc>
        <w:tc>
          <w:tcPr>
            <w:tcW w:w="120" w:type="dxa"/>
            <w:vAlign w:val="bottom"/>
          </w:tcPr>
          <w:p>
            <w:pPr>
              <w:spacing w:after="0"/>
              <w:rPr>
                <w:sz w:val="17"/>
                <w:szCs w:val="17"/>
                <w:color w:val="auto"/>
              </w:rPr>
            </w:pPr>
          </w:p>
        </w:tc>
        <w:tc>
          <w:tcPr>
            <w:tcW w:w="860" w:type="dxa"/>
            <w:vAlign w:val="bottom"/>
            <w:tcBorders>
              <w:bottom w:val="single" w:sz="8" w:color="auto"/>
            </w:tcBorders>
          </w:tcPr>
          <w:p>
            <w:pPr>
              <w:jc w:val="right"/>
              <w:ind w:right="675"/>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100.2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109.2</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193.6</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Change in plan assets:</w:t>
            </w: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860" w:type="dxa"/>
            <w:vAlign w:val="bottom"/>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20" w:type="dxa"/>
            <w:vAlign w:val="bottom"/>
          </w:tcPr>
          <w:p>
            <w:pPr>
              <w:spacing w:after="0"/>
              <w:rPr>
                <w:sz w:val="19"/>
                <w:szCs w:val="19"/>
                <w:color w:val="auto"/>
              </w:rPr>
            </w:pPr>
          </w:p>
        </w:tc>
        <w:tc>
          <w:tcPr>
            <w:tcW w:w="860" w:type="dxa"/>
            <w:vAlign w:val="bottom"/>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Employer contribution</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6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42"/>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860" w:type="dxa"/>
            <w:vAlign w:val="bottom"/>
            <w:tcBorders>
              <w:top w:val="single" w:sz="8" w:color="auto"/>
              <w:bottom w:val="single" w:sz="8" w:color="auto"/>
            </w:tcBorders>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Overfunded (underfunded) status at end of year</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60" w:type="dxa"/>
            <w:vAlign w:val="bottom"/>
            <w:vMerge w:val="continue"/>
          </w:tcPr>
          <w:p>
            <w:pPr>
              <w:spacing w:after="0"/>
              <w:rPr>
                <w:sz w:val="17"/>
                <w:szCs w:val="17"/>
                <w:color w:val="auto"/>
              </w:rPr>
            </w:pPr>
          </w:p>
        </w:tc>
        <w:tc>
          <w:tcPr>
            <w:tcW w:w="860" w:type="dxa"/>
            <w:vAlign w:val="bottom"/>
            <w:tcBorders>
              <w:bottom w:val="single" w:sz="8" w:color="auto"/>
            </w:tcBorders>
          </w:tcPr>
          <w:p>
            <w:pPr>
              <w:jc w:val="right"/>
              <w:ind w:right="677"/>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17"/>
                <w:szCs w:val="17"/>
                <w:color w:val="auto"/>
              </w:rPr>
            </w:pPr>
          </w:p>
        </w:tc>
        <w:tc>
          <w:tcPr>
            <w:tcW w:w="860" w:type="dxa"/>
            <w:vAlign w:val="bottom"/>
            <w:tcBorders>
              <w:bottom w:val="single" w:sz="8" w:color="auto"/>
            </w:tcBorders>
          </w:tcPr>
          <w:p>
            <w:pPr>
              <w:jc w:val="right"/>
              <w:ind w:right="675"/>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decrease in the PBO during fiscal 2022 was primarily driven by the increase in discount rates. These gains were partially offset by demographic experience losses, an update to the terminated vested retirement assumption, and the adoption of the updated mortality projection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84" w:name="page85"/>
    <w:bookmarkEnd w:id="84"/>
    <w:p>
      <w:pPr>
        <w:ind w:left="20"/>
        <w:spacing w:after="0"/>
        <w:tabs>
          <w:tab w:leader="none" w:pos="3900" w:val="left"/>
        </w:tabs>
        <w:rPr>
          <w:sz w:val="20"/>
          <w:szCs w:val="20"/>
          <w:color w:val="auto"/>
        </w:rPr>
      </w:pPr>
      <w:r>
        <w:rPr>
          <w:rFonts w:ascii="Times New Roman" w:cs="Times New Roman" w:eastAsia="Times New Roman" w:hAnsi="Times New Roman"/>
          <w:sz w:val="28"/>
          <w:szCs w:val="28"/>
          <w:color w:val="FFFFFF"/>
          <w:vertAlign w:val="superscript"/>
        </w:rPr>
        <w:t>Table of Contents</w:t>
      </w:r>
      <w:r>
        <w:rPr>
          <w:sz w:val="20"/>
          <w:szCs w:val="20"/>
          <w:color w:val="auto"/>
        </w:rPr>
        <w:tab/>
      </w:r>
      <w:r>
        <w:rPr>
          <w:rFonts w:ascii="Times New Roman" w:cs="Times New Roman" w:eastAsia="Times New Roman" w:hAnsi="Times New Roman"/>
          <w:sz w:val="16"/>
          <w:szCs w:val="16"/>
          <w:b w:val="1"/>
          <w:bCs w:val="1"/>
          <w:color w:val="auto"/>
        </w:rPr>
        <w:t>THE SCOTTS MIRACLE-GRO COMPANY</w:t>
      </w:r>
    </w:p>
    <w:p>
      <w:pPr>
        <w:jc w:val="center"/>
        <w:spacing w:after="0" w:line="188"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60" w:type="dxa"/>
            <w:vAlign w:val="bottom"/>
            <w:gridSpan w:val="3"/>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U.S. Defined</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0" w:type="dxa"/>
            <w:vAlign w:val="bottom"/>
            <w:gridSpan w:val="3"/>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gridSpan w:val="3"/>
          </w:tcPr>
          <w:p>
            <w:pPr>
              <w:jc w:val="center"/>
              <w:ind w:left="517"/>
              <w:spacing w:after="0" w:line="145" w:lineRule="exact"/>
              <w:rPr>
                <w:sz w:val="20"/>
                <w:szCs w:val="20"/>
                <w:color w:val="auto"/>
              </w:rPr>
            </w:pPr>
            <w:r>
              <w:rPr>
                <w:rFonts w:ascii="Times New Roman" w:cs="Times New Roman" w:eastAsia="Times New Roman" w:hAnsi="Times New Roman"/>
                <w:sz w:val="14"/>
                <w:szCs w:val="14"/>
                <w:b w:val="1"/>
                <w:bCs w:val="1"/>
                <w:color w:val="auto"/>
              </w:rPr>
              <w:t>Defined</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440" w:type="dxa"/>
            <w:vAlign w:val="bottom"/>
          </w:tcPr>
          <w:p>
            <w:pPr>
              <w:spacing w:after="0"/>
              <w:rPr>
                <w:sz w:val="16"/>
                <w:szCs w:val="16"/>
                <w:color w:val="auto"/>
              </w:rPr>
            </w:pPr>
          </w:p>
        </w:tc>
        <w:tc>
          <w:tcPr>
            <w:tcW w:w="2320" w:type="dxa"/>
            <w:vAlign w:val="bottom"/>
            <w:tcBorders>
              <w:bottom w:val="single" w:sz="8" w:color="auto"/>
            </w:tcBorders>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Benefit Pension Plans</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w w:val="99"/>
              </w:rPr>
              <w:t>Benefit Pension Plans</w:t>
            </w:r>
          </w:p>
        </w:tc>
        <w:tc>
          <w:tcPr>
            <w:tcW w:w="0" w:type="dxa"/>
            <w:vAlign w:val="bottom"/>
          </w:tcPr>
          <w:p>
            <w:pPr>
              <w:spacing w:after="0"/>
              <w:rPr>
                <w:sz w:val="1"/>
                <w:szCs w:val="1"/>
                <w:color w:val="auto"/>
              </w:rPr>
            </w:pPr>
          </w:p>
        </w:tc>
      </w:tr>
      <w:tr>
        <w:trPr>
          <w:trHeight w:val="189"/>
        </w:trPr>
        <w:tc>
          <w:tcPr>
            <w:tcW w:w="54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Information for pension plans with an ABO in excess of plan assets: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860" w:type="dxa"/>
            <w:vAlign w:val="bottom"/>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19"/>
                <w:szCs w:val="19"/>
                <w:color w:val="auto"/>
              </w:rPr>
            </w:pPr>
          </w:p>
        </w:tc>
        <w:tc>
          <w:tcPr>
            <w:tcW w:w="86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Information for pension plans with a PBO in excess of plan assets:</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860" w:type="dxa"/>
            <w:vAlign w:val="bottom"/>
            <w:shd w:val="clear" w:color="auto" w:fill="CCEEFF"/>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the Consolidated Balance Sheets consist of:</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860" w:type="dxa"/>
            <w:vAlign w:val="bottom"/>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42"/>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amount accrued</w:t>
            </w:r>
          </w:p>
        </w:tc>
        <w:tc>
          <w:tcPr>
            <w:tcW w:w="860" w:type="dxa"/>
            <w:vAlign w:val="bottom"/>
            <w:tcBorders>
              <w:bottom w:val="single" w:sz="8" w:color="auto"/>
            </w:tcBorders>
            <w:shd w:val="clear" w:color="auto" w:fill="CCEEFF"/>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AOCL consist of:</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44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loss</w:t>
            </w:r>
          </w:p>
        </w:tc>
        <w:tc>
          <w:tcPr>
            <w:tcW w:w="860" w:type="dxa"/>
            <w:vAlign w:val="bottom"/>
            <w:shd w:val="clear" w:color="auto" w:fill="CCEEFF"/>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86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2"/>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amount recognized</w:t>
            </w:r>
          </w:p>
        </w:tc>
        <w:tc>
          <w:tcPr>
            <w:tcW w:w="860" w:type="dxa"/>
            <w:vAlign w:val="bottom"/>
            <w:tcBorders>
              <w:top w:val="single" w:sz="8" w:color="auto"/>
              <w:bottom w:val="single" w:sz="8" w:color="auto"/>
            </w:tcBorders>
            <w:shd w:val="clear" w:color="auto" w:fill="CCEEFF"/>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Defined</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5"/>
          </w:tcPr>
          <w:p>
            <w:pPr>
              <w:jc w:val="center"/>
              <w:ind w:left="138"/>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5"/>
          </w:tcPr>
          <w:p>
            <w:pPr>
              <w:jc w:val="center"/>
              <w:ind w:left="138"/>
              <w:spacing w:after="0" w:line="143" w:lineRule="exact"/>
              <w:rPr>
                <w:sz w:val="20"/>
                <w:szCs w:val="20"/>
                <w:color w:val="auto"/>
              </w:rPr>
            </w:pPr>
            <w:r>
              <w:rPr>
                <w:rFonts w:ascii="Times New Roman" w:cs="Times New Roman" w:eastAsia="Times New Roman" w:hAnsi="Times New Roman"/>
                <w:sz w:val="14"/>
                <w:szCs w:val="14"/>
                <w:b w:val="1"/>
                <w:bCs w:val="1"/>
                <w:color w:val="auto"/>
              </w:rPr>
              <w:t>Defined</w:t>
            </w: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5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Benefit Pension Plans</w:t>
            </w: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gridSpan w:val="7"/>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9"/>
              </w:rPr>
              <w:t>Benefit Pension Plans</w:t>
            </w:r>
          </w:p>
        </w:tc>
        <w:tc>
          <w:tcPr>
            <w:tcW w:w="0" w:type="dxa"/>
            <w:vAlign w:val="bottom"/>
          </w:tcPr>
          <w:p>
            <w:pPr>
              <w:spacing w:after="0"/>
              <w:rPr>
                <w:sz w:val="1"/>
                <w:szCs w:val="1"/>
                <w:color w:val="auto"/>
              </w:rPr>
            </w:pPr>
          </w:p>
        </w:tc>
      </w:tr>
      <w:tr>
        <w:trPr>
          <w:trHeight w:val="189"/>
        </w:trPr>
        <w:tc>
          <w:tcPr>
            <w:tcW w:w="3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change in other comprehensive loss attributable to:</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 (loss) during the period</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62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(1.3)</w:t>
            </w:r>
          </w:p>
        </w:tc>
        <w:tc>
          <w:tcPr>
            <w:tcW w:w="820" w:type="dxa"/>
            <w:vAlign w:val="bottom"/>
            <w:gridSpan w:val="2"/>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740" w:type="dxa"/>
            <w:vAlign w:val="bottom"/>
            <w:gridSpan w:val="3"/>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to net income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20" w:type="dxa"/>
            <w:vAlign w:val="bottom"/>
            <w:tcBorders>
              <w:bottom w:val="single" w:sz="8" w:color="CCEEFF"/>
            </w:tcBorders>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Total change in other comprehensive loss</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ind w:right="141"/>
              <w:spacing w:after="0" w:line="190" w:lineRule="exact"/>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32"/>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8.7</w:t>
            </w: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1"/>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18"/>
              <w:spacing w:after="0" w:line="190" w:lineRule="exact"/>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95"/>
              <w:spacing w:after="0" w:line="190" w:lineRule="exact"/>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gridSpan w:val="3"/>
            <w:vMerge w:val="restart"/>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w w:val="97"/>
              </w:rPr>
              <w:t>Weighted average assumptions used in development of projected</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8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benefit obligation:</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5.06 %</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3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U.S. Defined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7"/>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w w:val="99"/>
              </w:rPr>
              <w:t>Benefit Pension Plans</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Defined Benefit Pension Plans</w:t>
            </w:r>
          </w:p>
        </w:tc>
        <w:tc>
          <w:tcPr>
            <w:tcW w:w="9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72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Components of net periodic benefit cost</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520" w:type="dxa"/>
            <w:vAlign w:val="bottom"/>
            <w:gridSpan w:val="3"/>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amortization</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20" w:type="dxa"/>
            <w:vAlign w:val="bottom"/>
            <w:tcBorders>
              <w:bottom w:val="single" w:sz="8" w:color="CCEEFF"/>
            </w:tcBorders>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Net periodic benefit cost (income)</w:t>
            </w:r>
          </w:p>
        </w:tc>
        <w:tc>
          <w:tcPr>
            <w:tcW w:w="280" w:type="dxa"/>
            <w:vAlign w:val="bottom"/>
            <w:tcBorders>
              <w:bottom w:val="single" w:sz="8" w:color="auto"/>
            </w:tcBorders>
            <w:shd w:val="clear" w:color="auto" w:fill="CCEEFF"/>
          </w:tcPr>
          <w:p>
            <w:pPr>
              <w:jc w:val="right"/>
              <w:ind w:right="92"/>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15"/>
              <w:spacing w:after="0" w:line="190" w:lineRule="exact"/>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0.2</w:t>
            </w: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gridSpan w:val="2"/>
            <w:shd w:val="clear" w:color="auto" w:fill="CCEEFF"/>
          </w:tcPr>
          <w:p>
            <w:pPr>
              <w:jc w:val="right"/>
              <w:ind w:right="132"/>
              <w:spacing w:after="0" w:line="190" w:lineRule="exact"/>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2"/>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gridSpan w:val="3"/>
            <w:shd w:val="clear" w:color="auto" w:fill="CCEEFF"/>
          </w:tcPr>
          <w:p>
            <w:pPr>
              <w:jc w:val="right"/>
              <w:ind w:right="81"/>
              <w:spacing w:after="0" w:line="190" w:lineRule="exact"/>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gridSpan w:val="2"/>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2"/>
              <w:spacing w:after="0" w:line="190"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95"/>
              <w:spacing w:after="0" w:line="190"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Weighted average assumptions used in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7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37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development of net periodic benefit cost</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interest cost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5"/>
        </w:trPr>
        <w:tc>
          <w:tcPr>
            <w:tcW w:w="3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7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69" w:right="339" w:bottom="1440" w:gutter="0" w:footer="0" w:header="0"/>
        </w:sectPr>
      </w:pPr>
    </w:p>
    <w:bookmarkStart w:id="85" w:name="page86"/>
    <w:bookmarkEnd w:id="85"/>
    <w:tbl>
      <w:tblPr>
        <w:tblLayout w:type="fixed"/>
        <w:tblInd w:w="20" w:type="dxa"/>
        <w:tblCellMar>
          <w:top w:w="0" w:type="dxa"/>
          <w:left w:w="0" w:type="dxa"/>
          <w:bottom w:w="0" w:type="dxa"/>
          <w:right w:w="0" w:type="dxa"/>
        </w:tblCellMar>
      </w:tblPr>
      <w:tr>
        <w:trPr>
          <w:trHeight w:val="21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620" w:type="dxa"/>
            <w:vAlign w:val="bottom"/>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6"/>
              </w:rPr>
              <w:t>THE SCOTTS MIRACLE-GRO COMPANY</w:t>
            </w:r>
          </w:p>
        </w:tc>
      </w:tr>
      <w:tr>
        <w:trPr>
          <w:trHeight w:val="178"/>
        </w:trPr>
        <w:tc>
          <w:tcPr>
            <w:tcW w:w="1860" w:type="dxa"/>
            <w:vAlign w:val="bottom"/>
          </w:tcPr>
          <w:p>
            <w:pPr>
              <w:spacing w:after="0"/>
              <w:rPr>
                <w:sz w:val="15"/>
                <w:szCs w:val="15"/>
                <w:color w:val="auto"/>
              </w:rPr>
            </w:pPr>
          </w:p>
        </w:tc>
        <w:tc>
          <w:tcPr>
            <w:tcW w:w="6620" w:type="dxa"/>
            <w:vAlign w:val="bottom"/>
          </w:tcPr>
          <w:p>
            <w:pPr>
              <w:jc w:val="center"/>
              <w:ind w:left="778"/>
              <w:spacing w:after="0" w:line="178" w:lineRule="exact"/>
              <w:rPr>
                <w:sz w:val="20"/>
                <w:szCs w:val="20"/>
                <w:color w:val="auto"/>
              </w:rPr>
            </w:pPr>
            <w:r>
              <w:rPr>
                <w:rFonts w:ascii="Times New Roman" w:cs="Times New Roman" w:eastAsia="Times New Roman" w:hAnsi="Times New Roman"/>
                <w:sz w:val="18"/>
                <w:szCs w:val="18"/>
                <w:b w:val="1"/>
                <w:bCs w:val="1"/>
                <w:color w:val="auto"/>
                <w:w w:val="96"/>
              </w:rPr>
              <w:t>NOTES TO CONSOLIDATED FINANCIAL STATEMENTS — (Continued)</w:t>
            </w:r>
          </w:p>
        </w:tc>
      </w:tr>
      <w:tr>
        <w:trPr>
          <w:trHeight w:val="185"/>
        </w:trPr>
        <w:tc>
          <w:tcPr>
            <w:tcW w:w="1860" w:type="dxa"/>
            <w:vAlign w:val="bottom"/>
          </w:tcPr>
          <w:p>
            <w:pPr>
              <w:spacing w:after="0"/>
              <w:rPr>
                <w:sz w:val="16"/>
                <w:szCs w:val="16"/>
                <w:color w:val="auto"/>
              </w:rPr>
            </w:pPr>
          </w:p>
        </w:tc>
        <w:tc>
          <w:tcPr>
            <w:tcW w:w="6620" w:type="dxa"/>
            <w:vAlign w:val="bottom"/>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Investment Strategy</w:t>
      </w:r>
    </w:p>
    <w:p>
      <w:pPr>
        <w:spacing w:after="0" w:line="86"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Target allocation percentages among various asset classes are maintained based on an individual investment policy established for each of the various pension plans. Asset allocations are designed to achieve long-term objectives of return while mitigating against downside risk considering expected cash requirements necessary to fund benefit payments. However, the Company cannot predict future investment returns and therefore cannot determine whether future pension plan funding requirements could materially and adversely affect its financial condition, results of operations or cash flows.</w:t>
      </w:r>
    </w:p>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Basis for Long-Term Rate of Return on Asset Assumptions</w:t>
      </w:r>
    </w:p>
    <w:p>
      <w:pPr>
        <w:spacing w:after="0" w:line="99"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Company’s expected long-term rate of return on asset assumptions are derived from studies conducted by third parties. The studies include a review of anticipated future long-term performance of individual asset classes and consideration of the appropriate asset allocation strategy given the anticipated requirements of the plans to determine the average rate of earnings expected. While the studies give appropriate consideration to recent fund performance and historical returns, the assumptions primarily represent expectations about future rates of return over the long term.</w:t>
      </w:r>
    </w:p>
    <w:tbl>
      <w:tblPr>
        <w:tblLayout w:type="fixed"/>
        <w:tblInd w:w="0" w:type="dxa"/>
        <w:tblCellMar>
          <w:top w:w="0" w:type="dxa"/>
          <w:left w:w="0" w:type="dxa"/>
          <w:bottom w:w="0" w:type="dxa"/>
          <w:right w:w="0" w:type="dxa"/>
        </w:tblCellMar>
      </w:tblPr>
      <w:tr>
        <w:trPr>
          <w:trHeight w:val="150"/>
        </w:trPr>
        <w:tc>
          <w:tcPr>
            <w:tcW w:w="7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U.S. Defined</w:t>
            </w:r>
          </w:p>
        </w:tc>
        <w:tc>
          <w:tcPr>
            <w:tcW w:w="200" w:type="dxa"/>
            <w:vAlign w:val="bottom"/>
          </w:tcPr>
          <w:p>
            <w:pPr>
              <w:spacing w:after="0"/>
              <w:rPr>
                <w:sz w:val="13"/>
                <w:szCs w:val="13"/>
                <w:color w:val="auto"/>
              </w:rPr>
            </w:pPr>
          </w:p>
        </w:tc>
        <w:tc>
          <w:tcPr>
            <w:tcW w:w="1700" w:type="dxa"/>
            <w:vAlign w:val="bottom"/>
          </w:tcPr>
          <w:p>
            <w:pPr>
              <w:jc w:val="center"/>
              <w:ind w:right="135"/>
              <w:spacing w:after="0" w:line="150" w:lineRule="exact"/>
              <w:rPr>
                <w:sz w:val="20"/>
                <w:szCs w:val="20"/>
                <w:color w:val="auto"/>
              </w:rPr>
            </w:pPr>
            <w:r>
              <w:rPr>
                <w:rFonts w:ascii="Times New Roman" w:cs="Times New Roman" w:eastAsia="Times New Roman" w:hAnsi="Times New Roman"/>
                <w:sz w:val="14"/>
                <w:szCs w:val="14"/>
                <w:b w:val="1"/>
                <w:bCs w:val="1"/>
                <w:color w:val="auto"/>
              </w:rPr>
              <w:t>International</w:t>
            </w:r>
          </w:p>
        </w:tc>
        <w:tc>
          <w:tcPr>
            <w:tcW w:w="0" w:type="dxa"/>
            <w:vAlign w:val="bottom"/>
          </w:tcPr>
          <w:p>
            <w:pPr>
              <w:spacing w:after="0"/>
              <w:rPr>
                <w:sz w:val="1"/>
                <w:szCs w:val="1"/>
                <w:color w:val="auto"/>
              </w:rPr>
            </w:pPr>
          </w:p>
        </w:tc>
      </w:tr>
      <w:tr>
        <w:trPr>
          <w:trHeight w:val="143"/>
        </w:trPr>
        <w:tc>
          <w:tcPr>
            <w:tcW w:w="7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tcPr>
          <w:p>
            <w:pPr>
              <w:jc w:val="center"/>
              <w:ind w:right="115"/>
              <w:spacing w:after="0" w:line="143" w:lineRule="exact"/>
              <w:rPr>
                <w:sz w:val="20"/>
                <w:szCs w:val="20"/>
                <w:color w:val="auto"/>
              </w:rPr>
            </w:pPr>
            <w:r>
              <w:rPr>
                <w:rFonts w:ascii="Times New Roman" w:cs="Times New Roman" w:eastAsia="Times New Roman" w:hAnsi="Times New Roman"/>
                <w:sz w:val="14"/>
                <w:szCs w:val="14"/>
                <w:b w:val="1"/>
                <w:bCs w:val="1"/>
                <w:color w:val="auto"/>
                <w:w w:val="98"/>
              </w:rPr>
              <w:t>Defined</w:t>
            </w:r>
          </w:p>
        </w:tc>
        <w:tc>
          <w:tcPr>
            <w:tcW w:w="0" w:type="dxa"/>
            <w:vAlign w:val="bottom"/>
          </w:tcPr>
          <w:p>
            <w:pPr>
              <w:spacing w:after="0"/>
              <w:rPr>
                <w:sz w:val="1"/>
                <w:szCs w:val="1"/>
                <w:color w:val="auto"/>
              </w:rPr>
            </w:pPr>
          </w:p>
        </w:tc>
      </w:tr>
      <w:tr>
        <w:trPr>
          <w:trHeight w:val="192"/>
        </w:trPr>
        <w:tc>
          <w:tcPr>
            <w:tcW w:w="7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Benefit Pension Plans</w:t>
            </w:r>
          </w:p>
        </w:tc>
        <w:tc>
          <w:tcPr>
            <w:tcW w:w="200" w:type="dxa"/>
            <w:vAlign w:val="bottom"/>
          </w:tcPr>
          <w:p>
            <w:pPr>
              <w:spacing w:after="0"/>
              <w:rPr>
                <w:sz w:val="16"/>
                <w:szCs w:val="16"/>
                <w:color w:val="auto"/>
              </w:rPr>
            </w:pPr>
          </w:p>
        </w:tc>
        <w:tc>
          <w:tcPr>
            <w:tcW w:w="170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Benefit Pension Plans</w:t>
            </w:r>
          </w:p>
        </w:tc>
        <w:tc>
          <w:tcPr>
            <w:tcW w:w="0" w:type="dxa"/>
            <w:vAlign w:val="bottom"/>
          </w:tcPr>
          <w:p>
            <w:pPr>
              <w:spacing w:after="0"/>
              <w:rPr>
                <w:sz w:val="1"/>
                <w:szCs w:val="1"/>
                <w:color w:val="auto"/>
              </w:rPr>
            </w:pPr>
          </w:p>
        </w:tc>
      </w:tr>
      <w:tr>
        <w:trPr>
          <w:trHeight w:val="209"/>
        </w:trPr>
        <w:tc>
          <w:tcPr>
            <w:tcW w:w="7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20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asset allocations:</w:t>
            </w: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Target for September 30, 2023:</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3"/>
        </w:trPr>
        <w:tc>
          <w:tcPr>
            <w:tcW w:w="7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Debt securities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23"/>
        </w:trPr>
        <w:tc>
          <w:tcPr>
            <w:tcW w:w="7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Real estate securities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7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3"/>
        </w:trPr>
        <w:tc>
          <w:tcPr>
            <w:tcW w:w="7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Insurance contracts</w:t>
            </w:r>
          </w:p>
        </w:tc>
        <w:tc>
          <w:tcPr>
            <w:tcW w:w="200" w:type="dxa"/>
            <w:vAlign w:val="bottom"/>
          </w:tcPr>
          <w:p>
            <w:pPr>
              <w:spacing w:after="0"/>
              <w:rPr>
                <w:sz w:val="19"/>
                <w:szCs w:val="19"/>
                <w:color w:val="auto"/>
              </w:rPr>
            </w:pPr>
          </w:p>
        </w:tc>
        <w:tc>
          <w:tcPr>
            <w:tcW w:w="18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3"/>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September 30, 2022</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3"/>
        </w:trPr>
        <w:tc>
          <w:tcPr>
            <w:tcW w:w="7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Debt securities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23"/>
        </w:trPr>
        <w:tc>
          <w:tcPr>
            <w:tcW w:w="7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Real estate securities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7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3"/>
        </w:trPr>
        <w:tc>
          <w:tcPr>
            <w:tcW w:w="7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Insurance contracts</w:t>
            </w:r>
          </w:p>
        </w:tc>
        <w:tc>
          <w:tcPr>
            <w:tcW w:w="200" w:type="dxa"/>
            <w:vAlign w:val="bottom"/>
          </w:tcPr>
          <w:p>
            <w:pPr>
              <w:spacing w:after="0"/>
              <w:rPr>
                <w:sz w:val="19"/>
                <w:szCs w:val="19"/>
                <w:color w:val="auto"/>
              </w:rPr>
            </w:pPr>
          </w:p>
        </w:tc>
        <w:tc>
          <w:tcPr>
            <w:tcW w:w="18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3"/>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September 30, 2021</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3"/>
        </w:trPr>
        <w:tc>
          <w:tcPr>
            <w:tcW w:w="7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Debt securities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23"/>
        </w:trPr>
        <w:tc>
          <w:tcPr>
            <w:tcW w:w="7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Real estate securities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7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7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Insurance contracts</w:t>
            </w:r>
          </w:p>
        </w:tc>
        <w:tc>
          <w:tcPr>
            <w:tcW w:w="200" w:type="dxa"/>
            <w:vAlign w:val="bottom"/>
          </w:tcPr>
          <w:p>
            <w:pPr>
              <w:spacing w:after="0"/>
              <w:rPr>
                <w:sz w:val="19"/>
                <w:szCs w:val="19"/>
                <w:color w:val="auto"/>
              </w:rPr>
            </w:pPr>
          </w:p>
        </w:tc>
        <w:tc>
          <w:tcPr>
            <w:tcW w:w="18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50"/>
        </w:trPr>
        <w:tc>
          <w:tcPr>
            <w:tcW w:w="7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company contributions in fiscal 2023</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future benefit payments: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3"/>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3"/>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17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3"/>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9"/>
                <w:szCs w:val="19"/>
                <w:color w:val="auto"/>
              </w:rPr>
            </w:pPr>
          </w:p>
        </w:tc>
        <w:tc>
          <w:tcPr>
            <w:tcW w:w="17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3"/>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2028 – 2032</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86" w:name="page87"/>
    <w:bookmarkEnd w:id="86"/>
    <w:tbl>
      <w:tblPr>
        <w:tblLayout w:type="fixed"/>
        <w:tblInd w:w="20" w:type="dxa"/>
        <w:tblCellMar>
          <w:top w:w="0" w:type="dxa"/>
          <w:left w:w="0" w:type="dxa"/>
          <w:bottom w:w="0" w:type="dxa"/>
          <w:right w:w="0" w:type="dxa"/>
        </w:tblCellMar>
      </w:tblPr>
      <w:tr>
        <w:trPr>
          <w:trHeight w:val="21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620" w:type="dxa"/>
            <w:vAlign w:val="bottom"/>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6"/>
              </w:rPr>
              <w:t>THE SCOTTS MIRACLE-GRO COMPANY</w:t>
            </w:r>
          </w:p>
        </w:tc>
      </w:tr>
      <w:tr>
        <w:trPr>
          <w:trHeight w:val="178"/>
        </w:trPr>
        <w:tc>
          <w:tcPr>
            <w:tcW w:w="1860" w:type="dxa"/>
            <w:vAlign w:val="bottom"/>
          </w:tcPr>
          <w:p>
            <w:pPr>
              <w:spacing w:after="0"/>
              <w:rPr>
                <w:sz w:val="15"/>
                <w:szCs w:val="15"/>
                <w:color w:val="auto"/>
              </w:rPr>
            </w:pPr>
          </w:p>
        </w:tc>
        <w:tc>
          <w:tcPr>
            <w:tcW w:w="6620" w:type="dxa"/>
            <w:vAlign w:val="bottom"/>
          </w:tcPr>
          <w:p>
            <w:pPr>
              <w:jc w:val="center"/>
              <w:ind w:left="778"/>
              <w:spacing w:after="0" w:line="178" w:lineRule="exact"/>
              <w:rPr>
                <w:sz w:val="20"/>
                <w:szCs w:val="20"/>
                <w:color w:val="auto"/>
              </w:rPr>
            </w:pPr>
            <w:r>
              <w:rPr>
                <w:rFonts w:ascii="Times New Roman" w:cs="Times New Roman" w:eastAsia="Times New Roman" w:hAnsi="Times New Roman"/>
                <w:sz w:val="18"/>
                <w:szCs w:val="18"/>
                <w:b w:val="1"/>
                <w:bCs w:val="1"/>
                <w:color w:val="auto"/>
                <w:w w:val="96"/>
              </w:rPr>
              <w:t>NOTES TO CONSOLIDATED FINANCIAL STATEMENTS — (Continued)</w:t>
            </w:r>
          </w:p>
        </w:tc>
      </w:tr>
      <w:tr>
        <w:trPr>
          <w:trHeight w:val="185"/>
        </w:trPr>
        <w:tc>
          <w:tcPr>
            <w:tcW w:w="1860" w:type="dxa"/>
            <w:vAlign w:val="bottom"/>
          </w:tcPr>
          <w:p>
            <w:pPr>
              <w:spacing w:after="0"/>
              <w:rPr>
                <w:sz w:val="16"/>
                <w:szCs w:val="16"/>
                <w:color w:val="auto"/>
              </w:rPr>
            </w:pPr>
          </w:p>
        </w:tc>
        <w:tc>
          <w:tcPr>
            <w:tcW w:w="6620" w:type="dxa"/>
            <w:vAlign w:val="bottom"/>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set forth the fair value of the Company’s pension plan assets, segregated by level within the fair value hierarchy:</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3"/>
            <w:vMerge w:val="restart"/>
          </w:tcPr>
          <w:p>
            <w:pPr>
              <w:jc w:val="center"/>
              <w:ind w:left="457"/>
              <w:spacing w:after="0"/>
              <w:rPr>
                <w:sz w:val="20"/>
                <w:szCs w:val="20"/>
                <w:color w:val="auto"/>
              </w:rPr>
            </w:pPr>
            <w:r>
              <w:rPr>
                <w:rFonts w:ascii="Times New Roman" w:cs="Times New Roman" w:eastAsia="Times New Roman" w:hAnsi="Times New Roman"/>
                <w:sz w:val="14"/>
                <w:szCs w:val="14"/>
                <w:b w:val="1"/>
                <w:bCs w:val="1"/>
                <w:color w:val="auto"/>
                <w:w w:val="98"/>
              </w:rPr>
              <w:t>U.S. Defined</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3"/>
          </w:tcPr>
          <w:p>
            <w:pPr>
              <w:jc w:val="center"/>
              <w:ind w:left="418"/>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3"/>
          </w:tcPr>
          <w:p>
            <w:pPr>
              <w:jc w:val="center"/>
              <w:ind w:left="418"/>
              <w:spacing w:after="0" w:line="145" w:lineRule="exact"/>
              <w:rPr>
                <w:sz w:val="20"/>
                <w:szCs w:val="20"/>
                <w:color w:val="auto"/>
              </w:rPr>
            </w:pPr>
            <w:r>
              <w:rPr>
                <w:rFonts w:ascii="Times New Roman" w:cs="Times New Roman" w:eastAsia="Times New Roman" w:hAnsi="Times New Roman"/>
                <w:sz w:val="14"/>
                <w:szCs w:val="14"/>
                <w:b w:val="1"/>
                <w:bCs w:val="1"/>
                <w:color w:val="auto"/>
              </w:rPr>
              <w:t>Defined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4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Benefit Pension Plans</w:t>
            </w:r>
          </w:p>
        </w:tc>
        <w:tc>
          <w:tcPr>
            <w:tcW w:w="280" w:type="dxa"/>
            <w:vAlign w:val="bottom"/>
          </w:tcPr>
          <w:p>
            <w:pPr>
              <w:spacing w:after="0"/>
              <w:rPr>
                <w:sz w:val="16"/>
                <w:szCs w:val="16"/>
                <w:color w:val="auto"/>
              </w:rPr>
            </w:pPr>
          </w:p>
        </w:tc>
        <w:tc>
          <w:tcPr>
            <w:tcW w:w="2220" w:type="dxa"/>
            <w:vAlign w:val="bottom"/>
            <w:gridSpan w:val="4"/>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w w:val="99"/>
              </w:rPr>
              <w:t>Benefit Pension Plans</w:t>
            </w:r>
          </w:p>
        </w:tc>
        <w:tc>
          <w:tcPr>
            <w:tcW w:w="0" w:type="dxa"/>
            <w:vAlign w:val="bottom"/>
          </w:tcPr>
          <w:p>
            <w:pPr>
              <w:spacing w:after="0"/>
              <w:rPr>
                <w:sz w:val="1"/>
                <w:szCs w:val="1"/>
                <w:color w:val="auto"/>
              </w:rPr>
            </w:pPr>
          </w:p>
        </w:tc>
      </w:tr>
      <w:tr>
        <w:trPr>
          <w:trHeight w:val="118"/>
        </w:trPr>
        <w:tc>
          <w:tcPr>
            <w:tcW w:w="4480" w:type="dxa"/>
            <w:vAlign w:val="bottom"/>
          </w:tcPr>
          <w:p>
            <w:pPr>
              <w:spacing w:after="0"/>
              <w:rPr>
                <w:sz w:val="10"/>
                <w:szCs w:val="10"/>
                <w:color w:val="auto"/>
              </w:rPr>
            </w:pPr>
          </w:p>
        </w:tc>
        <w:tc>
          <w:tcPr>
            <w:tcW w:w="162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Fair Value Hierarchy</w:t>
            </w:r>
          </w:p>
        </w:tc>
        <w:tc>
          <w:tcPr>
            <w:tcW w:w="2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1"/>
        </w:trPr>
        <w:tc>
          <w:tcPr>
            <w:tcW w:w="448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Level 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contracts</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Level 3</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42"/>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in the fair value hierarchy</w:t>
            </w:r>
          </w:p>
        </w:tc>
        <w:tc>
          <w:tcPr>
            <w:tcW w:w="15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Common collective trusts measured at net asset value</w:t>
            </w: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480" w:type="dxa"/>
            <w:vAlign w:val="bottom"/>
            <w:vMerge w:val="continue"/>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Equities</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Fixed income</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17"/>
        </w:trPr>
        <w:tc>
          <w:tcPr>
            <w:tcW w:w="4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w w:val="99"/>
              </w:rPr>
              <w:t>Total common collective trusts measured at net asset value</w:t>
            </w: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0" w:type="dxa"/>
            <w:vAlign w:val="bottom"/>
          </w:tcPr>
          <w:p>
            <w:pPr>
              <w:spacing w:after="0"/>
              <w:rPr>
                <w:sz w:val="1"/>
                <w:szCs w:val="1"/>
                <w:color w:val="auto"/>
              </w:rPr>
            </w:pPr>
          </w:p>
        </w:tc>
      </w:tr>
      <w:tr>
        <w:trPr>
          <w:trHeight w:val="242"/>
        </w:trPr>
        <w:tc>
          <w:tcPr>
            <w:tcW w:w="4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The carrying value of cash equivalents approximated their aggregate fair value as of September 30, 2022 and 2021. The valuation of the buy-in insurance policy was calculated on an insurer pricing basis updated for changes in market implied insurance pricing, market rates, and inflation during the year, and was estimated using unobservable inputs. Common collective trusts are not publicly traded and were valued at a net asset value unit price determined by the portfolio’s sponsor based on the fair value of underlying assets held by the common collective trust on September 30, 2022 and 2021. The common collective trusts hold underlying investments that have prices derived from quoted prices in active markets. The underlying assets are principally marketable equity and fixed income securities.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ASSOCIATE MEDICAL BENEFITS</w:t>
      </w:r>
    </w:p>
    <w:p>
      <w:pPr>
        <w:spacing w:after="0" w:line="97"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Company provides comprehensive major medical benefits to its associates. The Company is self-insured for certain health benefits up to $1.0 per occurrence per individual. The cost of such benefits is recognized as expense in the period the claim is incurred. This cost was $46.6, $43.7 and $34.2 in fiscal 2022, fiscal 2021 and fiscal 2020, respectively.</w:t>
      </w:r>
    </w:p>
    <w:p>
      <w:pPr>
        <w:spacing w:after="0" w:line="47"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Company also provides comprehensive major medical benefits to certain retired associates and their dependents. Substantially all of the Company’s domestic associates who were hired before January 1, 1998 become eligible for these benefits if they retire at age 55 or older with more than ten years of service. The retiree medical plan requires certain minimum contributions from retired associates and includes provisions to limit the overall cost increases the Company is required to cover. The Company funds its portion of retiree medical benefits as claims are paid.</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87" w:name="page88"/>
    <w:bookmarkEnd w:id="87"/>
    <w:tbl>
      <w:tblPr>
        <w:tblLayout w:type="fixed"/>
        <w:tblInd w:w="20" w:type="dxa"/>
        <w:tblCellMar>
          <w:top w:w="0" w:type="dxa"/>
          <w:left w:w="0" w:type="dxa"/>
          <w:bottom w:w="0" w:type="dxa"/>
          <w:right w:w="0" w:type="dxa"/>
        </w:tblCellMar>
      </w:tblPr>
      <w:tr>
        <w:trPr>
          <w:trHeight w:val="21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620" w:type="dxa"/>
            <w:vAlign w:val="bottom"/>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6"/>
              </w:rPr>
              <w:t>THE SCOTTS MIRACLE-GRO COMPANY</w:t>
            </w:r>
          </w:p>
        </w:tc>
      </w:tr>
      <w:tr>
        <w:trPr>
          <w:trHeight w:val="178"/>
        </w:trPr>
        <w:tc>
          <w:tcPr>
            <w:tcW w:w="1860" w:type="dxa"/>
            <w:vAlign w:val="bottom"/>
          </w:tcPr>
          <w:p>
            <w:pPr>
              <w:spacing w:after="0"/>
              <w:rPr>
                <w:sz w:val="15"/>
                <w:szCs w:val="15"/>
                <w:color w:val="auto"/>
              </w:rPr>
            </w:pPr>
          </w:p>
        </w:tc>
        <w:tc>
          <w:tcPr>
            <w:tcW w:w="6620" w:type="dxa"/>
            <w:vAlign w:val="bottom"/>
          </w:tcPr>
          <w:p>
            <w:pPr>
              <w:jc w:val="center"/>
              <w:ind w:left="778"/>
              <w:spacing w:after="0" w:line="178" w:lineRule="exact"/>
              <w:rPr>
                <w:sz w:val="20"/>
                <w:szCs w:val="20"/>
                <w:color w:val="auto"/>
              </w:rPr>
            </w:pPr>
            <w:r>
              <w:rPr>
                <w:rFonts w:ascii="Times New Roman" w:cs="Times New Roman" w:eastAsia="Times New Roman" w:hAnsi="Times New Roman"/>
                <w:sz w:val="18"/>
                <w:szCs w:val="18"/>
                <w:b w:val="1"/>
                <w:bCs w:val="1"/>
                <w:color w:val="auto"/>
                <w:w w:val="96"/>
              </w:rPr>
              <w:t>NOTES TO CONSOLIDATED FINANCIAL STATEMENTS — (Continued)</w:t>
            </w:r>
          </w:p>
        </w:tc>
      </w:tr>
      <w:tr>
        <w:trPr>
          <w:trHeight w:val="185"/>
        </w:trPr>
        <w:tc>
          <w:tcPr>
            <w:tcW w:w="1860" w:type="dxa"/>
            <w:vAlign w:val="bottom"/>
          </w:tcPr>
          <w:p>
            <w:pPr>
              <w:spacing w:after="0"/>
              <w:rPr>
                <w:sz w:val="16"/>
                <w:szCs w:val="16"/>
                <w:color w:val="auto"/>
              </w:rPr>
            </w:pPr>
          </w:p>
        </w:tc>
        <w:tc>
          <w:tcPr>
            <w:tcW w:w="6620" w:type="dxa"/>
            <w:vAlign w:val="bottom"/>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following tables set forth information about the retiree medical plan for domestic associates. The retiree medical plan is valued using a September 30 measurement date.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4"/>
        </w:trPr>
        <w:tc>
          <w:tcPr>
            <w:tcW w:w="80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Change in Accumulated Plan Benefit Obligation (APBO):</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100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gain</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Curtailment loss</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2"/>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100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04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100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Employer contribution</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benefits paid</w:t>
            </w: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2"/>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100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Unfunded status at end of year</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40" w:type="dxa"/>
            <w:vAlign w:val="bottom"/>
            <w:vMerge w:val="continue"/>
          </w:tcPr>
          <w:p>
            <w:pPr>
              <w:spacing w:after="0"/>
              <w:rPr>
                <w:sz w:val="17"/>
                <w:szCs w:val="17"/>
                <w:color w:val="auto"/>
              </w:rPr>
            </w:pPr>
          </w:p>
        </w:tc>
        <w:tc>
          <w:tcPr>
            <w:tcW w:w="1000" w:type="dxa"/>
            <w:vAlign w:val="bottom"/>
            <w:tcBorders>
              <w:bottom w:val="single" w:sz="8" w:color="auto"/>
            </w:tcBorders>
          </w:tcPr>
          <w:p>
            <w:pPr>
              <w:jc w:val="right"/>
              <w:ind w:right="795"/>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firstLine="434"/>
        <w:spacing w:after="0" w:line="263" w:lineRule="auto"/>
        <w:rPr>
          <w:sz w:val="20"/>
          <w:szCs w:val="20"/>
          <w:color w:val="auto"/>
        </w:rPr>
      </w:pPr>
      <w:r>
        <w:rPr>
          <w:rFonts w:ascii="Times New Roman" w:cs="Times New Roman" w:eastAsia="Times New Roman" w:hAnsi="Times New Roman"/>
          <w:sz w:val="18"/>
          <w:szCs w:val="18"/>
          <w:color w:val="auto"/>
        </w:rPr>
        <w:t>The decrease in the benefit obligation during fiscal 2022 was primarily driven by the increase in the discount rate. These gains were partially offset by demographic experience losses.</w:t>
      </w:r>
    </w:p>
    <w:tbl>
      <w:tblPr>
        <w:tblLayout w:type="fixed"/>
        <w:tblInd w:w="0" w:type="dxa"/>
        <w:tblCellMar>
          <w:top w:w="0" w:type="dxa"/>
          <w:left w:w="0" w:type="dxa"/>
          <w:bottom w:w="0" w:type="dxa"/>
          <w:right w:w="0" w:type="dxa"/>
        </w:tblCellMar>
      </w:tblPr>
      <w:tr>
        <w:trPr>
          <w:trHeight w:val="185"/>
        </w:trPr>
        <w:tc>
          <w:tcPr>
            <w:tcW w:w="78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
        </w:trPr>
        <w:tc>
          <w:tcPr>
            <w:tcW w:w="78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3"/>
        </w:trPr>
        <w:tc>
          <w:tcPr>
            <w:tcW w:w="782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Amounts recognized in the Consolidated Balance Sheets consist of:</w:t>
            </w: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00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(18.6)</w:t>
            </w:r>
          </w:p>
        </w:tc>
      </w:tr>
      <w:tr>
        <w:trPr>
          <w:trHeight w:val="217"/>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amount accrued</w:t>
            </w:r>
          </w:p>
        </w:tc>
        <w:tc>
          <w:tcPr>
            <w:tcW w:w="100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(20.1)</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0"/>
        </w:trPr>
        <w:tc>
          <w:tcPr>
            <w:tcW w:w="7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Amounts recognized in AOCL consist of:</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(gain) loss</w:t>
            </w:r>
          </w:p>
        </w:tc>
        <w:tc>
          <w:tcPr>
            <w:tcW w:w="100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service credit</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(1.4)</w:t>
            </w:r>
          </w:p>
        </w:tc>
      </w:tr>
      <w:tr>
        <w:trPr>
          <w:trHeight w:val="217"/>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accumulated other comprehensive (income) loss</w:t>
            </w:r>
          </w:p>
        </w:tc>
        <w:tc>
          <w:tcPr>
            <w:tcW w:w="100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0"/>
        </w:trPr>
        <w:tc>
          <w:tcPr>
            <w:tcW w:w="7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Total change in other comprehensive loss attributable to:</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during the period</w:t>
            </w:r>
          </w:p>
        </w:tc>
        <w:tc>
          <w:tcPr>
            <w:tcW w:w="100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to net income</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(0.8)</w:t>
            </w:r>
          </w:p>
        </w:tc>
      </w:tr>
      <w:tr>
        <w:trPr>
          <w:trHeight w:val="217"/>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change in other comprehensive loss</w:t>
            </w:r>
          </w:p>
        </w:tc>
        <w:tc>
          <w:tcPr>
            <w:tcW w:w="100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6"/>
        </w:trPr>
        <w:tc>
          <w:tcPr>
            <w:tcW w:w="7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Discount rate used in development of APBO</w:t>
            </w:r>
          </w:p>
        </w:tc>
        <w:tc>
          <w:tcPr>
            <w:tcW w:w="10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2.66 %</w:t>
            </w:r>
          </w:p>
        </w:tc>
      </w:tr>
    </w:tbl>
    <w:p>
      <w:pPr>
        <w:spacing w:after="0" w:line="146"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Net periodic benefit cost (income) was $(0.2), $(0.2), and $(0.1) during fiscal 2022, fiscal 2021 and fiscal 2020, respectively. For measurement as of September 30, 2022, management has assumed that health care costs will increase at an annual rate of 7.50%, and thereafter decreasing to an ultimate trend rate of 5.00% in 2028.</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88" w:name="page89"/>
    <w:bookmarkEnd w:id="88"/>
    <w:tbl>
      <w:tblPr>
        <w:tblLayout w:type="fixed"/>
        <w:tblInd w:w="20" w:type="dxa"/>
        <w:tblCellMar>
          <w:top w:w="0" w:type="dxa"/>
          <w:left w:w="0" w:type="dxa"/>
          <w:bottom w:w="0" w:type="dxa"/>
          <w:right w:w="0" w:type="dxa"/>
        </w:tblCellMar>
      </w:tblPr>
      <w:tr>
        <w:trPr>
          <w:trHeight w:val="21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620" w:type="dxa"/>
            <w:vAlign w:val="bottom"/>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6"/>
              </w:rPr>
              <w:t>THE SCOTTS MIRACLE-GRO COMPANY</w:t>
            </w:r>
          </w:p>
        </w:tc>
      </w:tr>
      <w:tr>
        <w:trPr>
          <w:trHeight w:val="178"/>
        </w:trPr>
        <w:tc>
          <w:tcPr>
            <w:tcW w:w="1860" w:type="dxa"/>
            <w:vAlign w:val="bottom"/>
          </w:tcPr>
          <w:p>
            <w:pPr>
              <w:spacing w:after="0"/>
              <w:rPr>
                <w:sz w:val="15"/>
                <w:szCs w:val="15"/>
                <w:color w:val="auto"/>
              </w:rPr>
            </w:pPr>
          </w:p>
        </w:tc>
        <w:tc>
          <w:tcPr>
            <w:tcW w:w="6620" w:type="dxa"/>
            <w:vAlign w:val="bottom"/>
          </w:tcPr>
          <w:p>
            <w:pPr>
              <w:jc w:val="center"/>
              <w:ind w:left="778"/>
              <w:spacing w:after="0" w:line="178" w:lineRule="exact"/>
              <w:rPr>
                <w:sz w:val="20"/>
                <w:szCs w:val="20"/>
                <w:color w:val="auto"/>
              </w:rPr>
            </w:pPr>
            <w:r>
              <w:rPr>
                <w:rFonts w:ascii="Times New Roman" w:cs="Times New Roman" w:eastAsia="Times New Roman" w:hAnsi="Times New Roman"/>
                <w:sz w:val="18"/>
                <w:szCs w:val="18"/>
                <w:b w:val="1"/>
                <w:bCs w:val="1"/>
                <w:color w:val="auto"/>
                <w:w w:val="96"/>
              </w:rPr>
              <w:t>NOTES TO CONSOLIDATED FINANCIAL STATEMENTS — (Continued)</w:t>
            </w:r>
          </w:p>
        </w:tc>
      </w:tr>
      <w:tr>
        <w:trPr>
          <w:trHeight w:val="185"/>
        </w:trPr>
        <w:tc>
          <w:tcPr>
            <w:tcW w:w="1860" w:type="dxa"/>
            <w:vAlign w:val="bottom"/>
          </w:tcPr>
          <w:p>
            <w:pPr>
              <w:spacing w:after="0"/>
              <w:rPr>
                <w:sz w:val="16"/>
                <w:szCs w:val="16"/>
                <w:color w:val="auto"/>
              </w:rPr>
            </w:pPr>
          </w:p>
        </w:tc>
        <w:tc>
          <w:tcPr>
            <w:tcW w:w="6620" w:type="dxa"/>
            <w:vAlign w:val="bottom"/>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benefit payments under the plan are expected to be paid by the Company and the retirees for the fiscal years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Retiree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Net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6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w w:val="98"/>
              </w:rPr>
              <w:t>Benefit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jc w:val="right"/>
              <w:ind w:right="335"/>
              <w:spacing w:after="0" w:line="143" w:lineRule="exact"/>
              <w:rPr>
                <w:sz w:val="20"/>
                <w:szCs w:val="20"/>
                <w:color w:val="auto"/>
              </w:rPr>
            </w:pPr>
            <w:r>
              <w:rPr>
                <w:rFonts w:ascii="Times New Roman" w:cs="Times New Roman" w:eastAsia="Times New Roman" w:hAnsi="Times New Roman"/>
                <w:sz w:val="14"/>
                <w:szCs w:val="14"/>
                <w:b w:val="1"/>
                <w:bCs w:val="1"/>
                <w:color w:val="auto"/>
              </w:rPr>
              <w:t>Company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7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Payments</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 – 2032</w:t>
            </w:r>
          </w:p>
        </w:tc>
        <w:tc>
          <w:tcPr>
            <w:tcW w:w="2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DEBT</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components of debt are as follows: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6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6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Facilities: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Revolving loans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tcPr>
          <w:p>
            <w:pPr>
              <w:spacing w:after="0"/>
              <w:rPr>
                <w:sz w:val="19"/>
                <w:szCs w:val="19"/>
                <w:color w:val="auto"/>
              </w:rPr>
            </w:pPr>
          </w:p>
        </w:tc>
        <w:tc>
          <w:tcPr>
            <w:tcW w:w="460" w:type="dxa"/>
            <w:vAlign w:val="bottom"/>
            <w:gridSpan w:val="3"/>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Term loans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2031 – 4.000%</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2032 – 4.375%</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2029 – 4.500%</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2026 – 5.250%</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facility</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2,826.2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bottom w:val="single" w:sz="8" w:color="auto"/>
            </w:tcBorders>
            <w:gridSpan w:val="2"/>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60" w:type="dxa"/>
            <w:vAlign w:val="bottom"/>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808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w w:val="98"/>
              </w:rPr>
              <w:t>The Company’s aggregate scheduled maturities of debt, excluding finance lease obligations, are as follows: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7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2,963.2</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Facilities</w:t>
      </w:r>
    </w:p>
    <w:p>
      <w:pPr>
        <w:spacing w:after="0" w:line="99"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On July 5, 2018, the Company entered into a fifth amended and restated credit agreement (the “Fifth A&amp;R Credit Agreement”), which provided the Company and certain of its subsidiaries with five-year senior secured loan facilities in the aggregate principal amount of $2,300.0, comprised of a revolving credit facility of $1,500.0 and a term loan in the original principal amount of $800.0 (the “Fifth A&amp;R Credit Facilities”). Under the Fifth A&amp;R Credit Facilities, the Company had the ability to obtain letters of credit up to $75.0.</w:t>
      </w:r>
    </w:p>
    <w:p>
      <w:pPr>
        <w:spacing w:after="0" w:line="103"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On April 8, 2022, the Company entered into a sixth amended and restated credit agreement (the “Sixth A&amp;R Credit Agreement”), providing the Company and certain of its subsidiaries with five-year senior secured loan facilities in the aggregate principal amount of $2,500.0, comprised of a revolving credit facility of $1,500.0 and a term loan in the original principal amount of $1,000.0 (the “Sixth A&amp;R Credit Facilities”). The Sixth A&amp;R Credit Agreement also provides the Company with</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89" w:name="page90"/>
    <w:bookmarkEnd w:id="89"/>
    <w:tbl>
      <w:tblPr>
        <w:tblLayout w:type="fixed"/>
        <w:tblInd w:w="20" w:type="dxa"/>
        <w:tblCellMar>
          <w:top w:w="0" w:type="dxa"/>
          <w:left w:w="0" w:type="dxa"/>
          <w:bottom w:w="0" w:type="dxa"/>
          <w:right w:w="0" w:type="dxa"/>
        </w:tblCellMar>
      </w:tblPr>
      <w:tr>
        <w:trPr>
          <w:trHeight w:val="21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620" w:type="dxa"/>
            <w:vAlign w:val="bottom"/>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6"/>
              </w:rPr>
              <w:t>THE SCOTTS MIRACLE-GRO COMPANY</w:t>
            </w:r>
          </w:p>
        </w:tc>
      </w:tr>
      <w:tr>
        <w:trPr>
          <w:trHeight w:val="178"/>
        </w:trPr>
        <w:tc>
          <w:tcPr>
            <w:tcW w:w="1860" w:type="dxa"/>
            <w:vAlign w:val="bottom"/>
          </w:tcPr>
          <w:p>
            <w:pPr>
              <w:spacing w:after="0"/>
              <w:rPr>
                <w:sz w:val="15"/>
                <w:szCs w:val="15"/>
                <w:color w:val="auto"/>
              </w:rPr>
            </w:pPr>
          </w:p>
        </w:tc>
        <w:tc>
          <w:tcPr>
            <w:tcW w:w="6620" w:type="dxa"/>
            <w:vAlign w:val="bottom"/>
          </w:tcPr>
          <w:p>
            <w:pPr>
              <w:jc w:val="center"/>
              <w:ind w:left="778"/>
              <w:spacing w:after="0" w:line="178" w:lineRule="exact"/>
              <w:rPr>
                <w:sz w:val="20"/>
                <w:szCs w:val="20"/>
                <w:color w:val="auto"/>
              </w:rPr>
            </w:pPr>
            <w:r>
              <w:rPr>
                <w:rFonts w:ascii="Times New Roman" w:cs="Times New Roman" w:eastAsia="Times New Roman" w:hAnsi="Times New Roman"/>
                <w:sz w:val="18"/>
                <w:szCs w:val="18"/>
                <w:b w:val="1"/>
                <w:bCs w:val="1"/>
                <w:color w:val="auto"/>
                <w:w w:val="96"/>
              </w:rPr>
              <w:t>NOTES TO CONSOLIDATED FINANCIAL STATEMENTS — (Continued)</w:t>
            </w:r>
          </w:p>
        </w:tc>
      </w:tr>
      <w:tr>
        <w:trPr>
          <w:trHeight w:val="185"/>
        </w:trPr>
        <w:tc>
          <w:tcPr>
            <w:tcW w:w="1860" w:type="dxa"/>
            <w:vAlign w:val="bottom"/>
          </w:tcPr>
          <w:p>
            <w:pPr>
              <w:spacing w:after="0"/>
              <w:rPr>
                <w:sz w:val="16"/>
                <w:szCs w:val="16"/>
                <w:color w:val="auto"/>
              </w:rPr>
            </w:pPr>
          </w:p>
        </w:tc>
        <w:tc>
          <w:tcPr>
            <w:tcW w:w="6620" w:type="dxa"/>
            <w:vAlign w:val="bottom"/>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right to seek additional committed credit under the agreement in an aggregate amount of up to $500.0 plus an unlimited additional amount, subject to certain specified financial and other conditions. The Sixth A&amp;R Credit Agreement replaced the Fifth A&amp;R Credit Agreement and will terminate on April 8, 2027. The Sixth A&amp;R Credit Facilities are available for the issuance of letters of credit up to $100.0. The terms of the Sixth A&amp;R Credit Agreement include customary representations and warranties, affirmative and negative covenants, financial covenants, and events of default.</w:t>
      </w:r>
    </w:p>
    <w:p>
      <w:pPr>
        <w:spacing w:after="0" w:line="116"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6"/>
          <w:szCs w:val="16"/>
          <w:color w:val="auto"/>
        </w:rPr>
        <w:t>Under the terms of the Sixth A&amp;R Credit Agreement, loans bear interest, at the Company’s election, at a rate per annum equal to either (i) the Alternate Base Rate plus the Applicable Spread (each, as defined in the Sixth A&amp;R Credit Agreement) or (ii) the Adjusted Term SOFR Rate for the Interest Period in effect for such borrowing plus the Applicable Spread (all as defined in the Sixth A&amp;R Credit Agreement). Swingline Loans bear interest at the applicable Swingline Rate set forth in the Sixth A&amp;R Credit Agreement. Interest rates for other select non-U.S. dollar borrowings, including borrowings denominated in euro, Pounds Sterling and Canadian dollars, are based on separate interest rate indices, as set forth in the Sixth A&amp;R Credit Agreement. The Sixth A&amp;R Credit Agreement is secured by (i) a perfected first priority security interest in all of the accounts receivable, inventory and equipment of Scotts Miracle-Gro and certain of its domestic subsidiaries and (ii) the pledge of all of the capital stock of certain of Scotts Miracle-Gro’s domestic subsidiaries and a portion of the capital stock of certain of its foreign subsidiaries. The collateral does not include any of the Company’s intellectual property.</w:t>
      </w:r>
    </w:p>
    <w:p>
      <w:pPr>
        <w:spacing w:after="0" w:line="97" w:lineRule="exact"/>
        <w:rPr>
          <w:sz w:val="20"/>
          <w:szCs w:val="20"/>
          <w:color w:val="auto"/>
        </w:rPr>
      </w:pPr>
    </w:p>
    <w:p>
      <w:pPr>
        <w:jc w:val="both"/>
        <w:ind w:firstLine="394"/>
        <w:spacing w:after="0" w:line="246" w:lineRule="auto"/>
        <w:rPr>
          <w:sz w:val="20"/>
          <w:szCs w:val="20"/>
          <w:color w:val="auto"/>
        </w:rPr>
      </w:pPr>
      <w:r>
        <w:rPr>
          <w:rFonts w:ascii="Times New Roman" w:cs="Times New Roman" w:eastAsia="Times New Roman" w:hAnsi="Times New Roman"/>
          <w:sz w:val="18"/>
          <w:szCs w:val="18"/>
          <w:color w:val="auto"/>
        </w:rPr>
        <w:t>On June 8, 2022, the Company entered into Amendment No. 1 (the “Amendment”) to the Sixth A&amp;R Credit Agreement. The Amendment increases the maximum permitted leverage ratio for the quarterly leverage covenant effective for the third quarter of fiscal 2022 until the earlier of (i) April 1, 2024 and (ii) subject to certain conditions specified in the Amendment, the termination by the Company of such increase (such period, the “Leverage Adjustment Period”). The Amendment also increases the interest rate applicable to borrowings under the revolving credit facility by 35 bps and the term loan facility by 50 bps, and increases the annual facility fee rate on the revolving credit facility by 15 bps, in each case, when the Company’s quarterly-tested leverage ratio exceeds 4.75. Additionally, the Amendment limits the Company’s ability to declare or pay any discretionary dividends, distributions or other restricted payments during the Leverage Adjustment Period to only the payment of (i) regularly scheduled cash dividends to holders of its Common Shares in an aggregate amount not to exceed $225.0 per fiscal year and (ii) other dividends, distributions or other restricted payments in an aggregate amount not to exceed $25.0. The Amendment also requires pro forma compliance with certain leverage levels specified in the Amendment with respect to the Company’s ability to consummate certain acquisitions and incur debt.</w:t>
      </w:r>
    </w:p>
    <w:p>
      <w:pPr>
        <w:spacing w:after="0" w:line="60"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At September 30, 2022, the Company had letters of credit outstanding in the aggregate principal amount of $14.1, and had $1,185.5 of borrowing availability under the Sixth A&amp;R Credit Agreement. The weighted average interest rates on average borrowings under the Fifth A&amp;R Credit Agreement and Sixth A&amp;R Credit Agreement were 2.8%, 1.9% and 3.3% for fiscal 2022, fiscal 2021 and fiscal 2020, respectively.</w:t>
      </w:r>
    </w:p>
    <w:p>
      <w:pPr>
        <w:spacing w:after="0" w:line="113" w:lineRule="exact"/>
        <w:rPr>
          <w:sz w:val="20"/>
          <w:szCs w:val="20"/>
          <w:color w:val="auto"/>
        </w:rPr>
      </w:pPr>
    </w:p>
    <w:p>
      <w:pPr>
        <w:jc w:val="both"/>
        <w:ind w:firstLine="394"/>
        <w:spacing w:after="0" w:line="246" w:lineRule="auto"/>
        <w:rPr>
          <w:sz w:val="20"/>
          <w:szCs w:val="20"/>
          <w:color w:val="auto"/>
        </w:rPr>
      </w:pPr>
      <w:r>
        <w:rPr>
          <w:rFonts w:ascii="Times New Roman" w:cs="Times New Roman" w:eastAsia="Times New Roman" w:hAnsi="Times New Roman"/>
          <w:sz w:val="18"/>
          <w:szCs w:val="18"/>
          <w:color w:val="auto"/>
        </w:rPr>
        <w:t>The Sixth A&amp;R Credit Agreement contains, among other obligations, an affirmative covenant regarding the Company’s leverage ratio determined as of the end of each of its fiscal quarters calculated as average total indebtedness, divided by the Company’s earnings before interest, taxes, depreciation and amortization, as adjusted pursuant to the terms of the Sixth A&amp;R Credit Agreement (“Adjusted EBITDA”). Pursuant to the Amendment, the maximum permitted leverage ratio is (i) 6.25 for the third quarter of fiscal 2022 through the first quarter of fiscal 2023, (ii) 6.50 for the second and third quarters of fiscal 2023, (iii) 6.25 for the fourth quarter of fiscal 2023 and the first quarter of fiscal 2024, (iv) 5.50 for the second quarter of fiscal 2024, and (v) 4.50 for the third quarter of fiscal 2024 and thereafter. The Company’s leverage ratio was 6.01 at September 30, 2022. The Sixth A&amp;R Credit Agreement also contains an affirmative covenant regarding the Company’s interest coverage ratio determined as of the end of each of its fiscal quarters. The interest coverage ratio is calculated as Adjusted EBITDA divided by interest expense, as described in the Sixth A&amp;R Credit Agreement, and excludes costs related to refinancings. The minimum required interest coverage ratio is 3.00, which is unchanged from the Fifth A&amp;R Credit Agreement. The Company’s interest coverage ratio was 4.83 for the twelve months ended September 30, 2022.</w:t>
      </w:r>
    </w:p>
    <w:p>
      <w:pPr>
        <w:spacing w:after="0" w:line="87"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As of September 30, 2022, the Company was in compliance with all applicable covenants in the agreements governing its debt. Based on the Company’s projections of its financial performance for the twelve-month period subsequent to the date of the filing of the financial statements on Form 10-K, the Company expects to remain in compliance with the financial covenants under the Company’s Sixth A&amp;R Credit Agreement. However, the Company’s assessment of its ability to meet its future obligations is inherently subjective, judgment-based, and susceptible to change based on future events. A covenant violation may result in an event of default. Such a default would allow the lender under the Sixth A&amp;R Credit Agreement to accelerate the maturity of the debt and would also implicate cross-default provisions under the Senior Notes, as defined below, making them due and payable at that time. As of September 30, 2022, the Company’s indebtedness under the Sixth A&amp;R Credit Agreement and Senior Notes was $2,875.5. The Company does not have sufficient cash on hand or available liquidity that can be utilized to repay these outstanding amounts in the event of default.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90" w:name="page91"/>
    <w:bookmarkEnd w:id="90"/>
    <w:tbl>
      <w:tblPr>
        <w:tblLayout w:type="fixed"/>
        <w:tblInd w:w="20" w:type="dxa"/>
        <w:tblCellMar>
          <w:top w:w="0" w:type="dxa"/>
          <w:left w:w="0" w:type="dxa"/>
          <w:bottom w:w="0" w:type="dxa"/>
          <w:right w:w="0" w:type="dxa"/>
        </w:tblCellMar>
      </w:tblPr>
      <w:tr>
        <w:trPr>
          <w:trHeight w:val="21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620" w:type="dxa"/>
            <w:vAlign w:val="bottom"/>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6"/>
              </w:rPr>
              <w:t>THE SCOTTS MIRACLE-GRO COMPANY</w:t>
            </w:r>
          </w:p>
        </w:tc>
      </w:tr>
      <w:tr>
        <w:trPr>
          <w:trHeight w:val="178"/>
        </w:trPr>
        <w:tc>
          <w:tcPr>
            <w:tcW w:w="1860" w:type="dxa"/>
            <w:vAlign w:val="bottom"/>
          </w:tcPr>
          <w:p>
            <w:pPr>
              <w:spacing w:after="0"/>
              <w:rPr>
                <w:sz w:val="15"/>
                <w:szCs w:val="15"/>
                <w:color w:val="auto"/>
              </w:rPr>
            </w:pPr>
          </w:p>
        </w:tc>
        <w:tc>
          <w:tcPr>
            <w:tcW w:w="6620" w:type="dxa"/>
            <w:vAlign w:val="bottom"/>
          </w:tcPr>
          <w:p>
            <w:pPr>
              <w:jc w:val="center"/>
              <w:ind w:left="778"/>
              <w:spacing w:after="0" w:line="178" w:lineRule="exact"/>
              <w:rPr>
                <w:sz w:val="20"/>
                <w:szCs w:val="20"/>
                <w:color w:val="auto"/>
              </w:rPr>
            </w:pPr>
            <w:r>
              <w:rPr>
                <w:rFonts w:ascii="Times New Roman" w:cs="Times New Roman" w:eastAsia="Times New Roman" w:hAnsi="Times New Roman"/>
                <w:sz w:val="18"/>
                <w:szCs w:val="18"/>
                <w:b w:val="1"/>
                <w:bCs w:val="1"/>
                <w:color w:val="auto"/>
                <w:w w:val="96"/>
              </w:rPr>
              <w:t>NOTES TO CONSOLIDATED FINANCIAL STATEMENTS — (Continued)</w:t>
            </w:r>
          </w:p>
        </w:tc>
      </w:tr>
      <w:tr>
        <w:trPr>
          <w:trHeight w:val="185"/>
        </w:trPr>
        <w:tc>
          <w:tcPr>
            <w:tcW w:w="1860" w:type="dxa"/>
            <w:vAlign w:val="bottom"/>
          </w:tcPr>
          <w:p>
            <w:pPr>
              <w:spacing w:after="0"/>
              <w:rPr>
                <w:sz w:val="16"/>
                <w:szCs w:val="16"/>
                <w:color w:val="auto"/>
              </w:rPr>
            </w:pPr>
          </w:p>
        </w:tc>
        <w:tc>
          <w:tcPr>
            <w:tcW w:w="6620" w:type="dxa"/>
            <w:vAlign w:val="bottom"/>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As part of its contingency planning to address potential future circumstances that could result in noncompliance, the Company has contemplated alternative plans including additional restructuring activities to reduce operating expenses and certain cash management strategies that are within the Company’s control. Additionally, the Company has contemplated alternative plans that are subject to market conditions and not in the Company’s control, including, among others, discussions with its lender to amend the terms of its financial covenant under the debt instrument and generating cash by completing other financing transactions, which may include issuing equity. There is no assurance that the Company will be successful in implementing these alternative plans.</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Senior Notes</w:t>
      </w:r>
    </w:p>
    <w:p>
      <w:pPr>
        <w:spacing w:after="0" w:line="86"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On December 15, 2016, Scotts Miracle-Gro issued $250.0 aggregate principal amount of 5.250% Senior Notes due 2026 (the “5.250% Senior Notes”). The 5.250% Senior Notes represent general unsecured senior obligations and rank equal in right of payment with the Company’s existing and future unsecured senior debt. The 5.250% Senior Notes have interest payment dates of June 15 and December 15 of each year.</w:t>
      </w:r>
    </w:p>
    <w:p>
      <w:pPr>
        <w:spacing w:after="0" w:line="61"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On October 22, 2019, Scotts Miracle-Gro issued $450.0 aggregate principal amount of 4.500% Senior Notes due 2029 (the “4.500% Senior Notes”). The 4.500% Senior Notes represent general unsecured senior obligations and rank equal in right of payment with the Company’s existing and future unsecured senior debt. The 4.500% Senior Notes have interest payment dates of April 15 and October 15 of each year.</w:t>
      </w:r>
    </w:p>
    <w:p>
      <w:pPr>
        <w:spacing w:after="0" w:line="61" w:lineRule="exact"/>
        <w:rPr>
          <w:sz w:val="20"/>
          <w:szCs w:val="20"/>
          <w:color w:val="auto"/>
        </w:rPr>
      </w:pPr>
    </w:p>
    <w:p>
      <w:pPr>
        <w:jc w:val="both"/>
        <w:ind w:firstLine="434"/>
        <w:spacing w:after="0" w:line="288" w:lineRule="auto"/>
        <w:rPr>
          <w:sz w:val="20"/>
          <w:szCs w:val="20"/>
          <w:color w:val="auto"/>
        </w:rPr>
      </w:pPr>
      <w:r>
        <w:rPr>
          <w:rFonts w:ascii="Times New Roman" w:cs="Times New Roman" w:eastAsia="Times New Roman" w:hAnsi="Times New Roman"/>
          <w:sz w:val="16"/>
          <w:szCs w:val="16"/>
          <w:color w:val="auto"/>
        </w:rPr>
        <w:t>On October 23, 2019, Scotts Miracle-Gro redeemed all of its outstanding 6.000% Senior Notes due 2023 (the “6.000% Senior Notes”) for a redemption price of $412.5, comprised of $0.5 of accrued and unpaid interest, $12.0 of redemption premium, and $400.0 for outstanding principal amount. The $12.0 redemption premium was recognized in the “Costs related to refinancing” line on the Consolidated Statements of Operations during the first quarter of fiscal 2020. Additionally, the Company had $3.1 in unamortized bond issuance costs associated with the 6.000% Senior Notes, which were written-off during the first quarter of fiscal 2020 and were recognized in the “Costs related to refinancing” line in the Consolidated Statements of Operations.</w:t>
      </w:r>
    </w:p>
    <w:p>
      <w:pPr>
        <w:spacing w:after="0" w:line="26"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On March 17, 2021, Scotts Miracle-Gro issued $500.0 aggregate principal amount of 4.000% Senior Notes due 2031 (the “4.000% Senior Notes”). The 4.000% Senior Notes represent general unsecured senior obligations and rank equal in right of payment with the Company’s existing and future unsecured senior debt. The 4.000% Senior Notes have interest payment dates of April 1 and October 1 of each year.</w:t>
      </w:r>
    </w:p>
    <w:p>
      <w:pPr>
        <w:spacing w:after="0" w:line="61"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On August 13, 2021, Scotts Miracle-Gro issued $400.0 aggregate principal amount of 4.375% Senior Notes due 2032 (the “4.375% Senior Notes”). The 4.375% Senior Notes represent general unsecured senior obligations and rank equal in right of payment with the Company’s existing and future unsecured senior debt. The 4.375% Senior Notes have interest payment dates of February 1 and August 1 of each year.</w:t>
      </w:r>
    </w:p>
    <w:p>
      <w:pPr>
        <w:spacing w:after="0" w:line="113"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Substantially all of Scotts Miracle-Gro’s directly and indirectly owned domestic subsidiaries serve as guarantors of the 5.250% Senior Notes, the 4.500% Senior Notes, the 4.000% Senior Notes and the 4.375% Senior Notes.</w:t>
      </w:r>
    </w:p>
    <w:p>
      <w:pPr>
        <w:spacing w:after="0" w:line="1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Receivables Facility</w:t>
      </w:r>
    </w:p>
    <w:p>
      <w:pPr>
        <w:spacing w:after="0" w:line="86"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On April 7, 2017, the Company entered into a Master Repurchase Agreement (including the annexes thereto, the “Repurchase Agreement”) and a Master Framework Agreement, as amended (the “Framework Agreement” and, together with the Repurchase Agreement, the “Receivables Facility”). Under the Receivables Facility, the Company may sell a portfolio of available and eligible outstanding customer accounts receivable to the purchasers and simultaneously agree to repurchase the receivables on a weekly basis. The eligible accounts receivable consist of accounts receivable generated by sales to three specified customers. The eligible amount of customer accounts receivables which may be sold under the Receivables Facility is $400.0 and the commitment amount during the seasonal commitment period beginning on February 24, 2023 and ending on June 16, 2023 is $160.0. The Receivables Facility expires on August 18, 2023.</w:t>
      </w:r>
    </w:p>
    <w:p>
      <w:pPr>
        <w:spacing w:after="0" w:line="73"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Company accounts for the sale of receivables under the Receivables Facility as short-term debt and continues to carry the receivables on its Consolidated Balance Sheets, primarily as a result of the Company’s requirement to repurchase receivables sold. As of September 30, 2022 and 2021, there were $75.0 and zero, respectively, in borrowings on receivables pledged as collateral under the Receivables Facility, and the carrying value of the receivables pledged as collateral was $79.8 and zero, respectively.</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91" w:name="page92"/>
    <w:bookmarkEnd w:id="91"/>
    <w:tbl>
      <w:tblPr>
        <w:tblLayout w:type="fixed"/>
        <w:tblInd w:w="20" w:type="dxa"/>
        <w:tblCellMar>
          <w:top w:w="0" w:type="dxa"/>
          <w:left w:w="0" w:type="dxa"/>
          <w:bottom w:w="0" w:type="dxa"/>
          <w:right w:w="0" w:type="dxa"/>
        </w:tblCellMar>
      </w:tblPr>
      <w:tr>
        <w:trPr>
          <w:trHeight w:val="21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620" w:type="dxa"/>
            <w:vAlign w:val="bottom"/>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6"/>
              </w:rPr>
              <w:t>THE SCOTTS MIRACLE-GRO COMPANY</w:t>
            </w:r>
          </w:p>
        </w:tc>
      </w:tr>
      <w:tr>
        <w:trPr>
          <w:trHeight w:val="178"/>
        </w:trPr>
        <w:tc>
          <w:tcPr>
            <w:tcW w:w="1860" w:type="dxa"/>
            <w:vAlign w:val="bottom"/>
          </w:tcPr>
          <w:p>
            <w:pPr>
              <w:spacing w:after="0"/>
              <w:rPr>
                <w:sz w:val="15"/>
                <w:szCs w:val="15"/>
                <w:color w:val="auto"/>
              </w:rPr>
            </w:pPr>
          </w:p>
        </w:tc>
        <w:tc>
          <w:tcPr>
            <w:tcW w:w="6620" w:type="dxa"/>
            <w:vAlign w:val="bottom"/>
          </w:tcPr>
          <w:p>
            <w:pPr>
              <w:jc w:val="center"/>
              <w:ind w:left="778"/>
              <w:spacing w:after="0" w:line="178" w:lineRule="exact"/>
              <w:rPr>
                <w:sz w:val="20"/>
                <w:szCs w:val="20"/>
                <w:color w:val="auto"/>
              </w:rPr>
            </w:pPr>
            <w:r>
              <w:rPr>
                <w:rFonts w:ascii="Times New Roman" w:cs="Times New Roman" w:eastAsia="Times New Roman" w:hAnsi="Times New Roman"/>
                <w:sz w:val="18"/>
                <w:szCs w:val="18"/>
                <w:b w:val="1"/>
                <w:bCs w:val="1"/>
                <w:color w:val="auto"/>
                <w:w w:val="96"/>
              </w:rPr>
              <w:t>NOTES TO CONSOLIDATED FINANCIAL STATEMENTS — (Continued)</w:t>
            </w:r>
          </w:p>
        </w:tc>
      </w:tr>
      <w:tr>
        <w:trPr>
          <w:trHeight w:val="185"/>
        </w:trPr>
        <w:tc>
          <w:tcPr>
            <w:tcW w:w="1860" w:type="dxa"/>
            <w:vAlign w:val="bottom"/>
          </w:tcPr>
          <w:p>
            <w:pPr>
              <w:spacing w:after="0"/>
              <w:rPr>
                <w:sz w:val="16"/>
                <w:szCs w:val="16"/>
                <w:color w:val="auto"/>
              </w:rPr>
            </w:pPr>
          </w:p>
        </w:tc>
        <w:tc>
          <w:tcPr>
            <w:tcW w:w="6620" w:type="dxa"/>
            <w:vAlign w:val="bottom"/>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Swap Agreements</w:t>
      </w:r>
    </w:p>
    <w:p>
      <w:pPr>
        <w:spacing w:after="0" w:line="86" w:lineRule="exact"/>
        <w:rPr>
          <w:sz w:val="20"/>
          <w:szCs w:val="20"/>
          <w:color w:val="auto"/>
        </w:rPr>
      </w:pPr>
    </w:p>
    <w:p>
      <w:pPr>
        <w:jc w:val="both"/>
        <w:ind w:firstLine="434"/>
        <w:spacing w:after="0" w:line="293" w:lineRule="auto"/>
        <w:rPr>
          <w:sz w:val="20"/>
          <w:szCs w:val="20"/>
          <w:color w:val="auto"/>
        </w:rPr>
      </w:pPr>
      <w:r>
        <w:rPr>
          <w:rFonts w:ascii="Times New Roman" w:cs="Times New Roman" w:eastAsia="Times New Roman" w:hAnsi="Times New Roman"/>
          <w:sz w:val="16"/>
          <w:szCs w:val="16"/>
          <w:color w:val="auto"/>
        </w:rPr>
        <w:t>The Company enters into interest rate swap agreements with major financial institutions that effectively convert a portion of the Company’s variable-rate debt to a fixed rate. Interest payments made between the effective date and expiration date are hedged by the swap agreements. Swap agreements that were hedging interest payments as of September 30, 2022 and 2021 had a maximum total U.S. dollar equivalent notional amount of $800.0 and $600.0, respectively. The notional amount, effective date, expiration date and rate of each of the swap agreements outstanding at September 30, 2022 are shown in the table below:</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vMerge w:val="restart"/>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460" w:type="dxa"/>
            <w:vAlign w:val="bottom"/>
          </w:tcPr>
          <w:p>
            <w:pPr>
              <w:spacing w:after="0"/>
              <w:rPr>
                <w:sz w:val="13"/>
                <w:szCs w:val="13"/>
                <w:color w:val="auto"/>
              </w:rPr>
            </w:pPr>
          </w:p>
        </w:tc>
        <w:tc>
          <w:tcPr>
            <w:tcW w:w="28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Effective</w:t>
            </w:r>
          </w:p>
        </w:tc>
        <w:tc>
          <w:tcPr>
            <w:tcW w:w="2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Expiration</w:t>
            </w:r>
          </w:p>
        </w:tc>
        <w:tc>
          <w:tcPr>
            <w:tcW w:w="2780" w:type="dxa"/>
            <w:vAlign w:val="bottom"/>
          </w:tcPr>
          <w:p>
            <w:pPr>
              <w:jc w:val="right"/>
              <w:ind w:right="1137"/>
              <w:spacing w:after="0"/>
              <w:rPr>
                <w:sz w:val="20"/>
                <w:szCs w:val="20"/>
                <w:color w:val="auto"/>
              </w:rPr>
            </w:pPr>
            <w:r>
              <w:rPr>
                <w:rFonts w:ascii="Times New Roman" w:cs="Times New Roman" w:eastAsia="Times New Roman" w:hAnsi="Times New Roman"/>
                <w:sz w:val="14"/>
                <w:szCs w:val="14"/>
                <w:b w:val="1"/>
                <w:bCs w:val="1"/>
                <w:color w:val="auto"/>
              </w:rPr>
              <w:t>Fixed</w:t>
            </w:r>
          </w:p>
        </w:tc>
        <w:tc>
          <w:tcPr>
            <w:tcW w:w="0" w:type="dxa"/>
            <w:vAlign w:val="bottom"/>
          </w:tcPr>
          <w:p>
            <w:pPr>
              <w:spacing w:after="0"/>
              <w:rPr>
                <w:sz w:val="1"/>
                <w:szCs w:val="1"/>
                <w:color w:val="auto"/>
              </w:rPr>
            </w:pPr>
          </w:p>
        </w:tc>
      </w:tr>
      <w:tr>
        <w:trPr>
          <w:trHeight w:val="190"/>
        </w:trPr>
        <w:tc>
          <w:tcPr>
            <w:tcW w:w="230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28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Date (a)</w:t>
            </w:r>
          </w:p>
        </w:tc>
        <w:tc>
          <w:tcPr>
            <w:tcW w:w="2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780" w:type="dxa"/>
            <w:vAlign w:val="bottom"/>
          </w:tcPr>
          <w:p>
            <w:pPr>
              <w:jc w:val="right"/>
              <w:ind w:right="1157"/>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22"/>
        </w:trPr>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12/21/2020</w:t>
            </w:r>
          </w:p>
        </w:tc>
        <w:tc>
          <w:tcPr>
            <w:tcW w:w="360" w:type="dxa"/>
            <w:vAlign w:val="bottom"/>
            <w:tcBorders>
              <w:top w:val="single" w:sz="8" w:color="CCEEFF"/>
            </w:tcBorders>
            <w:shd w:val="clear" w:color="auto" w:fill="CCEEFF"/>
          </w:tcPr>
          <w:p>
            <w:pPr>
              <w:spacing w:after="0"/>
              <w:rPr>
                <w:sz w:val="19"/>
                <w:szCs w:val="19"/>
                <w:color w:val="auto"/>
              </w:rPr>
            </w:pPr>
          </w:p>
        </w:tc>
        <w:tc>
          <w:tcPr>
            <w:tcW w:w="2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6/20/2023</w:t>
            </w:r>
          </w:p>
        </w:tc>
        <w:tc>
          <w:tcPr>
            <w:tcW w:w="340" w:type="dxa"/>
            <w:vAlign w:val="bottom"/>
            <w:tcBorders>
              <w:top w:val="single" w:sz="8" w:color="CCEEFF"/>
            </w:tcBorders>
            <w:shd w:val="clear" w:color="auto" w:fill="CCEEFF"/>
          </w:tcPr>
          <w:p>
            <w:pPr>
              <w:spacing w:after="0"/>
              <w:rPr>
                <w:sz w:val="19"/>
                <w:szCs w:val="19"/>
                <w:color w:val="auto"/>
              </w:rPr>
            </w:pPr>
          </w:p>
        </w:tc>
        <w:tc>
          <w:tcPr>
            <w:tcW w:w="2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0" w:type="dxa"/>
            <w:vAlign w:val="bottom"/>
          </w:tcPr>
          <w:p>
            <w:pPr>
              <w:spacing w:after="0"/>
              <w:rPr>
                <w:sz w:val="1"/>
                <w:szCs w:val="1"/>
                <w:color w:val="auto"/>
              </w:rPr>
            </w:pPr>
          </w:p>
        </w:tc>
      </w:tr>
      <w:tr>
        <w:trPr>
          <w:trHeight w:val="223"/>
        </w:trPr>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(b)</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1/7/2021</w:t>
            </w:r>
          </w:p>
        </w:tc>
        <w:tc>
          <w:tcPr>
            <w:tcW w:w="36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6/7/2023</w:t>
            </w:r>
          </w:p>
        </w:tc>
        <w:tc>
          <w:tcPr>
            <w:tcW w:w="340" w:type="dxa"/>
            <w:vAlign w:val="bottom"/>
          </w:tcPr>
          <w:p>
            <w:pPr>
              <w:spacing w:after="0"/>
              <w:rPr>
                <w:sz w:val="19"/>
                <w:szCs w:val="19"/>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37"/>
        </w:trPr>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60" w:type="dxa"/>
            <w:vAlign w:val="bottom"/>
            <w:shd w:val="clear" w:color="auto" w:fill="CCEEFF"/>
          </w:tcPr>
          <w:p>
            <w:pPr>
              <w:spacing w:after="0"/>
              <w:rPr>
                <w:sz w:val="20"/>
                <w:szCs w:val="20"/>
                <w:color w:val="auto"/>
              </w:rPr>
            </w:pP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10/7/2021</w:t>
            </w:r>
          </w:p>
        </w:tc>
        <w:tc>
          <w:tcPr>
            <w:tcW w:w="360" w:type="dxa"/>
            <w:vAlign w:val="bottom"/>
            <w:shd w:val="clear" w:color="auto" w:fill="CCEEFF"/>
          </w:tcPr>
          <w:p>
            <w:pPr>
              <w:spacing w:after="0"/>
              <w:rPr>
                <w:sz w:val="20"/>
                <w:szCs w:val="20"/>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6/7/2023</w:t>
            </w:r>
          </w:p>
        </w:tc>
        <w:tc>
          <w:tcPr>
            <w:tcW w:w="340" w:type="dxa"/>
            <w:vAlign w:val="bottom"/>
            <w:shd w:val="clear" w:color="auto" w:fill="CCEEFF"/>
          </w:tcPr>
          <w:p>
            <w:pPr>
              <w:spacing w:after="0"/>
              <w:rPr>
                <w:sz w:val="20"/>
                <w:szCs w:val="20"/>
                <w:color w:val="auto"/>
              </w:rPr>
            </w:pP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0" w:type="dxa"/>
            <w:vAlign w:val="bottom"/>
          </w:tcPr>
          <w:p>
            <w:pPr>
              <w:spacing w:after="0"/>
              <w:rPr>
                <w:sz w:val="1"/>
                <w:szCs w:val="1"/>
                <w:color w:val="auto"/>
              </w:rPr>
            </w:pPr>
          </w:p>
        </w:tc>
      </w:tr>
      <w:tr>
        <w:trPr>
          <w:trHeight w:val="223"/>
        </w:trPr>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(b)</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1/20/2022</w:t>
            </w:r>
          </w:p>
        </w:tc>
        <w:tc>
          <w:tcPr>
            <w:tcW w:w="36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6/20/2024</w:t>
            </w:r>
          </w:p>
        </w:tc>
        <w:tc>
          <w:tcPr>
            <w:tcW w:w="340" w:type="dxa"/>
            <w:vAlign w:val="bottom"/>
          </w:tcPr>
          <w:p>
            <w:pPr>
              <w:spacing w:after="0"/>
              <w:rPr>
                <w:sz w:val="19"/>
                <w:szCs w:val="19"/>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0.58 %</w:t>
            </w:r>
          </w:p>
        </w:tc>
        <w:tc>
          <w:tcPr>
            <w:tcW w:w="0" w:type="dxa"/>
            <w:vAlign w:val="bottom"/>
          </w:tcPr>
          <w:p>
            <w:pPr>
              <w:spacing w:after="0"/>
              <w:rPr>
                <w:sz w:val="1"/>
                <w:szCs w:val="1"/>
                <w:color w:val="auto"/>
              </w:rPr>
            </w:pPr>
          </w:p>
        </w:tc>
      </w:tr>
      <w:tr>
        <w:trPr>
          <w:trHeight w:val="223"/>
        </w:trPr>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6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6/7/2023</w:t>
            </w:r>
          </w:p>
        </w:tc>
        <w:tc>
          <w:tcPr>
            <w:tcW w:w="36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6/8/2026</w:t>
            </w:r>
          </w:p>
        </w:tc>
        <w:tc>
          <w:tcPr>
            <w:tcW w:w="340" w:type="dxa"/>
            <w:vAlign w:val="bottom"/>
            <w:shd w:val="clear" w:color="auto" w:fill="CCEEFF"/>
          </w:tcPr>
          <w:p>
            <w:pPr>
              <w:spacing w:after="0"/>
              <w:rPr>
                <w:sz w:val="19"/>
                <w:szCs w:val="19"/>
                <w:color w:val="auto"/>
              </w:rPr>
            </w:pP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0.85 %</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620" w:hanging="615"/>
        <w:spacing w:after="0"/>
        <w:tabs>
          <w:tab w:leader="none" w:pos="6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effective date refers to the date on which interest payments are first hedged by the applicable swap agreement.</w:t>
      </w:r>
    </w:p>
    <w:p>
      <w:pPr>
        <w:spacing w:after="0" w:line="18" w:lineRule="exact"/>
        <w:rPr>
          <w:rFonts w:ascii="Times New Roman" w:cs="Times New Roman" w:eastAsia="Times New Roman" w:hAnsi="Times New Roman"/>
          <w:sz w:val="16"/>
          <w:szCs w:val="16"/>
          <w:color w:val="auto"/>
        </w:rPr>
      </w:pPr>
    </w:p>
    <w:p>
      <w:pPr>
        <w:ind w:left="640" w:hanging="635"/>
        <w:spacing w:after="0"/>
        <w:tabs>
          <w:tab w:leader="none" w:pos="6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Notional amount adjusts in accordance with a specified seasonal schedule. This represents the maximum notional amount at any point in time.</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Weighted Average Interest Rate</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weighted average interest rates on the Company’s debt were 3.6%, 3.7% and 4.3% for fiscal 2022, fiscal 2021 and fiscal 2020, respectively.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EQUITY</w:t>
      </w:r>
    </w:p>
    <w:p>
      <w:pPr>
        <w:spacing w:after="0" w:line="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Authorized and issued shares consisted of the following (in millions):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80" w:type="dxa"/>
            <w:vAlign w:val="bottom"/>
          </w:tcPr>
          <w:p>
            <w:pPr>
              <w:spacing w:after="0"/>
              <w:rPr>
                <w:sz w:val="16"/>
                <w:szCs w:val="16"/>
                <w:color w:val="auto"/>
              </w:rPr>
            </w:pPr>
          </w:p>
        </w:tc>
        <w:tc>
          <w:tcPr>
            <w:tcW w:w="2440" w:type="dxa"/>
            <w:vAlign w:val="bottom"/>
            <w:gridSpan w:val="3"/>
          </w:tcPr>
          <w:p>
            <w:pPr>
              <w:ind w:left="1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0" w:type="dxa"/>
            <w:vAlign w:val="bottom"/>
          </w:tcPr>
          <w:p>
            <w:pPr>
              <w:spacing w:after="0"/>
              <w:rPr>
                <w:sz w:val="16"/>
                <w:szCs w:val="16"/>
                <w:color w:val="auto"/>
              </w:rPr>
            </w:pPr>
          </w:p>
        </w:tc>
      </w:tr>
      <w:tr>
        <w:trPr>
          <w:trHeight w:val="24"/>
        </w:trPr>
        <w:tc>
          <w:tcPr>
            <w:tcW w:w="758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758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shares, no par value: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3"/>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Authorized</w:t>
            </w:r>
          </w:p>
        </w:tc>
        <w:tc>
          <w:tcPr>
            <w:tcW w:w="244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0.2 shares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shares</w:t>
            </w:r>
          </w:p>
        </w:tc>
      </w:tr>
      <w:tr>
        <w:trPr>
          <w:trHeight w:val="223"/>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Issued</w:t>
            </w:r>
          </w:p>
        </w:tc>
        <w:tc>
          <w:tcPr>
            <w:tcW w:w="244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0.0 shares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shares</w:t>
            </w:r>
          </w:p>
        </w:tc>
      </w:tr>
      <w:tr>
        <w:trPr>
          <w:trHeight w:val="223"/>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shares, no par value, $0.01 stated value per share:</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3"/>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Authorized</w:t>
            </w:r>
          </w:p>
        </w:tc>
        <w:tc>
          <w:tcPr>
            <w:tcW w:w="244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100.0 shares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shares</w:t>
            </w:r>
          </w:p>
        </w:tc>
      </w:tr>
      <w:tr>
        <w:trPr>
          <w:trHeight w:val="228"/>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w:t>
            </w:r>
          </w:p>
        </w:tc>
        <w:tc>
          <w:tcPr>
            <w:tcW w:w="244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68.1 shares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 shares</w:t>
            </w:r>
          </w:p>
        </w:tc>
      </w:tr>
    </w:tbl>
    <w:p>
      <w:pPr>
        <w:spacing w:after="0" w:line="306" w:lineRule="exact"/>
        <w:rPr>
          <w:sz w:val="20"/>
          <w:szCs w:val="20"/>
          <w:color w:val="auto"/>
        </w:rPr>
      </w:pPr>
    </w:p>
    <w:p>
      <w:pPr>
        <w:jc w:val="both"/>
        <w:ind w:firstLine="434"/>
        <w:spacing w:after="0" w:line="303" w:lineRule="auto"/>
        <w:rPr>
          <w:sz w:val="20"/>
          <w:szCs w:val="20"/>
          <w:color w:val="auto"/>
        </w:rPr>
      </w:pPr>
      <w:r>
        <w:rPr>
          <w:rFonts w:ascii="Times New Roman" w:cs="Times New Roman" w:eastAsia="Times New Roman" w:hAnsi="Times New Roman"/>
          <w:sz w:val="16"/>
          <w:szCs w:val="16"/>
          <w:color w:val="auto"/>
        </w:rPr>
        <w:t>In fiscal 1995, The Scotts Company merged with Stern’s Miracle-Gro Products, Inc. (“Miracle-Gro”). At September 30, 2022, the former shareholders of Miracle-Gro, including the Hagedorn Partnership, L.P., owned approximately 26% of Scotts Miracle-Gro’s outstanding Common Shares on a fully diluted basis and, therefore, have the ability to significantly influence the election of directors and other actions requiring the approval of Scotts Miracle-Gro’s shareholders.</w:t>
      </w:r>
    </w:p>
    <w:p>
      <w:pPr>
        <w:spacing w:after="0" w:line="26" w:lineRule="exact"/>
        <w:rPr>
          <w:sz w:val="20"/>
          <w:szCs w:val="20"/>
          <w:color w:val="auto"/>
        </w:rPr>
      </w:pPr>
    </w:p>
    <w:p>
      <w:pPr>
        <w:jc w:val="both"/>
        <w:ind w:firstLine="434"/>
        <w:spacing w:after="0" w:line="288" w:lineRule="auto"/>
        <w:rPr>
          <w:sz w:val="20"/>
          <w:szCs w:val="20"/>
          <w:color w:val="auto"/>
        </w:rPr>
      </w:pPr>
      <w:r>
        <w:rPr>
          <w:rFonts w:ascii="Times New Roman" w:cs="Times New Roman" w:eastAsia="Times New Roman" w:hAnsi="Times New Roman"/>
          <w:sz w:val="16"/>
          <w:szCs w:val="16"/>
          <w:color w:val="auto"/>
        </w:rPr>
        <w:t>Under the terms of the merger agreement with Miracle-Gro, the former shareholders of Miracle-Gro may not collectively acquire, directly or indirectly, beneficial ownership of Voting Stock (as that term is defined in the Miracle-Gro merger agreement) representing more than 49% of the total voting power of the outstanding Voting Stock, except pursuant to a tender offer for 100% of that total voting power, which tender offer is made at a price per share which is not less than the market price per share on the last trading day before the announcement of the tender offer and is conditioned upon the receipt of at least 50% of the Voting Stock beneficially owned by shareholders of Scotts Miracle-Gro other than the former shareholders of Miracle-Gro and their affiliates and associates.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92" w:name="page93"/>
    <w:bookmarkEnd w:id="92"/>
    <w:tbl>
      <w:tblPr>
        <w:tblLayout w:type="fixed"/>
        <w:tblInd w:w="20" w:type="dxa"/>
        <w:tblCellMar>
          <w:top w:w="0" w:type="dxa"/>
          <w:left w:w="0" w:type="dxa"/>
          <w:bottom w:w="0" w:type="dxa"/>
          <w:right w:w="0" w:type="dxa"/>
        </w:tblCellMar>
      </w:tblPr>
      <w:tr>
        <w:trPr>
          <w:trHeight w:val="21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620" w:type="dxa"/>
            <w:vAlign w:val="bottom"/>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6"/>
              </w:rPr>
              <w:t>THE SCOTTS MIRACLE-GRO COMPANY</w:t>
            </w:r>
          </w:p>
        </w:tc>
      </w:tr>
      <w:tr>
        <w:trPr>
          <w:trHeight w:val="178"/>
        </w:trPr>
        <w:tc>
          <w:tcPr>
            <w:tcW w:w="1860" w:type="dxa"/>
            <w:vAlign w:val="bottom"/>
          </w:tcPr>
          <w:p>
            <w:pPr>
              <w:spacing w:after="0"/>
              <w:rPr>
                <w:sz w:val="15"/>
                <w:szCs w:val="15"/>
                <w:color w:val="auto"/>
              </w:rPr>
            </w:pPr>
          </w:p>
        </w:tc>
        <w:tc>
          <w:tcPr>
            <w:tcW w:w="6620" w:type="dxa"/>
            <w:vAlign w:val="bottom"/>
          </w:tcPr>
          <w:p>
            <w:pPr>
              <w:jc w:val="center"/>
              <w:ind w:left="778"/>
              <w:spacing w:after="0" w:line="178" w:lineRule="exact"/>
              <w:rPr>
                <w:sz w:val="20"/>
                <w:szCs w:val="20"/>
                <w:color w:val="auto"/>
              </w:rPr>
            </w:pPr>
            <w:r>
              <w:rPr>
                <w:rFonts w:ascii="Times New Roman" w:cs="Times New Roman" w:eastAsia="Times New Roman" w:hAnsi="Times New Roman"/>
                <w:sz w:val="18"/>
                <w:szCs w:val="18"/>
                <w:b w:val="1"/>
                <w:bCs w:val="1"/>
                <w:color w:val="auto"/>
                <w:w w:val="96"/>
              </w:rPr>
              <w:t>NOTES TO CONSOLIDATED FINANCIAL STATEMENTS — (Continued)</w:t>
            </w:r>
          </w:p>
        </w:tc>
      </w:tr>
      <w:tr>
        <w:trPr>
          <w:trHeight w:val="185"/>
        </w:trPr>
        <w:tc>
          <w:tcPr>
            <w:tcW w:w="1860" w:type="dxa"/>
            <w:vAlign w:val="bottom"/>
          </w:tcPr>
          <w:p>
            <w:pPr>
              <w:spacing w:after="0"/>
              <w:rPr>
                <w:sz w:val="16"/>
                <w:szCs w:val="16"/>
                <w:color w:val="auto"/>
              </w:rPr>
            </w:pPr>
          </w:p>
        </w:tc>
        <w:tc>
          <w:tcPr>
            <w:tcW w:w="6620" w:type="dxa"/>
            <w:vAlign w:val="bottom"/>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Accumulated Other Comprehensive Loss</w:t>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Changes in AOCL by component were as follows for the fiscal years ended September 30: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6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80" w:type="dxa"/>
            <w:vAlign w:val="bottom"/>
          </w:tcPr>
          <w:p>
            <w:pPr>
              <w:spacing w:after="0"/>
              <w:rPr>
                <w:sz w:val="12"/>
                <w:szCs w:val="12"/>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60" w:type="dxa"/>
            <w:vAlign w:val="bottom"/>
          </w:tcPr>
          <w:p>
            <w:pPr>
              <w:spacing w:after="0"/>
              <w:rPr>
                <w:sz w:val="12"/>
                <w:szCs w:val="12"/>
                <w:color w:val="auto"/>
              </w:rPr>
            </w:pPr>
          </w:p>
        </w:tc>
        <w:tc>
          <w:tcPr>
            <w:tcW w:w="124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Gain (Loss) in</w:t>
            </w:r>
          </w:p>
        </w:tc>
        <w:tc>
          <w:tcPr>
            <w:tcW w:w="140" w:type="dxa"/>
            <w:vAlign w:val="bottom"/>
          </w:tcPr>
          <w:p>
            <w:pPr>
              <w:spacing w:after="0"/>
              <w:rPr>
                <w:sz w:val="12"/>
                <w:szCs w:val="12"/>
                <w:color w:val="auto"/>
              </w:rPr>
            </w:pPr>
          </w:p>
        </w:tc>
        <w:tc>
          <w:tcPr>
            <w:tcW w:w="116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0" w:type="dxa"/>
            <w:vAlign w:val="bottom"/>
          </w:tcPr>
          <w:p>
            <w:pPr>
              <w:spacing w:after="0"/>
              <w:rPr>
                <w:sz w:val="1"/>
                <w:szCs w:val="1"/>
                <w:color w:val="auto"/>
              </w:rPr>
            </w:pPr>
          </w:p>
        </w:tc>
      </w:tr>
      <w:tr>
        <w:trPr>
          <w:trHeight w:val="143"/>
        </w:trPr>
        <w:tc>
          <w:tcPr>
            <w:tcW w:w="4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Pension and</w:t>
            </w: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jc w:val="center"/>
              <w:ind w:right="300"/>
              <w:spacing w:after="0" w:line="133"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60" w:type="dxa"/>
            <w:vAlign w:val="bottom"/>
          </w:tcPr>
          <w:p>
            <w:pPr>
              <w:spacing w:after="0"/>
              <w:rPr>
                <w:sz w:val="11"/>
                <w:szCs w:val="11"/>
                <w:color w:val="auto"/>
              </w:rPr>
            </w:pPr>
          </w:p>
        </w:tc>
        <w:tc>
          <w:tcPr>
            <w:tcW w:w="122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4"/>
                <w:szCs w:val="14"/>
                <w:b w:val="1"/>
                <w:bCs w:val="1"/>
                <w:color w:val="auto"/>
              </w:rPr>
              <w:t>Gain (Loss)</w:t>
            </w: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1"/>
                <w:szCs w:val="11"/>
                <w:color w:val="auto"/>
              </w:rPr>
            </w:pPr>
          </w:p>
        </w:tc>
        <w:tc>
          <w:tcPr>
            <w:tcW w:w="124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b w:val="1"/>
                <w:bCs w:val="1"/>
                <w:color w:val="auto"/>
              </w:rPr>
              <w:t>Other Post-</w:t>
            </w:r>
          </w:p>
        </w:tc>
        <w:tc>
          <w:tcPr>
            <w:tcW w:w="140" w:type="dxa"/>
            <w:vAlign w:val="bottom"/>
          </w:tcPr>
          <w:p>
            <w:pPr>
              <w:spacing w:after="0"/>
              <w:rPr>
                <w:sz w:val="11"/>
                <w:szCs w:val="11"/>
                <w:color w:val="auto"/>
              </w:rPr>
            </w:pPr>
          </w:p>
        </w:tc>
        <w:tc>
          <w:tcPr>
            <w:tcW w:w="1160" w:type="dxa"/>
            <w:vAlign w:val="bottom"/>
          </w:tcPr>
          <w:p>
            <w:pPr>
              <w:jc w:val="center"/>
              <w:ind w:right="36"/>
              <w:spacing w:after="0" w:line="133"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3"/>
        </w:trPr>
        <w:tc>
          <w:tcPr>
            <w:tcW w:w="4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w w:val="99"/>
              </w:rPr>
              <w:t>On Derivative</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3" w:lineRule="exact"/>
              <w:rPr>
                <w:sz w:val="20"/>
                <w:szCs w:val="20"/>
                <w:color w:val="auto"/>
              </w:rPr>
            </w:pPr>
            <w:r>
              <w:rPr>
                <w:rFonts w:ascii="Times New Roman" w:cs="Times New Roman" w:eastAsia="Times New Roman" w:hAnsi="Times New Roman"/>
                <w:sz w:val="14"/>
                <w:szCs w:val="14"/>
                <w:b w:val="1"/>
                <w:bCs w:val="1"/>
                <w:color w:val="auto"/>
              </w:rPr>
              <w:t>Loss On</w:t>
            </w:r>
          </w:p>
        </w:tc>
        <w:tc>
          <w:tcPr>
            <w:tcW w:w="160" w:type="dxa"/>
            <w:vAlign w:val="bottom"/>
          </w:tcPr>
          <w:p>
            <w:pPr>
              <w:spacing w:after="0"/>
              <w:rPr>
                <w:sz w:val="12"/>
                <w:szCs w:val="12"/>
                <w:color w:val="auto"/>
              </w:rPr>
            </w:pPr>
          </w:p>
        </w:tc>
        <w:tc>
          <w:tcPr>
            <w:tcW w:w="124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w w:val="97"/>
              </w:rPr>
              <w:t>Retirement</w:t>
            </w:r>
          </w:p>
        </w:tc>
        <w:tc>
          <w:tcPr>
            <w:tcW w:w="140" w:type="dxa"/>
            <w:vAlign w:val="bottom"/>
          </w:tcPr>
          <w:p>
            <w:pPr>
              <w:spacing w:after="0"/>
              <w:rPr>
                <w:sz w:val="12"/>
                <w:szCs w:val="12"/>
                <w:color w:val="auto"/>
              </w:rPr>
            </w:pPr>
          </w:p>
        </w:tc>
        <w:tc>
          <w:tcPr>
            <w:tcW w:w="1160" w:type="dxa"/>
            <w:vAlign w:val="bottom"/>
          </w:tcPr>
          <w:p>
            <w:pPr>
              <w:jc w:val="center"/>
              <w:ind w:right="56"/>
              <w:spacing w:after="0" w:line="143"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2"/>
        </w:trPr>
        <w:tc>
          <w:tcPr>
            <w:tcW w:w="4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6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140" w:type="dxa"/>
            <w:vAlign w:val="bottom"/>
          </w:tcPr>
          <w:p>
            <w:pPr>
              <w:spacing w:after="0"/>
              <w:rPr>
                <w:sz w:val="16"/>
                <w:szCs w:val="16"/>
                <w:color w:val="auto"/>
              </w:rPr>
            </w:pPr>
          </w:p>
        </w:tc>
        <w:tc>
          <w:tcPr>
            <w:tcW w:w="11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0" w:type="dxa"/>
            <w:vAlign w:val="bottom"/>
          </w:tcPr>
          <w:p>
            <w:pPr>
              <w:spacing w:after="0"/>
              <w:rPr>
                <w:sz w:val="1"/>
                <w:szCs w:val="1"/>
                <w:color w:val="auto"/>
              </w:rPr>
            </w:pPr>
          </w:p>
        </w:tc>
      </w:tr>
      <w:tr>
        <w:trPr>
          <w:trHeight w:val="222"/>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2019</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179"/>
        </w:trPr>
        <w:tc>
          <w:tcPr>
            <w:tcW w:w="4480" w:type="dxa"/>
            <w:vAlign w:val="bottom"/>
          </w:tcPr>
          <w:p>
            <w:pPr>
              <w:ind w:left="240"/>
              <w:spacing w:after="0" w:line="179"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reclassifications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179"/>
        </w:trPr>
        <w:tc>
          <w:tcPr>
            <w:tcW w:w="4480" w:type="dxa"/>
            <w:vAlign w:val="bottom"/>
            <w:shd w:val="clear" w:color="auto" w:fill="CCEEFF"/>
          </w:tcPr>
          <w:p>
            <w:pPr>
              <w:ind w:left="240"/>
              <w:spacing w:after="0" w:line="179"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comprehensive net income (loss)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3"/>
        </w:trPr>
        <w:tc>
          <w:tcPr>
            <w:tcW w:w="4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7"/>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7"/>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2020</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179"/>
        </w:trPr>
        <w:tc>
          <w:tcPr>
            <w:tcW w:w="4480" w:type="dxa"/>
            <w:vAlign w:val="bottom"/>
            <w:shd w:val="clear" w:color="auto" w:fill="CCEEFF"/>
          </w:tcPr>
          <w:p>
            <w:pPr>
              <w:ind w:left="240"/>
              <w:spacing w:after="0" w:line="179"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reclassifications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179"/>
        </w:trPr>
        <w:tc>
          <w:tcPr>
            <w:tcW w:w="4480" w:type="dxa"/>
            <w:vAlign w:val="bottom"/>
          </w:tcPr>
          <w:p>
            <w:pPr>
              <w:ind w:left="240"/>
              <w:spacing w:after="0" w:line="179"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comprehensive net income (loss)</w:t>
            </w: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4"/>
        </w:trPr>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7"/>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7"/>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2021</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179"/>
        </w:trPr>
        <w:tc>
          <w:tcPr>
            <w:tcW w:w="4480" w:type="dxa"/>
            <w:vAlign w:val="bottom"/>
          </w:tcPr>
          <w:p>
            <w:pPr>
              <w:ind w:left="240"/>
              <w:spacing w:after="0" w:line="179"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reclassifications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179"/>
        </w:trPr>
        <w:tc>
          <w:tcPr>
            <w:tcW w:w="4480" w:type="dxa"/>
            <w:vAlign w:val="bottom"/>
            <w:shd w:val="clear" w:color="auto" w:fill="CCEEFF"/>
          </w:tcPr>
          <w:p>
            <w:pPr>
              <w:ind w:left="240"/>
              <w:spacing w:after="0" w:line="179"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comprehensive net income (loss)</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4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7"/>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17"/>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sum of the components may not equal due to rounding.</w:t>
      </w:r>
    </w:p>
    <w:p>
      <w:pPr>
        <w:spacing w:after="0" w:line="1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Dividends</w:t>
      </w:r>
    </w:p>
    <w:p>
      <w:pPr>
        <w:spacing w:after="0" w:line="99"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On July 27, 2020, the Scotts Miracle-Gro Board of Directors approved an increase in Scotts Miracle-Gro’s quarterly cash dividend from $0.58 to $0.62 per Common Share, which was first paid in the fourth quarter of fiscal 2020. In addition, on July 27, 2020, the Scotts Miracle-Gro Board of Directors approved a special cash dividend of $5.00 per Common Share, which was paid on September 10, 2020 to all shareholders of record at the close of business on August 27, 2020. On July 30, 2021, the Scotts Miracle-Gro Board of Directors approved an increase in the Scotts Miracle-Gro’s quarterly cash dividend from $0.62 to $0.66 per Common Share, which was first paid in the fourth quarter of fiscal 2021.</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Share Repurchases</w:t>
      </w:r>
    </w:p>
    <w:p>
      <w:pPr>
        <w:spacing w:after="0" w:line="86"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On August 11, 2014, Scotts Miracle-Gro announced that its Board of Directors authorized the repurchase of up to $500.0 of Common Shares over a five-year period (effective November 1, 2014 through September 30, 2019). On August 3, 2016, Scotts Miracle-Gro announced that its Board of Directors authorized a $500.0 increase to the share repurchase authorization ending on September 30, 2019. On August 2, 2019, the Scotts Miracle-Gro Board of Directors authorized an extension of the share repurchase authorization through March 28, 2020. The amended authorization allowed for repurchases of Common Shares of up to an aggregate amount of $1,000.0 through March 28, 2020. During fiscal 2020 through March 28, 2020, Scotts Miracle-Gro repurchased 0.4 million Common Shares under this share repurchase authorization for $48.2. From the effective date of this share repurchase authorization in the fourth quarter of fiscal 2014 through March 28, 2020, Scotts Miracle-Gro repurchased approximately 8.7 million Common Shares for $762.8.</w:t>
      </w:r>
    </w:p>
    <w:p>
      <w:pPr>
        <w:spacing w:after="0" w:line="73"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On February 6, 2020, Scotts Miracle-Gro announced that its Board of Directors authorized the repurchase of up to $750.0 of Common Shares from April 30, 2020 through March 25, 2023. The authorization permits the Company to purchase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93" w:name="page94"/>
    <w:bookmarkEnd w:id="93"/>
    <w:tbl>
      <w:tblPr>
        <w:tblLayout w:type="fixed"/>
        <w:tblInd w:w="20" w:type="dxa"/>
        <w:tblCellMar>
          <w:top w:w="0" w:type="dxa"/>
          <w:left w:w="0" w:type="dxa"/>
          <w:bottom w:w="0" w:type="dxa"/>
          <w:right w:w="0" w:type="dxa"/>
        </w:tblCellMar>
      </w:tblPr>
      <w:tr>
        <w:trPr>
          <w:trHeight w:val="21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620" w:type="dxa"/>
            <w:vAlign w:val="bottom"/>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6"/>
              </w:rPr>
              <w:t>THE SCOTTS MIRACLE-GRO COMPANY</w:t>
            </w:r>
          </w:p>
        </w:tc>
      </w:tr>
      <w:tr>
        <w:trPr>
          <w:trHeight w:val="178"/>
        </w:trPr>
        <w:tc>
          <w:tcPr>
            <w:tcW w:w="1860" w:type="dxa"/>
            <w:vAlign w:val="bottom"/>
          </w:tcPr>
          <w:p>
            <w:pPr>
              <w:spacing w:after="0"/>
              <w:rPr>
                <w:sz w:val="15"/>
                <w:szCs w:val="15"/>
                <w:color w:val="auto"/>
              </w:rPr>
            </w:pPr>
          </w:p>
        </w:tc>
        <w:tc>
          <w:tcPr>
            <w:tcW w:w="6620" w:type="dxa"/>
            <w:vAlign w:val="bottom"/>
          </w:tcPr>
          <w:p>
            <w:pPr>
              <w:jc w:val="center"/>
              <w:ind w:left="778"/>
              <w:spacing w:after="0" w:line="178" w:lineRule="exact"/>
              <w:rPr>
                <w:sz w:val="20"/>
                <w:szCs w:val="20"/>
                <w:color w:val="auto"/>
              </w:rPr>
            </w:pPr>
            <w:r>
              <w:rPr>
                <w:rFonts w:ascii="Times New Roman" w:cs="Times New Roman" w:eastAsia="Times New Roman" w:hAnsi="Times New Roman"/>
                <w:sz w:val="18"/>
                <w:szCs w:val="18"/>
                <w:b w:val="1"/>
                <w:bCs w:val="1"/>
                <w:color w:val="auto"/>
                <w:w w:val="96"/>
              </w:rPr>
              <w:t>NOTES TO CONSOLIDATED FINANCIAL STATEMENTS — (Continued)</w:t>
            </w:r>
          </w:p>
        </w:tc>
      </w:tr>
      <w:tr>
        <w:trPr>
          <w:trHeight w:val="185"/>
        </w:trPr>
        <w:tc>
          <w:tcPr>
            <w:tcW w:w="1860" w:type="dxa"/>
            <w:vAlign w:val="bottom"/>
          </w:tcPr>
          <w:p>
            <w:pPr>
              <w:spacing w:after="0"/>
              <w:rPr>
                <w:sz w:val="16"/>
                <w:szCs w:val="16"/>
                <w:color w:val="auto"/>
              </w:rPr>
            </w:pPr>
          </w:p>
        </w:tc>
        <w:tc>
          <w:tcPr>
            <w:tcW w:w="6620" w:type="dxa"/>
            <w:vAlign w:val="bottom"/>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Common Shares from time to time in open market purchases or through privately negotiated transactions. All or part of the repurchases may be made under Rule 10b5-1 plans, which the Company may enter into from time to time and which enable the repurchases to occur on a more regular basis, or pursuant to accelerated share repurchases. The share repurchase authorization may be suspended or discontinued by the Board of Directors at any time, and there can be no guarantee as to the timing or amount of any repurchases. During fiscal 2022 and fiscal 2021, Scotts Miracle-Gro repurchased 1.1 million and 0.6 million Common Shares under this share repurchase authorization for $175.0 and $113.1, respectively. There were no share repurchases under this share repurchase authorization during fiscal 2020. Treasury share purchases also include cash paid to tax authorities to satisfy statutory income tax withholding obligations related to share-based compensation of $82.9, $16.3 and $4.9 for fiscal 2022, fiscal 2021 and fiscal 2020, respectively.</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Share-Based Awards</w:t>
      </w:r>
    </w:p>
    <w:p>
      <w:pPr>
        <w:spacing w:after="0" w:line="99"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A maximum of 5.0 million Common Shares are available for issuance under share-based award plans. At September 30, 2022, approximately 3.4 million Common Shares were not subject to outstanding awards and were available to underlie the grant of new share-based awards. Common Shares held in treasury totaling 0.9 million, 0.4 million and 0.4 million were reissued in support of share-based compensation awards and employee purchases under the employee stock purchase plan during fiscal 2022, fiscal 2021 and fiscal 2020, respectively.</w:t>
      </w:r>
    </w:p>
    <w:p>
      <w:pPr>
        <w:spacing w:after="0" w:line="64"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Subsequent to September 30, 2022, the Company awarded restricted stock units, performance-based award units and stock options representing 1.6 million Common Shares to employees with an estimated fair value of $51.8 on the date of grant.</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summary of the share-based awards granted during each of the periods indicated: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 Ended September 30,</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4"/>
        </w:trPr>
        <w:tc>
          <w:tcPr>
            <w:tcW w:w="5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4"/>
        </w:trPr>
        <w:tc>
          <w:tcPr>
            <w:tcW w:w="56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31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Employees</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3"/>
        </w:trPr>
        <w:tc>
          <w:tcPr>
            <w:tcW w:w="5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Options</w:t>
            </w:r>
          </w:p>
        </w:tc>
        <w:tc>
          <w:tcPr>
            <w:tcW w:w="1080" w:type="dxa"/>
            <w:vAlign w:val="bottom"/>
          </w:tcPr>
          <w:p>
            <w:pPr>
              <w:spacing w:after="0"/>
              <w:rPr>
                <w:sz w:val="19"/>
                <w:szCs w:val="19"/>
                <w:color w:val="auto"/>
              </w:rPr>
            </w:pPr>
          </w:p>
        </w:tc>
        <w:tc>
          <w:tcPr>
            <w:tcW w:w="8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37,255</w:t>
            </w:r>
          </w:p>
        </w:tc>
      </w:tr>
      <w:tr>
        <w:trPr>
          <w:trHeight w:val="223"/>
        </w:trPr>
        <w:tc>
          <w:tcPr>
            <w:tcW w:w="5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Restricted stock units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119,726</w:t>
            </w:r>
          </w:p>
        </w:tc>
      </w:tr>
      <w:tr>
        <w:trPr>
          <w:trHeight w:val="223"/>
        </w:trPr>
        <w:tc>
          <w:tcPr>
            <w:tcW w:w="5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Performance units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37,570</w:t>
            </w:r>
          </w:p>
        </w:tc>
      </w:tr>
      <w:tr>
        <w:trPr>
          <w:trHeight w:val="223"/>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Non-Employee Directors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3"/>
        </w:trPr>
        <w:tc>
          <w:tcPr>
            <w:tcW w:w="56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Restricted and deferred stock units</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18,948</w:t>
            </w:r>
          </w:p>
        </w:tc>
      </w:tr>
      <w:tr>
        <w:trPr>
          <w:trHeight w:val="242"/>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share-based awards</w:t>
            </w:r>
          </w:p>
        </w:tc>
        <w:tc>
          <w:tcPr>
            <w:tcW w:w="10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354,329</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265,565</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213,499</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5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3"/>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fair value at grant dates</w:t>
            </w:r>
          </w:p>
        </w:tc>
        <w:tc>
          <w:tcPr>
            <w:tcW w:w="1080" w:type="dxa"/>
            <w:vAlign w:val="bottom"/>
            <w:shd w:val="clear" w:color="auto" w:fill="CCEEFF"/>
          </w:tcPr>
          <w:p>
            <w:pPr>
              <w:jc w:val="right"/>
              <w:ind w:right="90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446"/>
        </w:trPr>
        <w:tc>
          <w:tcPr>
            <w:tcW w:w="67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Total share-based compensation was as follows for each of the periods indicated:</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0"/>
        </w:trPr>
        <w:tc>
          <w:tcPr>
            <w:tcW w:w="5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Year Ended September 30,</w:t>
            </w: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4"/>
        </w:trPr>
        <w:tc>
          <w:tcPr>
            <w:tcW w:w="56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4"/>
        </w:trPr>
        <w:tc>
          <w:tcPr>
            <w:tcW w:w="56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35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23"/>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28"/>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Related tax benefit recognized</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bl>
    <w:p>
      <w:pPr>
        <w:spacing w:after="0" w:line="2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Excess tax benefits related to share-based compensation were $14.8, $18.3 and $5.8 for fiscal 2022, fiscal 2021 and fiscal 2020, respectively.</w:t>
      </w:r>
    </w:p>
    <w:p>
      <w:pPr>
        <w:spacing w:after="0" w:line="1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Stock option activity was as follows:</w:t>
      </w:r>
    </w:p>
    <w:p>
      <w:pPr>
        <w:spacing w:after="0" w:line="18" w:lineRule="exact"/>
        <w:rPr>
          <w:sz w:val="20"/>
          <w:szCs w:val="20"/>
          <w:color w:val="auto"/>
        </w:rPr>
      </w:pPr>
    </w:p>
    <w:tbl>
      <w:tblPr>
        <w:tblLayout w:type="fixed"/>
        <w:tblInd w:w="798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1280" w:type="dxa"/>
            <w:vAlign w:val="bottom"/>
          </w:tcPr>
          <w:p>
            <w:pPr>
              <w:jc w:val="center"/>
              <w:ind w:left="710"/>
              <w:spacing w:after="0"/>
              <w:rPr>
                <w:sz w:val="20"/>
                <w:szCs w:val="20"/>
                <w:color w:val="auto"/>
              </w:rPr>
            </w:pPr>
            <w:r>
              <w:rPr>
                <w:rFonts w:ascii="Times New Roman" w:cs="Times New Roman" w:eastAsia="Times New Roman" w:hAnsi="Times New Roman"/>
                <w:sz w:val="14"/>
                <w:szCs w:val="14"/>
                <w:b w:val="1"/>
                <w:bCs w:val="1"/>
                <w:color w:val="auto"/>
              </w:rPr>
              <w:t>Wtd.</w:t>
            </w:r>
          </w:p>
        </w:tc>
      </w:tr>
      <w:tr>
        <w:trPr>
          <w:trHeight w:val="133"/>
        </w:trPr>
        <w:tc>
          <w:tcPr>
            <w:tcW w:w="1240" w:type="dxa"/>
            <w:vAlign w:val="bottom"/>
          </w:tcPr>
          <w:p>
            <w:pPr>
              <w:spacing w:after="0"/>
              <w:rPr>
                <w:sz w:val="11"/>
                <w:szCs w:val="11"/>
                <w:color w:val="auto"/>
              </w:rPr>
            </w:pPr>
          </w:p>
        </w:tc>
        <w:tc>
          <w:tcPr>
            <w:tcW w:w="1280" w:type="dxa"/>
            <w:vAlign w:val="bottom"/>
          </w:tcPr>
          <w:p>
            <w:pPr>
              <w:jc w:val="center"/>
              <w:ind w:left="730"/>
              <w:spacing w:after="0" w:line="133" w:lineRule="exact"/>
              <w:rPr>
                <w:sz w:val="20"/>
                <w:szCs w:val="20"/>
                <w:color w:val="auto"/>
              </w:rPr>
            </w:pPr>
            <w:r>
              <w:rPr>
                <w:rFonts w:ascii="Times New Roman" w:cs="Times New Roman" w:eastAsia="Times New Roman" w:hAnsi="Times New Roman"/>
                <w:sz w:val="14"/>
                <w:szCs w:val="14"/>
                <w:b w:val="1"/>
                <w:bCs w:val="1"/>
                <w:color w:val="auto"/>
              </w:rPr>
              <w:t>Avg.</w:t>
            </w:r>
          </w:p>
        </w:tc>
      </w:tr>
      <w:tr>
        <w:trPr>
          <w:trHeight w:val="156"/>
        </w:trPr>
        <w:tc>
          <w:tcPr>
            <w:tcW w:w="124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No. of</w:t>
            </w:r>
          </w:p>
        </w:tc>
        <w:tc>
          <w:tcPr>
            <w:tcW w:w="1280" w:type="dxa"/>
            <w:vAlign w:val="bottom"/>
          </w:tcPr>
          <w:p>
            <w:pPr>
              <w:jc w:val="center"/>
              <w:ind w:left="710"/>
              <w:spacing w:after="0" w:line="156" w:lineRule="exact"/>
              <w:rPr>
                <w:sz w:val="20"/>
                <w:szCs w:val="20"/>
                <w:color w:val="auto"/>
              </w:rPr>
            </w:pPr>
            <w:r>
              <w:rPr>
                <w:rFonts w:ascii="Times New Roman" w:cs="Times New Roman" w:eastAsia="Times New Roman" w:hAnsi="Times New Roman"/>
                <w:sz w:val="14"/>
                <w:szCs w:val="14"/>
                <w:b w:val="1"/>
                <w:bCs w:val="1"/>
                <w:color w:val="auto"/>
                <w:w w:val="98"/>
              </w:rPr>
              <w:t>Exercise</w:t>
            </w:r>
          </w:p>
        </w:tc>
      </w:tr>
      <w:tr>
        <w:trPr>
          <w:trHeight w:val="185"/>
        </w:trPr>
        <w:tc>
          <w:tcPr>
            <w:tcW w:w="1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80" w:type="dxa"/>
            <w:vAlign w:val="bottom"/>
          </w:tcPr>
          <w:p>
            <w:pPr>
              <w:jc w:val="center"/>
              <w:ind w:left="730"/>
              <w:spacing w:after="0"/>
              <w:rPr>
                <w:sz w:val="20"/>
                <w:szCs w:val="20"/>
                <w:color w:val="auto"/>
              </w:rPr>
            </w:pPr>
            <w:r>
              <w:rPr>
                <w:rFonts w:ascii="Times New Roman" w:cs="Times New Roman" w:eastAsia="Times New Roman" w:hAnsi="Times New Roman"/>
                <w:sz w:val="14"/>
                <w:szCs w:val="14"/>
                <w:b w:val="1"/>
                <w:bCs w:val="1"/>
                <w:color w:val="auto"/>
              </w:rPr>
              <w:t>Price</w:t>
            </w:r>
          </w:p>
        </w:tc>
      </w:tr>
    </w:tbl>
    <w:p>
      <w:pPr>
        <w:spacing w:after="0" w:line="1" w:lineRule="exact"/>
        <w:rPr>
          <w:sz w:val="20"/>
          <w:szCs w:val="20"/>
          <w:color w:val="auto"/>
        </w:rPr>
      </w:pPr>
    </w:p>
    <w:p>
      <w:pPr>
        <w:sectPr>
          <w:pgSz w:w="11900" w:h="16838" w:orient="portrait"/>
          <w:cols w:equalWidth="0" w:num="1">
            <w:col w:w="11240"/>
          </w:cols>
          <w:pgMar w:left="320" w:top="156" w:right="339" w:bottom="1440" w:gutter="0" w:footer="0" w:header="0"/>
        </w:sectPr>
      </w:pP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Awards outstanding at September 30, 2021</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Forfeited</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Awards outstanding at September 30, 2022</w:t>
      </w:r>
    </w:p>
    <w:p>
      <w:pPr>
        <w:spacing w:after="0" w:line="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Exercisable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1960" w:type="dxa"/>
            <w:vAlign w:val="bottom"/>
            <w:tcBorders>
              <w:top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568,191</w:t>
            </w:r>
          </w:p>
        </w:tc>
        <w:tc>
          <w:tcPr>
            <w:tcW w:w="120" w:type="dxa"/>
            <w:vAlign w:val="bottom"/>
          </w:tcPr>
          <w:p>
            <w:pPr>
              <w:spacing w:after="0"/>
              <w:rPr>
                <w:sz w:val="19"/>
                <w:szCs w:val="19"/>
                <w:color w:val="auto"/>
              </w:rPr>
            </w:pPr>
          </w:p>
        </w:tc>
        <w:tc>
          <w:tcPr>
            <w:tcW w:w="760" w:type="dxa"/>
            <w:vAlign w:val="bottom"/>
            <w:tcBorders>
              <w:top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118.38</w:t>
            </w:r>
          </w:p>
        </w:tc>
        <w:tc>
          <w:tcPr>
            <w:tcW w:w="0" w:type="dxa"/>
            <w:vAlign w:val="bottom"/>
          </w:tcPr>
          <w:p>
            <w:pPr>
              <w:spacing w:after="0"/>
              <w:rPr>
                <w:sz w:val="1"/>
                <w:szCs w:val="1"/>
                <w:color w:val="auto"/>
              </w:rPr>
            </w:pPr>
          </w:p>
        </w:tc>
      </w:tr>
      <w:tr>
        <w:trPr>
          <w:trHeight w:val="228"/>
        </w:trPr>
        <w:tc>
          <w:tcPr>
            <w:tcW w:w="196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w w:val="97"/>
              </w:rPr>
              <w:t>(39,720)</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236.53</w:t>
            </w:r>
          </w:p>
        </w:tc>
        <w:tc>
          <w:tcPr>
            <w:tcW w:w="0" w:type="dxa"/>
            <w:vAlign w:val="bottom"/>
          </w:tcPr>
          <w:p>
            <w:pPr>
              <w:spacing w:after="0"/>
              <w:rPr>
                <w:sz w:val="1"/>
                <w:szCs w:val="1"/>
                <w:color w:val="auto"/>
              </w:rPr>
            </w:pPr>
          </w:p>
        </w:tc>
      </w:tr>
      <w:tr>
        <w:trPr>
          <w:trHeight w:val="217"/>
        </w:trPr>
        <w:tc>
          <w:tcPr>
            <w:tcW w:w="196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528,471</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110.86</w:t>
            </w:r>
          </w:p>
        </w:tc>
        <w:tc>
          <w:tcPr>
            <w:tcW w:w="0" w:type="dxa"/>
            <w:vAlign w:val="bottom"/>
          </w:tcPr>
          <w:p>
            <w:pPr>
              <w:spacing w:after="0"/>
              <w:rPr>
                <w:sz w:val="1"/>
                <w:szCs w:val="1"/>
                <w:color w:val="auto"/>
              </w:rPr>
            </w:pP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65.36</w:t>
            </w:r>
          </w:p>
        </w:tc>
        <w:tc>
          <w:tcPr>
            <w:tcW w:w="0" w:type="dxa"/>
            <w:vAlign w:val="bottom"/>
          </w:tcPr>
          <w:p>
            <w:pPr>
              <w:spacing w:after="0" w:line="20" w:lineRule="exact"/>
              <w:rPr>
                <w:sz w:val="1"/>
                <w:szCs w:val="1"/>
                <w:color w:val="auto"/>
              </w:rPr>
            </w:pPr>
          </w:p>
        </w:tc>
      </w:tr>
      <w:tr>
        <w:trPr>
          <w:trHeight w:val="221"/>
        </w:trPr>
        <w:tc>
          <w:tcPr>
            <w:tcW w:w="19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388,002</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-4568190</wp:posOffset>
            </wp:positionH>
            <wp:positionV relativeFrom="paragraph">
              <wp:posOffset>-619760</wp:posOffset>
            </wp:positionV>
            <wp:extent cx="7136130" cy="1504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6130" cy="150495"/>
                    </a:xfrm>
                    <a:prstGeom prst="rect">
                      <a:avLst/>
                    </a:prstGeom>
                    <a:noFill/>
                  </pic:spPr>
                </pic:pic>
              </a:graphicData>
            </a:graphic>
          </wp:anchor>
        </w:drawing>
        <w:drawing>
          <wp:anchor simplePos="0" relativeHeight="251657728" behindDoc="1" locked="0" layoutInCell="0" allowOverlap="1">
            <wp:simplePos x="0" y="0"/>
            <wp:positionH relativeFrom="column">
              <wp:posOffset>-4568190</wp:posOffset>
            </wp:positionH>
            <wp:positionV relativeFrom="paragraph">
              <wp:posOffset>-327660</wp:posOffset>
            </wp:positionV>
            <wp:extent cx="7136130" cy="1670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6130" cy="1670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80" w:space="720"/>
            <w:col w:w="4040"/>
          </w:cols>
          <w:pgMar w:left="320" w:top="15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type w:val="continuous"/>
        </w:sectPr>
      </w:pPr>
    </w:p>
    <w:bookmarkStart w:id="94" w:name="page95"/>
    <w:bookmarkEnd w:id="94"/>
    <w:tbl>
      <w:tblPr>
        <w:tblLayout w:type="fixed"/>
        <w:tblInd w:w="20" w:type="dxa"/>
        <w:tblCellMar>
          <w:top w:w="0" w:type="dxa"/>
          <w:left w:w="0" w:type="dxa"/>
          <w:bottom w:w="0" w:type="dxa"/>
          <w:right w:w="0" w:type="dxa"/>
        </w:tblCellMar>
      </w:tblPr>
      <w:tr>
        <w:trPr>
          <w:trHeight w:val="21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620" w:type="dxa"/>
            <w:vAlign w:val="bottom"/>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6"/>
              </w:rPr>
              <w:t>THE SCOTTS MIRACLE-GRO COMPANY</w:t>
            </w:r>
          </w:p>
        </w:tc>
      </w:tr>
      <w:tr>
        <w:trPr>
          <w:trHeight w:val="178"/>
        </w:trPr>
        <w:tc>
          <w:tcPr>
            <w:tcW w:w="1860" w:type="dxa"/>
            <w:vAlign w:val="bottom"/>
          </w:tcPr>
          <w:p>
            <w:pPr>
              <w:spacing w:after="0"/>
              <w:rPr>
                <w:sz w:val="15"/>
                <w:szCs w:val="15"/>
                <w:color w:val="auto"/>
              </w:rPr>
            </w:pPr>
          </w:p>
        </w:tc>
        <w:tc>
          <w:tcPr>
            <w:tcW w:w="6620" w:type="dxa"/>
            <w:vAlign w:val="bottom"/>
          </w:tcPr>
          <w:p>
            <w:pPr>
              <w:jc w:val="center"/>
              <w:ind w:left="778"/>
              <w:spacing w:after="0" w:line="178" w:lineRule="exact"/>
              <w:rPr>
                <w:sz w:val="20"/>
                <w:szCs w:val="20"/>
                <w:color w:val="auto"/>
              </w:rPr>
            </w:pPr>
            <w:r>
              <w:rPr>
                <w:rFonts w:ascii="Times New Roman" w:cs="Times New Roman" w:eastAsia="Times New Roman" w:hAnsi="Times New Roman"/>
                <w:sz w:val="18"/>
                <w:szCs w:val="18"/>
                <w:b w:val="1"/>
                <w:bCs w:val="1"/>
                <w:color w:val="auto"/>
                <w:w w:val="96"/>
              </w:rPr>
              <w:t>NOTES TO CONSOLIDATED FINANCIAL STATEMENTS — (Continued)</w:t>
            </w:r>
          </w:p>
        </w:tc>
      </w:tr>
      <w:tr>
        <w:trPr>
          <w:trHeight w:val="185"/>
        </w:trPr>
        <w:tc>
          <w:tcPr>
            <w:tcW w:w="1860" w:type="dxa"/>
            <w:vAlign w:val="bottom"/>
          </w:tcPr>
          <w:p>
            <w:pPr>
              <w:spacing w:after="0"/>
              <w:rPr>
                <w:sz w:val="16"/>
                <w:szCs w:val="16"/>
                <w:color w:val="auto"/>
              </w:rPr>
            </w:pPr>
          </w:p>
        </w:tc>
        <w:tc>
          <w:tcPr>
            <w:tcW w:w="6620" w:type="dxa"/>
            <w:vAlign w:val="bottom"/>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At September 30, 2022, the total pre-tax compensation cost, net of estimated forfeitures, related to nonvested stock options not yet recognized was $1.4, which is expected to be recognized over a weighted-average period of 1.3 years. The total intrinsic value of stock options exercised was $41.8 and $21.9 during fiscal 2021 and fiscal 2020, respectively. Cash received from the exercise of stock options, including amounts received from employee purchases under the employee stock purchase plan, was $3.3, $15.2, and $17.6 for fiscal 2022, fiscal 2021 and fiscal 2020, respectively. The following summarizes certain information pertaining to stock option awards outstanding and exercisable at September 30, 2022:</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Awards Outstanding</w:t>
            </w: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2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Awards Exercisable</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3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center"/>
              <w:ind w:right="80"/>
              <w:spacing w:after="0" w:line="125" w:lineRule="exact"/>
              <w:rPr>
                <w:sz w:val="20"/>
                <w:szCs w:val="20"/>
                <w:color w:val="auto"/>
              </w:rPr>
            </w:pPr>
            <w:r>
              <w:rPr>
                <w:rFonts w:ascii="Times New Roman" w:cs="Times New Roman" w:eastAsia="Times New Roman" w:hAnsi="Times New Roman"/>
                <w:sz w:val="14"/>
                <w:szCs w:val="14"/>
                <w:b w:val="1"/>
                <w:bCs w:val="1"/>
                <w:color w:val="auto"/>
              </w:rPr>
              <w:t>Wtd.</w:t>
            </w:r>
          </w:p>
        </w:tc>
        <w:tc>
          <w:tcPr>
            <w:tcW w:w="1080" w:type="dxa"/>
            <w:vAlign w:val="bottom"/>
            <w:tcBorders>
              <w:top w:val="single" w:sz="8" w:color="auto"/>
            </w:tcBorders>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Wtd.</w:t>
            </w:r>
          </w:p>
        </w:tc>
        <w:tc>
          <w:tcPr>
            <w:tcW w:w="120" w:type="dxa"/>
            <w:vAlign w:val="bottom"/>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center"/>
              <w:ind w:right="460"/>
              <w:spacing w:after="0" w:line="125" w:lineRule="exact"/>
              <w:rPr>
                <w:sz w:val="20"/>
                <w:szCs w:val="20"/>
                <w:color w:val="auto"/>
              </w:rPr>
            </w:pPr>
            <w:r>
              <w:rPr>
                <w:rFonts w:ascii="Times New Roman" w:cs="Times New Roman" w:eastAsia="Times New Roman" w:hAnsi="Times New Roman"/>
                <w:sz w:val="14"/>
                <w:szCs w:val="14"/>
                <w:b w:val="1"/>
                <w:bCs w:val="1"/>
                <w:color w:val="auto"/>
              </w:rPr>
              <w:t>Wtd.</w:t>
            </w:r>
          </w:p>
        </w:tc>
        <w:tc>
          <w:tcPr>
            <w:tcW w:w="1100" w:type="dxa"/>
            <w:vAlign w:val="bottom"/>
            <w:tcBorders>
              <w:top w:val="single" w:sz="8" w:color="auto"/>
            </w:tcBorders>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Wtd.</w:t>
            </w:r>
          </w:p>
        </w:tc>
        <w:tc>
          <w:tcPr>
            <w:tcW w:w="0" w:type="dxa"/>
            <w:vAlign w:val="bottom"/>
          </w:tcPr>
          <w:p>
            <w:pPr>
              <w:spacing w:after="0"/>
              <w:rPr>
                <w:sz w:val="1"/>
                <w:szCs w:val="1"/>
                <w:color w:val="auto"/>
              </w:rPr>
            </w:pPr>
          </w:p>
        </w:tc>
      </w:tr>
      <w:tr>
        <w:trPr>
          <w:trHeight w:val="133"/>
        </w:trPr>
        <w:tc>
          <w:tcPr>
            <w:tcW w:w="3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rPr>
              <w:t>Avg.</w:t>
            </w:r>
          </w:p>
        </w:tc>
        <w:tc>
          <w:tcPr>
            <w:tcW w:w="120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w w:val="93"/>
              </w:rPr>
              <w:t>Avg.</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460"/>
              <w:spacing w:after="0" w:line="133" w:lineRule="exact"/>
              <w:rPr>
                <w:sz w:val="20"/>
                <w:szCs w:val="20"/>
                <w:color w:val="auto"/>
              </w:rPr>
            </w:pPr>
            <w:r>
              <w:rPr>
                <w:rFonts w:ascii="Times New Roman" w:cs="Times New Roman" w:eastAsia="Times New Roman" w:hAnsi="Times New Roman"/>
                <w:sz w:val="14"/>
                <w:szCs w:val="14"/>
                <w:b w:val="1"/>
                <w:bCs w:val="1"/>
                <w:color w:val="auto"/>
                <w:w w:val="93"/>
              </w:rPr>
              <w:t>Avg.</w:t>
            </w:r>
          </w:p>
        </w:tc>
        <w:tc>
          <w:tcPr>
            <w:tcW w:w="110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3"/>
              </w:rPr>
              <w:t>Avg.</w:t>
            </w:r>
          </w:p>
        </w:tc>
        <w:tc>
          <w:tcPr>
            <w:tcW w:w="0" w:type="dxa"/>
            <w:vAlign w:val="bottom"/>
          </w:tcPr>
          <w:p>
            <w:pPr>
              <w:spacing w:after="0"/>
              <w:rPr>
                <w:sz w:val="1"/>
                <w:szCs w:val="1"/>
                <w:color w:val="auto"/>
              </w:rPr>
            </w:pPr>
          </w:p>
        </w:tc>
      </w:tr>
      <w:tr>
        <w:trPr>
          <w:trHeight w:val="156"/>
        </w:trPr>
        <w:tc>
          <w:tcPr>
            <w:tcW w:w="410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Range of</w:t>
            </w:r>
          </w:p>
        </w:tc>
        <w:tc>
          <w:tcPr>
            <w:tcW w:w="1080" w:type="dxa"/>
            <w:vAlign w:val="bottom"/>
          </w:tcPr>
          <w:p>
            <w:pPr>
              <w:jc w:val="right"/>
              <w:ind w:right="279"/>
              <w:spacing w:after="0" w:line="156" w:lineRule="exact"/>
              <w:rPr>
                <w:sz w:val="20"/>
                <w:szCs w:val="20"/>
                <w:color w:val="auto"/>
              </w:rPr>
            </w:pPr>
            <w:r>
              <w:rPr>
                <w:rFonts w:ascii="Times New Roman" w:cs="Times New Roman" w:eastAsia="Times New Roman" w:hAnsi="Times New Roman"/>
                <w:sz w:val="14"/>
                <w:szCs w:val="14"/>
                <w:b w:val="1"/>
                <w:bCs w:val="1"/>
                <w:color w:val="auto"/>
              </w:rPr>
              <w:t>No. of</w:t>
            </w:r>
          </w:p>
        </w:tc>
        <w:tc>
          <w:tcPr>
            <w:tcW w:w="100" w:type="dxa"/>
            <w:vAlign w:val="bottom"/>
          </w:tcPr>
          <w:p>
            <w:pPr>
              <w:spacing w:after="0"/>
              <w:rPr>
                <w:sz w:val="13"/>
                <w:szCs w:val="13"/>
                <w:color w:val="auto"/>
              </w:rPr>
            </w:pPr>
          </w:p>
        </w:tc>
        <w:tc>
          <w:tcPr>
            <w:tcW w:w="122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200" w:type="dxa"/>
            <w:vAlign w:val="bottom"/>
            <w:gridSpan w:val="3"/>
          </w:tcPr>
          <w:p>
            <w:pPr>
              <w:jc w:val="center"/>
              <w:ind w:right="100"/>
              <w:spacing w:after="0" w:line="156"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420" w:type="dxa"/>
            <w:vAlign w:val="bottom"/>
            <w:gridSpan w:val="3"/>
          </w:tcPr>
          <w:p>
            <w:pPr>
              <w:jc w:val="right"/>
              <w:ind w:right="700"/>
              <w:spacing w:after="0" w:line="156" w:lineRule="exact"/>
              <w:rPr>
                <w:sz w:val="20"/>
                <w:szCs w:val="20"/>
                <w:color w:val="auto"/>
              </w:rPr>
            </w:pPr>
            <w:r>
              <w:rPr>
                <w:rFonts w:ascii="Times New Roman" w:cs="Times New Roman" w:eastAsia="Times New Roman" w:hAnsi="Times New Roman"/>
                <w:sz w:val="14"/>
                <w:szCs w:val="14"/>
                <w:b w:val="1"/>
                <w:bCs w:val="1"/>
                <w:color w:val="auto"/>
              </w:rPr>
              <w:t>No. of</w:t>
            </w:r>
          </w:p>
        </w:tc>
        <w:tc>
          <w:tcPr>
            <w:tcW w:w="1000" w:type="dxa"/>
            <w:vAlign w:val="bottom"/>
            <w:gridSpan w:val="3"/>
          </w:tcPr>
          <w:p>
            <w:pPr>
              <w:jc w:val="center"/>
              <w:ind w:right="340"/>
              <w:spacing w:after="0" w:line="15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100" w:type="dxa"/>
            <w:vAlign w:val="bottom"/>
            <w:gridSpan w:val="2"/>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0" w:type="dxa"/>
            <w:vAlign w:val="bottom"/>
          </w:tcPr>
          <w:p>
            <w:pPr>
              <w:spacing w:after="0"/>
              <w:rPr>
                <w:sz w:val="1"/>
                <w:szCs w:val="1"/>
                <w:color w:val="auto"/>
              </w:rPr>
            </w:pPr>
          </w:p>
        </w:tc>
      </w:tr>
      <w:tr>
        <w:trPr>
          <w:trHeight w:val="191"/>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8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2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6"/>
                <w:szCs w:val="16"/>
                <w:color w:val="auto"/>
              </w:rPr>
            </w:pPr>
          </w:p>
        </w:tc>
        <w:tc>
          <w:tcPr>
            <w:tcW w:w="8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23"/>
        </w:trPr>
        <w:tc>
          <w:tcPr>
            <w:tcW w:w="3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$59.62 - $64.55</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380,932</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62.18</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380,932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$236.53 - $236.53</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147,539</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236.53</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236.53</w:t>
            </w: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528,471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110.86</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388,002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9120" w:type="dxa"/>
            <w:vAlign w:val="bottom"/>
            <w:gridSpan w:val="12"/>
          </w:tcPr>
          <w:p>
            <w:pPr>
              <w:ind w:left="440"/>
              <w:spacing w:after="0"/>
              <w:rPr>
                <w:sz w:val="20"/>
                <w:szCs w:val="20"/>
                <w:color w:val="auto"/>
              </w:rPr>
            </w:pPr>
            <w:r>
              <w:rPr>
                <w:rFonts w:ascii="Times New Roman" w:cs="Times New Roman" w:eastAsia="Times New Roman" w:hAnsi="Times New Roman"/>
                <w:sz w:val="18"/>
                <w:szCs w:val="18"/>
                <w:color w:val="auto"/>
              </w:rPr>
              <w:t>The intrinsic values of the stock option awards outstanding and exercisable at September 30, 2022 were zero.</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41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share-based awards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9120" w:type="dxa"/>
            <w:vAlign w:val="bottom"/>
            <w:gridSpan w:val="12"/>
          </w:tcPr>
          <w:p>
            <w:pPr>
              <w:ind w:left="440"/>
              <w:spacing w:after="0"/>
              <w:rPr>
                <w:sz w:val="20"/>
                <w:szCs w:val="20"/>
                <w:color w:val="auto"/>
              </w:rPr>
            </w:pPr>
            <w:r>
              <w:rPr>
                <w:rFonts w:ascii="Times New Roman" w:cs="Times New Roman" w:eastAsia="Times New Roman" w:hAnsi="Times New Roman"/>
                <w:sz w:val="18"/>
                <w:szCs w:val="18"/>
                <w:color w:val="auto"/>
              </w:rPr>
              <w:t>Restricted share-based award activity (including restricted stock units and deferred stock units) was as follows: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Wtd. Avg.</w:t>
            </w:r>
          </w:p>
        </w:tc>
        <w:tc>
          <w:tcPr>
            <w:tcW w:w="0" w:type="dxa"/>
            <w:vAlign w:val="bottom"/>
          </w:tcPr>
          <w:p>
            <w:pPr>
              <w:spacing w:after="0"/>
              <w:rPr>
                <w:sz w:val="1"/>
                <w:szCs w:val="1"/>
                <w:color w:val="auto"/>
              </w:rPr>
            </w:pPr>
          </w:p>
        </w:tc>
      </w:tr>
      <w:tr>
        <w:trPr>
          <w:trHeight w:val="145"/>
        </w:trPr>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3"/>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No. of</w:t>
            </w:r>
          </w:p>
        </w:tc>
        <w:tc>
          <w:tcPr>
            <w:tcW w:w="120" w:type="dxa"/>
            <w:vAlign w:val="bottom"/>
          </w:tcPr>
          <w:p>
            <w:pPr>
              <w:spacing w:after="0"/>
              <w:rPr>
                <w:sz w:val="12"/>
                <w:szCs w:val="12"/>
                <w:color w:val="auto"/>
              </w:rPr>
            </w:pPr>
          </w:p>
        </w:tc>
        <w:tc>
          <w:tcPr>
            <w:tcW w:w="1980" w:type="dxa"/>
            <w:vAlign w:val="bottom"/>
            <w:gridSpan w:val="4"/>
          </w:tcPr>
          <w:p>
            <w:pPr>
              <w:jc w:val="center"/>
              <w:ind w:right="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43"/>
        </w:trPr>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4"/>
          </w:tcPr>
          <w:p>
            <w:pPr>
              <w:jc w:val="center"/>
              <w:ind w:right="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2"/>
        </w:trPr>
        <w:tc>
          <w:tcPr>
            <w:tcW w:w="3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19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22"/>
        </w:trPr>
        <w:tc>
          <w:tcPr>
            <w:tcW w:w="41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outstanding at September 30, 2021</w:t>
            </w:r>
          </w:p>
        </w:tc>
        <w:tc>
          <w:tcPr>
            <w:tcW w:w="10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375,825</w:t>
            </w: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248,573</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(246,846)</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(56,977)</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165.01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outstanding at September 30, 2022</w:t>
            </w: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320,575</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At September 30, 2022, the total pre-tax compensation cost, net of estimated forfeitures, related to nonvested restricted share units not yet recognized was $10.0, which is expected to be recognized over a weighted-average period of 1.7 years. The total fair value of restricted stock units and deferred stock units vested was $28.2, $41.8 and $15.2 during fiscal 2022, fiscal 2021 and fiscal 2020, respectively.</w:t>
      </w:r>
    </w:p>
    <w:p>
      <w:pPr>
        <w:spacing w:after="0" w:line="1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awards</w:t>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Performance-based award activity was as follows (based on target award amounts):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Wtd. Avg.</w:t>
            </w:r>
          </w:p>
        </w:tc>
        <w:tc>
          <w:tcPr>
            <w:tcW w:w="0" w:type="dxa"/>
            <w:vAlign w:val="bottom"/>
          </w:tcPr>
          <w:p>
            <w:pPr>
              <w:spacing w:after="0"/>
              <w:rPr>
                <w:sz w:val="1"/>
                <w:szCs w:val="1"/>
                <w:color w:val="auto"/>
              </w:rPr>
            </w:pPr>
          </w:p>
        </w:tc>
      </w:tr>
      <w:tr>
        <w:trPr>
          <w:trHeight w:val="143"/>
        </w:trPr>
        <w:tc>
          <w:tcPr>
            <w:tcW w:w="7320" w:type="dxa"/>
            <w:vAlign w:val="bottom"/>
          </w:tcPr>
          <w:p>
            <w:pPr>
              <w:spacing w:after="0"/>
              <w:rPr>
                <w:sz w:val="12"/>
                <w:szCs w:val="12"/>
                <w:color w:val="auto"/>
              </w:rPr>
            </w:pPr>
          </w:p>
        </w:tc>
        <w:tc>
          <w:tcPr>
            <w:tcW w:w="116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No. of</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5"/>
        </w:trPr>
        <w:tc>
          <w:tcPr>
            <w:tcW w:w="73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192"/>
        </w:trPr>
        <w:tc>
          <w:tcPr>
            <w:tcW w:w="73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 Unit</w:t>
            </w:r>
          </w:p>
        </w:tc>
        <w:tc>
          <w:tcPr>
            <w:tcW w:w="0" w:type="dxa"/>
            <w:vAlign w:val="bottom"/>
          </w:tcPr>
          <w:p>
            <w:pPr>
              <w:spacing w:after="0"/>
              <w:rPr>
                <w:sz w:val="1"/>
                <w:szCs w:val="1"/>
                <w:color w:val="auto"/>
              </w:rPr>
            </w:pPr>
          </w:p>
        </w:tc>
      </w:tr>
      <w:tr>
        <w:trPr>
          <w:trHeight w:val="222"/>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outstanding at September 30, 2021</w:t>
            </w:r>
          </w:p>
        </w:tc>
        <w:tc>
          <w:tcPr>
            <w:tcW w:w="1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572,557</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95.09</w:t>
            </w:r>
          </w:p>
        </w:tc>
        <w:tc>
          <w:tcPr>
            <w:tcW w:w="0" w:type="dxa"/>
            <w:vAlign w:val="bottom"/>
          </w:tcPr>
          <w:p>
            <w:pPr>
              <w:spacing w:after="0"/>
              <w:rPr>
                <w:sz w:val="1"/>
                <w:szCs w:val="1"/>
                <w:color w:val="auto"/>
              </w:rPr>
            </w:pPr>
          </w:p>
        </w:tc>
      </w:tr>
      <w:tr>
        <w:trPr>
          <w:trHeight w:val="22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105,756</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132.74</w:t>
            </w:r>
          </w:p>
        </w:tc>
        <w:tc>
          <w:tcPr>
            <w:tcW w:w="0" w:type="dxa"/>
            <w:vAlign w:val="bottom"/>
          </w:tcPr>
          <w:p>
            <w:pPr>
              <w:spacing w:after="0"/>
              <w:rPr>
                <w:sz w:val="1"/>
                <w:szCs w:val="1"/>
                <w:color w:val="auto"/>
              </w:rPr>
            </w:pPr>
          </w:p>
        </w:tc>
      </w:tr>
      <w:tr>
        <w:trPr>
          <w:trHeight w:val="223"/>
        </w:trPr>
        <w:tc>
          <w:tcPr>
            <w:tcW w:w="848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Vested </w:t>
            </w:r>
            <w:r>
              <w:rPr>
                <w:rFonts w:ascii="Times New Roman" w:cs="Times New Roman" w:eastAsia="Times New Roman" w:hAnsi="Times New Roman"/>
                <w:sz w:val="22"/>
                <w:szCs w:val="22"/>
                <w:color w:val="auto"/>
                <w:vertAlign w:val="superscript"/>
              </w:rPr>
              <w:t>(a)</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(533,441)</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93.22</w:t>
            </w:r>
          </w:p>
        </w:tc>
        <w:tc>
          <w:tcPr>
            <w:tcW w:w="0" w:type="dxa"/>
            <w:vAlign w:val="bottom"/>
          </w:tcPr>
          <w:p>
            <w:pPr>
              <w:spacing w:after="0"/>
              <w:rPr>
                <w:sz w:val="1"/>
                <w:szCs w:val="1"/>
                <w:color w:val="auto"/>
              </w:rPr>
            </w:pPr>
          </w:p>
        </w:tc>
      </w:tr>
      <w:tr>
        <w:trPr>
          <w:trHeight w:val="22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(31,616)</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124.15</w:t>
            </w:r>
          </w:p>
        </w:tc>
        <w:tc>
          <w:tcPr>
            <w:tcW w:w="0" w:type="dxa"/>
            <w:vAlign w:val="bottom"/>
          </w:tcPr>
          <w:p>
            <w:pPr>
              <w:spacing w:after="0"/>
              <w:rPr>
                <w:sz w:val="1"/>
                <w:szCs w:val="1"/>
                <w:color w:val="auto"/>
              </w:rPr>
            </w:pPr>
          </w:p>
        </w:tc>
      </w:tr>
      <w:tr>
        <w:trPr>
          <w:trHeight w:val="242"/>
        </w:trPr>
        <w:tc>
          <w:tcPr>
            <w:tcW w:w="7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outstanding at September 30, 2022</w:t>
            </w:r>
          </w:p>
        </w:tc>
        <w:tc>
          <w:tcPr>
            <w:tcW w:w="116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113,256</w:t>
            </w:r>
          </w:p>
        </w:tc>
        <w:tc>
          <w:tcPr>
            <w:tcW w:w="20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130.94</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620" w:hanging="615"/>
        <w:spacing w:after="0"/>
        <w:tabs>
          <w:tab w:leader="none" w:pos="6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Vested at a weighted average of 228% of the target performance share units granted.</w:t>
      </w:r>
    </w:p>
    <w:p>
      <w:pPr>
        <w:spacing w:after="0" w:line="140"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At September 30, 2022, the total pre-tax compensation cost, net of estimated forfeitures, related to nonvested performance-based units not yet recognized was $3.6, which is expected to be recognized over a weighted-average period of 2.1 years. The total fair value of performance-based units vested was $182.5, $11.9, and $3.9 during fiscal 2022, fiscal 2021, and fiscal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12"/>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FFFFFF"/>
              </w:rPr>
              <w:t>Table of Contents</w:t>
            </w:r>
          </w:p>
        </w:tc>
        <w:tc>
          <w:tcPr>
            <w:tcW w:w="3700" w:type="dxa"/>
            <w:vAlign w:val="bottom"/>
            <w:gridSpan w:val="2"/>
          </w:tcPr>
          <w:p>
            <w:pPr>
              <w:jc w:val="center"/>
              <w:ind w:right="135"/>
              <w:spacing w:after="0"/>
              <w:rPr>
                <w:sz w:val="20"/>
                <w:szCs w:val="20"/>
                <w:color w:val="auto"/>
              </w:rPr>
            </w:pPr>
            <w:r>
              <w:rPr>
                <w:rFonts w:ascii="Times New Roman" w:cs="Times New Roman" w:eastAsia="Times New Roman" w:hAnsi="Times New Roman"/>
                <w:sz w:val="18"/>
                <w:szCs w:val="18"/>
                <w:b w:val="1"/>
                <w:bCs w:val="1"/>
                <w:color w:val="auto"/>
                <w:w w:val="96"/>
              </w:rPr>
              <w:t>THE SCOTTS MIRACLE-GRO COMPANY</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8660" w:type="dxa"/>
            <w:vAlign w:val="bottom"/>
            <w:gridSpan w:val="6"/>
          </w:tcPr>
          <w:p>
            <w:pPr>
              <w:jc w:val="center"/>
              <w:ind w:left="2493"/>
              <w:spacing w:after="0" w:line="178" w:lineRule="exact"/>
              <w:rPr>
                <w:sz w:val="20"/>
                <w:szCs w:val="20"/>
                <w:color w:val="auto"/>
              </w:rPr>
            </w:pPr>
            <w:r>
              <w:rPr>
                <w:rFonts w:ascii="Times New Roman" w:cs="Times New Roman" w:eastAsia="Times New Roman" w:hAnsi="Times New Roman"/>
                <w:sz w:val="18"/>
                <w:szCs w:val="18"/>
                <w:b w:val="1"/>
                <w:bCs w:val="1"/>
                <w:color w:val="auto"/>
                <w:w w:val="96"/>
              </w:rPr>
              <w:t>NOTES TO CONSOLIDATED FINANCIAL STATEMENTS — (Continued)</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880" w:type="dxa"/>
            <w:vAlign w:val="bottom"/>
          </w:tcPr>
          <w:p>
            <w:pPr>
              <w:spacing w:after="0"/>
              <w:rPr>
                <w:sz w:val="16"/>
                <w:szCs w:val="16"/>
                <w:color w:val="auto"/>
              </w:rPr>
            </w:pPr>
          </w:p>
        </w:tc>
        <w:tc>
          <w:tcPr>
            <w:tcW w:w="3700" w:type="dxa"/>
            <w:vAlign w:val="bottom"/>
            <w:gridSpan w:val="2"/>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0"/>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 EARNINGS PER COMMON SHARE</w:t>
            </w:r>
          </w:p>
        </w:tc>
        <w:tc>
          <w:tcPr>
            <w:tcW w:w="2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814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w w:val="97"/>
              </w:rPr>
              <w:t>The following table presents information necessary to calculate basic and diluted income per Common Share.</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8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Year Ended September 30,</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880" w:type="dxa"/>
            <w:vAlign w:val="bottom"/>
          </w:tcPr>
          <w:p>
            <w:pPr>
              <w:spacing w:after="0"/>
              <w:rPr>
                <w:sz w:val="2"/>
                <w:szCs w:val="2"/>
                <w:color w:val="auto"/>
              </w:rPr>
            </w:pPr>
          </w:p>
        </w:tc>
        <w:tc>
          <w:tcPr>
            <w:tcW w:w="37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880" w:type="dxa"/>
            <w:vAlign w:val="bottom"/>
            <w:tcBorders>
              <w:bottom w:val="single" w:sz="8" w:color="CCEEFF"/>
            </w:tcBorders>
          </w:tcPr>
          <w:p>
            <w:pPr>
              <w:spacing w:after="0"/>
              <w:rPr>
                <w:sz w:val="16"/>
                <w:szCs w:val="16"/>
                <w:color w:val="auto"/>
              </w:rPr>
            </w:pPr>
          </w:p>
        </w:tc>
        <w:tc>
          <w:tcPr>
            <w:tcW w:w="284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8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(437.5)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0" w:type="dxa"/>
            <w:vAlign w:val="bottom"/>
          </w:tcPr>
          <w:p>
            <w:pPr>
              <w:spacing w:after="0"/>
              <w:rPr>
                <w:sz w:val="1"/>
                <w:szCs w:val="1"/>
                <w:color w:val="auto"/>
              </w:rPr>
            </w:pPr>
          </w:p>
        </w:tc>
      </w:tr>
      <w:tr>
        <w:trPr>
          <w:trHeight w:val="223"/>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84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7"/>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attributable to controlling interest from continuing operations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(437.5)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0" w:type="dxa"/>
            <w:vAlign w:val="bottom"/>
          </w:tcPr>
          <w:p>
            <w:pPr>
              <w:spacing w:after="0"/>
              <w:rPr>
                <w:sz w:val="1"/>
                <w:szCs w:val="1"/>
                <w:color w:val="auto"/>
              </w:rPr>
            </w:pPr>
          </w:p>
        </w:tc>
      </w:tr>
      <w:tr>
        <w:trPr>
          <w:trHeight w:val="223"/>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8"/>
              </w:rPr>
              <w:t>Income (loss) from discontinued operations, net of tax</w:t>
            </w:r>
          </w:p>
        </w:tc>
        <w:tc>
          <w:tcPr>
            <w:tcW w:w="284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2"/>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28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(437.5)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Basic income (loss) per common share:</w:t>
            </w:r>
          </w:p>
        </w:tc>
        <w:tc>
          <w:tcPr>
            <w:tcW w:w="28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80" w:type="dxa"/>
            <w:vAlign w:val="bottom"/>
            <w:vMerge w:val="continue"/>
          </w:tcPr>
          <w:p>
            <w:pPr>
              <w:spacing w:after="0"/>
              <w:rPr>
                <w:sz w:val="14"/>
                <w:szCs w:val="14"/>
                <w:color w:val="auto"/>
              </w:rPr>
            </w:pPr>
          </w:p>
        </w:tc>
        <w:tc>
          <w:tcPr>
            <w:tcW w:w="2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80" w:type="dxa"/>
            <w:vAlign w:val="bottom"/>
            <w:shd w:val="clear" w:color="auto" w:fill="CCEEFF"/>
          </w:tcPr>
          <w:p>
            <w:pPr>
              <w:ind w:left="340"/>
              <w:spacing w:after="0" w:line="171" w:lineRule="exact"/>
              <w:rPr>
                <w:sz w:val="20"/>
                <w:szCs w:val="20"/>
                <w:color w:val="auto"/>
              </w:rPr>
            </w:pPr>
            <w:r>
              <w:rPr>
                <w:rFonts w:ascii="Times New Roman" w:cs="Times New Roman" w:eastAsia="Times New Roman" w:hAnsi="Times New Roman"/>
                <w:sz w:val="18"/>
                <w:szCs w:val="18"/>
                <w:color w:val="auto"/>
              </w:rPr>
              <w:t>Weighted-average common shares outstanding</w:t>
            </w:r>
          </w:p>
        </w:tc>
        <w:tc>
          <w:tcPr>
            <w:tcW w:w="28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during the period</w:t>
            </w:r>
          </w:p>
        </w:tc>
        <w:tc>
          <w:tcPr>
            <w:tcW w:w="28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370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top w:val="single" w:sz="8" w:color="CCEEFF"/>
            </w:tcBorders>
            <w:vMerge w:val="continue"/>
          </w:tcPr>
          <w:p>
            <w:pPr>
              <w:spacing w:after="0"/>
              <w:rPr>
                <w:sz w:val="17"/>
                <w:szCs w:val="17"/>
                <w:color w:val="auto"/>
              </w:rPr>
            </w:pPr>
          </w:p>
        </w:tc>
        <w:tc>
          <w:tcPr>
            <w:tcW w:w="2840" w:type="dxa"/>
            <w:vAlign w:val="bottom"/>
          </w:tcPr>
          <w:p>
            <w:pPr>
              <w:spacing w:after="0"/>
              <w:rPr>
                <w:sz w:val="17"/>
                <w:szCs w:val="17"/>
                <w:color w:val="auto"/>
              </w:rPr>
            </w:pPr>
          </w:p>
        </w:tc>
        <w:tc>
          <w:tcPr>
            <w:tcW w:w="860" w:type="dxa"/>
            <w:vAlign w:val="bottom"/>
            <w:tcBorders>
              <w:top w:val="single" w:sz="8" w:color="auto"/>
            </w:tcBorders>
          </w:tcPr>
          <w:p>
            <w:pPr>
              <w:jc w:val="right"/>
              <w:ind w:right="675"/>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17"/>
                <w:szCs w:val="17"/>
                <w:color w:val="auto"/>
              </w:rPr>
            </w:pPr>
          </w:p>
        </w:tc>
        <w:tc>
          <w:tcPr>
            <w:tcW w:w="420" w:type="dxa"/>
            <w:vAlign w:val="bottom"/>
            <w:tcBorders>
              <w:top w:val="single" w:sz="8" w:color="auto"/>
            </w:tcBorders>
          </w:tcPr>
          <w:p>
            <w:pPr>
              <w:jc w:val="right"/>
              <w:ind w:right="21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9.27</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284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7"/>
        </w:trPr>
        <w:tc>
          <w:tcPr>
            <w:tcW w:w="3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net income (loss) per common share</w:t>
            </w:r>
          </w:p>
        </w:tc>
        <w:tc>
          <w:tcPr>
            <w:tcW w:w="2840" w:type="dxa"/>
            <w:vAlign w:val="bottom"/>
          </w:tcPr>
          <w:p>
            <w:pPr>
              <w:spacing w:after="0"/>
              <w:rPr>
                <w:sz w:val="18"/>
                <w:szCs w:val="18"/>
                <w:color w:val="auto"/>
              </w:rPr>
            </w:pPr>
          </w:p>
        </w:tc>
        <w:tc>
          <w:tcPr>
            <w:tcW w:w="8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Diluted income (loss) per common share:</w:t>
            </w:r>
          </w:p>
        </w:tc>
        <w:tc>
          <w:tcPr>
            <w:tcW w:w="28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880" w:type="dxa"/>
            <w:vAlign w:val="bottom"/>
          </w:tcPr>
          <w:p>
            <w:pPr>
              <w:ind w:left="340"/>
              <w:spacing w:after="0" w:line="171" w:lineRule="exact"/>
              <w:rPr>
                <w:sz w:val="20"/>
                <w:szCs w:val="20"/>
                <w:color w:val="auto"/>
              </w:rPr>
            </w:pPr>
            <w:r>
              <w:rPr>
                <w:rFonts w:ascii="Times New Roman" w:cs="Times New Roman" w:eastAsia="Times New Roman" w:hAnsi="Times New Roman"/>
                <w:sz w:val="18"/>
                <w:szCs w:val="18"/>
                <w:color w:val="auto"/>
              </w:rPr>
              <w:t>Weighted-average common shares outstanding</w:t>
            </w:r>
          </w:p>
        </w:tc>
        <w:tc>
          <w:tcPr>
            <w:tcW w:w="2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during the period</w:t>
            </w:r>
          </w:p>
        </w:tc>
        <w:tc>
          <w:tcPr>
            <w:tcW w:w="2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24"/>
        </w:trPr>
        <w:tc>
          <w:tcPr>
            <w:tcW w:w="3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284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51"/>
        </w:trPr>
        <w:tc>
          <w:tcPr>
            <w:tcW w:w="3880" w:type="dxa"/>
            <w:vAlign w:val="bottom"/>
          </w:tcPr>
          <w:p>
            <w:pPr>
              <w:ind w:left="340"/>
              <w:spacing w:after="0" w:line="151" w:lineRule="exact"/>
              <w:rPr>
                <w:sz w:val="20"/>
                <w:szCs w:val="20"/>
                <w:color w:val="auto"/>
              </w:rPr>
            </w:pPr>
            <w:r>
              <w:rPr>
                <w:rFonts w:ascii="Times New Roman" w:cs="Times New Roman" w:eastAsia="Times New Roman" w:hAnsi="Times New Roman"/>
                <w:sz w:val="16"/>
                <w:szCs w:val="16"/>
                <w:color w:val="auto"/>
              </w:rPr>
              <w:t>Weighted-average number of common shares</w:t>
            </w:r>
          </w:p>
        </w:tc>
        <w:tc>
          <w:tcPr>
            <w:tcW w:w="2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10"/>
        </w:trPr>
        <w:tc>
          <w:tcPr>
            <w:tcW w:w="38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outstanding and dilutive potential common shares</w:t>
            </w:r>
          </w:p>
        </w:tc>
        <w:tc>
          <w:tcPr>
            <w:tcW w:w="28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8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23"/>
        </w:trPr>
        <w:tc>
          <w:tcPr>
            <w:tcW w:w="38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284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42"/>
        </w:trPr>
        <w:tc>
          <w:tcPr>
            <w:tcW w:w="3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 net income (loss) per common share</w:t>
            </w:r>
          </w:p>
        </w:tc>
        <w:tc>
          <w:tcPr>
            <w:tcW w:w="28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Diluted average common shares used in the diluted loss per common share calculation for fiscal 2022 were 55.5 million, which excluded potential Common Shares of 0.6 million because the effect of their inclusion would be anti-dilutive as the Company incurred a net loss for fiscal 2022. Diluted average common shares used in the diluted income per common share calculation were 57.2 million and 56.9 million for fiscal 2021 and fiscal 2020, respectively, which included dilutive potential Common Shares of 1.5 million and 1.2 million, respectively.</w:t>
      </w:r>
    </w:p>
    <w:p>
      <w:pPr>
        <w:spacing w:after="0" w:line="116" w:lineRule="exact"/>
        <w:rPr>
          <w:sz w:val="20"/>
          <w:szCs w:val="20"/>
          <w:color w:val="auto"/>
        </w:rPr>
      </w:pPr>
    </w:p>
    <w:p>
      <w:pPr>
        <w:jc w:val="both"/>
        <w:ind w:firstLine="434"/>
        <w:spacing w:after="0" w:line="303" w:lineRule="auto"/>
        <w:rPr>
          <w:sz w:val="20"/>
          <w:szCs w:val="20"/>
          <w:color w:val="auto"/>
        </w:rPr>
      </w:pPr>
      <w:r>
        <w:rPr>
          <w:rFonts w:ascii="Times New Roman" w:cs="Times New Roman" w:eastAsia="Times New Roman" w:hAnsi="Times New Roman"/>
          <w:sz w:val="16"/>
          <w:szCs w:val="16"/>
          <w:color w:val="auto"/>
        </w:rPr>
        <w:t>Stock options with exercise prices greater than the average market price of the underlying Common Shares are excluded from the computation of diluted income per common share because they are out-of-the-money and the effect of their inclusion would be anti-dilutive. For fiscal 2022 and fiscal 2021, the average number of out-of-the money options was 0.2 million and 0.1 million, respectively. There were no out-of-the-money options for fiscal 2020.</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12"/>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FFFFFF"/>
              </w:rPr>
              <w:t>Table of Contents</w:t>
            </w:r>
          </w:p>
        </w:tc>
        <w:tc>
          <w:tcPr>
            <w:tcW w:w="5100" w:type="dxa"/>
            <w:vAlign w:val="bottom"/>
            <w:gridSpan w:val="3"/>
          </w:tcPr>
          <w:p>
            <w:pPr>
              <w:jc w:val="center"/>
              <w:ind w:left="1092"/>
              <w:spacing w:after="0"/>
              <w:rPr>
                <w:sz w:val="20"/>
                <w:szCs w:val="20"/>
                <w:color w:val="auto"/>
              </w:rPr>
            </w:pPr>
            <w:r>
              <w:rPr>
                <w:rFonts w:ascii="Times New Roman" w:cs="Times New Roman" w:eastAsia="Times New Roman" w:hAnsi="Times New Roman"/>
                <w:sz w:val="18"/>
                <w:szCs w:val="18"/>
                <w:b w:val="1"/>
                <w:bCs w:val="1"/>
                <w:color w:val="auto"/>
                <w:w w:val="96"/>
              </w:rPr>
              <w:t>THE SCOTTS MIRACLE-GRO COMPANY</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78"/>
        </w:trPr>
        <w:tc>
          <w:tcPr>
            <w:tcW w:w="2480" w:type="dxa"/>
            <w:vAlign w:val="bottom"/>
          </w:tcPr>
          <w:p>
            <w:pPr>
              <w:spacing w:after="0"/>
              <w:rPr>
                <w:sz w:val="15"/>
                <w:szCs w:val="15"/>
                <w:color w:val="auto"/>
              </w:rPr>
            </w:pPr>
          </w:p>
        </w:tc>
        <w:tc>
          <w:tcPr>
            <w:tcW w:w="6180" w:type="dxa"/>
            <w:vAlign w:val="bottom"/>
            <w:gridSpan w:val="6"/>
          </w:tcPr>
          <w:p>
            <w:pPr>
              <w:jc w:val="center"/>
              <w:ind w:left="12"/>
              <w:spacing w:after="0" w:line="178" w:lineRule="exact"/>
              <w:rPr>
                <w:sz w:val="20"/>
                <w:szCs w:val="20"/>
                <w:color w:val="auto"/>
              </w:rPr>
            </w:pPr>
            <w:r>
              <w:rPr>
                <w:rFonts w:ascii="Times New Roman" w:cs="Times New Roman" w:eastAsia="Times New Roman" w:hAnsi="Times New Roman"/>
                <w:sz w:val="18"/>
                <w:szCs w:val="18"/>
                <w:b w:val="1"/>
                <w:bCs w:val="1"/>
                <w:color w:val="auto"/>
                <w:w w:val="96"/>
              </w:rPr>
              <w:t>NOTES TO CONSOLIDATED FINANCIAL STATEMENTS — (Continued)</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5"/>
        </w:trPr>
        <w:tc>
          <w:tcPr>
            <w:tcW w:w="24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400" w:type="dxa"/>
            <w:vAlign w:val="bottom"/>
            <w:gridSpan w:val="2"/>
          </w:tcPr>
          <w:p>
            <w:pPr>
              <w:jc w:val="center"/>
              <w:ind w:right="421"/>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840"/>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15. INCOME TAXES</w:t>
            </w:r>
          </w:p>
        </w:tc>
        <w:tc>
          <w:tcPr>
            <w:tcW w:w="1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89"/>
        </w:trPr>
        <w:tc>
          <w:tcPr>
            <w:tcW w:w="814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The provision (benefit) for income taxes allocated to continuing operations consisted of the following:</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2"/>
        </w:trPr>
        <w:tc>
          <w:tcPr>
            <w:tcW w:w="2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 Ended September 30,</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
        </w:trPr>
        <w:tc>
          <w:tcPr>
            <w:tcW w:w="2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4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4"/>
        </w:trPr>
        <w:tc>
          <w:tcPr>
            <w:tcW w:w="2480" w:type="dxa"/>
            <w:vAlign w:val="bottom"/>
            <w:tcBorders>
              <w:bottom w:val="single" w:sz="8" w:color="CCEEFF"/>
            </w:tcBorders>
          </w:tcPr>
          <w:p>
            <w:pPr>
              <w:spacing w:after="0"/>
              <w:rPr>
                <w:sz w:val="16"/>
                <w:szCs w:val="16"/>
                <w:color w:val="auto"/>
              </w:rPr>
            </w:pPr>
          </w:p>
        </w:tc>
        <w:tc>
          <w:tcPr>
            <w:tcW w:w="1700" w:type="dxa"/>
            <w:vAlign w:val="bottom"/>
            <w:tcBorders>
              <w:bottom w:val="single" w:sz="8" w:color="CCEEFF"/>
            </w:tcBorders>
          </w:tcPr>
          <w:p>
            <w:pPr>
              <w:spacing w:after="0"/>
              <w:rPr>
                <w:sz w:val="16"/>
                <w:szCs w:val="16"/>
                <w:color w:val="auto"/>
              </w:rPr>
            </w:pPr>
          </w:p>
        </w:tc>
        <w:tc>
          <w:tcPr>
            <w:tcW w:w="252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7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3"/>
        </w:trPr>
        <w:tc>
          <w:tcPr>
            <w:tcW w:w="2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1700" w:type="dxa"/>
            <w:vAlign w:val="bottom"/>
          </w:tcPr>
          <w:p>
            <w:pPr>
              <w:spacing w:after="0"/>
              <w:rPr>
                <w:sz w:val="19"/>
                <w:szCs w:val="19"/>
                <w:color w:val="auto"/>
              </w:rPr>
            </w:pPr>
          </w:p>
        </w:tc>
        <w:tc>
          <w:tcPr>
            <w:tcW w:w="3400" w:type="dxa"/>
            <w:vAlign w:val="bottom"/>
            <w:gridSpan w:val="2"/>
          </w:tcPr>
          <w:p>
            <w:pPr>
              <w:jc w:val="right"/>
              <w:ind w:right="68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520" w:type="dxa"/>
            <w:vAlign w:val="bottom"/>
            <w:gridSpan w:val="2"/>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r>
      <w:tr>
        <w:trPr>
          <w:trHeight w:val="223"/>
        </w:trPr>
        <w:tc>
          <w:tcPr>
            <w:tcW w:w="2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17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23"/>
        </w:trPr>
        <w:tc>
          <w:tcPr>
            <w:tcW w:w="2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1700" w:type="dxa"/>
            <w:vAlign w:val="bottom"/>
            <w:tcBorders>
              <w:bottom w:val="single" w:sz="8" w:color="CCEEFF"/>
            </w:tcBorders>
          </w:tcPr>
          <w:p>
            <w:pPr>
              <w:spacing w:after="0"/>
              <w:rPr>
                <w:sz w:val="19"/>
                <w:szCs w:val="19"/>
                <w:color w:val="auto"/>
              </w:rPr>
            </w:pPr>
          </w:p>
        </w:tc>
        <w:tc>
          <w:tcPr>
            <w:tcW w:w="25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17"/>
        </w:trPr>
        <w:tc>
          <w:tcPr>
            <w:tcW w:w="24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w:t>
            </w:r>
          </w:p>
        </w:tc>
        <w:tc>
          <w:tcPr>
            <w:tcW w:w="17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r>
      <w:tr>
        <w:trPr>
          <w:trHeight w:val="203"/>
        </w:trPr>
        <w:tc>
          <w:tcPr>
            <w:tcW w:w="24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Deferred:</w:t>
            </w:r>
          </w:p>
        </w:tc>
        <w:tc>
          <w:tcPr>
            <w:tcW w:w="17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3"/>
        </w:trPr>
        <w:tc>
          <w:tcPr>
            <w:tcW w:w="2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17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2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17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2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17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7"/>
        </w:trPr>
        <w:tc>
          <w:tcPr>
            <w:tcW w:w="24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Deferred</w:t>
            </w:r>
          </w:p>
        </w:tc>
        <w:tc>
          <w:tcPr>
            <w:tcW w:w="1700" w:type="dxa"/>
            <w:vAlign w:val="bottom"/>
            <w:tcBorders>
              <w:bottom w:val="single" w:sz="8" w:color="CCEEFF"/>
            </w:tcBorders>
          </w:tcPr>
          <w:p>
            <w:pPr>
              <w:spacing w:after="0"/>
              <w:rPr>
                <w:sz w:val="18"/>
                <w:szCs w:val="18"/>
                <w:color w:val="auto"/>
              </w:rPr>
            </w:pPr>
          </w:p>
        </w:tc>
        <w:tc>
          <w:tcPr>
            <w:tcW w:w="25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(161.4)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42"/>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 from continuing operations</w:t>
            </w:r>
          </w:p>
        </w:tc>
        <w:tc>
          <w:tcPr>
            <w:tcW w:w="25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8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(120.6)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domestic and foreign components of income (loss) from continuing operations before income taxes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 Ended September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88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42"/>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880" w:type="dxa"/>
            <w:vAlign w:val="bottom"/>
            <w:tcBorders>
              <w:bottom w:val="single" w:sz="8" w:color="auto"/>
            </w:tcBorders>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(558.1)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A reconciliation of the federal corporate income tax rate and the effective tax rate on income (loss) from continuing operations before income taxes is summarized below:</w:t>
      </w:r>
    </w:p>
    <w:p>
      <w:pPr>
        <w:spacing w:after="0" w:line="136"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Year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8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income tax rate</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3"/>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foreign operations</w:t>
            </w: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5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5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other permanent differences</w:t>
            </w: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5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5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Experimentation and other federal tax credits</w:t>
            </w:r>
          </w:p>
        </w:tc>
        <w:tc>
          <w:tcPr>
            <w:tcW w:w="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tax contingencies</w:t>
            </w: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0.6</w:t>
            </w:r>
          </w:p>
        </w:tc>
      </w:tr>
      <w:tr>
        <w:trPr>
          <w:trHeight w:val="21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9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10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24.2 %</w:t>
            </w:r>
          </w:p>
        </w:tc>
      </w:tr>
      <w:tr>
        <w:trPr>
          <w:trHeight w:val="20"/>
        </w:trPr>
        <w:tc>
          <w:tcPr>
            <w:tcW w:w="6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During fiscal 2022, the Company recognized non-cash, pre-tax goodwill and intangible asset impairment charges of $668.3 in the “Impairment, restructuring and other” line in the Consolidated Statements of Operations. The tax impact of the impairment charges was a benefit of $148.3, which is net of the impact of non-deductible goodwill of $18.8, for fiscal 2022 and was recorded in the “Income tax expense (benefit) from continuing operations” line in the Consolidated Statements of Operations. The tax impact of non-deductible goodwill was considered a discrete item because the Company has no remaining non-deductible goodwill. This discrete item, which is included in the “Effect of foreign operations” line in the table above, decreased the fiscal 2022 effective tax rate by approximately 340 bps because the Company incurred a net loss during this period. Additionally, excess tax benefits related to share-based compensation, which are included in the “Effect of other permanent differences” line in the table above, increased the fiscal 2022 effective tax rate by approximately 260 bps.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97" w:name="page98"/>
    <w:bookmarkEnd w:id="97"/>
    <w:tbl>
      <w:tblPr>
        <w:tblLayout w:type="fixed"/>
        <w:tblInd w:w="20" w:type="dxa"/>
        <w:tblCellMar>
          <w:top w:w="0" w:type="dxa"/>
          <w:left w:w="0" w:type="dxa"/>
          <w:bottom w:w="0" w:type="dxa"/>
          <w:right w:w="0" w:type="dxa"/>
        </w:tblCellMar>
      </w:tblPr>
      <w:tr>
        <w:trPr>
          <w:trHeight w:val="21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620" w:type="dxa"/>
            <w:vAlign w:val="bottom"/>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6"/>
              </w:rPr>
              <w:t>THE SCOTTS MIRACLE-GRO COMPANY</w:t>
            </w:r>
          </w:p>
        </w:tc>
      </w:tr>
      <w:tr>
        <w:trPr>
          <w:trHeight w:val="178"/>
        </w:trPr>
        <w:tc>
          <w:tcPr>
            <w:tcW w:w="1860" w:type="dxa"/>
            <w:vAlign w:val="bottom"/>
          </w:tcPr>
          <w:p>
            <w:pPr>
              <w:spacing w:after="0"/>
              <w:rPr>
                <w:sz w:val="15"/>
                <w:szCs w:val="15"/>
                <w:color w:val="auto"/>
              </w:rPr>
            </w:pPr>
          </w:p>
        </w:tc>
        <w:tc>
          <w:tcPr>
            <w:tcW w:w="6620" w:type="dxa"/>
            <w:vAlign w:val="bottom"/>
          </w:tcPr>
          <w:p>
            <w:pPr>
              <w:jc w:val="center"/>
              <w:ind w:left="778"/>
              <w:spacing w:after="0" w:line="178" w:lineRule="exact"/>
              <w:rPr>
                <w:sz w:val="20"/>
                <w:szCs w:val="20"/>
                <w:color w:val="auto"/>
              </w:rPr>
            </w:pPr>
            <w:r>
              <w:rPr>
                <w:rFonts w:ascii="Times New Roman" w:cs="Times New Roman" w:eastAsia="Times New Roman" w:hAnsi="Times New Roman"/>
                <w:sz w:val="18"/>
                <w:szCs w:val="18"/>
                <w:b w:val="1"/>
                <w:bCs w:val="1"/>
                <w:color w:val="auto"/>
                <w:w w:val="96"/>
              </w:rPr>
              <w:t>NOTES TO CONSOLIDATED FINANCIAL STATEMENTS — (Continued)</w:t>
            </w:r>
          </w:p>
        </w:tc>
      </w:tr>
      <w:tr>
        <w:trPr>
          <w:trHeight w:val="185"/>
        </w:trPr>
        <w:tc>
          <w:tcPr>
            <w:tcW w:w="1860" w:type="dxa"/>
            <w:vAlign w:val="bottom"/>
          </w:tcPr>
          <w:p>
            <w:pPr>
              <w:spacing w:after="0"/>
              <w:rPr>
                <w:sz w:val="16"/>
                <w:szCs w:val="16"/>
                <w:color w:val="auto"/>
              </w:rPr>
            </w:pPr>
          </w:p>
        </w:tc>
        <w:tc>
          <w:tcPr>
            <w:tcW w:w="6620" w:type="dxa"/>
            <w:vAlign w:val="bottom"/>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40" w:firstLine="434"/>
        <w:spacing w:after="0" w:line="263" w:lineRule="auto"/>
        <w:rPr>
          <w:sz w:val="20"/>
          <w:szCs w:val="20"/>
          <w:color w:val="auto"/>
        </w:rPr>
      </w:pPr>
      <w:r>
        <w:rPr>
          <w:rFonts w:ascii="Times New Roman" w:cs="Times New Roman" w:eastAsia="Times New Roman" w:hAnsi="Times New Roman"/>
          <w:sz w:val="18"/>
          <w:szCs w:val="18"/>
          <w:color w:val="auto"/>
        </w:rPr>
        <w:t>Deferred income taxes arise from temporary differences between financial reporting and tax reporting bases of assets and liabilities, and operating loss and tax credit carryforwards for tax purposes. The components of the deferred income tax assets and liabilities were as follows:</w:t>
      </w:r>
    </w:p>
    <w:tbl>
      <w:tblPr>
        <w:tblLayout w:type="fixed"/>
        <w:tblInd w:w="0" w:type="dxa"/>
        <w:tblCellMar>
          <w:top w:w="0" w:type="dxa"/>
          <w:left w:w="0" w:type="dxa"/>
          <w:bottom w:w="0" w:type="dxa"/>
          <w:right w:w="0" w:type="dxa"/>
        </w:tblCellMar>
      </w:tblPr>
      <w:tr>
        <w:trPr>
          <w:trHeight w:val="185"/>
        </w:trPr>
        <w:tc>
          <w:tcPr>
            <w:tcW w:w="8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8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Pr>
          <w:p>
            <w:pPr>
              <w:spacing w:after="0"/>
              <w:rPr>
                <w:sz w:val="16"/>
                <w:szCs w:val="16"/>
                <w:color w:val="auto"/>
              </w:rPr>
            </w:pPr>
          </w:p>
        </w:tc>
      </w:tr>
      <w:tr>
        <w:trPr>
          <w:trHeight w:val="24"/>
        </w:trPr>
        <w:tc>
          <w:tcPr>
            <w:tcW w:w="80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4"/>
        </w:trPr>
        <w:tc>
          <w:tcPr>
            <w:tcW w:w="80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3"/>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960" w:type="dxa"/>
            <w:vAlign w:val="bottom"/>
          </w:tcPr>
          <w:p>
            <w:pPr>
              <w:jc w:val="right"/>
              <w:ind w:right="75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23"/>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liabilities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23"/>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3"/>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Convertible debt investments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operating loss carryovers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3"/>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tax credit carryovers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3"/>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3"/>
        </w:trPr>
        <w:tc>
          <w:tcPr>
            <w:tcW w:w="8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7"/>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r>
      <w:tr>
        <w:trPr>
          <w:trHeight w:val="223"/>
        </w:trPr>
        <w:tc>
          <w:tcPr>
            <w:tcW w:w="8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Valuation allowance</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17"/>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r>
      <w:tr>
        <w:trPr>
          <w:trHeight w:val="203"/>
        </w:trPr>
        <w:tc>
          <w:tcPr>
            <w:tcW w:w="80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3"/>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w:t>
            </w:r>
          </w:p>
        </w:tc>
        <w:tc>
          <w:tcPr>
            <w:tcW w:w="9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23"/>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 right-of-use assets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23"/>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223"/>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Outside basis difference in equity investments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3"/>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Derivative contracts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7"/>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(163.0)</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r>
      <w:tr>
        <w:trPr>
          <w:trHeight w:val="217"/>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96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0"/>
        </w:trPr>
        <w:tc>
          <w:tcPr>
            <w:tcW w:w="8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At September 30, 2022, after netting by taxing jurisdiction, net deferred tax assets of $143.5 were recorded in the “Other assets” line in the Consolidated Balance Sheets, and net deferred tax liabilities of $8.5 were recorded in the “Other liabilities” line in the Consolidated Balance Sheets. At September 30, 2021, net deferred tax liabilities were $47.8 and were recorded in the “Other liabilities” line in the Consolidated Balance Sheets. The change in the net deferred tax balance was primarily driven by deferred tax assets recorded during fiscal 2022 associated with goodwill and intangible asset impairment charges and unrealized losses on convertible debt investments.</w:t>
      </w:r>
    </w:p>
    <w:p>
      <w:pPr>
        <w:spacing w:after="0" w:line="57"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GAAP requires that a valuation allowance be recorded against a deferred tax asset if it is more likely than not that the tax benefit associated with the asset will not be realized in the future. As shown in the table above, valuation allowances were recorded against $40.7 and $32.3 of deferred tax assets as of September 30, 2022 and 2021, respectively. Most of these valuation allowances relate to certain credits and net operating losses (“NOLs”), as explained further below.</w:t>
      </w:r>
    </w:p>
    <w:p>
      <w:pPr>
        <w:spacing w:after="0" w:line="64"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Deferred tax assets related to foreign tax credits were $15.0 and $14.9 at September 30, 2022 and 2021, respectively. A full valuation allowance has been established against these foreign tax credits at September 30, 2022 as the Company does not expect to utilize them prior to their expiration. Tax benefits associated with state tax credits will also expire if not utilized and amounted to $1.4 at September 30, 2022 and 2021. A valuation allowance in the amount of $1.2 has been established at September 30, 2022 related to state credits the Company does not expect to utilize.</w:t>
      </w:r>
    </w:p>
    <w:p>
      <w:pPr>
        <w:spacing w:after="0" w:line="64"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Deferred tax assets related to certain federal NOLs subject to limitation under IRC §382 from current and prior ownership changes were $10.7 and $10.8 at September 30, 2022 and 2021, respectively. These NOLs will be subject to expiration gradually from fiscal year end 2023 through fiscal year end 2032. The Company determined that $10.5 of these deferred tax assets will expire unutilized due to the closing of statutes of limitation and has established a valuation allowance accordingly at September 30, 2022.</w:t>
      </w:r>
    </w:p>
    <w:p>
      <w:pPr>
        <w:spacing w:after="0" w:line="51"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Deferred tax assets related to foreign NOLs of certain controlled foreign corporations were $3.7 and $1.8 as of September 30, 2022 and 2021, respectively. Due to a history of losses in some of these entities, a valuation allowance has been</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98" w:name="page99"/>
    <w:bookmarkEnd w:id="98"/>
    <w:tbl>
      <w:tblPr>
        <w:tblLayout w:type="fixed"/>
        <w:tblInd w:w="20" w:type="dxa"/>
        <w:tblCellMar>
          <w:top w:w="0" w:type="dxa"/>
          <w:left w:w="0" w:type="dxa"/>
          <w:bottom w:w="0" w:type="dxa"/>
          <w:right w:w="0" w:type="dxa"/>
        </w:tblCellMar>
      </w:tblPr>
      <w:tr>
        <w:trPr>
          <w:trHeight w:val="21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620" w:type="dxa"/>
            <w:vAlign w:val="bottom"/>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6"/>
              </w:rPr>
              <w:t>THE SCOTTS MIRACLE-GRO COMPANY</w:t>
            </w:r>
          </w:p>
        </w:tc>
      </w:tr>
      <w:tr>
        <w:trPr>
          <w:trHeight w:val="178"/>
        </w:trPr>
        <w:tc>
          <w:tcPr>
            <w:tcW w:w="1860" w:type="dxa"/>
            <w:vAlign w:val="bottom"/>
          </w:tcPr>
          <w:p>
            <w:pPr>
              <w:spacing w:after="0"/>
              <w:rPr>
                <w:sz w:val="15"/>
                <w:szCs w:val="15"/>
                <w:color w:val="auto"/>
              </w:rPr>
            </w:pPr>
          </w:p>
        </w:tc>
        <w:tc>
          <w:tcPr>
            <w:tcW w:w="6620" w:type="dxa"/>
            <w:vAlign w:val="bottom"/>
          </w:tcPr>
          <w:p>
            <w:pPr>
              <w:jc w:val="center"/>
              <w:ind w:left="778"/>
              <w:spacing w:after="0" w:line="178" w:lineRule="exact"/>
              <w:rPr>
                <w:sz w:val="20"/>
                <w:szCs w:val="20"/>
                <w:color w:val="auto"/>
              </w:rPr>
            </w:pPr>
            <w:r>
              <w:rPr>
                <w:rFonts w:ascii="Times New Roman" w:cs="Times New Roman" w:eastAsia="Times New Roman" w:hAnsi="Times New Roman"/>
                <w:sz w:val="18"/>
                <w:szCs w:val="18"/>
                <w:b w:val="1"/>
                <w:bCs w:val="1"/>
                <w:color w:val="auto"/>
                <w:w w:val="96"/>
              </w:rPr>
              <w:t>NOTES TO CONSOLIDATED FINANCIAL STATEMENTS — (Continued)</w:t>
            </w:r>
          </w:p>
        </w:tc>
      </w:tr>
      <w:tr>
        <w:trPr>
          <w:trHeight w:val="185"/>
        </w:trPr>
        <w:tc>
          <w:tcPr>
            <w:tcW w:w="1860" w:type="dxa"/>
            <w:vAlign w:val="bottom"/>
          </w:tcPr>
          <w:p>
            <w:pPr>
              <w:spacing w:after="0"/>
              <w:rPr>
                <w:sz w:val="16"/>
                <w:szCs w:val="16"/>
                <w:color w:val="auto"/>
              </w:rPr>
            </w:pPr>
          </w:p>
        </w:tc>
        <w:tc>
          <w:tcPr>
            <w:tcW w:w="6620" w:type="dxa"/>
            <w:vAlign w:val="bottom"/>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established against $2.9 of these deferred tax assets at September 30, 2022. A valuation allowance has also been established against deferred tax assets related to other foreign items of $6.3 at September 30, 2022.</w:t>
      </w:r>
    </w:p>
    <w:p>
      <w:pPr>
        <w:spacing w:after="0" w:line="50"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Deferred tax assets related to state NOLs were $7.3 and $1.7 as of September 30, 2022 and 2021, respectively, with carryforward periods ranging from 5 to 20 years. Any losses not utilized within a specific state’s carryforward period will expire. A valuation allowance was recorded against $4.8 of these deferred tax assets as of September 30, 2022 for state NOLs that the Company does not expect to realize within their respective carryforward periods.</w:t>
      </w:r>
    </w:p>
    <w:p>
      <w:pPr>
        <w:spacing w:after="0" w:line="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September 30, 2022, the Company maintains its assertions of indefinite reinvestment of the earnings of all material foreign subsidiaries.</w:t>
      </w:r>
    </w:p>
    <w:p>
      <w:pPr>
        <w:spacing w:after="0" w:line="82"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Company had $35.8, $24.1 and $30.2 of gross unrecognized tax benefits related to uncertain tax positions at September 30, 2022, 2021 and 2020, respectively. Of these amounts, $0.2, $0.2 and $6.4 of gross unrecognized tax benefits are related to discontinued operations at September 30, 2022, 2021 and 2020, respectively. Included in the September 30, 2022, 2021 and 2020 balances were $31.5, $19.9 and $25.9, respectively, of unrecognized tax benefits that, if recognized, would have an impact on the effective tax rate.</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reconciliation of the unrecognized tax benefits is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 Ended September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6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the current year</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with tax authorities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Expiration of statutes of limitation</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2"/>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960" w:type="dxa"/>
            <w:vAlign w:val="bottom"/>
            <w:tcBorders>
              <w:bottom w:val="single" w:sz="8" w:color="auto"/>
            </w:tcBorders>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Company continues to recognize accrued interest and penalties related to unrecognized tax benefits as a component of the provision for income taxes. As of September 30, 2022, 2021 and 2020, the Company had $3.2, $2.7 and $2.8, respectively, accrued for the payment of interest that, if recognized, would impact the effective tax rate. The Company had $1.6 accrued for the payment of penalties as of September 30, 2022, 2021 and 2020.</w:t>
      </w:r>
    </w:p>
    <w:p>
      <w:pPr>
        <w:spacing w:after="0" w:line="47" w:lineRule="exact"/>
        <w:rPr>
          <w:sz w:val="20"/>
          <w:szCs w:val="20"/>
          <w:color w:val="auto"/>
        </w:rPr>
      </w:pPr>
    </w:p>
    <w:p>
      <w:pPr>
        <w:jc w:val="both"/>
        <w:ind w:firstLine="434"/>
        <w:spacing w:after="0" w:line="288" w:lineRule="auto"/>
        <w:rPr>
          <w:sz w:val="20"/>
          <w:szCs w:val="20"/>
          <w:color w:val="auto"/>
        </w:rPr>
      </w:pPr>
      <w:r>
        <w:rPr>
          <w:rFonts w:ascii="Times New Roman" w:cs="Times New Roman" w:eastAsia="Times New Roman" w:hAnsi="Times New Roman"/>
          <w:sz w:val="16"/>
          <w:szCs w:val="16"/>
          <w:color w:val="auto"/>
        </w:rPr>
        <w:t>Scotts Miracle-Gro or one of its subsidiaries files income tax returns in the U.S. federal jurisdiction and various state, local and foreign jurisdictions. Subject to the following exceptions, the Company is no longer subject to examination by these tax authorities for fiscal years prior to 2019. There are currently no ongoing audits with respect to the U.S. federal jurisdiction. With respect to the foreign jurisdictions, a German audit covering fiscal years 2014 through 2017 is in process. The Company is currently under examination by certain U.S. state and local tax authorities covering various periods from fiscal years 2017 through 2020. In addition to the aforementioned audits, certain other tax deficiency notices and refund claims for previous years remain unresolved.</w:t>
      </w:r>
    </w:p>
    <w:p>
      <w:pPr>
        <w:spacing w:after="0" w:line="40" w:lineRule="exact"/>
        <w:rPr>
          <w:sz w:val="20"/>
          <w:szCs w:val="20"/>
          <w:color w:val="auto"/>
        </w:rPr>
      </w:pPr>
    </w:p>
    <w:p>
      <w:pPr>
        <w:jc w:val="both"/>
        <w:ind w:firstLine="394"/>
        <w:spacing w:after="0" w:line="293" w:lineRule="auto"/>
        <w:rPr>
          <w:sz w:val="20"/>
          <w:szCs w:val="20"/>
          <w:color w:val="auto"/>
        </w:rPr>
      </w:pPr>
      <w:r>
        <w:rPr>
          <w:rFonts w:ascii="Times New Roman" w:cs="Times New Roman" w:eastAsia="Times New Roman" w:hAnsi="Times New Roman"/>
          <w:sz w:val="16"/>
          <w:szCs w:val="16"/>
          <w:color w:val="auto"/>
        </w:rPr>
        <w:t>The Company currently anticipates that few of its open and active audits will be resolved within the next twelve months. The Company is unable to make a reasonably reliable estimate as to when or if cash settlements with taxing authorities may occur. Although the outcomes of such examinations and the timing of any payments required upon the conclusion of such examinations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35"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The Inflation Reduction Act (the “Act”) was signed into law on August 16, 2022. The Act introduces a new 15% corporate minimum tax for certain large corporations that becomes effective for the Company’s fiscal year 2024 and it imposes a 1% excise tax on the value of share repurchases, net of new share issuances, after December 31, 2022. These provisions, as well as the other corporate tax changes included in the Act, are not expected to have a material impact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99" w:name="page100"/>
    <w:bookmarkEnd w:id="99"/>
    <w:tbl>
      <w:tblPr>
        <w:tblLayout w:type="fixed"/>
        <w:tblInd w:w="20" w:type="dxa"/>
        <w:tblCellMar>
          <w:top w:w="0" w:type="dxa"/>
          <w:left w:w="0" w:type="dxa"/>
          <w:bottom w:w="0" w:type="dxa"/>
          <w:right w:w="0" w:type="dxa"/>
        </w:tblCellMar>
      </w:tblPr>
      <w:tr>
        <w:trPr>
          <w:trHeight w:val="21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620" w:type="dxa"/>
            <w:vAlign w:val="bottom"/>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6"/>
              </w:rPr>
              <w:t>THE SCOTTS MIRACLE-GRO COMPANY</w:t>
            </w:r>
          </w:p>
        </w:tc>
      </w:tr>
      <w:tr>
        <w:trPr>
          <w:trHeight w:val="178"/>
        </w:trPr>
        <w:tc>
          <w:tcPr>
            <w:tcW w:w="1860" w:type="dxa"/>
            <w:vAlign w:val="bottom"/>
          </w:tcPr>
          <w:p>
            <w:pPr>
              <w:spacing w:after="0"/>
              <w:rPr>
                <w:sz w:val="15"/>
                <w:szCs w:val="15"/>
                <w:color w:val="auto"/>
              </w:rPr>
            </w:pPr>
          </w:p>
        </w:tc>
        <w:tc>
          <w:tcPr>
            <w:tcW w:w="6620" w:type="dxa"/>
            <w:vAlign w:val="bottom"/>
          </w:tcPr>
          <w:p>
            <w:pPr>
              <w:jc w:val="center"/>
              <w:ind w:left="778"/>
              <w:spacing w:after="0" w:line="178" w:lineRule="exact"/>
              <w:rPr>
                <w:sz w:val="20"/>
                <w:szCs w:val="20"/>
                <w:color w:val="auto"/>
              </w:rPr>
            </w:pPr>
            <w:r>
              <w:rPr>
                <w:rFonts w:ascii="Times New Roman" w:cs="Times New Roman" w:eastAsia="Times New Roman" w:hAnsi="Times New Roman"/>
                <w:sz w:val="18"/>
                <w:szCs w:val="18"/>
                <w:b w:val="1"/>
                <w:bCs w:val="1"/>
                <w:color w:val="auto"/>
                <w:w w:val="96"/>
              </w:rPr>
              <w:t>NOTES TO CONSOLIDATED FINANCIAL STATEMENTS — (Continued)</w:t>
            </w:r>
          </w:p>
        </w:tc>
      </w:tr>
      <w:tr>
        <w:trPr>
          <w:trHeight w:val="185"/>
        </w:trPr>
        <w:tc>
          <w:tcPr>
            <w:tcW w:w="1860" w:type="dxa"/>
            <w:vAlign w:val="bottom"/>
          </w:tcPr>
          <w:p>
            <w:pPr>
              <w:spacing w:after="0"/>
              <w:rPr>
                <w:sz w:val="16"/>
                <w:szCs w:val="16"/>
                <w:color w:val="auto"/>
              </w:rPr>
            </w:pPr>
          </w:p>
        </w:tc>
        <w:tc>
          <w:tcPr>
            <w:tcW w:w="6620" w:type="dxa"/>
            <w:vAlign w:val="bottom"/>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DERIVATIVE INSTRUMENTS AND HEDGING ACTIVITIES</w:t>
      </w:r>
    </w:p>
    <w:p>
      <w:pPr>
        <w:spacing w:after="0" w:line="84"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Exchange Rate Risk Management</w:t>
      </w:r>
    </w:p>
    <w:p>
      <w:pPr>
        <w:spacing w:after="0" w:line="99"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Company uses currency forward contracts to manage the exchange rate risk associated with intercompany loans and certain other balances denominated in foreign currencies. Currency forward contracts are valued using observable forward rates in commonly quoted intervals for the full term of the contracts. The notional amount of outstanding currency forward contracts was $178.6 and $180.3 at September 30, 2022 and 2021, respectively. Contracts outstanding at September 30, 2022 will mature over the next fiscal quarter.</w:t>
      </w:r>
    </w:p>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Risk Management</w:t>
      </w:r>
    </w:p>
    <w:p>
      <w:pPr>
        <w:spacing w:after="0" w:line="99"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The Company enters into interest rate swap agreements as a means to hedge its variable interest rate risk on debt instruments. Net amounts to be received or paid under the swap agreements are reflected as adjustments to interest expense. The Company has outstanding interest rate swap agreements with major financial institutions that effectively convert a portion of the Company’s variable-rate debt to a fixed rate. Interest rate swap agreements are valued based on the present value of the estimated future net cash flows using implied rates in the applicable yield curve as of the valuation date. Swap agreements that were hedging interest payments as of September 30, 2022 and 2021 had a maximum total U.S. dollar equivalent notional amount of $800.0 and $600.0, respectively. Refer to “NOTE 12. DEBT” for the terms of the swap agreements outstanding at September 30, 2022. Included in the AOCL balance at September 30, 2022 was a gain of $9.7 related to interest rate swap agreements that is expected to be reclassified to earnings during the next twelve months, consistent with the timing of the underlying hedged transactions.</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Commodity Price Risk Management</w:t>
      </w:r>
    </w:p>
    <w:p>
      <w:pPr>
        <w:spacing w:after="0" w:line="86"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Company enters into hedging arrangements designed to fix the price of a portion of its projected future urea and diesel requirements. Commodity contracts are valued using observable commodity exchange prices in active markets. Included in the AOCL balance at September 30, 2022 was a gain of $9.5 related to commodity hedges that is expected to be reclassified to earnings during the next twelve months, consistent with the timing of the underlying hedged transactions.</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had the following outstanding commodity contracts that were entered into to hedge forecasted purchases: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740" w:type="dxa"/>
            <w:vAlign w:val="bottom"/>
            <w:gridSpan w:val="3"/>
          </w:tcPr>
          <w:p>
            <w:pPr>
              <w:ind w:left="16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4"/>
        </w:trPr>
        <w:tc>
          <w:tcPr>
            <w:tcW w:w="3220" w:type="dxa"/>
            <w:vAlign w:val="bottom"/>
          </w:tcPr>
          <w:p>
            <w:pPr>
              <w:spacing w:after="0"/>
              <w:rPr>
                <w:sz w:val="2"/>
                <w:szCs w:val="2"/>
                <w:color w:val="auto"/>
              </w:rPr>
            </w:pPr>
          </w:p>
        </w:tc>
        <w:tc>
          <w:tcPr>
            <w:tcW w:w="5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4"/>
        </w:trPr>
        <w:tc>
          <w:tcPr>
            <w:tcW w:w="3220" w:type="dxa"/>
            <w:vAlign w:val="bottom"/>
            <w:tcBorders>
              <w:bottom w:val="single" w:sz="8" w:color="CCEEFF"/>
            </w:tcBorders>
          </w:tcPr>
          <w:p>
            <w:pPr>
              <w:spacing w:after="0"/>
              <w:rPr>
                <w:sz w:val="16"/>
                <w:szCs w:val="16"/>
                <w:color w:val="auto"/>
              </w:rPr>
            </w:pPr>
          </w:p>
        </w:tc>
        <w:tc>
          <w:tcPr>
            <w:tcW w:w="3780" w:type="dxa"/>
            <w:vAlign w:val="bottom"/>
            <w:tcBorders>
              <w:bottom w:val="single" w:sz="8" w:color="CCEEFF"/>
            </w:tcBorders>
          </w:tcPr>
          <w:p>
            <w:pPr>
              <w:spacing w:after="0"/>
              <w:rPr>
                <w:sz w:val="16"/>
                <w:szCs w:val="16"/>
                <w:color w:val="auto"/>
              </w:rPr>
            </w:pPr>
          </w:p>
        </w:tc>
        <w:tc>
          <w:tcPr>
            <w:tcW w:w="2040" w:type="dxa"/>
            <w:vAlign w:val="bottom"/>
            <w:tcBorders>
              <w:top w:val="single" w:sz="8" w:color="auto"/>
              <w:bottom w:val="single" w:sz="8" w:color="auto"/>
            </w:tcBorders>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7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6"/>
                <w:szCs w:val="16"/>
                <w:color w:val="auto"/>
              </w:rPr>
            </w:pPr>
          </w:p>
        </w:tc>
      </w:tr>
      <w:tr>
        <w:trPr>
          <w:trHeight w:val="21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Commodity</w:t>
            </w:r>
          </w:p>
        </w:tc>
        <w:tc>
          <w:tcPr>
            <w:tcW w:w="37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3"/>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Urea</w:t>
            </w:r>
          </w:p>
        </w:tc>
        <w:tc>
          <w:tcPr>
            <w:tcW w:w="3780" w:type="dxa"/>
            <w:vAlign w:val="bottom"/>
          </w:tcPr>
          <w:p>
            <w:pPr>
              <w:spacing w:after="0"/>
              <w:rPr>
                <w:sz w:val="19"/>
                <w:szCs w:val="19"/>
                <w:color w:val="auto"/>
              </w:rPr>
            </w:pPr>
          </w:p>
        </w:tc>
        <w:tc>
          <w:tcPr>
            <w:tcW w:w="274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54,000 tons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94,500 tons</w:t>
            </w:r>
          </w:p>
        </w:tc>
        <w:tc>
          <w:tcPr>
            <w:tcW w:w="40" w:type="dxa"/>
            <w:vAlign w:val="bottom"/>
          </w:tcPr>
          <w:p>
            <w:pPr>
              <w:spacing w:after="0"/>
              <w:rPr>
                <w:sz w:val="19"/>
                <w:szCs w:val="19"/>
                <w:color w:val="auto"/>
              </w:rPr>
            </w:pPr>
          </w:p>
        </w:tc>
      </w:tr>
      <w:tr>
        <w:trPr>
          <w:trHeight w:val="22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Diesel</w:t>
            </w:r>
          </w:p>
        </w:tc>
        <w:tc>
          <w:tcPr>
            <w:tcW w:w="3780" w:type="dxa"/>
            <w:vAlign w:val="bottom"/>
            <w:shd w:val="clear" w:color="auto" w:fill="CCEEFF"/>
          </w:tcPr>
          <w:p>
            <w:pPr>
              <w:spacing w:after="0"/>
              <w:rPr>
                <w:sz w:val="19"/>
                <w:szCs w:val="19"/>
                <w:color w:val="auto"/>
              </w:rPr>
            </w:pPr>
          </w:p>
        </w:tc>
        <w:tc>
          <w:tcPr>
            <w:tcW w:w="274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3,150,000 gallons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5,880,000 gallons</w:t>
            </w:r>
          </w:p>
        </w:tc>
        <w:tc>
          <w:tcPr>
            <w:tcW w:w="40" w:type="dxa"/>
            <w:vAlign w:val="bottom"/>
          </w:tcPr>
          <w:p>
            <w:pPr>
              <w:spacing w:after="0"/>
              <w:rPr>
                <w:sz w:val="19"/>
                <w:szCs w:val="19"/>
                <w:color w:val="auto"/>
              </w:rPr>
            </w:pPr>
          </w:p>
        </w:tc>
      </w:tr>
      <w:tr>
        <w:trPr>
          <w:trHeight w:val="228"/>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Heating Oil</w:t>
            </w:r>
          </w:p>
        </w:tc>
        <w:tc>
          <w:tcPr>
            <w:tcW w:w="3780" w:type="dxa"/>
            <w:vAlign w:val="bottom"/>
          </w:tcPr>
          <w:p>
            <w:pPr>
              <w:spacing w:after="0"/>
              <w:rPr>
                <w:sz w:val="19"/>
                <w:szCs w:val="19"/>
                <w:color w:val="auto"/>
              </w:rPr>
            </w:pPr>
          </w:p>
        </w:tc>
        <w:tc>
          <w:tcPr>
            <w:tcW w:w="274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1,218,000 gallons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2,268,000 gallons</w:t>
            </w:r>
          </w:p>
        </w:tc>
        <w:tc>
          <w:tcPr>
            <w:tcW w:w="40" w:type="dxa"/>
            <w:vAlign w:val="bottom"/>
          </w:tcPr>
          <w:p>
            <w:pPr>
              <w:spacing w:after="0"/>
              <w:rPr>
                <w:sz w:val="19"/>
                <w:szCs w:val="19"/>
                <w:color w:val="auto"/>
              </w:rPr>
            </w:pPr>
          </w:p>
        </w:tc>
      </w:tr>
      <w:tr>
        <w:trPr>
          <w:trHeight w:val="875"/>
        </w:trPr>
        <w:tc>
          <w:tcPr>
            <w:tcW w:w="3220" w:type="dxa"/>
            <w:vAlign w:val="bottom"/>
          </w:tcPr>
          <w:p>
            <w:pPr>
              <w:spacing w:after="0"/>
              <w:rPr>
                <w:sz w:val="24"/>
                <w:szCs w:val="24"/>
                <w:color w:val="auto"/>
              </w:rPr>
            </w:pPr>
          </w:p>
        </w:tc>
        <w:tc>
          <w:tcPr>
            <w:tcW w:w="3780" w:type="dxa"/>
            <w:vAlign w:val="bottom"/>
          </w:tcPr>
          <w:p>
            <w:pPr>
              <w:jc w:val="right"/>
              <w:ind w:right="1192"/>
              <w:spacing w:after="0"/>
              <w:rPr>
                <w:sz w:val="20"/>
                <w:szCs w:val="20"/>
                <w:color w:val="auto"/>
              </w:rPr>
            </w:pPr>
            <w:r>
              <w:rPr>
                <w:rFonts w:ascii="Times New Roman" w:cs="Times New Roman" w:eastAsia="Times New Roman" w:hAnsi="Times New Roman"/>
                <w:sz w:val="18"/>
                <w:szCs w:val="18"/>
                <w:color w:val="auto"/>
              </w:rPr>
              <w:t>99</w:t>
            </w: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2"/>
        </w:trPr>
        <w:tc>
          <w:tcPr>
            <w:tcW w:w="3220" w:type="dxa"/>
            <w:vAlign w:val="bottom"/>
            <w:tcBorders>
              <w:bottom w:val="single" w:sz="8" w:color="9A9A9A"/>
            </w:tcBorders>
          </w:tcPr>
          <w:p>
            <w:pPr>
              <w:spacing w:after="0"/>
              <w:rPr>
                <w:sz w:val="9"/>
                <w:szCs w:val="9"/>
                <w:color w:val="auto"/>
              </w:rPr>
            </w:pPr>
          </w:p>
        </w:tc>
        <w:tc>
          <w:tcPr>
            <w:tcW w:w="378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00" w:name="page101"/>
    <w:bookmarkEnd w:id="100"/>
    <w:tbl>
      <w:tblPr>
        <w:tblLayout w:type="fixed"/>
        <w:tblInd w:w="20" w:type="dxa"/>
        <w:tblCellMar>
          <w:top w:w="0" w:type="dxa"/>
          <w:left w:w="0" w:type="dxa"/>
          <w:bottom w:w="0" w:type="dxa"/>
          <w:right w:w="0" w:type="dxa"/>
        </w:tblCellMar>
      </w:tblPr>
      <w:tr>
        <w:trPr>
          <w:trHeight w:val="21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620" w:type="dxa"/>
            <w:vAlign w:val="bottom"/>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6"/>
              </w:rPr>
              <w:t>THE SCOTTS MIRACLE-GRO COMPANY</w:t>
            </w:r>
          </w:p>
        </w:tc>
      </w:tr>
      <w:tr>
        <w:trPr>
          <w:trHeight w:val="178"/>
        </w:trPr>
        <w:tc>
          <w:tcPr>
            <w:tcW w:w="1860" w:type="dxa"/>
            <w:vAlign w:val="bottom"/>
          </w:tcPr>
          <w:p>
            <w:pPr>
              <w:spacing w:after="0"/>
              <w:rPr>
                <w:sz w:val="15"/>
                <w:szCs w:val="15"/>
                <w:color w:val="auto"/>
              </w:rPr>
            </w:pPr>
          </w:p>
        </w:tc>
        <w:tc>
          <w:tcPr>
            <w:tcW w:w="6620" w:type="dxa"/>
            <w:vAlign w:val="bottom"/>
          </w:tcPr>
          <w:p>
            <w:pPr>
              <w:jc w:val="center"/>
              <w:ind w:left="778"/>
              <w:spacing w:after="0" w:line="178" w:lineRule="exact"/>
              <w:rPr>
                <w:sz w:val="20"/>
                <w:szCs w:val="20"/>
                <w:color w:val="auto"/>
              </w:rPr>
            </w:pPr>
            <w:r>
              <w:rPr>
                <w:rFonts w:ascii="Times New Roman" w:cs="Times New Roman" w:eastAsia="Times New Roman" w:hAnsi="Times New Roman"/>
                <w:sz w:val="18"/>
                <w:szCs w:val="18"/>
                <w:b w:val="1"/>
                <w:bCs w:val="1"/>
                <w:color w:val="auto"/>
                <w:w w:val="96"/>
              </w:rPr>
              <w:t>NOTES TO CONSOLIDATED FINANCIAL STATEMENTS — (Continued)</w:t>
            </w:r>
          </w:p>
        </w:tc>
      </w:tr>
      <w:tr>
        <w:trPr>
          <w:trHeight w:val="185"/>
        </w:trPr>
        <w:tc>
          <w:tcPr>
            <w:tcW w:w="1860" w:type="dxa"/>
            <w:vAlign w:val="bottom"/>
          </w:tcPr>
          <w:p>
            <w:pPr>
              <w:spacing w:after="0"/>
              <w:rPr>
                <w:sz w:val="16"/>
                <w:szCs w:val="16"/>
                <w:color w:val="auto"/>
              </w:rPr>
            </w:pPr>
          </w:p>
        </w:tc>
        <w:tc>
          <w:tcPr>
            <w:tcW w:w="6620" w:type="dxa"/>
            <w:vAlign w:val="bottom"/>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Values of Derivative Instruments</w:t>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fair values of the Company’s derivative instruments, which represent Level 2 fair value measurements,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Assets / (Liabilities)</w:t>
            </w:r>
          </w:p>
        </w:tc>
        <w:tc>
          <w:tcPr>
            <w:tcW w:w="880" w:type="dxa"/>
            <w:vAlign w:val="bottom"/>
          </w:tcPr>
          <w:p>
            <w:pPr>
              <w:spacing w:after="0"/>
              <w:rPr>
                <w:sz w:val="16"/>
                <w:szCs w:val="16"/>
                <w:color w:val="auto"/>
              </w:rPr>
            </w:pPr>
          </w:p>
        </w:tc>
      </w:tr>
      <w:tr>
        <w:trPr>
          <w:trHeight w:val="24"/>
        </w:trPr>
        <w:tc>
          <w:tcPr>
            <w:tcW w:w="45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3"/>
        </w:trPr>
        <w:tc>
          <w:tcPr>
            <w:tcW w:w="45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91"/>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3680" w:type="dxa"/>
            <w:vAlign w:val="bottom"/>
            <w:tcBorders>
              <w:bottom w:val="single" w:sz="8" w:color="auto"/>
            </w:tcBorders>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8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80" w:type="dxa"/>
            <w:vAlign w:val="bottom"/>
            <w:tcBorders>
              <w:bottom w:val="single" w:sz="8" w:color="auto"/>
            </w:tcBorders>
          </w:tcPr>
          <w:p>
            <w:pPr>
              <w:spacing w:after="0"/>
              <w:rPr>
                <w:sz w:val="16"/>
                <w:szCs w:val="16"/>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3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60" w:type="dxa"/>
            <w:vAlign w:val="bottom"/>
          </w:tcPr>
          <w:p>
            <w:pPr>
              <w:spacing w:after="0"/>
              <w:rPr>
                <w:sz w:val="19"/>
                <w:szCs w:val="19"/>
                <w:color w:val="auto"/>
              </w:rPr>
            </w:pPr>
          </w:p>
        </w:tc>
        <w:tc>
          <w:tcPr>
            <w:tcW w:w="3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Other assets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456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4560" w:type="dxa"/>
            <w:vAlign w:val="bottom"/>
          </w:tcPr>
          <w:p>
            <w:pPr>
              <w:spacing w:after="0"/>
              <w:rPr>
                <w:sz w:val="19"/>
                <w:szCs w:val="19"/>
                <w:color w:val="auto"/>
              </w:rPr>
            </w:pPr>
          </w:p>
        </w:tc>
        <w:tc>
          <w:tcPr>
            <w:tcW w:w="3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Other liabilities</w:t>
            </w:r>
          </w:p>
        </w:tc>
        <w:tc>
          <w:tcPr>
            <w:tcW w:w="8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3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7"/>
        </w:trPr>
        <w:tc>
          <w:tcPr>
            <w:tcW w:w="4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derivatives designated as hedging instruments</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Pr>
          <w:p>
            <w:pPr>
              <w:spacing w:after="0"/>
              <w:rPr>
                <w:sz w:val="18"/>
                <w:szCs w:val="18"/>
                <w:color w:val="auto"/>
              </w:rPr>
            </w:pPr>
          </w:p>
        </w:tc>
        <w:tc>
          <w:tcPr>
            <w:tcW w:w="5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9"/>
        </w:trPr>
        <w:tc>
          <w:tcPr>
            <w:tcW w:w="456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191"/>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368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3"/>
        </w:trPr>
        <w:tc>
          <w:tcPr>
            <w:tcW w:w="4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forward contracts</w:t>
            </w:r>
          </w:p>
        </w:tc>
        <w:tc>
          <w:tcPr>
            <w:tcW w:w="358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CCEEFF"/>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4560" w:type="dxa"/>
            <w:vAlign w:val="bottom"/>
          </w:tcPr>
          <w:p>
            <w:pPr>
              <w:spacing w:after="0"/>
              <w:rPr>
                <w:sz w:val="19"/>
                <w:szCs w:val="19"/>
                <w:color w:val="auto"/>
              </w:rPr>
            </w:pPr>
          </w:p>
        </w:tc>
        <w:tc>
          <w:tcPr>
            <w:tcW w:w="3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3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7"/>
        </w:trPr>
        <w:tc>
          <w:tcPr>
            <w:tcW w:w="4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derivatives not designated as hedging instruments</w:t>
            </w:r>
          </w:p>
        </w:tc>
        <w:tc>
          <w:tcPr>
            <w:tcW w:w="35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2"/>
        </w:trPr>
        <w:tc>
          <w:tcPr>
            <w:tcW w:w="4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derivatives</w:t>
            </w:r>
          </w:p>
        </w:tc>
        <w:tc>
          <w:tcPr>
            <w:tcW w:w="3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The effect of derivative instruments on AOCL, net of tax, and the Consolidated Statements of Operations for the years ended September 30 was as follows:</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2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 / (Loss)</w:t>
            </w:r>
          </w:p>
        </w:tc>
      </w:tr>
      <w:tr>
        <w:trPr>
          <w:trHeight w:val="189"/>
        </w:trPr>
        <w:tc>
          <w:tcPr>
            <w:tcW w:w="8220" w:type="dxa"/>
            <w:vAlign w:val="bottom"/>
          </w:tcPr>
          <w:p>
            <w:pPr>
              <w:spacing w:after="0"/>
              <w:rPr>
                <w:sz w:val="16"/>
                <w:szCs w:val="16"/>
                <w:color w:val="auto"/>
              </w:rPr>
            </w:pPr>
          </w:p>
        </w:tc>
        <w:tc>
          <w:tcPr>
            <w:tcW w:w="2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Recognized in AOCL</w:t>
            </w:r>
          </w:p>
        </w:tc>
      </w:tr>
      <w:tr>
        <w:trPr>
          <w:trHeight w:val="185"/>
        </w:trPr>
        <w:tc>
          <w:tcPr>
            <w:tcW w:w="8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Derivatives in Cash Flow Hedging Relationships</w:t>
            </w:r>
          </w:p>
        </w:tc>
        <w:tc>
          <w:tcPr>
            <w:tcW w:w="1500" w:type="dxa"/>
            <w:vAlign w:val="bottom"/>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8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42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42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bottom w:val="single" w:sz="8" w:color="CCEEFF"/>
            </w:tcBorders>
            <w:shd w:val="clear" w:color="auto" w:fill="CCEEFF"/>
          </w:tcPr>
          <w:p>
            <w:pPr>
              <w:spacing w:after="0"/>
              <w:rPr>
                <w:sz w:val="20"/>
                <w:szCs w:val="20"/>
                <w:color w:val="auto"/>
              </w:rPr>
            </w:pPr>
          </w:p>
        </w:tc>
        <w:tc>
          <w:tcPr>
            <w:tcW w:w="40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4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4200" w:type="dxa"/>
            <w:vAlign w:val="bottom"/>
          </w:tcPr>
          <w:p>
            <w:pPr>
              <w:jc w:val="center"/>
              <w:ind w:left="701"/>
              <w:spacing w:after="0"/>
              <w:rPr>
                <w:sz w:val="20"/>
                <w:szCs w:val="20"/>
                <w:color w:val="auto"/>
              </w:rPr>
            </w:pPr>
            <w:r>
              <w:rPr>
                <w:rFonts w:ascii="Times New Roman" w:cs="Times New Roman" w:eastAsia="Times New Roman" w:hAnsi="Times New Roman"/>
                <w:sz w:val="14"/>
                <w:szCs w:val="14"/>
                <w:b w:val="1"/>
                <w:bCs w:val="1"/>
                <w:color w:val="auto"/>
                <w:w w:val="99"/>
              </w:rPr>
              <w:t>Reclassified from AOCL into</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2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Amount of Gain / (Loss)</w:t>
            </w: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in Cash Flow Hedging Relationships</w:t>
            </w:r>
          </w:p>
        </w:tc>
        <w:tc>
          <w:tcPr>
            <w:tcW w:w="4200" w:type="dxa"/>
            <w:vAlign w:val="bottom"/>
            <w:vMerge w:val="restart"/>
          </w:tcPr>
          <w:p>
            <w:pPr>
              <w:jc w:val="center"/>
              <w:ind w:left="701"/>
              <w:spacing w:after="0"/>
              <w:rPr>
                <w:sz w:val="20"/>
                <w:szCs w:val="20"/>
                <w:color w:val="auto"/>
              </w:rPr>
            </w:pPr>
            <w:r>
              <w:rPr>
                <w:rFonts w:ascii="Times New Roman" w:cs="Times New Roman" w:eastAsia="Times New Roman" w:hAnsi="Times New Roman"/>
                <w:sz w:val="14"/>
                <w:szCs w:val="14"/>
                <w:b w:val="1"/>
                <w:bCs w:val="1"/>
                <w:color w:val="auto"/>
                <w:w w:val="99"/>
              </w:rPr>
              <w:t>Statement of Operations</w:t>
            </w:r>
          </w:p>
        </w:tc>
        <w:tc>
          <w:tcPr>
            <w:tcW w:w="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4000" w:type="dxa"/>
            <w:vAlign w:val="bottom"/>
            <w:tcBorders>
              <w:bottom w:val="single" w:sz="8" w:color="auto"/>
            </w:tcBorders>
            <w:vMerge w:val="continue"/>
          </w:tcPr>
          <w:p>
            <w:pPr>
              <w:spacing w:after="0"/>
              <w:rPr>
                <w:sz w:val="16"/>
                <w:szCs w:val="16"/>
                <w:color w:val="auto"/>
              </w:rPr>
            </w:pPr>
          </w:p>
        </w:tc>
        <w:tc>
          <w:tcPr>
            <w:tcW w:w="42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42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center"/>
              <w:ind w:left="616"/>
              <w:spacing w:after="0"/>
              <w:rPr>
                <w:sz w:val="20"/>
                <w:szCs w:val="20"/>
                <w:color w:val="auto"/>
              </w:rPr>
            </w:pPr>
            <w:r>
              <w:rPr>
                <w:rFonts w:ascii="Times New Roman" w:cs="Times New Roman" w:eastAsia="Times New Roman" w:hAnsi="Times New Roman"/>
                <w:sz w:val="18"/>
                <w:szCs w:val="18"/>
                <w:color w:val="auto"/>
                <w:w w:val="98"/>
              </w:rPr>
              <w:t>(7.7)</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420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Cost of sales</w:t>
            </w: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676"/>
              <w:spacing w:after="0"/>
              <w:rPr>
                <w:sz w:val="20"/>
                <w:szCs w:val="20"/>
                <w:color w:val="auto"/>
              </w:rPr>
            </w:pPr>
            <w:r>
              <w:rPr>
                <w:rFonts w:ascii="Times New Roman" w:cs="Times New Roman" w:eastAsia="Times New Roman" w:hAnsi="Times New Roman"/>
                <w:sz w:val="18"/>
                <w:szCs w:val="18"/>
                <w:color w:val="auto"/>
                <w:w w:val="97"/>
              </w:rPr>
              <w:t>2.3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0"/>
                <w:szCs w:val="20"/>
                <w:color w:val="auto"/>
              </w:rPr>
            </w:pPr>
          </w:p>
        </w:tc>
        <w:tc>
          <w:tcPr>
            <w:tcW w:w="4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42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shd w:val="clear" w:color="auto" w:fill="CCEEFF"/>
          </w:tcPr>
          <w:p>
            <w:pPr>
              <w:jc w:val="center"/>
              <w:ind w:left="616"/>
              <w:spacing w:after="0"/>
              <w:rPr>
                <w:sz w:val="20"/>
                <w:szCs w:val="20"/>
                <w:color w:val="auto"/>
              </w:rPr>
            </w:pPr>
            <w:r>
              <w:rPr>
                <w:rFonts w:ascii="Times New Roman" w:cs="Times New Roman" w:eastAsia="Times New Roman" w:hAnsi="Times New Roman"/>
                <w:sz w:val="18"/>
                <w:szCs w:val="18"/>
                <w:color w:val="auto"/>
                <w:w w:val="98"/>
              </w:rPr>
              <w:t>(5.4)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200" w:type="dxa"/>
            <w:vAlign w:val="bottom"/>
          </w:tcPr>
          <w:p>
            <w:pPr>
              <w:jc w:val="center"/>
              <w:ind w:left="721"/>
              <w:spacing w:after="0"/>
              <w:rPr>
                <w:sz w:val="20"/>
                <w:szCs w:val="20"/>
                <w:color w:val="auto"/>
              </w:rPr>
            </w:pPr>
            <w:r>
              <w:rPr>
                <w:rFonts w:ascii="Times New Roman" w:cs="Times New Roman" w:eastAsia="Times New Roman" w:hAnsi="Times New Roman"/>
                <w:sz w:val="14"/>
                <w:szCs w:val="14"/>
                <w:b w:val="1"/>
                <w:bCs w:val="1"/>
                <w:color w:val="auto"/>
              </w:rPr>
              <w:t>Recognized in</w:t>
            </w:r>
          </w:p>
        </w:tc>
        <w:tc>
          <w:tcPr>
            <w:tcW w:w="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Amount of Gain / (Loss)</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4200" w:type="dxa"/>
            <w:vAlign w:val="bottom"/>
            <w:tcBorders>
              <w:bottom w:val="single" w:sz="8" w:color="auto"/>
            </w:tcBorders>
          </w:tcPr>
          <w:p>
            <w:pPr>
              <w:jc w:val="center"/>
              <w:ind w:left="701"/>
              <w:spacing w:after="0"/>
              <w:rPr>
                <w:sz w:val="20"/>
                <w:szCs w:val="20"/>
                <w:color w:val="auto"/>
              </w:rPr>
            </w:pPr>
            <w:r>
              <w:rPr>
                <w:rFonts w:ascii="Times New Roman" w:cs="Times New Roman" w:eastAsia="Times New Roman" w:hAnsi="Times New Roman"/>
                <w:sz w:val="14"/>
                <w:szCs w:val="14"/>
                <w:b w:val="1"/>
                <w:bCs w:val="1"/>
                <w:color w:val="auto"/>
                <w:w w:val="99"/>
              </w:rPr>
              <w:t>Statement of Operations</w:t>
            </w: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forward contracts</w:t>
            </w:r>
          </w:p>
        </w:tc>
        <w:tc>
          <w:tcPr>
            <w:tcW w:w="42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Other income / expense, net</w:t>
            </w:r>
          </w:p>
        </w:tc>
        <w:tc>
          <w:tcPr>
            <w:tcW w:w="38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center"/>
              <w:ind w:left="616"/>
              <w:spacing w:after="0"/>
              <w:rPr>
                <w:sz w:val="20"/>
                <w:szCs w:val="20"/>
                <w:color w:val="auto"/>
              </w:rPr>
            </w:pPr>
            <w:r>
              <w:rPr>
                <w:rFonts w:ascii="Times New Roman" w:cs="Times New Roman" w:eastAsia="Times New Roman" w:hAnsi="Times New Roman"/>
                <w:sz w:val="18"/>
                <w:szCs w:val="18"/>
                <w:color w:val="auto"/>
                <w:w w:val="98"/>
              </w:rPr>
              <w:t>(4.2)</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420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Cost of sales</w:t>
            </w: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676"/>
              <w:spacing w:after="0"/>
              <w:rPr>
                <w:sz w:val="20"/>
                <w:szCs w:val="20"/>
                <w:color w:val="auto"/>
              </w:rPr>
            </w:pPr>
            <w:r>
              <w:rPr>
                <w:rFonts w:ascii="Times New Roman" w:cs="Times New Roman" w:eastAsia="Times New Roman" w:hAnsi="Times New Roman"/>
                <w:sz w:val="18"/>
                <w:szCs w:val="18"/>
                <w:color w:val="auto"/>
                <w:w w:val="97"/>
              </w:rPr>
              <w:t>4.5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0"/>
                <w:szCs w:val="20"/>
                <w:color w:val="auto"/>
              </w:rPr>
            </w:pPr>
          </w:p>
        </w:tc>
        <w:tc>
          <w:tcPr>
            <w:tcW w:w="4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42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center"/>
              <w:ind w:left="676"/>
              <w:spacing w:after="0"/>
              <w:rPr>
                <w:sz w:val="20"/>
                <w:szCs w:val="20"/>
                <w:color w:val="auto"/>
              </w:rPr>
            </w:pPr>
            <w:r>
              <w:rPr>
                <w:rFonts w:ascii="Times New Roman" w:cs="Times New Roman" w:eastAsia="Times New Roman" w:hAnsi="Times New Roman"/>
                <w:sz w:val="18"/>
                <w:szCs w:val="18"/>
                <w:color w:val="auto"/>
                <w:w w:val="97"/>
              </w:rPr>
              <w:t>0.3</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01" w:name="page102"/>
    <w:bookmarkEnd w:id="101"/>
    <w:tbl>
      <w:tblPr>
        <w:tblLayout w:type="fixed"/>
        <w:tblInd w:w="20" w:type="dxa"/>
        <w:tblCellMar>
          <w:top w:w="0" w:type="dxa"/>
          <w:left w:w="0" w:type="dxa"/>
          <w:bottom w:w="0" w:type="dxa"/>
          <w:right w:w="0" w:type="dxa"/>
        </w:tblCellMar>
      </w:tblPr>
      <w:tr>
        <w:trPr>
          <w:trHeight w:val="21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620" w:type="dxa"/>
            <w:vAlign w:val="bottom"/>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6"/>
              </w:rPr>
              <w:t>THE SCOTTS MIRACLE-GRO COMPANY</w:t>
            </w:r>
          </w:p>
        </w:tc>
      </w:tr>
      <w:tr>
        <w:trPr>
          <w:trHeight w:val="178"/>
        </w:trPr>
        <w:tc>
          <w:tcPr>
            <w:tcW w:w="1860" w:type="dxa"/>
            <w:vAlign w:val="bottom"/>
          </w:tcPr>
          <w:p>
            <w:pPr>
              <w:spacing w:after="0"/>
              <w:rPr>
                <w:sz w:val="15"/>
                <w:szCs w:val="15"/>
                <w:color w:val="auto"/>
              </w:rPr>
            </w:pPr>
          </w:p>
        </w:tc>
        <w:tc>
          <w:tcPr>
            <w:tcW w:w="6620" w:type="dxa"/>
            <w:vAlign w:val="bottom"/>
          </w:tcPr>
          <w:p>
            <w:pPr>
              <w:jc w:val="center"/>
              <w:ind w:left="778"/>
              <w:spacing w:after="0" w:line="178" w:lineRule="exact"/>
              <w:rPr>
                <w:sz w:val="20"/>
                <w:szCs w:val="20"/>
                <w:color w:val="auto"/>
              </w:rPr>
            </w:pPr>
            <w:r>
              <w:rPr>
                <w:rFonts w:ascii="Times New Roman" w:cs="Times New Roman" w:eastAsia="Times New Roman" w:hAnsi="Times New Roman"/>
                <w:sz w:val="18"/>
                <w:szCs w:val="18"/>
                <w:b w:val="1"/>
                <w:bCs w:val="1"/>
                <w:color w:val="auto"/>
                <w:w w:val="96"/>
              </w:rPr>
              <w:t>NOTES TO CONSOLIDATED FINANCIAL STATEMENTS — (Continued)</w:t>
            </w:r>
          </w:p>
        </w:tc>
      </w:tr>
      <w:tr>
        <w:trPr>
          <w:trHeight w:val="185"/>
        </w:trPr>
        <w:tc>
          <w:tcPr>
            <w:tcW w:w="1860" w:type="dxa"/>
            <w:vAlign w:val="bottom"/>
          </w:tcPr>
          <w:p>
            <w:pPr>
              <w:spacing w:after="0"/>
              <w:rPr>
                <w:sz w:val="16"/>
                <w:szCs w:val="16"/>
                <w:color w:val="auto"/>
              </w:rPr>
            </w:pPr>
          </w:p>
        </w:tc>
        <w:tc>
          <w:tcPr>
            <w:tcW w:w="6620" w:type="dxa"/>
            <w:vAlign w:val="bottom"/>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FAIR VALUE MEASUREMENTS</w:t>
      </w:r>
    </w:p>
    <w:p>
      <w:pPr>
        <w:spacing w:after="0" w:line="84"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Level 1 — </w:t>
      </w:r>
      <w:r>
        <w:rPr>
          <w:rFonts w:ascii="Times New Roman" w:cs="Times New Roman" w:eastAsia="Times New Roman" w:hAnsi="Times New Roman"/>
          <w:sz w:val="18"/>
          <w:szCs w:val="18"/>
          <w:color w:val="auto"/>
        </w:rPr>
        <w:t>Quoted prices in active markets for identical assets or liabilities.</w:t>
      </w:r>
    </w:p>
    <w:p>
      <w:pPr>
        <w:spacing w:after="0" w:line="95" w:lineRule="exact"/>
        <w:rPr>
          <w:sz w:val="20"/>
          <w:szCs w:val="20"/>
          <w:color w:val="auto"/>
        </w:rPr>
      </w:pPr>
    </w:p>
    <w:p>
      <w:pPr>
        <w:jc w:val="both"/>
        <w:ind w:firstLine="434"/>
        <w:spacing w:after="0" w:line="325" w:lineRule="auto"/>
        <w:rPr>
          <w:sz w:val="20"/>
          <w:szCs w:val="20"/>
          <w:color w:val="auto"/>
        </w:rPr>
      </w:pPr>
      <w:r>
        <w:rPr>
          <w:rFonts w:ascii="Times New Roman" w:cs="Times New Roman" w:eastAsia="Times New Roman" w:hAnsi="Times New Roman"/>
          <w:sz w:val="16"/>
          <w:szCs w:val="16"/>
          <w:i w:val="1"/>
          <w:iCs w:val="1"/>
          <w:color w:val="auto"/>
        </w:rPr>
        <w:t xml:space="preserve">Level 2 — </w:t>
      </w:r>
      <w:r>
        <w:rPr>
          <w:rFonts w:ascii="Times New Roman" w:cs="Times New Roman" w:eastAsia="Times New Roman" w:hAnsi="Times New Roman"/>
          <w:sz w:val="16"/>
          <w:szCs w:val="16"/>
          <w:color w:val="auto"/>
        </w:rPr>
        <w:t>Observable inputs other than quoted prices included in Level 1, such as quoted prices for similar assets and liabilities in active markets; quoted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prices for similar assets and liabilities in markets that are not active; or other inputs that are observable or can be corroborated by observable market data.</w:t>
      </w:r>
    </w:p>
    <w:p>
      <w:pPr>
        <w:spacing w:after="0" w:line="1" w:lineRule="exact"/>
        <w:rPr>
          <w:sz w:val="20"/>
          <w:szCs w:val="20"/>
          <w:color w:val="auto"/>
        </w:rPr>
      </w:pPr>
    </w:p>
    <w:p>
      <w:pPr>
        <w:jc w:val="both"/>
        <w:ind w:firstLine="434"/>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Level 3 — </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pricing models, discounted cash flow methodologies and similar techniques that use significant unobservable inputs.</w:t>
      </w:r>
    </w:p>
    <w:p>
      <w:pPr>
        <w:spacing w:after="0" w:line="49"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following describes the valuation methodologies used for financial assets and liabilities measured or disclosed at fair value on a recurring basis, as well as the general classification within the valuation hierarchy.</w:t>
      </w:r>
    </w:p>
    <w:p>
      <w:pPr>
        <w:spacing w:after="0" w:line="1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Equivalents</w:t>
      </w:r>
    </w:p>
    <w:p>
      <w:pPr>
        <w:spacing w:after="0" w:line="99"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Cash equivalents consist of highly liquid financial instruments with original maturities of three months or less. The carrying value of these cash equivalents approximates fair value due to their short-term maturities.</w:t>
      </w:r>
    </w:p>
    <w:p>
      <w:pPr>
        <w:spacing w:after="0" w:line="1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w:t>
      </w:r>
    </w:p>
    <w:p>
      <w:pPr>
        <w:spacing w:after="0" w:line="86"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Investment securities in non-qualified retirement plan assets are valued using observable market prices in active markets. Loans receivable are carried at outstanding principal amount. The estimated fair value is determined using an income-based approach, which includes market participant expectations of cash flows over the remaining useful life discounted to present value using an appropriate discount rate. The estimate requires subjective assumptions to be made, including those related to credit risk and discount rates.</w:t>
      </w:r>
    </w:p>
    <w:p>
      <w:pPr>
        <w:spacing w:after="0" w:line="64"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The fair values of convertible debt investments are determined using scenario-based internally developed valuation models that consider a probability-weighted assessment of possible future cash flows related to the debt component and the conversion component of the instruments, discounted to present value using an appropriate discount rate. The probability of amendments to federal laws in the United States to allow for the general cultivation, distribution, and possession of cannabis, and the impact of such amendments on the value of the underlying investments are important assumptions in the fair value estimates. The valuation models and related assumptions require significant judgment. These and other assumptions are impacted by economic conditions and expectations of management and may change in the future based on period specific facts and circumstances.</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Debt Instruments</w:t>
      </w:r>
    </w:p>
    <w:p>
      <w:pPr>
        <w:spacing w:after="0" w:line="99"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Debt instruments are recorded at cost. The interest rate on borrowings under the Sixth A&amp;R Credit Agreement fluctuates in accordance with the terms of the Sixth A&amp;R Credit Agreement and thus the carrying value is a reasonable estimate of fair value. The fair values of the 4.000% Senior Notes, 4.375% Senior Notes, 4.500% Senior Notes and 5.250% Senior Notes are determined based on quoted market prices. The interest rate on the short-term debt associated with accounts receivable pledged under the Receivables Facility fluctuates in accordance with the terms of the Receivables Facility and thus the carrying value is a reasonable estimate of fair value.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02" w:name="page103"/>
    <w:bookmarkEnd w:id="102"/>
    <w:tbl>
      <w:tblPr>
        <w:tblLayout w:type="fixed"/>
        <w:tblInd w:w="20" w:type="dxa"/>
        <w:tblCellMar>
          <w:top w:w="0" w:type="dxa"/>
          <w:left w:w="0" w:type="dxa"/>
          <w:bottom w:w="0" w:type="dxa"/>
          <w:right w:w="0" w:type="dxa"/>
        </w:tblCellMar>
      </w:tblPr>
      <w:tr>
        <w:trPr>
          <w:trHeight w:val="21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620" w:type="dxa"/>
            <w:vAlign w:val="bottom"/>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6"/>
              </w:rPr>
              <w:t>THE SCOTTS MIRACLE-GRO COMPANY</w:t>
            </w:r>
          </w:p>
        </w:tc>
      </w:tr>
      <w:tr>
        <w:trPr>
          <w:trHeight w:val="178"/>
        </w:trPr>
        <w:tc>
          <w:tcPr>
            <w:tcW w:w="1860" w:type="dxa"/>
            <w:vAlign w:val="bottom"/>
          </w:tcPr>
          <w:p>
            <w:pPr>
              <w:spacing w:after="0"/>
              <w:rPr>
                <w:sz w:val="15"/>
                <w:szCs w:val="15"/>
                <w:color w:val="auto"/>
              </w:rPr>
            </w:pPr>
          </w:p>
        </w:tc>
        <w:tc>
          <w:tcPr>
            <w:tcW w:w="6620" w:type="dxa"/>
            <w:vAlign w:val="bottom"/>
          </w:tcPr>
          <w:p>
            <w:pPr>
              <w:jc w:val="center"/>
              <w:ind w:left="778"/>
              <w:spacing w:after="0" w:line="178" w:lineRule="exact"/>
              <w:rPr>
                <w:sz w:val="20"/>
                <w:szCs w:val="20"/>
                <w:color w:val="auto"/>
              </w:rPr>
            </w:pPr>
            <w:r>
              <w:rPr>
                <w:rFonts w:ascii="Times New Roman" w:cs="Times New Roman" w:eastAsia="Times New Roman" w:hAnsi="Times New Roman"/>
                <w:sz w:val="18"/>
                <w:szCs w:val="18"/>
                <w:b w:val="1"/>
                <w:bCs w:val="1"/>
                <w:color w:val="auto"/>
                <w:w w:val="96"/>
              </w:rPr>
              <w:t>NOTES TO CONSOLIDATED FINANCIAL STATEMENTS — (Continued)</w:t>
            </w:r>
          </w:p>
        </w:tc>
      </w:tr>
      <w:tr>
        <w:trPr>
          <w:trHeight w:val="185"/>
        </w:trPr>
        <w:tc>
          <w:tcPr>
            <w:tcW w:w="1860" w:type="dxa"/>
            <w:vAlign w:val="bottom"/>
          </w:tcPr>
          <w:p>
            <w:pPr>
              <w:spacing w:after="0"/>
              <w:rPr>
                <w:sz w:val="16"/>
                <w:szCs w:val="16"/>
                <w:color w:val="auto"/>
              </w:rPr>
            </w:pPr>
          </w:p>
        </w:tc>
        <w:tc>
          <w:tcPr>
            <w:tcW w:w="6620" w:type="dxa"/>
            <w:vAlign w:val="bottom"/>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fair value of the Company’s assets and liabilities for which disclosure of fair value is required: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300" w:type="dxa"/>
            <w:vAlign w:val="bottom"/>
          </w:tcPr>
          <w:p>
            <w:pPr>
              <w:spacing w:after="0"/>
              <w:rPr>
                <w:sz w:val="2"/>
                <w:szCs w:val="2"/>
                <w:color w:val="auto"/>
              </w:rPr>
            </w:pPr>
          </w:p>
        </w:tc>
        <w:tc>
          <w:tcPr>
            <w:tcW w:w="14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3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75"/>
              <w:spacing w:after="0" w:line="12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Estimated Fair</w:t>
            </w: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40" w:type="dxa"/>
            <w:vAlign w:val="bottom"/>
            <w:tcBorders>
              <w:top w:val="single" w:sz="8" w:color="auto"/>
            </w:tcBorders>
            <w:gridSpan w:val="2"/>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Estimated Fair</w:t>
            </w:r>
          </w:p>
        </w:tc>
        <w:tc>
          <w:tcPr>
            <w:tcW w:w="0" w:type="dxa"/>
            <w:vAlign w:val="bottom"/>
          </w:tcPr>
          <w:p>
            <w:pPr>
              <w:spacing w:after="0"/>
              <w:rPr>
                <w:sz w:val="1"/>
                <w:szCs w:val="1"/>
                <w:color w:val="auto"/>
              </w:rPr>
            </w:pPr>
          </w:p>
        </w:tc>
      </w:tr>
      <w:tr>
        <w:trPr>
          <w:trHeight w:val="190"/>
        </w:trPr>
        <w:tc>
          <w:tcPr>
            <w:tcW w:w="53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80" w:type="dxa"/>
            <w:vAlign w:val="bottom"/>
          </w:tcPr>
          <w:p>
            <w:pPr>
              <w:spacing w:after="0"/>
              <w:rPr>
                <w:sz w:val="16"/>
                <w:szCs w:val="16"/>
                <w:color w:val="auto"/>
              </w:rPr>
            </w:pPr>
          </w:p>
        </w:tc>
        <w:tc>
          <w:tcPr>
            <w:tcW w:w="7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8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4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securities in non-qualified retirement plan assets</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1</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Loans receivable</w:t>
            </w: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3</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23"/>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Convertible debt investments</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3</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0" w:type="dxa"/>
            <w:vAlign w:val="bottom"/>
          </w:tcPr>
          <w:p>
            <w:pPr>
              <w:spacing w:after="0"/>
              <w:rPr>
                <w:sz w:val="1"/>
                <w:szCs w:val="1"/>
                <w:color w:val="auto"/>
              </w:rPr>
            </w:pPr>
          </w:p>
        </w:tc>
      </w:tr>
      <w:tr>
        <w:trPr>
          <w:trHeight w:val="263"/>
        </w:trPr>
        <w:tc>
          <w:tcPr>
            <w:tcW w:w="53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instruments</w:t>
            </w: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facilities – revolving loans</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facilities – term loans</w:t>
            </w: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0" w:type="dxa"/>
            <w:vAlign w:val="bottom"/>
          </w:tcPr>
          <w:p>
            <w:pPr>
              <w:spacing w:after="0"/>
              <w:rPr>
                <w:sz w:val="1"/>
                <w:szCs w:val="1"/>
                <w:color w:val="auto"/>
              </w:rPr>
            </w:pPr>
          </w:p>
        </w:tc>
      </w:tr>
      <w:tr>
        <w:trPr>
          <w:trHeight w:val="223"/>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Notes due 2031 – 4.000%</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Notes due 2032 – 4.375%</w:t>
            </w: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0" w:type="dxa"/>
            <w:vAlign w:val="bottom"/>
          </w:tcPr>
          <w:p>
            <w:pPr>
              <w:spacing w:after="0"/>
              <w:rPr>
                <w:sz w:val="1"/>
                <w:szCs w:val="1"/>
                <w:color w:val="auto"/>
              </w:rPr>
            </w:pPr>
          </w:p>
        </w:tc>
      </w:tr>
      <w:tr>
        <w:trPr>
          <w:trHeight w:val="223"/>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Notes due 2029 – 4.500%</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Notes due 2026 – 5.250%</w:t>
            </w: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0" w:type="dxa"/>
            <w:vAlign w:val="bottom"/>
          </w:tcPr>
          <w:p>
            <w:pPr>
              <w:spacing w:after="0"/>
              <w:rPr>
                <w:sz w:val="1"/>
                <w:szCs w:val="1"/>
                <w:color w:val="auto"/>
              </w:rPr>
            </w:pPr>
          </w:p>
        </w:tc>
      </w:tr>
      <w:tr>
        <w:trPr>
          <w:trHeight w:val="223"/>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Receivables facility</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debt</w:t>
            </w: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Changes in balances of Level 3 convertible debt investments carried at fair value are presented below. There were no transfers into or out of Level 3.</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60" w:type="dxa"/>
            <w:vAlign w:val="bottom"/>
          </w:tcPr>
          <w:p>
            <w:pPr>
              <w:spacing w:after="0"/>
              <w:rPr>
                <w:sz w:val="16"/>
                <w:szCs w:val="16"/>
                <w:color w:val="auto"/>
              </w:rPr>
            </w:pPr>
          </w:p>
        </w:tc>
        <w:tc>
          <w:tcPr>
            <w:tcW w:w="2620" w:type="dxa"/>
            <w:vAlign w:val="bottom"/>
            <w:gridSpan w:val="4"/>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540" w:type="dxa"/>
            <w:vAlign w:val="bottom"/>
          </w:tcPr>
          <w:p>
            <w:pPr>
              <w:spacing w:after="0"/>
              <w:rPr>
                <w:sz w:val="16"/>
                <w:szCs w:val="16"/>
                <w:color w:val="auto"/>
              </w:rPr>
            </w:pPr>
          </w:p>
        </w:tc>
      </w:tr>
      <w:tr>
        <w:trPr>
          <w:trHeight w:val="24"/>
        </w:trPr>
        <w:tc>
          <w:tcPr>
            <w:tcW w:w="80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4"/>
        </w:trPr>
        <w:tc>
          <w:tcPr>
            <w:tcW w:w="80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year</w:t>
            </w:r>
          </w:p>
        </w:tc>
        <w:tc>
          <w:tcPr>
            <w:tcW w:w="940" w:type="dxa"/>
            <w:vAlign w:val="bottom"/>
            <w:shd w:val="clear" w:color="auto" w:fill="CCEEFF"/>
          </w:tcPr>
          <w:p>
            <w:pPr>
              <w:jc w:val="right"/>
              <w:ind w:right="76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realized / unrealized gains included in net earnings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realized / unrealized losses included in OCI</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2"/>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end of year</w:t>
            </w:r>
          </w:p>
        </w:tc>
        <w:tc>
          <w:tcPr>
            <w:tcW w:w="940" w:type="dxa"/>
            <w:vAlign w:val="bottom"/>
            <w:tcBorders>
              <w:bottom w:val="single" w:sz="8" w:color="auto"/>
            </w:tcBorders>
            <w:shd w:val="clear" w:color="auto" w:fill="CCEEFF"/>
          </w:tcPr>
          <w:p>
            <w:pPr>
              <w:jc w:val="right"/>
              <w:ind w:right="76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389"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The amortized cost basis of convertible debt investments was $222.1 and $193.4 at September 30, 2022 and 2021, respectively. At September 30, 2022 and 2021, gross unrealized losses on convertible debt investments were $105.1 and $3.1, respectively, and there were no gross unrealized gains. These investments have been in a continuous unrealized loss position for greater than 12 months as of September 30, 2022. The decline in fair value of the convertible debt investments is related to a decline in the value of the underlying conversion options and is not reflective of a credit risk associated with the notes. The Company believes it will recover its cost basis in the convertible debt securities and that the Company has the ability to hold the securities until they recover in value and had no intent to sell or convert them at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03" w:name="page104"/>
    <w:bookmarkEnd w:id="103"/>
    <w:tbl>
      <w:tblPr>
        <w:tblLayout w:type="fixed"/>
        <w:tblInd w:w="20" w:type="dxa"/>
        <w:tblCellMar>
          <w:top w:w="0" w:type="dxa"/>
          <w:left w:w="0" w:type="dxa"/>
          <w:bottom w:w="0" w:type="dxa"/>
          <w:right w:w="0" w:type="dxa"/>
        </w:tblCellMar>
      </w:tblPr>
      <w:tr>
        <w:trPr>
          <w:trHeight w:val="21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620" w:type="dxa"/>
            <w:vAlign w:val="bottom"/>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6"/>
              </w:rPr>
              <w:t>THE SCOTTS MIRACLE-GRO COMPANY</w:t>
            </w:r>
          </w:p>
        </w:tc>
      </w:tr>
      <w:tr>
        <w:trPr>
          <w:trHeight w:val="178"/>
        </w:trPr>
        <w:tc>
          <w:tcPr>
            <w:tcW w:w="1860" w:type="dxa"/>
            <w:vAlign w:val="bottom"/>
          </w:tcPr>
          <w:p>
            <w:pPr>
              <w:spacing w:after="0"/>
              <w:rPr>
                <w:sz w:val="15"/>
                <w:szCs w:val="15"/>
                <w:color w:val="auto"/>
              </w:rPr>
            </w:pPr>
          </w:p>
        </w:tc>
        <w:tc>
          <w:tcPr>
            <w:tcW w:w="6620" w:type="dxa"/>
            <w:vAlign w:val="bottom"/>
          </w:tcPr>
          <w:p>
            <w:pPr>
              <w:jc w:val="center"/>
              <w:ind w:left="778"/>
              <w:spacing w:after="0" w:line="178" w:lineRule="exact"/>
              <w:rPr>
                <w:sz w:val="20"/>
                <w:szCs w:val="20"/>
                <w:color w:val="auto"/>
              </w:rPr>
            </w:pPr>
            <w:r>
              <w:rPr>
                <w:rFonts w:ascii="Times New Roman" w:cs="Times New Roman" w:eastAsia="Times New Roman" w:hAnsi="Times New Roman"/>
                <w:sz w:val="18"/>
                <w:szCs w:val="18"/>
                <w:b w:val="1"/>
                <w:bCs w:val="1"/>
                <w:color w:val="auto"/>
                <w:w w:val="96"/>
              </w:rPr>
              <w:t>NOTES TO CONSOLIDATED FINANCIAL STATEMENTS — (Continued)</w:t>
            </w:r>
          </w:p>
        </w:tc>
      </w:tr>
      <w:tr>
        <w:trPr>
          <w:trHeight w:val="185"/>
        </w:trPr>
        <w:tc>
          <w:tcPr>
            <w:tcW w:w="1860" w:type="dxa"/>
            <w:vAlign w:val="bottom"/>
          </w:tcPr>
          <w:p>
            <w:pPr>
              <w:spacing w:after="0"/>
              <w:rPr>
                <w:sz w:val="16"/>
                <w:szCs w:val="16"/>
                <w:color w:val="auto"/>
              </w:rPr>
            </w:pPr>
          </w:p>
        </w:tc>
        <w:tc>
          <w:tcPr>
            <w:tcW w:w="6620" w:type="dxa"/>
            <w:vAlign w:val="bottom"/>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LEASES</w:t>
      </w:r>
    </w:p>
    <w:p>
      <w:pPr>
        <w:spacing w:after="0" w:line="84" w:lineRule="exact"/>
        <w:rPr>
          <w:sz w:val="20"/>
          <w:szCs w:val="20"/>
          <w:color w:val="auto"/>
        </w:rPr>
      </w:pPr>
    </w:p>
    <w:p>
      <w:pPr>
        <w:jc w:val="both"/>
        <w:ind w:firstLine="394"/>
        <w:spacing w:after="0" w:line="248" w:lineRule="auto"/>
        <w:rPr>
          <w:sz w:val="20"/>
          <w:szCs w:val="20"/>
          <w:color w:val="auto"/>
        </w:rPr>
      </w:pPr>
      <w:r>
        <w:rPr>
          <w:rFonts w:ascii="Times New Roman" w:cs="Times New Roman" w:eastAsia="Times New Roman" w:hAnsi="Times New Roman"/>
          <w:sz w:val="18"/>
          <w:szCs w:val="18"/>
          <w:color w:val="auto"/>
        </w:rPr>
        <w:t>The Company leases certain property and equipment from third parties under various non-cancelable lease agreements, including industrial, commercial and office properties and equipment that support the management, manufacturing, distribution and research and development of products marketed and sold by the Company. The lease agreements generally require that the Company pay taxes, insurance and maintenance expenses related to the leased assets. At September 30, 2022, the Company had entered into operating leases that were yet to commence with a combined total expected lease liability of $49.8. From time to time, the Company will sublease portions of its facilities, resulting in sublease income. Sublease income and the related cash flows were not material to the consolidated financial statements for fiscal 2022.</w:t>
      </w:r>
    </w:p>
    <w:p>
      <w:pPr>
        <w:spacing w:after="0" w:line="70"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The Company leases certain vehicles (primarily cars and light trucks) under agreements that are cancellable after the first year, but typically continue on a month-to-month basis until canceled by the Company. The vehicle leases and certain other non-cancelable operating leases contain residual value guarantees that create a contingent obligation on the part of the Company to compensate the lessor if the leased asset cannot be sold for an amount in excess of a specified minimum value at the conclusion of the lease term. If all such vehicle leases had been canceled as of September 30, 2022, the Company’s residual value guarantee would have approximated $3.9.</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leases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20" w:type="dxa"/>
            <w:vAlign w:val="bottom"/>
          </w:tcPr>
          <w:p>
            <w:pPr>
              <w:spacing w:after="0"/>
              <w:rPr>
                <w:sz w:val="16"/>
                <w:szCs w:val="16"/>
                <w:color w:val="auto"/>
              </w:rPr>
            </w:pPr>
          </w:p>
        </w:tc>
        <w:tc>
          <w:tcPr>
            <w:tcW w:w="3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0" w:type="dxa"/>
            <w:vAlign w:val="bottom"/>
          </w:tcPr>
          <w:p>
            <w:pPr>
              <w:spacing w:after="0"/>
              <w:rPr>
                <w:sz w:val="1"/>
                <w:szCs w:val="1"/>
                <w:color w:val="auto"/>
              </w:rPr>
            </w:pPr>
          </w:p>
        </w:tc>
      </w:tr>
      <w:tr>
        <w:trPr>
          <w:trHeight w:val="24"/>
        </w:trPr>
        <w:tc>
          <w:tcPr>
            <w:tcW w:w="3820" w:type="dxa"/>
            <w:vAlign w:val="bottom"/>
            <w:tcBorders>
              <w:bottom w:val="single" w:sz="8" w:color="CCEEFF"/>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Operating leases:</w:t>
            </w:r>
          </w:p>
        </w:tc>
        <w:tc>
          <w:tcPr>
            <w:tcW w:w="3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0" w:type="dxa"/>
            <w:vAlign w:val="bottom"/>
          </w:tcPr>
          <w:p>
            <w:pPr>
              <w:spacing w:after="0"/>
              <w:rPr>
                <w:sz w:val="1"/>
                <w:szCs w:val="1"/>
                <w:color w:val="auto"/>
              </w:rPr>
            </w:pPr>
          </w:p>
        </w:tc>
      </w:tr>
      <w:tr>
        <w:trPr>
          <w:trHeight w:val="263"/>
        </w:trPr>
        <w:tc>
          <w:tcPr>
            <w:tcW w:w="3820" w:type="dxa"/>
            <w:vAlign w:val="bottom"/>
            <w:shd w:val="clear" w:color="auto" w:fill="CCEEFF"/>
          </w:tcPr>
          <w:p>
            <w:pPr>
              <w:spacing w:after="0"/>
              <w:rPr>
                <w:sz w:val="22"/>
                <w:szCs w:val="22"/>
                <w:color w:val="auto"/>
              </w:rPr>
            </w:pPr>
          </w:p>
        </w:tc>
        <w:tc>
          <w:tcPr>
            <w:tcW w:w="3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0" w:type="dxa"/>
            <w:vAlign w:val="bottom"/>
          </w:tcPr>
          <w:p>
            <w:pPr>
              <w:spacing w:after="0"/>
              <w:rPr>
                <w:sz w:val="1"/>
                <w:szCs w:val="1"/>
                <w:color w:val="auto"/>
              </w:rPr>
            </w:pPr>
          </w:p>
        </w:tc>
      </w:tr>
      <w:tr>
        <w:trPr>
          <w:trHeight w:val="217"/>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820" w:type="dxa"/>
            <w:vAlign w:val="bottom"/>
            <w:shd w:val="clear" w:color="auto" w:fill="CCEEFF"/>
          </w:tcPr>
          <w:p>
            <w:pPr>
              <w:spacing w:after="0"/>
              <w:rPr>
                <w:sz w:val="19"/>
                <w:szCs w:val="19"/>
                <w:color w:val="auto"/>
              </w:rPr>
            </w:pPr>
          </w:p>
        </w:tc>
        <w:tc>
          <w:tcPr>
            <w:tcW w:w="3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50"/>
        </w:trPr>
        <w:tc>
          <w:tcPr>
            <w:tcW w:w="38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debt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3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42"/>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3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vMerge w:val="restart"/>
          </w:tcPr>
          <w:p>
            <w:pPr>
              <w:ind w:left="400"/>
              <w:spacing w:after="0"/>
              <w:rPr>
                <w:sz w:val="20"/>
                <w:szCs w:val="20"/>
                <w:color w:val="auto"/>
              </w:rPr>
            </w:pPr>
            <w:r>
              <w:rPr>
                <w:rFonts w:ascii="Times New Roman" w:cs="Times New Roman" w:eastAsia="Times New Roman" w:hAnsi="Times New Roman"/>
                <w:sz w:val="18"/>
                <w:szCs w:val="18"/>
                <w:color w:val="auto"/>
              </w:rPr>
              <w:t>Components of lease cost were as follows:</w:t>
            </w:r>
          </w:p>
        </w:tc>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3820" w:type="dxa"/>
            <w:vAlign w:val="bottom"/>
            <w:vMerge w:val="continue"/>
          </w:tcPr>
          <w:p>
            <w:pPr>
              <w:spacing w:after="0"/>
              <w:rPr>
                <w:sz w:val="24"/>
                <w:szCs w:val="24"/>
                <w:color w:val="auto"/>
              </w:rPr>
            </w:pP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8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60" w:type="dxa"/>
            <w:vAlign w:val="bottom"/>
            <w:gridSpan w:val="6"/>
          </w:tcPr>
          <w:p>
            <w:pPr>
              <w:jc w:val="right"/>
              <w:ind w:right="995"/>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0" w:type="dxa"/>
            <w:vAlign w:val="bottom"/>
          </w:tcPr>
          <w:p>
            <w:pPr>
              <w:spacing w:after="0"/>
              <w:rPr>
                <w:sz w:val="1"/>
                <w:szCs w:val="1"/>
                <w:color w:val="auto"/>
              </w:rPr>
            </w:pPr>
          </w:p>
        </w:tc>
      </w:tr>
      <w:tr>
        <w:trPr>
          <w:trHeight w:val="24"/>
        </w:trPr>
        <w:tc>
          <w:tcPr>
            <w:tcW w:w="38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820" w:type="dxa"/>
            <w:vAlign w:val="bottom"/>
            <w:tcBorders>
              <w:bottom w:val="single" w:sz="8" w:color="CCEEFF"/>
            </w:tcBorders>
          </w:tcPr>
          <w:p>
            <w:pPr>
              <w:spacing w:after="0"/>
              <w:rPr>
                <w:sz w:val="16"/>
                <w:szCs w:val="16"/>
                <w:color w:val="auto"/>
              </w:rPr>
            </w:pPr>
          </w:p>
        </w:tc>
        <w:tc>
          <w:tcPr>
            <w:tcW w:w="35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2"/>
                <w:szCs w:val="22"/>
                <w:color w:val="auto"/>
                <w:vertAlign w:val="superscript"/>
              </w:rPr>
              <w:t>(a)</w:t>
            </w:r>
          </w:p>
        </w:tc>
        <w:tc>
          <w:tcPr>
            <w:tcW w:w="3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50"/>
        </w:trPr>
        <w:tc>
          <w:tcPr>
            <w:tcW w:w="3820" w:type="dxa"/>
            <w:vAlign w:val="bottom"/>
            <w:shd w:val="clear" w:color="auto" w:fill="CCEEFF"/>
          </w:tcPr>
          <w:p>
            <w:pPr>
              <w:spacing w:after="0"/>
              <w:rPr>
                <w:sz w:val="21"/>
                <w:szCs w:val="21"/>
                <w:color w:val="auto"/>
              </w:rPr>
            </w:pPr>
          </w:p>
        </w:tc>
        <w:tc>
          <w:tcPr>
            <w:tcW w:w="3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2"/>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3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40" w:hanging="635"/>
        <w:spacing w:after="0" w:line="270" w:lineRule="auto"/>
        <w:tabs>
          <w:tab w:leader="none" w:pos="63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Operating lease cost includes amortization of ROU assets of $75.3 and $62.3 for fiscal 2022 and fiscal 2021, respectively. Short-term lease expense is excluded from operating lease cost and was $19.1 and $22.8 for fiscal 2022 and fiscal 2021, respectively.</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04" w:name="page105"/>
    <w:bookmarkEnd w:id="104"/>
    <w:tbl>
      <w:tblPr>
        <w:tblLayout w:type="fixed"/>
        <w:tblInd w:w="20" w:type="dxa"/>
        <w:tblCellMar>
          <w:top w:w="0" w:type="dxa"/>
          <w:left w:w="0" w:type="dxa"/>
          <w:bottom w:w="0" w:type="dxa"/>
          <w:right w:w="0" w:type="dxa"/>
        </w:tblCellMar>
      </w:tblPr>
      <w:tr>
        <w:trPr>
          <w:trHeight w:val="21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620" w:type="dxa"/>
            <w:vAlign w:val="bottom"/>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6"/>
              </w:rPr>
              <w:t>THE SCOTTS MIRACLE-GRO COMPANY</w:t>
            </w:r>
          </w:p>
        </w:tc>
      </w:tr>
      <w:tr>
        <w:trPr>
          <w:trHeight w:val="178"/>
        </w:trPr>
        <w:tc>
          <w:tcPr>
            <w:tcW w:w="1860" w:type="dxa"/>
            <w:vAlign w:val="bottom"/>
          </w:tcPr>
          <w:p>
            <w:pPr>
              <w:spacing w:after="0"/>
              <w:rPr>
                <w:sz w:val="15"/>
                <w:szCs w:val="15"/>
                <w:color w:val="auto"/>
              </w:rPr>
            </w:pPr>
          </w:p>
        </w:tc>
        <w:tc>
          <w:tcPr>
            <w:tcW w:w="6620" w:type="dxa"/>
            <w:vAlign w:val="bottom"/>
          </w:tcPr>
          <w:p>
            <w:pPr>
              <w:jc w:val="center"/>
              <w:ind w:left="778"/>
              <w:spacing w:after="0" w:line="178" w:lineRule="exact"/>
              <w:rPr>
                <w:sz w:val="20"/>
                <w:szCs w:val="20"/>
                <w:color w:val="auto"/>
              </w:rPr>
            </w:pPr>
            <w:r>
              <w:rPr>
                <w:rFonts w:ascii="Times New Roman" w:cs="Times New Roman" w:eastAsia="Times New Roman" w:hAnsi="Times New Roman"/>
                <w:sz w:val="18"/>
                <w:szCs w:val="18"/>
                <w:b w:val="1"/>
                <w:bCs w:val="1"/>
                <w:color w:val="auto"/>
                <w:w w:val="96"/>
              </w:rPr>
              <w:t>NOTES TO CONSOLIDATED FINANCIAL STATEMENTS — (Continued)</w:t>
            </w:r>
          </w:p>
        </w:tc>
      </w:tr>
      <w:tr>
        <w:trPr>
          <w:trHeight w:val="185"/>
        </w:trPr>
        <w:tc>
          <w:tcPr>
            <w:tcW w:w="1860" w:type="dxa"/>
            <w:vAlign w:val="bottom"/>
          </w:tcPr>
          <w:p>
            <w:pPr>
              <w:spacing w:after="0"/>
              <w:rPr>
                <w:sz w:val="16"/>
                <w:szCs w:val="16"/>
                <w:color w:val="auto"/>
              </w:rPr>
            </w:pPr>
          </w:p>
        </w:tc>
        <w:tc>
          <w:tcPr>
            <w:tcW w:w="6620" w:type="dxa"/>
            <w:vAlign w:val="bottom"/>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Supplemental cash flow information and non-cash activity related to the Company’s leases were as follows:</w:t>
      </w:r>
    </w:p>
    <w:p>
      <w:pPr>
        <w:spacing w:after="0" w:line="37"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Year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3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top w:val="single" w:sz="8" w:color="auto"/>
              <w:bottom w:val="single" w:sz="8" w:color="auto"/>
            </w:tcBorders>
          </w:tcPr>
          <w:p>
            <w:pPr>
              <w:spacing w:after="0"/>
              <w:rPr>
                <w:sz w:val="17"/>
                <w:szCs w:val="17"/>
                <w:color w:val="auto"/>
              </w:rPr>
            </w:pPr>
          </w:p>
        </w:tc>
      </w:tr>
      <w:tr>
        <w:trPr>
          <w:trHeight w:val="210"/>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23"/>
        </w:trPr>
        <w:tc>
          <w:tcPr>
            <w:tcW w:w="7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 net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19"/>
                <w:szCs w:val="19"/>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23"/>
        </w:trPr>
        <w:tc>
          <w:tcPr>
            <w:tcW w:w="7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7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40" w:type="dxa"/>
            <w:vAlign w:val="bottom"/>
          </w:tcPr>
          <w:p>
            <w:pPr>
              <w:spacing w:after="0"/>
              <w:rPr>
                <w:sz w:val="19"/>
                <w:szCs w:val="19"/>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50"/>
        </w:trPr>
        <w:tc>
          <w:tcPr>
            <w:tcW w:w="7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r>
      <w:tr>
        <w:trPr>
          <w:trHeight w:val="223"/>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lease obligations:</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23"/>
        </w:trPr>
        <w:tc>
          <w:tcPr>
            <w:tcW w:w="7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200.0</w:t>
            </w:r>
          </w:p>
        </w:tc>
      </w:tr>
      <w:tr>
        <w:trPr>
          <w:trHeight w:val="228"/>
        </w:trPr>
        <w:tc>
          <w:tcPr>
            <w:tcW w:w="7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240" w:type="dxa"/>
            <w:vAlign w:val="bottom"/>
          </w:tcPr>
          <w:p>
            <w:pPr>
              <w:spacing w:after="0"/>
              <w:rPr>
                <w:sz w:val="19"/>
                <w:szCs w:val="19"/>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89"/>
        </w:trPr>
        <w:tc>
          <w:tcPr>
            <w:tcW w:w="74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6"/>
              </w:rPr>
              <w:t>Weighted-average remaining lease term and discount rate for the Company’s leases were as follows: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0"/>
        </w:trPr>
        <w:tc>
          <w:tcPr>
            <w:tcW w:w="7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460" w:type="dxa"/>
            <w:vAlign w:val="bottom"/>
          </w:tcPr>
          <w:p>
            <w:pPr>
              <w:spacing w:after="0"/>
              <w:rPr>
                <w:sz w:val="17"/>
                <w:szCs w:val="17"/>
                <w:color w:val="auto"/>
              </w:rPr>
            </w:pPr>
          </w:p>
        </w:tc>
      </w:tr>
      <w:tr>
        <w:trPr>
          <w:trHeight w:val="24"/>
        </w:trPr>
        <w:tc>
          <w:tcPr>
            <w:tcW w:w="7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03"/>
        </w:trPr>
        <w:tc>
          <w:tcPr>
            <w:tcW w:w="7460" w:type="dxa"/>
            <w:vAlign w:val="bottom"/>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r>
      <w:tr>
        <w:trPr>
          <w:trHeight w:val="223"/>
        </w:trPr>
        <w:tc>
          <w:tcPr>
            <w:tcW w:w="7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7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 leases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50"/>
        </w:trPr>
        <w:tc>
          <w:tcPr>
            <w:tcW w:w="7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23"/>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r>
      <w:tr>
        <w:trPr>
          <w:trHeight w:val="223"/>
        </w:trPr>
        <w:tc>
          <w:tcPr>
            <w:tcW w:w="7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3.5 %</w:t>
            </w:r>
          </w:p>
        </w:tc>
      </w:tr>
      <w:tr>
        <w:trPr>
          <w:trHeight w:val="223"/>
        </w:trPr>
        <w:tc>
          <w:tcPr>
            <w:tcW w:w="7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 leases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4.3 %</w:t>
            </w:r>
          </w:p>
        </w:tc>
      </w:tr>
      <w:tr>
        <w:trPr>
          <w:trHeight w:val="407"/>
        </w:trPr>
        <w:tc>
          <w:tcPr>
            <w:tcW w:w="94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Maturities of lease liabilities by fiscal year for the Company’s leases as of September 30, 2022 were as follows:</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05"/>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Pr>
          <w:p>
            <w:pPr>
              <w:spacing w:after="0"/>
              <w:rPr>
                <w:sz w:val="24"/>
                <w:szCs w:val="24"/>
                <w:color w:val="auto"/>
              </w:rPr>
            </w:pPr>
          </w:p>
        </w:tc>
        <w:tc>
          <w:tcPr>
            <w:tcW w:w="17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Operating Leases</w:t>
            </w:r>
          </w:p>
        </w:tc>
        <w:tc>
          <w:tcPr>
            <w:tcW w:w="13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w w:val="99"/>
              </w:rPr>
              <w:t>Finance Leases</w:t>
            </w:r>
          </w:p>
        </w:tc>
        <w:tc>
          <w:tcPr>
            <w:tcW w:w="460" w:type="dxa"/>
            <w:vAlign w:val="bottom"/>
          </w:tcPr>
          <w:p>
            <w:pPr>
              <w:spacing w:after="0"/>
              <w:rPr>
                <w:sz w:val="24"/>
                <w:szCs w:val="24"/>
                <w:color w:val="auto"/>
              </w:rPr>
            </w:pPr>
          </w:p>
        </w:tc>
      </w:tr>
      <w:tr>
        <w:trPr>
          <w:trHeight w:val="24"/>
        </w:trPr>
        <w:tc>
          <w:tcPr>
            <w:tcW w:w="7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17"/>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7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7"/>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326.0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23"/>
        </w:trPr>
        <w:tc>
          <w:tcPr>
            <w:tcW w:w="7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42"/>
        </w:trPr>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299.4</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On September 21, 2022, the Company completed an asset sale-leaseback transaction relating to a facility in Vancouver, Washington. The Company received proceeds of $44.7, net of selling costs, and the asset had a carrying value of $36.7, resulting in a $8.0 gain on the transaction which was recorded in the “Impairment, restructuring and other” line in the Consolidated Statements of Operations. The leaseback has a term of 3 years and is accounted for as an operating lease.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COMMITMENTS</w:t>
      </w:r>
    </w:p>
    <w:p>
      <w:pPr>
        <w:spacing w:after="0" w:line="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the following unconditional purchase obligations due during each of the next five fiscal years that have not been recognized in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 at September 30, 2022:</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0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w:t>
            </w:r>
          </w:p>
        </w:tc>
      </w:tr>
      <w:tr>
        <w:trPr>
          <w:trHeight w:val="223"/>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w:t>
            </w:r>
          </w:p>
        </w:tc>
      </w:tr>
      <w:tr>
        <w:trPr>
          <w:trHeight w:val="223"/>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r>
      <w:tr>
        <w:trPr>
          <w:trHeight w:val="223"/>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r>
      <w:tr>
        <w:trPr>
          <w:trHeight w:val="223"/>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r>
      <w:tr>
        <w:trPr>
          <w:trHeight w:val="223"/>
        </w:trPr>
        <w:tc>
          <w:tcPr>
            <w:tcW w:w="9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42"/>
        </w:trPr>
        <w:tc>
          <w:tcPr>
            <w:tcW w:w="93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1,468.2</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56" w:right="3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153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type w:val="continuous"/>
        </w:sectPr>
      </w:pPr>
    </w:p>
    <w:bookmarkStart w:id="105" w:name="page106"/>
    <w:bookmarkEnd w:id="105"/>
    <w:tbl>
      <w:tblPr>
        <w:tblLayout w:type="fixed"/>
        <w:tblInd w:w="20" w:type="dxa"/>
        <w:tblCellMar>
          <w:top w:w="0" w:type="dxa"/>
          <w:left w:w="0" w:type="dxa"/>
          <w:bottom w:w="0" w:type="dxa"/>
          <w:right w:w="0" w:type="dxa"/>
        </w:tblCellMar>
      </w:tblPr>
      <w:tr>
        <w:trPr>
          <w:trHeight w:val="21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620" w:type="dxa"/>
            <w:vAlign w:val="bottom"/>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6"/>
              </w:rPr>
              <w:t>THE SCOTTS MIRACLE-GRO COMPANY</w:t>
            </w:r>
          </w:p>
        </w:tc>
      </w:tr>
      <w:tr>
        <w:trPr>
          <w:trHeight w:val="178"/>
        </w:trPr>
        <w:tc>
          <w:tcPr>
            <w:tcW w:w="1860" w:type="dxa"/>
            <w:vAlign w:val="bottom"/>
          </w:tcPr>
          <w:p>
            <w:pPr>
              <w:spacing w:after="0"/>
              <w:rPr>
                <w:sz w:val="15"/>
                <w:szCs w:val="15"/>
                <w:color w:val="auto"/>
              </w:rPr>
            </w:pPr>
          </w:p>
        </w:tc>
        <w:tc>
          <w:tcPr>
            <w:tcW w:w="6620" w:type="dxa"/>
            <w:vAlign w:val="bottom"/>
          </w:tcPr>
          <w:p>
            <w:pPr>
              <w:jc w:val="center"/>
              <w:ind w:left="778"/>
              <w:spacing w:after="0" w:line="178" w:lineRule="exact"/>
              <w:rPr>
                <w:sz w:val="20"/>
                <w:szCs w:val="20"/>
                <w:color w:val="auto"/>
              </w:rPr>
            </w:pPr>
            <w:r>
              <w:rPr>
                <w:rFonts w:ascii="Times New Roman" w:cs="Times New Roman" w:eastAsia="Times New Roman" w:hAnsi="Times New Roman"/>
                <w:sz w:val="18"/>
                <w:szCs w:val="18"/>
                <w:b w:val="1"/>
                <w:bCs w:val="1"/>
                <w:color w:val="auto"/>
                <w:w w:val="96"/>
              </w:rPr>
              <w:t>NOTES TO CONSOLIDATED FINANCIAL STATEMENTS — (Continued)</w:t>
            </w:r>
          </w:p>
        </w:tc>
      </w:tr>
      <w:tr>
        <w:trPr>
          <w:trHeight w:val="185"/>
        </w:trPr>
        <w:tc>
          <w:tcPr>
            <w:tcW w:w="1860" w:type="dxa"/>
            <w:vAlign w:val="bottom"/>
          </w:tcPr>
          <w:p>
            <w:pPr>
              <w:spacing w:after="0"/>
              <w:rPr>
                <w:sz w:val="16"/>
                <w:szCs w:val="16"/>
                <w:color w:val="auto"/>
              </w:rPr>
            </w:pPr>
          </w:p>
        </w:tc>
        <w:tc>
          <w:tcPr>
            <w:tcW w:w="6620" w:type="dxa"/>
            <w:vAlign w:val="bottom"/>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Purchase obligations primarily represent commitments for materials used in the Company’s manufacturing processes, including urea and packaging, as well as commitments for warehouse services, grass seed, marketing services and information technology services.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CONTINGENCIES</w:t>
      </w:r>
    </w:p>
    <w:p>
      <w:pPr>
        <w:spacing w:after="0" w:line="84"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Management regularly evaluates the Company’s contingencies, including various judicial and administrative proceedings and claims arising in the ordinary course of business, including product and general liabilities, workers’ compensation, property losses and other liabilities for which the Company is self-insured or retains a high exposure limit. Self-insurance accruals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accruals, in the aggregate, are adequate; however, there can be no assurance that final resolution of these matters will not have a material effect on the Company’s financial condition, results of operations or cash flows.</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Regulatory Matters</w:t>
      </w:r>
    </w:p>
    <w:p>
      <w:pPr>
        <w:spacing w:after="0" w:line="99"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At September 30, 2022, $2.4 was accrued in the “Other liabilities” line in the Consolidated Balance Sheets for environmental actions, the majority of which are for site remediation. The Company believes that the amounts accrued are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w:t>
      </w:r>
    </w:p>
    <w:p>
      <w:pPr>
        <w:spacing w:after="0" w:line="99" w:lineRule="exact"/>
        <w:rPr>
          <w:sz w:val="20"/>
          <w:szCs w:val="20"/>
          <w:color w:val="auto"/>
        </w:rPr>
      </w:pPr>
    </w:p>
    <w:p>
      <w:pPr>
        <w:jc w:val="both"/>
        <w:ind w:firstLine="434"/>
        <w:spacing w:after="0" w:line="246" w:lineRule="auto"/>
        <w:rPr>
          <w:sz w:val="20"/>
          <w:szCs w:val="20"/>
          <w:color w:val="auto"/>
        </w:rPr>
      </w:pPr>
      <w:r>
        <w:rPr>
          <w:rFonts w:ascii="Times New Roman" w:cs="Times New Roman" w:eastAsia="Times New Roman" w:hAnsi="Times New Roman"/>
          <w:sz w:val="18"/>
          <w:szCs w:val="18"/>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No accruals have been recorded in the Company’s consolidated financial statements as the likelihood of a loss is not probable at this time; and the Company does not believe a reasonably possible loss would be material to, nor does it expect the ultimate resolution of these cases will have a material adverse effect on, the Company’s financial condition, results of operations or cash flows. There can be no assurance that future developments related to pending claims or claims filed in the future, whether as a result of adverse outcomes or as a result of significant defense costs, will not have a material effect on the Company’s financial condition, results of operations or cash flows.</w:t>
      </w:r>
    </w:p>
    <w:p>
      <w:pPr>
        <w:spacing w:after="0" w:line="62"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SEGMENT INFORMATION</w:t>
      </w:r>
    </w:p>
    <w:p>
      <w:pPr>
        <w:spacing w:after="0" w:line="97"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The Company divides its operations into three reportable segments: U.S. Consumer, Hawthorne and Other. U.S. Consumer consists of the Company’s consumer lawn and garden business in the United States. Hawthorne consists of the Company’s indoor and hydroponic gardening business. Other primarily consists of the Company’s consumer lawn and garden business outside the United States. This identification of reportable segments is consistent with how the segments report to and are managed by the chief operating decision maker of the Company. In addition, Corporate consists of general and administrative expenses and certain other income and expense items not allocated to the business segments.</w:t>
      </w:r>
    </w:p>
    <w:p>
      <w:pPr>
        <w:spacing w:after="0" w:line="70"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performance of each reportable segment is evaluated based on several factors, including income (loss) from continuing operations before income taxes, amortization, impairment, restructuring and other charges (“Segment Profit (Loss)”). Senior management uses Segment Profit (Loss) to evaluate segment performance because the Company believes this measure is indicative of performance trends and the overall earnings potential of each segment.</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06" w:name="page107"/>
    <w:bookmarkEnd w:id="106"/>
    <w:tbl>
      <w:tblPr>
        <w:tblLayout w:type="fixed"/>
        <w:tblInd w:w="20" w:type="dxa"/>
        <w:tblCellMar>
          <w:top w:w="0" w:type="dxa"/>
          <w:left w:w="0" w:type="dxa"/>
          <w:bottom w:w="0" w:type="dxa"/>
          <w:right w:w="0" w:type="dxa"/>
        </w:tblCellMar>
      </w:tblPr>
      <w:tr>
        <w:trPr>
          <w:trHeight w:val="21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620" w:type="dxa"/>
            <w:vAlign w:val="bottom"/>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6"/>
              </w:rPr>
              <w:t>THE SCOTTS MIRACLE-GRO COMPANY</w:t>
            </w:r>
          </w:p>
        </w:tc>
      </w:tr>
      <w:tr>
        <w:trPr>
          <w:trHeight w:val="178"/>
        </w:trPr>
        <w:tc>
          <w:tcPr>
            <w:tcW w:w="1860" w:type="dxa"/>
            <w:vAlign w:val="bottom"/>
          </w:tcPr>
          <w:p>
            <w:pPr>
              <w:spacing w:after="0"/>
              <w:rPr>
                <w:sz w:val="15"/>
                <w:szCs w:val="15"/>
                <w:color w:val="auto"/>
              </w:rPr>
            </w:pPr>
          </w:p>
        </w:tc>
        <w:tc>
          <w:tcPr>
            <w:tcW w:w="6620" w:type="dxa"/>
            <w:vAlign w:val="bottom"/>
          </w:tcPr>
          <w:p>
            <w:pPr>
              <w:jc w:val="center"/>
              <w:ind w:left="778"/>
              <w:spacing w:after="0" w:line="178" w:lineRule="exact"/>
              <w:rPr>
                <w:sz w:val="20"/>
                <w:szCs w:val="20"/>
                <w:color w:val="auto"/>
              </w:rPr>
            </w:pPr>
            <w:r>
              <w:rPr>
                <w:rFonts w:ascii="Times New Roman" w:cs="Times New Roman" w:eastAsia="Times New Roman" w:hAnsi="Times New Roman"/>
                <w:sz w:val="18"/>
                <w:szCs w:val="18"/>
                <w:b w:val="1"/>
                <w:bCs w:val="1"/>
                <w:color w:val="auto"/>
                <w:w w:val="96"/>
              </w:rPr>
              <w:t>NOTES TO CONSOLIDATED FINANCIAL STATEMENTS — (Continued)</w:t>
            </w:r>
          </w:p>
        </w:tc>
      </w:tr>
      <w:tr>
        <w:trPr>
          <w:trHeight w:val="185"/>
        </w:trPr>
        <w:tc>
          <w:tcPr>
            <w:tcW w:w="1860" w:type="dxa"/>
            <w:vAlign w:val="bottom"/>
          </w:tcPr>
          <w:p>
            <w:pPr>
              <w:spacing w:after="0"/>
              <w:rPr>
                <w:sz w:val="16"/>
                <w:szCs w:val="16"/>
                <w:color w:val="auto"/>
              </w:rPr>
            </w:pPr>
          </w:p>
        </w:tc>
        <w:tc>
          <w:tcPr>
            <w:tcW w:w="6620" w:type="dxa"/>
            <w:vAlign w:val="bottom"/>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present financial information for the Company’s reportable segments for the periods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60" w:type="dxa"/>
            <w:vAlign w:val="bottom"/>
            <w:gridSpan w:val="7"/>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w w:val="99"/>
              </w:rPr>
              <w:t>Year Ended September 30,</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tcBorders>
              <w:bottom w:val="single" w:sz="8" w:color="CCEEFF"/>
            </w:tcBorders>
          </w:tcPr>
          <w:p>
            <w:pPr>
              <w:spacing w:after="0"/>
              <w:rPr>
                <w:sz w:val="16"/>
                <w:szCs w:val="16"/>
                <w:color w:val="auto"/>
              </w:rPr>
            </w:pPr>
          </w:p>
        </w:tc>
        <w:tc>
          <w:tcPr>
            <w:tcW w:w="66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U.S. Consumer</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3,197.7</w:t>
            </w:r>
          </w:p>
        </w:tc>
        <w:tc>
          <w:tcPr>
            <w:tcW w:w="520" w:type="dxa"/>
            <w:vAlign w:val="bottom"/>
            <w:gridSpan w:val="3"/>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Hawthorne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6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303.1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66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Consolidated</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3,924.1</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4,925.0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Segment Profit (Loss):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continue"/>
          </w:tcPr>
          <w:p>
            <w:pPr>
              <w:spacing w:after="0"/>
              <w:rPr>
                <w:sz w:val="14"/>
                <w:szCs w:val="14"/>
                <w:color w:val="auto"/>
              </w:rPr>
            </w:pPr>
          </w:p>
        </w:tc>
        <w:tc>
          <w:tcPr>
            <w:tcW w:w="66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 Consumer</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726.7</w:t>
            </w:r>
          </w:p>
        </w:tc>
        <w:tc>
          <w:tcPr>
            <w:tcW w:w="520" w:type="dxa"/>
            <w:vAlign w:val="bottom"/>
            <w:gridSpan w:val="3"/>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Hawthorne</w:t>
            </w:r>
          </w:p>
        </w:tc>
        <w:tc>
          <w:tcPr>
            <w:tcW w:w="3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Segment Profit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3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Equity in income (loss) of unconsolidated affiliates</w:t>
            </w:r>
          </w:p>
        </w:tc>
        <w:tc>
          <w:tcPr>
            <w:tcW w:w="3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Costs related to refinancing</w:t>
            </w:r>
          </w:p>
        </w:tc>
        <w:tc>
          <w:tcPr>
            <w:tcW w:w="3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non-operating income, net</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66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U.S. Consumer</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48.6</w:t>
            </w:r>
          </w:p>
        </w:tc>
        <w:tc>
          <w:tcPr>
            <w:tcW w:w="520" w:type="dxa"/>
            <w:vAlign w:val="bottom"/>
            <w:gridSpan w:val="3"/>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Hawthorne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66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U.S. Consumer</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78.3</w:t>
            </w:r>
          </w:p>
        </w:tc>
        <w:tc>
          <w:tcPr>
            <w:tcW w:w="520" w:type="dxa"/>
            <w:vAlign w:val="bottom"/>
            <w:gridSpan w:val="3"/>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Hawthorne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6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66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gridSpan w:val="5"/>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68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Consumer</w:t>
            </w:r>
          </w:p>
        </w:tc>
        <w:tc>
          <w:tcPr>
            <w:tcW w:w="34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2,454.4</w:t>
            </w:r>
          </w:p>
        </w:tc>
        <w:tc>
          <w:tcPr>
            <w:tcW w:w="80" w:type="dxa"/>
            <w:vAlign w:val="bottom"/>
          </w:tcPr>
          <w:p>
            <w:pPr>
              <w:spacing w:after="0"/>
              <w:rPr>
                <w:sz w:val="19"/>
                <w:szCs w:val="19"/>
                <w:color w:val="auto"/>
              </w:rPr>
            </w:pPr>
          </w:p>
        </w:tc>
        <w:tc>
          <w:tcPr>
            <w:tcW w:w="520" w:type="dxa"/>
            <w:vAlign w:val="bottom"/>
            <w:gridSpan w:val="3"/>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Hawthorne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209.6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814.5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Consolidated</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4,296.8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bottom w:val="single" w:sz="8" w:color="auto"/>
            </w:tcBorders>
            <w:gridSpan w:val="2"/>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12"/>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FFFFFF"/>
              </w:rPr>
              <w:t>Table of Contents</w:t>
            </w:r>
          </w:p>
        </w:tc>
        <w:tc>
          <w:tcPr>
            <w:tcW w:w="460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THE SCOTTS MIRACLE-GRO COMPANY</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78"/>
        </w:trPr>
        <w:tc>
          <w:tcPr>
            <w:tcW w:w="8600" w:type="dxa"/>
            <w:vAlign w:val="bottom"/>
            <w:gridSpan w:val="10"/>
          </w:tcPr>
          <w:p>
            <w:pPr>
              <w:jc w:val="center"/>
              <w:ind w:left="2553"/>
              <w:spacing w:after="0" w:line="178" w:lineRule="exact"/>
              <w:rPr>
                <w:sz w:val="20"/>
                <w:szCs w:val="20"/>
                <w:color w:val="auto"/>
              </w:rPr>
            </w:pPr>
            <w:r>
              <w:rPr>
                <w:rFonts w:ascii="Times New Roman" w:cs="Times New Roman" w:eastAsia="Times New Roman" w:hAnsi="Times New Roman"/>
                <w:sz w:val="18"/>
                <w:szCs w:val="18"/>
                <w:b w:val="1"/>
                <w:bCs w:val="1"/>
                <w:color w:val="auto"/>
                <w:w w:val="96"/>
              </w:rPr>
              <w:t>NOTES TO CONSOLIDATED FINANCIAL STATEMENTS — (Continued)</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5"/>
        </w:trPr>
        <w:tc>
          <w:tcPr>
            <w:tcW w:w="3520" w:type="dxa"/>
            <w:vAlign w:val="bottom"/>
          </w:tcPr>
          <w:p>
            <w:pPr>
              <w:spacing w:after="0"/>
              <w:rPr>
                <w:sz w:val="16"/>
                <w:szCs w:val="16"/>
                <w:color w:val="auto"/>
              </w:rPr>
            </w:pPr>
          </w:p>
        </w:tc>
        <w:tc>
          <w:tcPr>
            <w:tcW w:w="3460" w:type="dxa"/>
            <w:vAlign w:val="bottom"/>
            <w:gridSpan w:val="3"/>
          </w:tcPr>
          <w:p>
            <w:pPr>
              <w:jc w:val="center"/>
              <w:ind w:left="678"/>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840"/>
        </w:trPr>
        <w:tc>
          <w:tcPr>
            <w:tcW w:w="698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The following table presents net sales by product category for the periods indicated: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0"/>
        </w:trPr>
        <w:tc>
          <w:tcPr>
            <w:tcW w:w="35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Year Ended September 30,</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4"/>
        </w:trPr>
        <w:tc>
          <w:tcPr>
            <w:tcW w:w="35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3520" w:type="dxa"/>
            <w:vAlign w:val="bottom"/>
            <w:tcBorders>
              <w:bottom w:val="single" w:sz="8" w:color="CCEEFF"/>
            </w:tcBorders>
          </w:tcPr>
          <w:p>
            <w:pPr>
              <w:spacing w:after="0"/>
              <w:rPr>
                <w:sz w:val="16"/>
                <w:szCs w:val="16"/>
                <w:color w:val="auto"/>
              </w:rPr>
            </w:pPr>
          </w:p>
        </w:tc>
        <w:tc>
          <w:tcPr>
            <w:tcW w:w="294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Consumer:</w:t>
            </w:r>
          </w:p>
        </w:tc>
        <w:tc>
          <w:tcPr>
            <w:tcW w:w="2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3"/>
        </w:trPr>
        <w:tc>
          <w:tcPr>
            <w:tcW w:w="3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Growing media and mulch</w:t>
            </w:r>
          </w:p>
        </w:tc>
        <w:tc>
          <w:tcPr>
            <w:tcW w:w="3460" w:type="dxa"/>
            <w:vAlign w:val="bottom"/>
            <w:gridSpan w:val="3"/>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1,192.6</w:t>
            </w:r>
          </w:p>
        </w:tc>
        <w:tc>
          <w:tcPr>
            <w:tcW w:w="48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1,286.7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1,164.0</w:t>
            </w:r>
          </w:p>
        </w:tc>
      </w:tr>
      <w:tr>
        <w:trPr>
          <w:trHeight w:val="223"/>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Lawn care</w:t>
            </w:r>
          </w:p>
        </w:tc>
        <w:tc>
          <w:tcPr>
            <w:tcW w:w="2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973.6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1,060.6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943.3</w:t>
            </w:r>
          </w:p>
        </w:tc>
      </w:tr>
      <w:tr>
        <w:trPr>
          <w:trHeight w:val="223"/>
        </w:trPr>
        <w:tc>
          <w:tcPr>
            <w:tcW w:w="3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Controls</w:t>
            </w:r>
          </w:p>
        </w:tc>
        <w:tc>
          <w:tcPr>
            <w:tcW w:w="2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382.2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w:t>
            </w:r>
          </w:p>
        </w:tc>
      </w:tr>
      <w:tr>
        <w:trPr>
          <w:trHeight w:val="223"/>
        </w:trPr>
        <w:tc>
          <w:tcPr>
            <w:tcW w:w="3520" w:type="dxa"/>
            <w:vAlign w:val="bottom"/>
            <w:shd w:val="clear" w:color="auto" w:fill="CCEEFF"/>
          </w:tcPr>
          <w:p>
            <w:pPr>
              <w:ind w:left="340"/>
              <w:spacing w:after="0" w:line="223" w:lineRule="exact"/>
              <w:rPr>
                <w:sz w:val="20"/>
                <w:szCs w:val="20"/>
                <w:color w:val="auto"/>
              </w:rPr>
            </w:pPr>
            <w:r>
              <w:rPr>
                <w:rFonts w:ascii="Times New Roman" w:cs="Times New Roman" w:eastAsia="Times New Roman" w:hAnsi="Times New Roman"/>
                <w:sz w:val="18"/>
                <w:szCs w:val="18"/>
                <w:color w:val="auto"/>
              </w:rPr>
              <w:t>Roundup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marketing agreement</w:t>
            </w:r>
          </w:p>
        </w:tc>
        <w:tc>
          <w:tcPr>
            <w:tcW w:w="2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r>
      <w:tr>
        <w:trPr>
          <w:trHeight w:val="223"/>
        </w:trPr>
        <w:tc>
          <w:tcPr>
            <w:tcW w:w="3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primarily gardening</w:t>
            </w:r>
          </w:p>
        </w:tc>
        <w:tc>
          <w:tcPr>
            <w:tcW w:w="2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248.1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w:t>
            </w:r>
          </w:p>
        </w:tc>
      </w:tr>
      <w:tr>
        <w:trPr>
          <w:trHeight w:val="22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Hawthorne:</w:t>
            </w:r>
          </w:p>
        </w:tc>
        <w:tc>
          <w:tcPr>
            <w:tcW w:w="2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3"/>
        </w:trPr>
        <w:tc>
          <w:tcPr>
            <w:tcW w:w="3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Lighting</w:t>
            </w:r>
          </w:p>
        </w:tc>
        <w:tc>
          <w:tcPr>
            <w:tcW w:w="2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w:t>
            </w:r>
          </w:p>
        </w:tc>
      </w:tr>
      <w:tr>
        <w:trPr>
          <w:trHeight w:val="223"/>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Nutrients</w:t>
            </w:r>
          </w:p>
        </w:tc>
        <w:tc>
          <w:tcPr>
            <w:tcW w:w="2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w:t>
            </w:r>
          </w:p>
        </w:tc>
      </w:tr>
      <w:tr>
        <w:trPr>
          <w:trHeight w:val="223"/>
        </w:trPr>
        <w:tc>
          <w:tcPr>
            <w:tcW w:w="3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Growing environment</w:t>
            </w:r>
          </w:p>
        </w:tc>
        <w:tc>
          <w:tcPr>
            <w:tcW w:w="2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143.7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r>
      <w:tr>
        <w:trPr>
          <w:trHeight w:val="223"/>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Growing media</w:t>
            </w:r>
          </w:p>
        </w:tc>
        <w:tc>
          <w:tcPr>
            <w:tcW w:w="2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r>
      <w:tr>
        <w:trPr>
          <w:trHeight w:val="223"/>
        </w:trPr>
        <w:tc>
          <w:tcPr>
            <w:tcW w:w="3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primarily hardware</w:t>
            </w:r>
          </w:p>
        </w:tc>
        <w:tc>
          <w:tcPr>
            <w:tcW w:w="2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105.5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r>
      <w:tr>
        <w:trPr>
          <w:trHeight w:val="22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3"/>
        </w:trPr>
        <w:tc>
          <w:tcPr>
            <w:tcW w:w="3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Growing media</w:t>
            </w:r>
          </w:p>
        </w:tc>
        <w:tc>
          <w:tcPr>
            <w:tcW w:w="2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96.6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223"/>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Lawn care</w:t>
            </w:r>
          </w:p>
        </w:tc>
        <w:tc>
          <w:tcPr>
            <w:tcW w:w="2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23"/>
        </w:trPr>
        <w:tc>
          <w:tcPr>
            <w:tcW w:w="3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primarily gardening and controls</w:t>
            </w:r>
          </w:p>
        </w:tc>
        <w:tc>
          <w:tcPr>
            <w:tcW w:w="29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89.6</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242"/>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9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3,924.1</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4,925.0</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4,131.6</w:t>
            </w:r>
          </w:p>
        </w:tc>
      </w:tr>
      <w:tr>
        <w:trPr>
          <w:trHeight w:val="20"/>
        </w:trPr>
        <w:tc>
          <w:tcPr>
            <w:tcW w:w="646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419"/>
        </w:trPr>
        <w:tc>
          <w:tcPr>
            <w:tcW w:w="9820" w:type="dxa"/>
            <w:vAlign w:val="bottom"/>
            <w:gridSpan w:val="14"/>
          </w:tcPr>
          <w:p>
            <w:pPr>
              <w:ind w:left="440"/>
              <w:spacing w:after="0"/>
              <w:rPr>
                <w:sz w:val="20"/>
                <w:szCs w:val="20"/>
                <w:color w:val="auto"/>
              </w:rPr>
            </w:pPr>
            <w:r>
              <w:rPr>
                <w:rFonts w:ascii="Times New Roman" w:cs="Times New Roman" w:eastAsia="Times New Roman" w:hAnsi="Times New Roman"/>
                <w:sz w:val="18"/>
                <w:szCs w:val="18"/>
                <w:color w:val="auto"/>
                <w:w w:val="98"/>
              </w:rPr>
              <w:t>The Company’s two largest customers accounted for the following percentages of net sales for the fiscal years ended September 30:</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58"/>
        </w:trPr>
        <w:tc>
          <w:tcPr>
            <w:tcW w:w="35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Percentage of Net Sales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
        </w:trPr>
        <w:tc>
          <w:tcPr>
            <w:tcW w:w="35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3520" w:type="dxa"/>
            <w:vAlign w:val="bottom"/>
            <w:tcBorders>
              <w:bottom w:val="single" w:sz="8" w:color="CCEEFF"/>
            </w:tcBorders>
          </w:tcPr>
          <w:p>
            <w:pPr>
              <w:spacing w:after="0"/>
              <w:rPr>
                <w:sz w:val="16"/>
                <w:szCs w:val="16"/>
                <w:color w:val="auto"/>
              </w:rPr>
            </w:pPr>
          </w:p>
        </w:tc>
        <w:tc>
          <w:tcPr>
            <w:tcW w:w="29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Depot</w:t>
            </w:r>
          </w:p>
        </w:tc>
        <w:tc>
          <w:tcPr>
            <w:tcW w:w="2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28"/>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Lowe’s</w:t>
            </w:r>
          </w:p>
        </w:tc>
        <w:tc>
          <w:tcPr>
            <w:tcW w:w="2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bl>
    <w:p>
      <w:pPr>
        <w:spacing w:after="0" w:line="69"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Accounts receivable for these two largest customers as a percentage of consolidated accounts receivable were 46% and 42% as of September 30, 2022 and 2021, respectively.</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net sales by geographic area for the periods indicated: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Year Ended September 30,</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3"/>
        </w:trPr>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3,554.6</w:t>
            </w:r>
          </w:p>
        </w:tc>
        <w:tc>
          <w:tcPr>
            <w:tcW w:w="46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4,507.0</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3,773.4</w:t>
            </w:r>
          </w:p>
        </w:tc>
      </w:tr>
      <w:tr>
        <w:trPr>
          <w:trHeight w:val="223"/>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w:t>
            </w:r>
          </w:p>
        </w:tc>
      </w:tr>
      <w:tr>
        <w:trPr>
          <w:trHeight w:val="217"/>
        </w:trPr>
        <w:tc>
          <w:tcPr>
            <w:tcW w:w="674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3,924.1</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4,925.0</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4,131.6</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than the United States, no other country accounted for more than 10% of the Company’s net sales for any period presented above.</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long-lived assets (property, plant and equipment and finite-lived intangibles) by geographic area: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Pr>
          <w:p>
            <w:pPr>
              <w:spacing w:after="0"/>
              <w:rPr>
                <w:sz w:val="16"/>
                <w:szCs w:val="16"/>
                <w:color w:val="auto"/>
              </w:rPr>
            </w:pPr>
          </w:p>
        </w:tc>
      </w:tr>
      <w:tr>
        <w:trPr>
          <w:trHeight w:val="24"/>
        </w:trPr>
        <w:tc>
          <w:tcPr>
            <w:tcW w:w="80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4"/>
        </w:trPr>
        <w:tc>
          <w:tcPr>
            <w:tcW w:w="80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assets: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3"/>
        </w:trPr>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w:t>
            </w:r>
          </w:p>
        </w:tc>
        <w:tc>
          <w:tcPr>
            <w:tcW w:w="980" w:type="dxa"/>
            <w:vAlign w:val="bottom"/>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753.3</w:t>
            </w:r>
          </w:p>
        </w:tc>
        <w:tc>
          <w:tcPr>
            <w:tcW w:w="12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868.8</w:t>
            </w:r>
          </w:p>
        </w:tc>
      </w:tr>
      <w:tr>
        <w:trPr>
          <w:trHeight w:val="223"/>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International</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r>
      <w:tr>
        <w:trPr>
          <w:trHeight w:val="217"/>
        </w:trPr>
        <w:tc>
          <w:tcPr>
            <w:tcW w:w="8060" w:type="dxa"/>
            <w:vAlign w:val="bottom"/>
          </w:tcPr>
          <w:p>
            <w:pPr>
              <w:spacing w:after="0"/>
              <w:rPr>
                <w:sz w:val="18"/>
                <w:szCs w:val="18"/>
                <w:color w:val="auto"/>
              </w:rPr>
            </w:pPr>
          </w:p>
        </w:tc>
        <w:tc>
          <w:tcPr>
            <w:tcW w:w="980" w:type="dxa"/>
            <w:vAlign w:val="bottom"/>
            <w:tcBorders>
              <w:bottom w:val="single" w:sz="8" w:color="auto"/>
            </w:tcBorders>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862.3</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1,007.9</w:t>
            </w:r>
          </w:p>
        </w:tc>
      </w:tr>
      <w:tr>
        <w:trPr>
          <w:trHeight w:val="20"/>
        </w:trPr>
        <w:tc>
          <w:tcPr>
            <w:tcW w:w="8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Schedule II—Valuation and Qualifying Accounts</w:t>
      </w:r>
    </w:p>
    <w:p>
      <w:pPr>
        <w:spacing w:after="0" w:line="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30, 2022</w:t>
      </w:r>
    </w:p>
    <w:p>
      <w:pPr>
        <w:sectPr>
          <w:pgSz w:w="11900" w:h="16838" w:orient="portrait"/>
          <w:cols w:equalWidth="0" w:num="1">
            <w:col w:w="11200"/>
          </w:cols>
          <w:pgMar w:left="320" w:top="121" w:right="379" w:bottom="1440" w:gutter="0" w:footer="0" w:header="0"/>
        </w:sectPr>
      </w:pP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Column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30480</wp:posOffset>
            </wp:positionV>
            <wp:extent cx="359727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597275"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30480</wp:posOffset>
            </wp:positionV>
            <wp:extent cx="35972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597275" cy="8255"/>
                    </a:xfrm>
                    <a:prstGeom prst="rect">
                      <a:avLst/>
                    </a:prstGeom>
                    <a:noFill/>
                  </pic:spPr>
                </pic:pic>
              </a:graphicData>
            </a:graphic>
          </wp:anchor>
        </w:drawing>
      </w:r>
    </w:p>
    <w:p>
      <w:pPr>
        <w:spacing w:after="0" w:line="233" w:lineRule="exact"/>
        <w:rPr>
          <w:sz w:val="20"/>
          <w:szCs w:val="20"/>
          <w:color w:val="auto"/>
        </w:rPr>
      </w:pPr>
    </w:p>
    <w:p>
      <w:pPr>
        <w:ind w:left="60"/>
        <w:spacing w:after="0" w:line="231" w:lineRule="auto"/>
        <w:rPr>
          <w:sz w:val="20"/>
          <w:szCs w:val="20"/>
          <w:color w:val="auto"/>
        </w:rPr>
      </w:pPr>
      <w:r>
        <w:rPr>
          <w:rFonts w:ascii="Times New Roman" w:cs="Times New Roman" w:eastAsia="Times New Roman" w:hAnsi="Times New Roman"/>
          <w:sz w:val="18"/>
          <w:szCs w:val="18"/>
          <w:color w:val="auto"/>
        </w:rPr>
        <w:t>Valuation and qualifying accounts deducted from the assets to which they apply: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Allowance for doubtful accounts</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Income tax valuation allowance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Column B</w:t>
            </w:r>
          </w:p>
        </w:tc>
        <w:tc>
          <w:tcPr>
            <w:tcW w:w="160" w:type="dxa"/>
            <w:vAlign w:val="bottom"/>
          </w:tcPr>
          <w:p>
            <w:pPr>
              <w:spacing w:after="0"/>
              <w:rPr>
                <w:sz w:val="16"/>
                <w:szCs w:val="16"/>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Column C</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Column D</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Column E</w:t>
            </w:r>
          </w:p>
        </w:tc>
        <w:tc>
          <w:tcPr>
            <w:tcW w:w="160" w:type="dxa"/>
            <w:vAlign w:val="bottom"/>
          </w:tcPr>
          <w:p>
            <w:pPr>
              <w:spacing w:after="0"/>
              <w:rPr>
                <w:sz w:val="16"/>
                <w:szCs w:val="16"/>
                <w:color w:val="auto"/>
              </w:rPr>
            </w:pPr>
          </w:p>
        </w:tc>
        <w:tc>
          <w:tcPr>
            <w:tcW w:w="84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9"/>
              </w:rPr>
              <w:t>Column F</w:t>
            </w:r>
          </w:p>
        </w:tc>
        <w:tc>
          <w:tcPr>
            <w:tcW w:w="0" w:type="dxa"/>
            <w:vAlign w:val="bottom"/>
          </w:tcPr>
          <w:p>
            <w:pPr>
              <w:spacing w:after="0"/>
              <w:rPr>
                <w:sz w:val="1"/>
                <w:szCs w:val="1"/>
                <w:color w:val="auto"/>
              </w:rPr>
            </w:pPr>
          </w:p>
        </w:tc>
      </w:tr>
      <w:tr>
        <w:trPr>
          <w:trHeight w:val="24"/>
        </w:trPr>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40" w:type="dxa"/>
            <w:vAlign w:val="bottom"/>
          </w:tcPr>
          <w:p>
            <w:pPr>
              <w:spacing w:after="0"/>
              <w:rPr>
                <w:sz w:val="10"/>
                <w:szCs w:val="10"/>
                <w:color w:val="auto"/>
              </w:rPr>
            </w:pPr>
          </w:p>
        </w:tc>
        <w:tc>
          <w:tcPr>
            <w:tcW w:w="840" w:type="dxa"/>
            <w:vAlign w:val="bottom"/>
          </w:tcPr>
          <w:p>
            <w:pPr>
              <w:jc w:val="center"/>
              <w:ind w:right="65"/>
              <w:spacing w:after="0" w:line="127" w:lineRule="exact"/>
              <w:rPr>
                <w:sz w:val="20"/>
                <w:szCs w:val="20"/>
                <w:color w:val="auto"/>
              </w:rPr>
            </w:pPr>
            <w:r>
              <w:rPr>
                <w:rFonts w:ascii="Times New Roman" w:cs="Times New Roman" w:eastAsia="Times New Roman" w:hAnsi="Times New Roman"/>
                <w:sz w:val="14"/>
                <w:szCs w:val="14"/>
                <w:b w:val="1"/>
                <w:bCs w:val="1"/>
                <w:color w:val="auto"/>
                <w:w w:val="96"/>
              </w:rPr>
              <w:t>Balance</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26"/>
              <w:spacing w:after="0" w:line="127" w:lineRule="exact"/>
              <w:rPr>
                <w:sz w:val="20"/>
                <w:szCs w:val="20"/>
                <w:color w:val="auto"/>
              </w:rPr>
            </w:pPr>
            <w:r>
              <w:rPr>
                <w:rFonts w:ascii="Times New Roman" w:cs="Times New Roman" w:eastAsia="Times New Roman" w:hAnsi="Times New Roman"/>
                <w:sz w:val="14"/>
                <w:szCs w:val="14"/>
                <w:b w:val="1"/>
                <w:bCs w:val="1"/>
                <w:color w:val="auto"/>
                <w:w w:val="99"/>
              </w:rPr>
              <w:t>Additions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65"/>
              <w:spacing w:after="0" w:line="127" w:lineRule="exact"/>
              <w:rPr>
                <w:sz w:val="20"/>
                <w:szCs w:val="20"/>
                <w:color w:val="auto"/>
              </w:rPr>
            </w:pPr>
            <w:r>
              <w:rPr>
                <w:rFonts w:ascii="Times New Roman" w:cs="Times New Roman" w:eastAsia="Times New Roman" w:hAnsi="Times New Roman"/>
                <w:sz w:val="14"/>
                <w:szCs w:val="14"/>
                <w:b w:val="1"/>
                <w:bCs w:val="1"/>
                <w:color w:val="auto"/>
              </w:rPr>
              <w:t>Deductions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vMerge w:val="restart"/>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3"/>
        </w:trPr>
        <w:tc>
          <w:tcPr>
            <w:tcW w:w="140" w:type="dxa"/>
            <w:vAlign w:val="bottom"/>
          </w:tcPr>
          <w:p>
            <w:pPr>
              <w:spacing w:after="0"/>
              <w:rPr>
                <w:sz w:val="12"/>
                <w:szCs w:val="12"/>
                <w:color w:val="auto"/>
              </w:rPr>
            </w:pPr>
          </w:p>
        </w:tc>
        <w:tc>
          <w:tcPr>
            <w:tcW w:w="94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at</w:t>
            </w:r>
          </w:p>
        </w:tc>
        <w:tc>
          <w:tcPr>
            <w:tcW w:w="160" w:type="dxa"/>
            <w:vAlign w:val="bottom"/>
          </w:tcPr>
          <w:p>
            <w:pPr>
              <w:spacing w:after="0"/>
              <w:rPr>
                <w:sz w:val="12"/>
                <w:szCs w:val="12"/>
                <w:color w:val="auto"/>
              </w:rPr>
            </w:pPr>
          </w:p>
        </w:tc>
        <w:tc>
          <w:tcPr>
            <w:tcW w:w="106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Reserves</w:t>
            </w:r>
          </w:p>
        </w:tc>
        <w:tc>
          <w:tcPr>
            <w:tcW w:w="98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Charged</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8"/>
              </w:rPr>
              <w:t>Credited</w:t>
            </w: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0" w:type="dxa"/>
            <w:vAlign w:val="bottom"/>
          </w:tcPr>
          <w:p>
            <w:pPr>
              <w:spacing w:after="0"/>
              <w:rPr>
                <w:sz w:val="12"/>
                <w:szCs w:val="12"/>
                <w:color w:val="auto"/>
              </w:rPr>
            </w:pPr>
          </w:p>
        </w:tc>
        <w:tc>
          <w:tcPr>
            <w:tcW w:w="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9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to</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and</w:t>
            </w:r>
          </w:p>
        </w:tc>
        <w:tc>
          <w:tcPr>
            <w:tcW w:w="160" w:type="dxa"/>
            <w:vAlign w:val="bottom"/>
          </w:tcPr>
          <w:p>
            <w:pPr>
              <w:spacing w:after="0"/>
              <w:rPr>
                <w:sz w:val="12"/>
                <w:szCs w:val="12"/>
                <w:color w:val="auto"/>
              </w:rPr>
            </w:pPr>
          </w:p>
        </w:tc>
        <w:tc>
          <w:tcPr>
            <w:tcW w:w="840" w:type="dxa"/>
            <w:vAlign w:val="bottom"/>
          </w:tcPr>
          <w:p>
            <w:pPr>
              <w:jc w:val="center"/>
              <w:ind w:right="84"/>
              <w:spacing w:after="0" w:line="145" w:lineRule="exact"/>
              <w:rPr>
                <w:sz w:val="20"/>
                <w:szCs w:val="20"/>
                <w:color w:val="auto"/>
              </w:rPr>
            </w:pPr>
            <w:r>
              <w:rPr>
                <w:rFonts w:ascii="Times New Roman" w:cs="Times New Roman" w:eastAsia="Times New Roman" w:hAnsi="Times New Roman"/>
                <w:sz w:val="14"/>
                <w:szCs w:val="14"/>
                <w:b w:val="1"/>
                <w:bCs w:val="1"/>
                <w:color w:val="auto"/>
              </w:rPr>
              <w:t>at End of</w:t>
            </w:r>
          </w:p>
        </w:tc>
        <w:tc>
          <w:tcPr>
            <w:tcW w:w="0" w:type="dxa"/>
            <w:vAlign w:val="bottom"/>
          </w:tcPr>
          <w:p>
            <w:pPr>
              <w:spacing w:after="0"/>
              <w:rPr>
                <w:sz w:val="1"/>
                <w:szCs w:val="1"/>
                <w:color w:val="auto"/>
              </w:rPr>
            </w:pPr>
          </w:p>
        </w:tc>
      </w:tr>
      <w:tr>
        <w:trPr>
          <w:trHeight w:val="192"/>
        </w:trPr>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of Period</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Acquired</w:t>
            </w:r>
          </w:p>
        </w:tc>
        <w:tc>
          <w:tcPr>
            <w:tcW w:w="9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Write-Offs</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8"/>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8"/>
        </w:trPr>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-541655</wp:posOffset>
            </wp:positionV>
            <wp:extent cx="7085965" cy="2584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85965" cy="25844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-140970</wp:posOffset>
            </wp:positionV>
            <wp:extent cx="7085965" cy="1416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85965" cy="1416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600"/>
            <w:col w:w="5380"/>
          </w:cols>
          <w:pgMar w:left="320" w:top="121" w:right="379" w:bottom="1440" w:gutter="0" w:footer="0" w:header="0"/>
          <w:type w:val="continuous"/>
        </w:sect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Schedule II—Valuation and Qualifying Accounts</w:t>
      </w:r>
    </w:p>
    <w:p>
      <w:pPr>
        <w:spacing w:after="0" w:line="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30, 2021</w:t>
      </w:r>
    </w:p>
    <w:p>
      <w:pPr>
        <w:sectPr>
          <w:pgSz w:w="11900" w:h="16838" w:orient="portrait"/>
          <w:cols w:equalWidth="0" w:num="1">
            <w:col w:w="11200"/>
          </w:cols>
          <w:pgMar w:left="320" w:top="121" w:right="379" w:bottom="1440" w:gutter="0" w:footer="0" w:header="0"/>
          <w:type w:val="continuous"/>
        </w:sectPr>
      </w:pP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Column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30480</wp:posOffset>
            </wp:positionV>
            <wp:extent cx="35972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597275"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30480</wp:posOffset>
            </wp:positionV>
            <wp:extent cx="35972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597275" cy="8255"/>
                    </a:xfrm>
                    <a:prstGeom prst="rect">
                      <a:avLst/>
                    </a:prstGeom>
                    <a:noFill/>
                  </pic:spPr>
                </pic:pic>
              </a:graphicData>
            </a:graphic>
          </wp:anchor>
        </w:drawing>
      </w:r>
    </w:p>
    <w:p>
      <w:pPr>
        <w:spacing w:after="0" w:line="233" w:lineRule="exact"/>
        <w:rPr>
          <w:sz w:val="20"/>
          <w:szCs w:val="20"/>
          <w:color w:val="auto"/>
        </w:rPr>
      </w:pPr>
    </w:p>
    <w:p>
      <w:pPr>
        <w:ind w:left="60"/>
        <w:spacing w:after="0" w:line="231" w:lineRule="auto"/>
        <w:rPr>
          <w:sz w:val="20"/>
          <w:szCs w:val="20"/>
          <w:color w:val="auto"/>
        </w:rPr>
      </w:pPr>
      <w:r>
        <w:rPr>
          <w:rFonts w:ascii="Times New Roman" w:cs="Times New Roman" w:eastAsia="Times New Roman" w:hAnsi="Times New Roman"/>
          <w:sz w:val="18"/>
          <w:szCs w:val="18"/>
          <w:color w:val="auto"/>
        </w:rPr>
        <w:t>Valuation and qualifying accounts deducted from the assets to which they apply: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Allowance for doubtful accounts</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Income tax valuation allowance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Column B</w:t>
            </w:r>
          </w:p>
        </w:tc>
        <w:tc>
          <w:tcPr>
            <w:tcW w:w="160" w:type="dxa"/>
            <w:vAlign w:val="bottom"/>
          </w:tcPr>
          <w:p>
            <w:pPr>
              <w:spacing w:after="0"/>
              <w:rPr>
                <w:sz w:val="16"/>
                <w:szCs w:val="16"/>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Column C</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Column D</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Column E</w:t>
            </w:r>
          </w:p>
        </w:tc>
        <w:tc>
          <w:tcPr>
            <w:tcW w:w="160" w:type="dxa"/>
            <w:vAlign w:val="bottom"/>
          </w:tcPr>
          <w:p>
            <w:pPr>
              <w:spacing w:after="0"/>
              <w:rPr>
                <w:sz w:val="16"/>
                <w:szCs w:val="16"/>
                <w:color w:val="auto"/>
              </w:rPr>
            </w:pPr>
          </w:p>
        </w:tc>
        <w:tc>
          <w:tcPr>
            <w:tcW w:w="84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9"/>
              </w:rPr>
              <w:t>Column F</w:t>
            </w:r>
          </w:p>
        </w:tc>
        <w:tc>
          <w:tcPr>
            <w:tcW w:w="0" w:type="dxa"/>
            <w:vAlign w:val="bottom"/>
          </w:tcPr>
          <w:p>
            <w:pPr>
              <w:spacing w:after="0"/>
              <w:rPr>
                <w:sz w:val="1"/>
                <w:szCs w:val="1"/>
                <w:color w:val="auto"/>
              </w:rPr>
            </w:pPr>
          </w:p>
        </w:tc>
      </w:tr>
      <w:tr>
        <w:trPr>
          <w:trHeight w:val="24"/>
        </w:trPr>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140" w:type="dxa"/>
            <w:vAlign w:val="bottom"/>
          </w:tcPr>
          <w:p>
            <w:pPr>
              <w:spacing w:after="0"/>
              <w:rPr>
                <w:sz w:val="10"/>
                <w:szCs w:val="10"/>
                <w:color w:val="auto"/>
              </w:rPr>
            </w:pPr>
          </w:p>
        </w:tc>
        <w:tc>
          <w:tcPr>
            <w:tcW w:w="840" w:type="dxa"/>
            <w:vAlign w:val="bottom"/>
          </w:tcPr>
          <w:p>
            <w:pPr>
              <w:jc w:val="center"/>
              <w:ind w:right="65"/>
              <w:spacing w:after="0" w:line="125" w:lineRule="exact"/>
              <w:rPr>
                <w:sz w:val="20"/>
                <w:szCs w:val="20"/>
                <w:color w:val="auto"/>
              </w:rPr>
            </w:pPr>
            <w:r>
              <w:rPr>
                <w:rFonts w:ascii="Times New Roman" w:cs="Times New Roman" w:eastAsia="Times New Roman" w:hAnsi="Times New Roman"/>
                <w:sz w:val="14"/>
                <w:szCs w:val="14"/>
                <w:b w:val="1"/>
                <w:bCs w:val="1"/>
                <w:color w:val="auto"/>
                <w:w w:val="96"/>
              </w:rPr>
              <w:t>Balance</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26"/>
              <w:spacing w:after="0" w:line="125" w:lineRule="exact"/>
              <w:rPr>
                <w:sz w:val="20"/>
                <w:szCs w:val="20"/>
                <w:color w:val="auto"/>
              </w:rPr>
            </w:pPr>
            <w:r>
              <w:rPr>
                <w:rFonts w:ascii="Times New Roman" w:cs="Times New Roman" w:eastAsia="Times New Roman" w:hAnsi="Times New Roman"/>
                <w:sz w:val="14"/>
                <w:szCs w:val="14"/>
                <w:b w:val="1"/>
                <w:bCs w:val="1"/>
                <w:color w:val="auto"/>
                <w:w w:val="99"/>
              </w:rPr>
              <w:t>Additions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65"/>
              <w:spacing w:after="0" w:line="125" w:lineRule="exact"/>
              <w:rPr>
                <w:sz w:val="20"/>
                <w:szCs w:val="20"/>
                <w:color w:val="auto"/>
              </w:rPr>
            </w:pPr>
            <w:r>
              <w:rPr>
                <w:rFonts w:ascii="Times New Roman" w:cs="Times New Roman" w:eastAsia="Times New Roman" w:hAnsi="Times New Roman"/>
                <w:sz w:val="14"/>
                <w:szCs w:val="14"/>
                <w:b w:val="1"/>
                <w:bCs w:val="1"/>
                <w:color w:val="auto"/>
              </w:rPr>
              <w:t>Deductions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vMerge w:val="restart"/>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5"/>
        </w:trPr>
        <w:tc>
          <w:tcPr>
            <w:tcW w:w="140" w:type="dxa"/>
            <w:vAlign w:val="bottom"/>
          </w:tcPr>
          <w:p>
            <w:pPr>
              <w:spacing w:after="0"/>
              <w:rPr>
                <w:sz w:val="12"/>
                <w:szCs w:val="12"/>
                <w:color w:val="auto"/>
              </w:rPr>
            </w:pPr>
          </w:p>
        </w:tc>
        <w:tc>
          <w:tcPr>
            <w:tcW w:w="94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at</w:t>
            </w:r>
          </w:p>
        </w:tc>
        <w:tc>
          <w:tcPr>
            <w:tcW w:w="160" w:type="dxa"/>
            <w:vAlign w:val="bottom"/>
          </w:tcPr>
          <w:p>
            <w:pPr>
              <w:spacing w:after="0"/>
              <w:rPr>
                <w:sz w:val="12"/>
                <w:szCs w:val="12"/>
                <w:color w:val="auto"/>
              </w:rPr>
            </w:pPr>
          </w:p>
        </w:tc>
        <w:tc>
          <w:tcPr>
            <w:tcW w:w="106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Reserves</w:t>
            </w:r>
          </w:p>
        </w:tc>
        <w:tc>
          <w:tcPr>
            <w:tcW w:w="9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Charged</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8"/>
              </w:rPr>
              <w:t>Credited</w:t>
            </w: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0" w:type="dxa"/>
            <w:vAlign w:val="bottom"/>
          </w:tcPr>
          <w:p>
            <w:pPr>
              <w:spacing w:after="0"/>
              <w:rPr>
                <w:sz w:val="12"/>
                <w:szCs w:val="12"/>
                <w:color w:val="auto"/>
              </w:rPr>
            </w:pPr>
          </w:p>
        </w:tc>
        <w:tc>
          <w:tcPr>
            <w:tcW w:w="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9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to</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and</w:t>
            </w:r>
          </w:p>
        </w:tc>
        <w:tc>
          <w:tcPr>
            <w:tcW w:w="160" w:type="dxa"/>
            <w:vAlign w:val="bottom"/>
          </w:tcPr>
          <w:p>
            <w:pPr>
              <w:spacing w:after="0"/>
              <w:rPr>
                <w:sz w:val="12"/>
                <w:szCs w:val="12"/>
                <w:color w:val="auto"/>
              </w:rPr>
            </w:pPr>
          </w:p>
        </w:tc>
        <w:tc>
          <w:tcPr>
            <w:tcW w:w="840" w:type="dxa"/>
            <w:vAlign w:val="bottom"/>
          </w:tcPr>
          <w:p>
            <w:pPr>
              <w:jc w:val="center"/>
              <w:ind w:right="84"/>
              <w:spacing w:after="0" w:line="145" w:lineRule="exact"/>
              <w:rPr>
                <w:sz w:val="20"/>
                <w:szCs w:val="20"/>
                <w:color w:val="auto"/>
              </w:rPr>
            </w:pPr>
            <w:r>
              <w:rPr>
                <w:rFonts w:ascii="Times New Roman" w:cs="Times New Roman" w:eastAsia="Times New Roman" w:hAnsi="Times New Roman"/>
                <w:sz w:val="14"/>
                <w:szCs w:val="14"/>
                <w:b w:val="1"/>
                <w:bCs w:val="1"/>
                <w:color w:val="auto"/>
              </w:rPr>
              <w:t>at End of</w:t>
            </w:r>
          </w:p>
        </w:tc>
        <w:tc>
          <w:tcPr>
            <w:tcW w:w="0" w:type="dxa"/>
            <w:vAlign w:val="bottom"/>
          </w:tcPr>
          <w:p>
            <w:pPr>
              <w:spacing w:after="0"/>
              <w:rPr>
                <w:sz w:val="1"/>
                <w:szCs w:val="1"/>
                <w:color w:val="auto"/>
              </w:rPr>
            </w:pPr>
          </w:p>
        </w:tc>
      </w:tr>
      <w:tr>
        <w:trPr>
          <w:trHeight w:val="191"/>
        </w:trPr>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of Period</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Acquired</w:t>
            </w:r>
          </w:p>
        </w:tc>
        <w:tc>
          <w:tcPr>
            <w:tcW w:w="9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Write-Offs</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84"/>
        </w:trPr>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8"/>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8"/>
        </w:trPr>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-541655</wp:posOffset>
            </wp:positionV>
            <wp:extent cx="7085965" cy="2584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85965" cy="25844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-140970</wp:posOffset>
            </wp:positionV>
            <wp:extent cx="7085965" cy="1416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85965" cy="1416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600"/>
            <w:col w:w="5380"/>
          </w:cols>
          <w:pgMar w:left="320" w:top="121" w:right="379" w:bottom="1440" w:gutter="0" w:footer="0" w:header="0"/>
          <w:type w:val="continuous"/>
        </w:sect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Schedule II—Valuation and Qualifying Accounts</w:t>
      </w:r>
    </w:p>
    <w:p>
      <w:pPr>
        <w:spacing w:after="0" w:line="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30, 2020</w:t>
      </w:r>
    </w:p>
    <w:p>
      <w:pPr>
        <w:sectPr>
          <w:pgSz w:w="11900" w:h="16838" w:orient="portrait"/>
          <w:cols w:equalWidth="0" w:num="1">
            <w:col w:w="11200"/>
          </w:cols>
          <w:pgMar w:left="320" w:top="121" w:right="379" w:bottom="1440" w:gutter="0" w:footer="0" w:header="0"/>
          <w:type w:val="continuous"/>
        </w:sectPr>
      </w:pP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Column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30480</wp:posOffset>
            </wp:positionV>
            <wp:extent cx="35972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597275"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30480</wp:posOffset>
            </wp:positionV>
            <wp:extent cx="35972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597275" cy="8255"/>
                    </a:xfrm>
                    <a:prstGeom prst="rect">
                      <a:avLst/>
                    </a:prstGeom>
                    <a:noFill/>
                  </pic:spPr>
                </pic:pic>
              </a:graphicData>
            </a:graphic>
          </wp:anchor>
        </w:drawing>
      </w:r>
    </w:p>
    <w:p>
      <w:pPr>
        <w:spacing w:after="0" w:line="233" w:lineRule="exact"/>
        <w:rPr>
          <w:sz w:val="20"/>
          <w:szCs w:val="20"/>
          <w:color w:val="auto"/>
        </w:rPr>
      </w:pPr>
    </w:p>
    <w:p>
      <w:pPr>
        <w:ind w:left="60"/>
        <w:spacing w:after="0" w:line="238" w:lineRule="auto"/>
        <w:rPr>
          <w:sz w:val="20"/>
          <w:szCs w:val="20"/>
          <w:color w:val="auto"/>
        </w:rPr>
      </w:pPr>
      <w:r>
        <w:rPr>
          <w:rFonts w:ascii="Times New Roman" w:cs="Times New Roman" w:eastAsia="Times New Roman" w:hAnsi="Times New Roman"/>
          <w:sz w:val="18"/>
          <w:szCs w:val="18"/>
          <w:color w:val="auto"/>
        </w:rPr>
        <w:t>Valuation and qualifying accounts deducted from the assets to which they apply:</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Allowance for doubtful accounts</w:t>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Income tax valuation allowance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Column B</w:t>
            </w:r>
          </w:p>
        </w:tc>
        <w:tc>
          <w:tcPr>
            <w:tcW w:w="160" w:type="dxa"/>
            <w:vAlign w:val="bottom"/>
          </w:tcPr>
          <w:p>
            <w:pPr>
              <w:spacing w:after="0"/>
              <w:rPr>
                <w:sz w:val="16"/>
                <w:szCs w:val="16"/>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Column C</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Column D</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Column E</w:t>
            </w:r>
          </w:p>
        </w:tc>
        <w:tc>
          <w:tcPr>
            <w:tcW w:w="160" w:type="dxa"/>
            <w:vAlign w:val="bottom"/>
          </w:tcPr>
          <w:p>
            <w:pPr>
              <w:spacing w:after="0"/>
              <w:rPr>
                <w:sz w:val="16"/>
                <w:szCs w:val="16"/>
                <w:color w:val="auto"/>
              </w:rPr>
            </w:pPr>
          </w:p>
        </w:tc>
        <w:tc>
          <w:tcPr>
            <w:tcW w:w="84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9"/>
              </w:rPr>
              <w:t>Column F</w:t>
            </w:r>
          </w:p>
        </w:tc>
        <w:tc>
          <w:tcPr>
            <w:tcW w:w="0" w:type="dxa"/>
            <w:vAlign w:val="bottom"/>
          </w:tcPr>
          <w:p>
            <w:pPr>
              <w:spacing w:after="0"/>
              <w:rPr>
                <w:sz w:val="1"/>
                <w:szCs w:val="1"/>
                <w:color w:val="auto"/>
              </w:rPr>
            </w:pPr>
          </w:p>
        </w:tc>
      </w:tr>
      <w:tr>
        <w:trPr>
          <w:trHeight w:val="24"/>
        </w:trPr>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40" w:type="dxa"/>
            <w:vAlign w:val="bottom"/>
          </w:tcPr>
          <w:p>
            <w:pPr>
              <w:spacing w:after="0"/>
              <w:rPr>
                <w:sz w:val="10"/>
                <w:szCs w:val="10"/>
                <w:color w:val="auto"/>
              </w:rPr>
            </w:pPr>
          </w:p>
        </w:tc>
        <w:tc>
          <w:tcPr>
            <w:tcW w:w="840" w:type="dxa"/>
            <w:vAlign w:val="bottom"/>
          </w:tcPr>
          <w:p>
            <w:pPr>
              <w:jc w:val="center"/>
              <w:ind w:right="65"/>
              <w:spacing w:after="0" w:line="127" w:lineRule="exact"/>
              <w:rPr>
                <w:sz w:val="20"/>
                <w:szCs w:val="20"/>
                <w:color w:val="auto"/>
              </w:rPr>
            </w:pPr>
            <w:r>
              <w:rPr>
                <w:rFonts w:ascii="Times New Roman" w:cs="Times New Roman" w:eastAsia="Times New Roman" w:hAnsi="Times New Roman"/>
                <w:sz w:val="14"/>
                <w:szCs w:val="14"/>
                <w:b w:val="1"/>
                <w:bCs w:val="1"/>
                <w:color w:val="auto"/>
                <w:w w:val="96"/>
              </w:rPr>
              <w:t>Balance</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26"/>
              <w:spacing w:after="0" w:line="127" w:lineRule="exact"/>
              <w:rPr>
                <w:sz w:val="20"/>
                <w:szCs w:val="20"/>
                <w:color w:val="auto"/>
              </w:rPr>
            </w:pPr>
            <w:r>
              <w:rPr>
                <w:rFonts w:ascii="Times New Roman" w:cs="Times New Roman" w:eastAsia="Times New Roman" w:hAnsi="Times New Roman"/>
                <w:sz w:val="14"/>
                <w:szCs w:val="14"/>
                <w:b w:val="1"/>
                <w:bCs w:val="1"/>
                <w:color w:val="auto"/>
                <w:w w:val="99"/>
              </w:rPr>
              <w:t>Additions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65"/>
              <w:spacing w:after="0" w:line="127" w:lineRule="exact"/>
              <w:rPr>
                <w:sz w:val="20"/>
                <w:szCs w:val="20"/>
                <w:color w:val="auto"/>
              </w:rPr>
            </w:pPr>
            <w:r>
              <w:rPr>
                <w:rFonts w:ascii="Times New Roman" w:cs="Times New Roman" w:eastAsia="Times New Roman" w:hAnsi="Times New Roman"/>
                <w:sz w:val="14"/>
                <w:szCs w:val="14"/>
                <w:b w:val="1"/>
                <w:bCs w:val="1"/>
                <w:color w:val="auto"/>
              </w:rPr>
              <w:t>Deductions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vMerge w:val="restart"/>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5"/>
        </w:trPr>
        <w:tc>
          <w:tcPr>
            <w:tcW w:w="140" w:type="dxa"/>
            <w:vAlign w:val="bottom"/>
          </w:tcPr>
          <w:p>
            <w:pPr>
              <w:spacing w:after="0"/>
              <w:rPr>
                <w:sz w:val="12"/>
                <w:szCs w:val="12"/>
                <w:color w:val="auto"/>
              </w:rPr>
            </w:pPr>
          </w:p>
        </w:tc>
        <w:tc>
          <w:tcPr>
            <w:tcW w:w="94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at</w:t>
            </w:r>
          </w:p>
        </w:tc>
        <w:tc>
          <w:tcPr>
            <w:tcW w:w="160" w:type="dxa"/>
            <w:vAlign w:val="bottom"/>
          </w:tcPr>
          <w:p>
            <w:pPr>
              <w:spacing w:after="0"/>
              <w:rPr>
                <w:sz w:val="12"/>
                <w:szCs w:val="12"/>
                <w:color w:val="auto"/>
              </w:rPr>
            </w:pPr>
          </w:p>
        </w:tc>
        <w:tc>
          <w:tcPr>
            <w:tcW w:w="106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Reserves</w:t>
            </w:r>
          </w:p>
        </w:tc>
        <w:tc>
          <w:tcPr>
            <w:tcW w:w="9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Charged</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8"/>
              </w:rPr>
              <w:t>Credited</w:t>
            </w: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40" w:type="dxa"/>
            <w:vAlign w:val="bottom"/>
          </w:tcPr>
          <w:p>
            <w:pPr>
              <w:spacing w:after="0"/>
              <w:rPr>
                <w:sz w:val="12"/>
                <w:szCs w:val="12"/>
                <w:color w:val="auto"/>
              </w:rPr>
            </w:pPr>
          </w:p>
        </w:tc>
        <w:tc>
          <w:tcPr>
            <w:tcW w:w="94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98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rPr>
              <w:t>to</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rPr>
              <w:t>and</w:t>
            </w:r>
          </w:p>
        </w:tc>
        <w:tc>
          <w:tcPr>
            <w:tcW w:w="160" w:type="dxa"/>
            <w:vAlign w:val="bottom"/>
          </w:tcPr>
          <w:p>
            <w:pPr>
              <w:spacing w:after="0"/>
              <w:rPr>
                <w:sz w:val="12"/>
                <w:szCs w:val="12"/>
                <w:color w:val="auto"/>
              </w:rPr>
            </w:pPr>
          </w:p>
        </w:tc>
        <w:tc>
          <w:tcPr>
            <w:tcW w:w="840" w:type="dxa"/>
            <w:vAlign w:val="bottom"/>
          </w:tcPr>
          <w:p>
            <w:pPr>
              <w:jc w:val="center"/>
              <w:ind w:right="84"/>
              <w:spacing w:after="0" w:line="143" w:lineRule="exact"/>
              <w:rPr>
                <w:sz w:val="20"/>
                <w:szCs w:val="20"/>
                <w:color w:val="auto"/>
              </w:rPr>
            </w:pPr>
            <w:r>
              <w:rPr>
                <w:rFonts w:ascii="Times New Roman" w:cs="Times New Roman" w:eastAsia="Times New Roman" w:hAnsi="Times New Roman"/>
                <w:sz w:val="14"/>
                <w:szCs w:val="14"/>
                <w:b w:val="1"/>
                <w:bCs w:val="1"/>
                <w:color w:val="auto"/>
              </w:rPr>
              <w:t>at End of</w:t>
            </w:r>
          </w:p>
        </w:tc>
        <w:tc>
          <w:tcPr>
            <w:tcW w:w="0" w:type="dxa"/>
            <w:vAlign w:val="bottom"/>
          </w:tcPr>
          <w:p>
            <w:pPr>
              <w:spacing w:after="0"/>
              <w:rPr>
                <w:sz w:val="1"/>
                <w:szCs w:val="1"/>
                <w:color w:val="auto"/>
              </w:rPr>
            </w:pPr>
          </w:p>
        </w:tc>
      </w:tr>
      <w:tr>
        <w:trPr>
          <w:trHeight w:val="192"/>
        </w:trPr>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of Period</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Acquired</w:t>
            </w:r>
          </w:p>
        </w:tc>
        <w:tc>
          <w:tcPr>
            <w:tcW w:w="9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Write-Offs</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8"/>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8"/>
        </w:trPr>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-541655</wp:posOffset>
            </wp:positionV>
            <wp:extent cx="7085965" cy="2584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85965" cy="25844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-140970</wp:posOffset>
            </wp:positionV>
            <wp:extent cx="7085965" cy="1416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85965" cy="1416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600"/>
            <w:col w:w="5380"/>
          </w:cols>
          <w:pgMar w:left="320" w:top="121"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153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20" w:type="dxa"/>
            <w:vAlign w:val="bottom"/>
            <w:gridSpan w:val="20"/>
          </w:tcPr>
          <w:p>
            <w:pPr>
              <w:jc w:val="center"/>
              <w:ind w:left="1052"/>
              <w:spacing w:after="0"/>
              <w:rPr>
                <w:sz w:val="20"/>
                <w:szCs w:val="20"/>
                <w:color w:val="auto"/>
              </w:rPr>
            </w:pPr>
            <w:r>
              <w:rPr>
                <w:rFonts w:ascii="Times New Roman" w:cs="Times New Roman" w:eastAsia="Times New Roman" w:hAnsi="Times New Roman"/>
                <w:sz w:val="18"/>
                <w:szCs w:val="18"/>
                <w:b w:val="1"/>
                <w:bCs w:val="1"/>
                <w:color w:val="auto"/>
                <w:w w:val="97"/>
              </w:rPr>
              <w:t>The Scotts Miracle-Gro Company</w:t>
            </w:r>
          </w:p>
        </w:tc>
        <w:tc>
          <w:tcPr>
            <w:tcW w:w="0" w:type="dxa"/>
            <w:vAlign w:val="bottom"/>
          </w:tcPr>
          <w:p>
            <w:pPr>
              <w:spacing w:after="0"/>
              <w:rPr>
                <w:sz w:val="1"/>
                <w:szCs w:val="1"/>
                <w:color w:val="auto"/>
              </w:rPr>
            </w:pPr>
          </w:p>
        </w:tc>
      </w:tr>
      <w:tr>
        <w:trPr>
          <w:trHeight w:val="368"/>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gridSpan w:val="19"/>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6"/>
              </w:rPr>
              <w:t>Index to Exhibits</w:t>
            </w:r>
          </w:p>
        </w:tc>
        <w:tc>
          <w:tcPr>
            <w:tcW w:w="0" w:type="dxa"/>
            <w:vAlign w:val="bottom"/>
          </w:tcPr>
          <w:p>
            <w:pPr>
              <w:spacing w:after="0"/>
              <w:rPr>
                <w:sz w:val="1"/>
                <w:szCs w:val="1"/>
                <w:color w:val="auto"/>
              </w:rPr>
            </w:pPr>
          </w:p>
        </w:tc>
      </w:tr>
      <w:tr>
        <w:trPr>
          <w:trHeight w:val="421"/>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20" w:type="dxa"/>
            <w:vAlign w:val="bottom"/>
            <w:gridSpan w:val="20"/>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6"/>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20" w:type="dxa"/>
            <w:vAlign w:val="bottom"/>
            <w:gridSpan w:val="20"/>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1080" w:type="dxa"/>
            <w:vAlign w:val="bottom"/>
            <w:tcBorders>
              <w:top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3.1(a)</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920" w:type="dxa"/>
            <w:vAlign w:val="bottom"/>
            <w:tcBorders>
              <w:top w:val="single" w:sz="8" w:color="auto"/>
            </w:tcBorders>
            <w:gridSpan w:val="24"/>
          </w:tcPr>
          <w:p>
            <w:pPr>
              <w:spacing w:after="0" w:line="177"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Initial Articles of Incorporation of The Scotts Miracle-Gro Company as filed with</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80" w:type="dxa"/>
            <w:vAlign w:val="bottom"/>
            <w:tcBorders>
              <w:top w:val="single" w:sz="8" w:color="0000FF"/>
            </w:tcBorders>
            <w:gridSpan w:val="20"/>
          </w:tcPr>
          <w:p>
            <w:pPr>
              <w:spacing w:after="0" w:line="151" w:lineRule="exact"/>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the Ohio Secretary of State on November 22, 2004</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3.1(b)</w:t>
            </w:r>
          </w:p>
        </w:tc>
        <w:tc>
          <w:tcPr>
            <w:tcW w:w="20" w:type="dxa"/>
            <w:vAlign w:val="bottom"/>
          </w:tcPr>
          <w:p>
            <w:pPr>
              <w:spacing w:after="0"/>
              <w:rPr>
                <w:sz w:val="18"/>
                <w:szCs w:val="18"/>
                <w:color w:val="auto"/>
              </w:rPr>
            </w:pPr>
          </w:p>
        </w:tc>
        <w:tc>
          <w:tcPr>
            <w:tcW w:w="550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7"/>
              </w:rPr>
            </w:pPr>
            <w:hyperlink r:id="rId141">
              <w:r>
                <w:rPr>
                  <w:rFonts w:ascii="Times New Roman" w:cs="Times New Roman" w:eastAsia="Times New Roman" w:hAnsi="Times New Roman"/>
                  <w:sz w:val="18"/>
                  <w:szCs w:val="18"/>
                  <w:color w:val="0000FF"/>
                  <w:w w:val="97"/>
                </w:rPr>
                <w:t>Certificate of Amendment by Shareholders to Articles of Incorporation of The</w:t>
              </w:r>
            </w:hyperlink>
          </w:p>
        </w:tc>
        <w:tc>
          <w:tcPr>
            <w:tcW w:w="42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20" w:type="dxa"/>
            <w:vAlign w:val="bottom"/>
            <w:gridSpan w:val="24"/>
          </w:tcPr>
          <w:p>
            <w:pPr>
              <w:spacing w:after="0" w:line="151" w:lineRule="exact"/>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Scotts Miracle-Gro Company as filed with the Ohio Secretary of State on March</w:t>
              </w:r>
            </w:hyperlink>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top w:val="single" w:sz="8" w:color="0000FF"/>
              <w:bottom w:val="single" w:sz="8" w:color="0000FF"/>
            </w:tcBorders>
          </w:tcPr>
          <w:p>
            <w:pPr>
              <w:spacing w:after="0" w:line="164" w:lineRule="exact"/>
              <w:rPr>
                <w:rFonts w:ascii="Times New Roman" w:cs="Times New Roman" w:eastAsia="Times New Roman" w:hAnsi="Times New Roman"/>
                <w:sz w:val="18"/>
                <w:szCs w:val="18"/>
                <w:color w:val="0000FF"/>
                <w:w w:val="95"/>
              </w:rPr>
            </w:pPr>
            <w:hyperlink r:id="rId141">
              <w:r>
                <w:rPr>
                  <w:rFonts w:ascii="Times New Roman" w:cs="Times New Roman" w:eastAsia="Times New Roman" w:hAnsi="Times New Roman"/>
                  <w:sz w:val="18"/>
                  <w:szCs w:val="18"/>
                  <w:color w:val="0000FF"/>
                  <w:w w:val="95"/>
                </w:rPr>
                <w:t>18, 2005</w:t>
              </w:r>
            </w:hyperlink>
          </w:p>
        </w:tc>
        <w:tc>
          <w:tcPr>
            <w:tcW w:w="4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76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0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20" w:type="dxa"/>
            <w:vAlign w:val="bottom"/>
            <w:gridSpan w:val="24"/>
          </w:tcPr>
          <w:p>
            <w:pPr>
              <w:spacing w:after="0" w:line="203"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Code of Regulations of The Scotts Miracle-Gro Company</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4.1(a)</w:t>
            </w:r>
          </w:p>
        </w:tc>
        <w:tc>
          <w:tcPr>
            <w:tcW w:w="20" w:type="dxa"/>
            <w:vAlign w:val="bottom"/>
          </w:tcPr>
          <w:p>
            <w:pPr>
              <w:spacing w:after="0"/>
              <w:rPr>
                <w:sz w:val="24"/>
                <w:szCs w:val="24"/>
                <w:color w:val="auto"/>
              </w:rPr>
            </w:pPr>
          </w:p>
        </w:tc>
        <w:tc>
          <w:tcPr>
            <w:tcW w:w="5920" w:type="dxa"/>
            <w:vAlign w:val="bottom"/>
            <w:gridSpan w:val="24"/>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Indenture, dated as of December 15, 2016, by and among The Scotts Miracle-Gro</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40" w:type="dxa"/>
            <w:vAlign w:val="bottom"/>
            <w:tcBorders>
              <w:top w:val="single" w:sz="8" w:color="0000FF"/>
              <w:bottom w:val="single" w:sz="8" w:color="0000FF"/>
            </w:tcBorders>
            <w:gridSpan w:val="18"/>
          </w:tcPr>
          <w:p>
            <w:pPr>
              <w:spacing w:after="0" w:line="151"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Company, the Guarantors (as defined therein) and U.S. Bank National Association,</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40" w:type="dxa"/>
            <w:vAlign w:val="bottom"/>
            <w:gridSpan w:val="22"/>
          </w:tcPr>
          <w:p>
            <w:pPr>
              <w:spacing w:after="0" w:line="164"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as trustee</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4.1(b)</w:t>
            </w:r>
          </w:p>
        </w:tc>
        <w:tc>
          <w:tcPr>
            <w:tcW w:w="20" w:type="dxa"/>
            <w:vAlign w:val="bottom"/>
          </w:tcPr>
          <w:p>
            <w:pPr>
              <w:spacing w:after="0"/>
              <w:rPr>
                <w:sz w:val="17"/>
                <w:szCs w:val="17"/>
                <w:color w:val="auto"/>
              </w:rPr>
            </w:pPr>
          </w:p>
        </w:tc>
        <w:tc>
          <w:tcPr>
            <w:tcW w:w="5920" w:type="dxa"/>
            <w:vAlign w:val="bottom"/>
            <w:gridSpan w:val="24"/>
          </w:tcPr>
          <w:p>
            <w:pPr>
              <w:spacing w:after="0" w:line="203"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First Supplemental Indenture, dated July 17, 2018, by and among The Scotts</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80" w:type="dxa"/>
            <w:vAlign w:val="bottom"/>
            <w:tcBorders>
              <w:top w:val="single" w:sz="8" w:color="0000FF"/>
            </w:tcBorders>
            <w:gridSpan w:val="9"/>
          </w:tcPr>
          <w:p>
            <w:pPr>
              <w:spacing w:after="0" w:line="151" w:lineRule="exact"/>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Miracle-Gro Company, the Guarantors (as defined therein) and U.S. Bank</w:t>
              </w:r>
            </w:hyperlink>
          </w:p>
        </w:tc>
        <w:tc>
          <w:tcPr>
            <w:tcW w:w="540" w:type="dxa"/>
            <w:vAlign w:val="bottom"/>
            <w:gridSpan w:val="15"/>
          </w:tcPr>
          <w:p>
            <w:pPr>
              <w:spacing w:after="0" w:line="151" w:lineRule="exact"/>
              <w:rPr>
                <w:rFonts w:ascii="Times New Roman" w:cs="Times New Roman" w:eastAsia="Times New Roman" w:hAnsi="Times New Roman"/>
                <w:sz w:val="16"/>
                <w:szCs w:val="16"/>
                <w:color w:val="0000FF"/>
                <w:w w:val="94"/>
              </w:rPr>
            </w:pPr>
            <w:hyperlink r:id="rId144">
              <w:r>
                <w:rPr>
                  <w:rFonts w:ascii="Times New Roman" w:cs="Times New Roman" w:eastAsia="Times New Roman" w:hAnsi="Times New Roman"/>
                  <w:sz w:val="16"/>
                  <w:szCs w:val="16"/>
                  <w:color w:val="0000FF"/>
                  <w:w w:val="94"/>
                </w:rPr>
                <w:t>National</w:t>
              </w:r>
            </w:hyperlink>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Borders>
              <w:top w:val="single" w:sz="8" w:color="0000FF"/>
              <w:bottom w:val="single" w:sz="8" w:color="0000FF"/>
            </w:tcBorders>
            <w:gridSpan w:val="3"/>
          </w:tcPr>
          <w:p>
            <w:pPr>
              <w:spacing w:after="0" w:line="164" w:lineRule="exact"/>
              <w:rPr>
                <w:rFonts w:ascii="Times New Roman" w:cs="Times New Roman" w:eastAsia="Times New Roman" w:hAnsi="Times New Roman"/>
                <w:sz w:val="18"/>
                <w:szCs w:val="18"/>
                <w:color w:val="0000FF"/>
                <w:w w:val="96"/>
              </w:rPr>
            </w:pPr>
            <w:hyperlink r:id="rId144">
              <w:r>
                <w:rPr>
                  <w:rFonts w:ascii="Times New Roman" w:cs="Times New Roman" w:eastAsia="Times New Roman" w:hAnsi="Times New Roman"/>
                  <w:sz w:val="18"/>
                  <w:szCs w:val="18"/>
                  <w:color w:val="0000FF"/>
                  <w:w w:val="96"/>
                </w:rPr>
                <w:t>Association, as trustee</w:t>
              </w:r>
            </w:hyperlink>
          </w:p>
        </w:tc>
        <w:tc>
          <w:tcPr>
            <w:tcW w:w="4280" w:type="dxa"/>
            <w:vAlign w:val="bottom"/>
            <w:tcBorders>
              <w:top w:val="single" w:sz="8" w:color="0000FF"/>
            </w:tcBorders>
            <w:gridSpan w:val="20"/>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4.1(c)</w:t>
            </w:r>
          </w:p>
        </w:tc>
        <w:tc>
          <w:tcPr>
            <w:tcW w:w="20" w:type="dxa"/>
            <w:vAlign w:val="bottom"/>
          </w:tcPr>
          <w:p>
            <w:pPr>
              <w:spacing w:after="0"/>
              <w:rPr>
                <w:sz w:val="17"/>
                <w:szCs w:val="17"/>
                <w:color w:val="auto"/>
              </w:rPr>
            </w:pPr>
          </w:p>
        </w:tc>
        <w:tc>
          <w:tcPr>
            <w:tcW w:w="5920" w:type="dxa"/>
            <w:vAlign w:val="bottom"/>
            <w:gridSpan w:val="24"/>
          </w:tcPr>
          <w:p>
            <w:pPr>
              <w:spacing w:after="0" w:line="203"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Second Supplemental Indenture, dated March 24, 2020, by and among The Scotts</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60" w:type="dxa"/>
            <w:vAlign w:val="bottom"/>
            <w:tcBorders>
              <w:top w:val="single" w:sz="8" w:color="0000FF"/>
            </w:tcBorders>
            <w:gridSpan w:val="19"/>
          </w:tcPr>
          <w:p>
            <w:pPr>
              <w:spacing w:after="0" w:line="151"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Miracle-Gro Company, the Guarantors (as defined therein) and U.S. Bank National</w:t>
              </w:r>
            </w:hyperlink>
          </w:p>
        </w:tc>
        <w:tc>
          <w:tcPr>
            <w:tcW w:w="4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Borders>
              <w:top w:val="single" w:sz="8" w:color="0000FF"/>
              <w:bottom w:val="single" w:sz="8" w:color="0000FF"/>
            </w:tcBorders>
            <w:gridSpan w:val="3"/>
          </w:tcPr>
          <w:p>
            <w:pPr>
              <w:spacing w:after="0" w:line="164" w:lineRule="exact"/>
              <w:rPr>
                <w:rFonts w:ascii="Times New Roman" w:cs="Times New Roman" w:eastAsia="Times New Roman" w:hAnsi="Times New Roman"/>
                <w:sz w:val="18"/>
                <w:szCs w:val="18"/>
                <w:color w:val="0000FF"/>
                <w:w w:val="96"/>
              </w:rPr>
            </w:pPr>
            <w:hyperlink r:id="rId145">
              <w:r>
                <w:rPr>
                  <w:rFonts w:ascii="Times New Roman" w:cs="Times New Roman" w:eastAsia="Times New Roman" w:hAnsi="Times New Roman"/>
                  <w:sz w:val="18"/>
                  <w:szCs w:val="18"/>
                  <w:color w:val="0000FF"/>
                  <w:w w:val="96"/>
                </w:rPr>
                <w:t>Association, as trustee</w:t>
              </w:r>
            </w:hyperlink>
          </w:p>
        </w:tc>
        <w:tc>
          <w:tcPr>
            <w:tcW w:w="4280" w:type="dxa"/>
            <w:vAlign w:val="bottom"/>
            <w:tcBorders>
              <w:top w:val="single" w:sz="8" w:color="0000FF"/>
            </w:tcBorders>
            <w:gridSpan w:val="20"/>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4.1(d)</w:t>
            </w:r>
          </w:p>
        </w:tc>
        <w:tc>
          <w:tcPr>
            <w:tcW w:w="20" w:type="dxa"/>
            <w:vAlign w:val="bottom"/>
          </w:tcPr>
          <w:p>
            <w:pPr>
              <w:spacing w:after="0"/>
              <w:rPr>
                <w:sz w:val="17"/>
                <w:szCs w:val="17"/>
                <w:color w:val="auto"/>
              </w:rPr>
            </w:pPr>
          </w:p>
        </w:tc>
        <w:tc>
          <w:tcPr>
            <w:tcW w:w="5620" w:type="dxa"/>
            <w:vAlign w:val="bottom"/>
            <w:tcBorders>
              <w:bottom w:val="single" w:sz="8" w:color="0000FF"/>
            </w:tcBorders>
            <w:gridSpan w:val="16"/>
          </w:tcPr>
          <w:p>
            <w:pPr>
              <w:spacing w:after="0" w:line="203" w:lineRule="exact"/>
              <w:rPr>
                <w:rFonts w:ascii="Times New Roman" w:cs="Times New Roman" w:eastAsia="Times New Roman" w:hAnsi="Times New Roman"/>
                <w:sz w:val="18"/>
                <w:szCs w:val="18"/>
                <w:color w:val="0000FF"/>
                <w:w w:val="97"/>
              </w:rPr>
            </w:pPr>
            <w:hyperlink r:id="rId146">
              <w:r>
                <w:rPr>
                  <w:rFonts w:ascii="Times New Roman" w:cs="Times New Roman" w:eastAsia="Times New Roman" w:hAnsi="Times New Roman"/>
                  <w:sz w:val="18"/>
                  <w:szCs w:val="18"/>
                  <w:color w:val="0000FF"/>
                  <w:w w:val="97"/>
                </w:rPr>
                <w:t>Third Supplemental Indenture, dated March 29, 2021, by and among The Scotts</w:t>
              </w:r>
            </w:hyperlink>
          </w:p>
        </w:tc>
        <w:tc>
          <w:tcPr>
            <w:tcW w:w="3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20" w:type="dxa"/>
            <w:vAlign w:val="bottom"/>
            <w:gridSpan w:val="24"/>
          </w:tcPr>
          <w:p>
            <w:pPr>
              <w:spacing w:after="0" w:line="151"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Miracle-Gro Company, the Guarantors (as defined therein) and U.S. Bank National</w:t>
              </w:r>
            </w:hyperlink>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Borders>
              <w:top w:val="single" w:sz="8" w:color="0000FF"/>
              <w:bottom w:val="single" w:sz="8" w:color="0000FF"/>
            </w:tcBorders>
            <w:gridSpan w:val="3"/>
          </w:tcPr>
          <w:p>
            <w:pPr>
              <w:spacing w:after="0" w:line="164" w:lineRule="exact"/>
              <w:rPr>
                <w:rFonts w:ascii="Times New Roman" w:cs="Times New Roman" w:eastAsia="Times New Roman" w:hAnsi="Times New Roman"/>
                <w:sz w:val="18"/>
                <w:szCs w:val="18"/>
                <w:color w:val="0000FF"/>
                <w:w w:val="96"/>
              </w:rPr>
            </w:pPr>
            <w:hyperlink r:id="rId146">
              <w:r>
                <w:rPr>
                  <w:rFonts w:ascii="Times New Roman" w:cs="Times New Roman" w:eastAsia="Times New Roman" w:hAnsi="Times New Roman"/>
                  <w:sz w:val="18"/>
                  <w:szCs w:val="18"/>
                  <w:color w:val="0000FF"/>
                  <w:w w:val="96"/>
                </w:rPr>
                <w:t>Association, as trustee</w:t>
              </w:r>
            </w:hyperlink>
          </w:p>
        </w:tc>
        <w:tc>
          <w:tcPr>
            <w:tcW w:w="4280" w:type="dxa"/>
            <w:vAlign w:val="bottom"/>
            <w:tcBorders>
              <w:top w:val="single" w:sz="8" w:color="0000FF"/>
            </w:tcBorders>
            <w:gridSpan w:val="20"/>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4.1(e)</w:t>
            </w:r>
          </w:p>
        </w:tc>
        <w:tc>
          <w:tcPr>
            <w:tcW w:w="20" w:type="dxa"/>
            <w:vAlign w:val="bottom"/>
          </w:tcPr>
          <w:p>
            <w:pPr>
              <w:spacing w:after="0"/>
              <w:rPr>
                <w:sz w:val="17"/>
                <w:szCs w:val="17"/>
                <w:color w:val="auto"/>
              </w:rPr>
            </w:pPr>
          </w:p>
        </w:tc>
        <w:tc>
          <w:tcPr>
            <w:tcW w:w="5560" w:type="dxa"/>
            <w:vAlign w:val="bottom"/>
            <w:tcBorders>
              <w:bottom w:val="single" w:sz="8" w:color="0000FF"/>
            </w:tcBorders>
            <w:gridSpan w:val="14"/>
          </w:tcPr>
          <w:p>
            <w:pPr>
              <w:spacing w:after="0" w:line="203" w:lineRule="exact"/>
              <w:rPr>
                <w:rFonts w:ascii="Times New Roman" w:cs="Times New Roman" w:eastAsia="Times New Roman" w:hAnsi="Times New Roman"/>
                <w:sz w:val="18"/>
                <w:szCs w:val="18"/>
                <w:color w:val="0000FF"/>
                <w:w w:val="97"/>
              </w:rPr>
            </w:pPr>
            <w:hyperlink r:id="rId147">
              <w:r>
                <w:rPr>
                  <w:rFonts w:ascii="Times New Roman" w:cs="Times New Roman" w:eastAsia="Times New Roman" w:hAnsi="Times New Roman"/>
                  <w:sz w:val="18"/>
                  <w:szCs w:val="18"/>
                  <w:color w:val="0000FF"/>
                  <w:w w:val="97"/>
                </w:rPr>
                <w:t>Fourth Supplemental Indenture, dated June 24, 2021, by and among The Scotts</w:t>
              </w:r>
            </w:hyperlink>
          </w:p>
        </w:tc>
        <w:tc>
          <w:tcPr>
            <w:tcW w:w="3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20" w:type="dxa"/>
            <w:vAlign w:val="bottom"/>
            <w:gridSpan w:val="24"/>
          </w:tcPr>
          <w:p>
            <w:pPr>
              <w:spacing w:after="0" w:line="151" w:lineRule="exact"/>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Miracle-Gro Company, the Guarantors (as defined therein) and U.S. Bank National</w:t>
              </w:r>
            </w:hyperlink>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Borders>
              <w:top w:val="single" w:sz="8" w:color="0000FF"/>
              <w:bottom w:val="single" w:sz="8" w:color="0000FF"/>
            </w:tcBorders>
            <w:gridSpan w:val="3"/>
          </w:tcPr>
          <w:p>
            <w:pPr>
              <w:spacing w:after="0" w:line="164" w:lineRule="exact"/>
              <w:rPr>
                <w:rFonts w:ascii="Times New Roman" w:cs="Times New Roman" w:eastAsia="Times New Roman" w:hAnsi="Times New Roman"/>
                <w:sz w:val="18"/>
                <w:szCs w:val="18"/>
                <w:color w:val="0000FF"/>
                <w:w w:val="96"/>
              </w:rPr>
            </w:pPr>
            <w:hyperlink r:id="rId147">
              <w:r>
                <w:rPr>
                  <w:rFonts w:ascii="Times New Roman" w:cs="Times New Roman" w:eastAsia="Times New Roman" w:hAnsi="Times New Roman"/>
                  <w:sz w:val="18"/>
                  <w:szCs w:val="18"/>
                  <w:color w:val="0000FF"/>
                  <w:w w:val="96"/>
                </w:rPr>
                <w:t>Association, as trustee</w:t>
              </w:r>
            </w:hyperlink>
          </w:p>
        </w:tc>
        <w:tc>
          <w:tcPr>
            <w:tcW w:w="4280" w:type="dxa"/>
            <w:vAlign w:val="bottom"/>
            <w:tcBorders>
              <w:top w:val="single" w:sz="8" w:color="0000FF"/>
            </w:tcBorders>
            <w:gridSpan w:val="20"/>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4.1(f)</w:t>
            </w:r>
          </w:p>
        </w:tc>
        <w:tc>
          <w:tcPr>
            <w:tcW w:w="20" w:type="dxa"/>
            <w:vAlign w:val="bottom"/>
          </w:tcPr>
          <w:p>
            <w:pPr>
              <w:spacing w:after="0"/>
              <w:rPr>
                <w:sz w:val="17"/>
                <w:szCs w:val="17"/>
                <w:color w:val="auto"/>
              </w:rPr>
            </w:pPr>
          </w:p>
        </w:tc>
        <w:tc>
          <w:tcPr>
            <w:tcW w:w="4580" w:type="dxa"/>
            <w:vAlign w:val="bottom"/>
            <w:tcBorders>
              <w:bottom w:val="single" w:sz="8" w:color="0000FF"/>
            </w:tcBorders>
            <w:gridSpan w:val="8"/>
          </w:tcPr>
          <w:p>
            <w:pPr>
              <w:spacing w:after="0" w:line="203" w:lineRule="exact"/>
              <w:rPr>
                <w:rFonts w:ascii="Times New Roman" w:cs="Times New Roman" w:eastAsia="Times New Roman" w:hAnsi="Times New Roman"/>
                <w:sz w:val="18"/>
                <w:szCs w:val="18"/>
                <w:color w:val="0000FF"/>
                <w:w w:val="97"/>
              </w:rPr>
            </w:pPr>
            <w:hyperlink r:id="rId143">
              <w:r>
                <w:rPr>
                  <w:rFonts w:ascii="Times New Roman" w:cs="Times New Roman" w:eastAsia="Times New Roman" w:hAnsi="Times New Roman"/>
                  <w:sz w:val="18"/>
                  <w:szCs w:val="18"/>
                  <w:color w:val="0000FF"/>
                  <w:w w:val="97"/>
                </w:rPr>
                <w:t>Form of 5.250% Senior Notes due 2026 (included in Exhibit 4.1)</w:t>
              </w:r>
            </w:hyperlink>
          </w:p>
        </w:tc>
        <w:tc>
          <w:tcPr>
            <w:tcW w:w="13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8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4.2(a)</w:t>
            </w:r>
          </w:p>
        </w:tc>
        <w:tc>
          <w:tcPr>
            <w:tcW w:w="20" w:type="dxa"/>
            <w:vAlign w:val="bottom"/>
          </w:tcPr>
          <w:p>
            <w:pPr>
              <w:spacing w:after="0"/>
              <w:rPr>
                <w:sz w:val="24"/>
                <w:szCs w:val="24"/>
                <w:color w:val="auto"/>
              </w:rPr>
            </w:pPr>
          </w:p>
        </w:tc>
        <w:tc>
          <w:tcPr>
            <w:tcW w:w="55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7"/>
              </w:rPr>
            </w:pPr>
            <w:hyperlink r:id="rId148">
              <w:r>
                <w:rPr>
                  <w:rFonts w:ascii="Times New Roman" w:cs="Times New Roman" w:eastAsia="Times New Roman" w:hAnsi="Times New Roman"/>
                  <w:sz w:val="18"/>
                  <w:szCs w:val="18"/>
                  <w:color w:val="0000FF"/>
                  <w:w w:val="97"/>
                </w:rPr>
                <w:t>Indenture, dated as of October 22, 2019, by and among The Scotts Miracle-Gro</w:t>
              </w:r>
            </w:hyperlink>
          </w:p>
        </w:tc>
        <w:tc>
          <w:tcPr>
            <w:tcW w:w="3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20" w:type="dxa"/>
            <w:vAlign w:val="bottom"/>
            <w:gridSpan w:val="24"/>
          </w:tcPr>
          <w:p>
            <w:pPr>
              <w:spacing w:after="0" w:line="151"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Company, the Guarantors (as defined therein) and U.S. Bank National Association,</w:t>
              </w:r>
            </w:hyperlink>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40" w:type="dxa"/>
            <w:vAlign w:val="bottom"/>
            <w:tcBorders>
              <w:top w:val="single" w:sz="8" w:color="0000FF"/>
            </w:tcBorders>
            <w:gridSpan w:val="22"/>
          </w:tcPr>
          <w:p>
            <w:pPr>
              <w:spacing w:after="0" w:line="164"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as trustee</w:t>
              </w:r>
            </w:hyperlink>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4.2(b)</w:t>
            </w:r>
          </w:p>
        </w:tc>
        <w:tc>
          <w:tcPr>
            <w:tcW w:w="20" w:type="dxa"/>
            <w:vAlign w:val="bottom"/>
          </w:tcPr>
          <w:p>
            <w:pPr>
              <w:spacing w:after="0"/>
              <w:rPr>
                <w:sz w:val="17"/>
                <w:szCs w:val="17"/>
                <w:color w:val="auto"/>
              </w:rPr>
            </w:pPr>
          </w:p>
        </w:tc>
        <w:tc>
          <w:tcPr>
            <w:tcW w:w="5920" w:type="dxa"/>
            <w:vAlign w:val="bottom"/>
            <w:gridSpan w:val="24"/>
          </w:tcPr>
          <w:p>
            <w:pPr>
              <w:spacing w:after="0" w:line="203"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First Supplemental Indenture, dated March 24, 2020, by and among The Scotts</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2760" w:type="dxa"/>
            <w:vAlign w:val="bottom"/>
            <w:gridSpan w:val="3"/>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20" w:type="dxa"/>
            <w:vAlign w:val="bottom"/>
            <w:gridSpan w:val="24"/>
          </w:tcPr>
          <w:p>
            <w:pPr>
              <w:spacing w:after="0" w:line="151"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Miracle-Gro Company, the Guarantors (as defined therein) and U.S. Bank National</w:t>
              </w:r>
            </w:hyperlink>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Borders>
              <w:top w:val="single" w:sz="8" w:color="0000FF"/>
              <w:bottom w:val="single" w:sz="8" w:color="0000FF"/>
            </w:tcBorders>
            <w:gridSpan w:val="3"/>
          </w:tcPr>
          <w:p>
            <w:pPr>
              <w:spacing w:after="0" w:line="164" w:lineRule="exact"/>
              <w:rPr>
                <w:rFonts w:ascii="Times New Roman" w:cs="Times New Roman" w:eastAsia="Times New Roman" w:hAnsi="Times New Roman"/>
                <w:sz w:val="18"/>
                <w:szCs w:val="18"/>
                <w:color w:val="0000FF"/>
                <w:w w:val="96"/>
              </w:rPr>
            </w:pPr>
            <w:hyperlink r:id="rId149">
              <w:r>
                <w:rPr>
                  <w:rFonts w:ascii="Times New Roman" w:cs="Times New Roman" w:eastAsia="Times New Roman" w:hAnsi="Times New Roman"/>
                  <w:sz w:val="18"/>
                  <w:szCs w:val="18"/>
                  <w:color w:val="0000FF"/>
                  <w:w w:val="96"/>
                </w:rPr>
                <w:t>Association, as trustee</w:t>
              </w:r>
            </w:hyperlink>
          </w:p>
        </w:tc>
        <w:tc>
          <w:tcPr>
            <w:tcW w:w="4280" w:type="dxa"/>
            <w:vAlign w:val="bottom"/>
            <w:tcBorders>
              <w:top w:val="single" w:sz="8" w:color="0000FF"/>
            </w:tcBorders>
            <w:gridSpan w:val="20"/>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4.2(c)</w:t>
            </w:r>
          </w:p>
        </w:tc>
        <w:tc>
          <w:tcPr>
            <w:tcW w:w="20" w:type="dxa"/>
            <w:vAlign w:val="bottom"/>
          </w:tcPr>
          <w:p>
            <w:pPr>
              <w:spacing w:after="0"/>
              <w:rPr>
                <w:sz w:val="17"/>
                <w:szCs w:val="17"/>
                <w:color w:val="auto"/>
              </w:rPr>
            </w:pPr>
          </w:p>
        </w:tc>
        <w:tc>
          <w:tcPr>
            <w:tcW w:w="5920" w:type="dxa"/>
            <w:vAlign w:val="bottom"/>
            <w:gridSpan w:val="24"/>
          </w:tcPr>
          <w:p>
            <w:pPr>
              <w:spacing w:after="0" w:line="203"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Second Supplemental Indenture, dated March 29, 2021, by and among The Scotts</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60" w:type="dxa"/>
            <w:vAlign w:val="bottom"/>
            <w:tcBorders>
              <w:top w:val="single" w:sz="8" w:color="0000FF"/>
            </w:tcBorders>
            <w:gridSpan w:val="19"/>
          </w:tcPr>
          <w:p>
            <w:pPr>
              <w:spacing w:after="0" w:line="151"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Miracle-Gro Company, the Guarantors (as defined therein) and U.S. Bank National</w:t>
              </w:r>
            </w:hyperlink>
          </w:p>
        </w:tc>
        <w:tc>
          <w:tcPr>
            <w:tcW w:w="4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Borders>
              <w:top w:val="single" w:sz="8" w:color="0000FF"/>
              <w:bottom w:val="single" w:sz="8" w:color="0000FF"/>
            </w:tcBorders>
            <w:gridSpan w:val="3"/>
          </w:tcPr>
          <w:p>
            <w:pPr>
              <w:spacing w:after="0" w:line="164" w:lineRule="exact"/>
              <w:rPr>
                <w:rFonts w:ascii="Times New Roman" w:cs="Times New Roman" w:eastAsia="Times New Roman" w:hAnsi="Times New Roman"/>
                <w:sz w:val="18"/>
                <w:szCs w:val="18"/>
                <w:color w:val="0000FF"/>
                <w:w w:val="96"/>
              </w:rPr>
            </w:pPr>
            <w:hyperlink r:id="rId150">
              <w:r>
                <w:rPr>
                  <w:rFonts w:ascii="Times New Roman" w:cs="Times New Roman" w:eastAsia="Times New Roman" w:hAnsi="Times New Roman"/>
                  <w:sz w:val="18"/>
                  <w:szCs w:val="18"/>
                  <w:color w:val="0000FF"/>
                  <w:w w:val="96"/>
                </w:rPr>
                <w:t>Association, as trustee</w:t>
              </w:r>
            </w:hyperlink>
          </w:p>
        </w:tc>
        <w:tc>
          <w:tcPr>
            <w:tcW w:w="4280" w:type="dxa"/>
            <w:vAlign w:val="bottom"/>
            <w:tcBorders>
              <w:top w:val="single" w:sz="8" w:color="0000FF"/>
            </w:tcBorders>
            <w:gridSpan w:val="20"/>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4.2(d)</w:t>
            </w:r>
          </w:p>
        </w:tc>
        <w:tc>
          <w:tcPr>
            <w:tcW w:w="20" w:type="dxa"/>
            <w:vAlign w:val="bottom"/>
          </w:tcPr>
          <w:p>
            <w:pPr>
              <w:spacing w:after="0"/>
              <w:rPr>
                <w:sz w:val="17"/>
                <w:szCs w:val="17"/>
                <w:color w:val="auto"/>
              </w:rPr>
            </w:pPr>
          </w:p>
        </w:tc>
        <w:tc>
          <w:tcPr>
            <w:tcW w:w="5480" w:type="dxa"/>
            <w:vAlign w:val="bottom"/>
            <w:tcBorders>
              <w:bottom w:val="single" w:sz="8" w:color="0000FF"/>
            </w:tcBorders>
            <w:gridSpan w:val="11"/>
          </w:tcPr>
          <w:p>
            <w:pPr>
              <w:spacing w:after="0" w:line="203" w:lineRule="exact"/>
              <w:rPr>
                <w:rFonts w:ascii="Times New Roman" w:cs="Times New Roman" w:eastAsia="Times New Roman" w:hAnsi="Times New Roman"/>
                <w:sz w:val="18"/>
                <w:szCs w:val="18"/>
                <w:color w:val="0000FF"/>
                <w:w w:val="97"/>
              </w:rPr>
            </w:pPr>
            <w:hyperlink r:id="rId151">
              <w:r>
                <w:rPr>
                  <w:rFonts w:ascii="Times New Roman" w:cs="Times New Roman" w:eastAsia="Times New Roman" w:hAnsi="Times New Roman"/>
                  <w:sz w:val="18"/>
                  <w:szCs w:val="18"/>
                  <w:color w:val="0000FF"/>
                  <w:w w:val="97"/>
                </w:rPr>
                <w:t>Third Supplemental Indenture, dated June 24, 2021, by and among The Scotts</w:t>
              </w:r>
            </w:hyperlink>
          </w:p>
        </w:tc>
        <w:tc>
          <w:tcPr>
            <w:tcW w:w="4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20" w:type="dxa"/>
            <w:vAlign w:val="bottom"/>
            <w:gridSpan w:val="24"/>
          </w:tcPr>
          <w:p>
            <w:pPr>
              <w:spacing w:after="0" w:line="151"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Miracle-Gro Company, the Guarantors (as defined therein) and U.S. Bank National</w:t>
              </w:r>
            </w:hyperlink>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Borders>
              <w:top w:val="single" w:sz="8" w:color="0000FF"/>
              <w:bottom w:val="single" w:sz="8" w:color="0000FF"/>
            </w:tcBorders>
            <w:gridSpan w:val="3"/>
          </w:tcPr>
          <w:p>
            <w:pPr>
              <w:spacing w:after="0" w:line="164" w:lineRule="exact"/>
              <w:rPr>
                <w:rFonts w:ascii="Times New Roman" w:cs="Times New Roman" w:eastAsia="Times New Roman" w:hAnsi="Times New Roman"/>
                <w:sz w:val="18"/>
                <w:szCs w:val="18"/>
                <w:color w:val="0000FF"/>
                <w:w w:val="96"/>
              </w:rPr>
            </w:pPr>
            <w:hyperlink r:id="rId151">
              <w:r>
                <w:rPr>
                  <w:rFonts w:ascii="Times New Roman" w:cs="Times New Roman" w:eastAsia="Times New Roman" w:hAnsi="Times New Roman"/>
                  <w:sz w:val="18"/>
                  <w:szCs w:val="18"/>
                  <w:color w:val="0000FF"/>
                  <w:w w:val="96"/>
                </w:rPr>
                <w:t>Association, as trustee</w:t>
              </w:r>
            </w:hyperlink>
          </w:p>
        </w:tc>
        <w:tc>
          <w:tcPr>
            <w:tcW w:w="4280" w:type="dxa"/>
            <w:vAlign w:val="bottom"/>
            <w:tcBorders>
              <w:top w:val="single" w:sz="8" w:color="0000FF"/>
            </w:tcBorders>
            <w:gridSpan w:val="20"/>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4.2(e)</w:t>
            </w:r>
          </w:p>
        </w:tc>
        <w:tc>
          <w:tcPr>
            <w:tcW w:w="20" w:type="dxa"/>
            <w:vAlign w:val="bottom"/>
          </w:tcPr>
          <w:p>
            <w:pPr>
              <w:spacing w:after="0"/>
              <w:rPr>
                <w:sz w:val="17"/>
                <w:szCs w:val="17"/>
                <w:color w:val="auto"/>
              </w:rPr>
            </w:pPr>
          </w:p>
        </w:tc>
        <w:tc>
          <w:tcPr>
            <w:tcW w:w="5920" w:type="dxa"/>
            <w:vAlign w:val="bottom"/>
            <w:gridSpan w:val="24"/>
          </w:tcPr>
          <w:p>
            <w:pPr>
              <w:spacing w:after="0" w:line="203"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of 4.500% Senior Notes due 2029 (included in Exhibit 4.1)</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2760" w:type="dxa"/>
            <w:vAlign w:val="bottom"/>
            <w:gridSpan w:val="3"/>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4.3(a)</w:t>
            </w:r>
          </w:p>
        </w:tc>
        <w:tc>
          <w:tcPr>
            <w:tcW w:w="20" w:type="dxa"/>
            <w:vAlign w:val="bottom"/>
          </w:tcPr>
          <w:p>
            <w:pPr>
              <w:spacing w:after="0"/>
              <w:rPr>
                <w:sz w:val="24"/>
                <w:szCs w:val="24"/>
                <w:color w:val="auto"/>
              </w:rPr>
            </w:pPr>
          </w:p>
        </w:tc>
        <w:tc>
          <w:tcPr>
            <w:tcW w:w="5920" w:type="dxa"/>
            <w:vAlign w:val="bottom"/>
            <w:gridSpan w:val="24"/>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Indenture, dated as of March 17, 2021, by and among The Scotts Miracle-Gro</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366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20" w:type="dxa"/>
            <w:vAlign w:val="bottom"/>
            <w:gridSpan w:val="24"/>
          </w:tcPr>
          <w:p>
            <w:pPr>
              <w:spacing w:after="0" w:line="151"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Company, the Guarantors (as defined therein) and U.S. Bank National Association,</w:t>
              </w:r>
            </w:hyperlink>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40" w:type="dxa"/>
            <w:vAlign w:val="bottom"/>
            <w:tcBorders>
              <w:top w:val="single" w:sz="8" w:color="0000FF"/>
            </w:tcBorders>
            <w:gridSpan w:val="22"/>
          </w:tcPr>
          <w:p>
            <w:pPr>
              <w:spacing w:after="0" w:line="164"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as trustee</w:t>
              </w:r>
            </w:hyperlink>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4.3(b)</w:t>
            </w:r>
          </w:p>
        </w:tc>
        <w:tc>
          <w:tcPr>
            <w:tcW w:w="20" w:type="dxa"/>
            <w:vAlign w:val="bottom"/>
          </w:tcPr>
          <w:p>
            <w:pPr>
              <w:spacing w:after="0"/>
              <w:rPr>
                <w:sz w:val="17"/>
                <w:szCs w:val="17"/>
                <w:color w:val="auto"/>
              </w:rPr>
            </w:pPr>
          </w:p>
        </w:tc>
        <w:tc>
          <w:tcPr>
            <w:tcW w:w="5920" w:type="dxa"/>
            <w:vAlign w:val="bottom"/>
            <w:gridSpan w:val="24"/>
          </w:tcPr>
          <w:p>
            <w:pPr>
              <w:spacing w:after="0" w:line="203"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First Supplemental Indenture, dated as of June 24, 2021, by and among The Scotts</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0" w:type="dxa"/>
            <w:vAlign w:val="bottom"/>
            <w:tcBorders>
              <w:top w:val="single" w:sz="8" w:color="0000FF"/>
            </w:tcBorders>
            <w:gridSpan w:val="21"/>
          </w:tcPr>
          <w:p>
            <w:pPr>
              <w:spacing w:after="0" w:line="151" w:lineRule="exact"/>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Miracle-Gro Company, the Guarantors (as defined therein) and U.S. Bank National</w:t>
              </w:r>
            </w:hyperlink>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Borders>
              <w:top w:val="single" w:sz="8" w:color="0000FF"/>
              <w:bottom w:val="single" w:sz="8" w:color="0000FF"/>
            </w:tcBorders>
            <w:gridSpan w:val="3"/>
          </w:tcPr>
          <w:p>
            <w:pPr>
              <w:spacing w:after="0" w:line="164" w:lineRule="exact"/>
              <w:rPr>
                <w:rFonts w:ascii="Times New Roman" w:cs="Times New Roman" w:eastAsia="Times New Roman" w:hAnsi="Times New Roman"/>
                <w:sz w:val="18"/>
                <w:szCs w:val="18"/>
                <w:color w:val="0000FF"/>
                <w:w w:val="96"/>
              </w:rPr>
            </w:pPr>
            <w:hyperlink r:id="rId153">
              <w:r>
                <w:rPr>
                  <w:rFonts w:ascii="Times New Roman" w:cs="Times New Roman" w:eastAsia="Times New Roman" w:hAnsi="Times New Roman"/>
                  <w:sz w:val="18"/>
                  <w:szCs w:val="18"/>
                  <w:color w:val="0000FF"/>
                  <w:w w:val="96"/>
                </w:rPr>
                <w:t>Association, as trustee</w:t>
              </w:r>
            </w:hyperlink>
          </w:p>
        </w:tc>
        <w:tc>
          <w:tcPr>
            <w:tcW w:w="4280" w:type="dxa"/>
            <w:vAlign w:val="bottom"/>
            <w:tcBorders>
              <w:top w:val="single" w:sz="8" w:color="0000FF"/>
            </w:tcBorders>
            <w:gridSpan w:val="20"/>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4.3(c)</w:t>
            </w:r>
          </w:p>
        </w:tc>
        <w:tc>
          <w:tcPr>
            <w:tcW w:w="20" w:type="dxa"/>
            <w:vAlign w:val="bottom"/>
          </w:tcPr>
          <w:p>
            <w:pPr>
              <w:spacing w:after="0"/>
              <w:rPr>
                <w:sz w:val="17"/>
                <w:szCs w:val="17"/>
                <w:color w:val="auto"/>
              </w:rPr>
            </w:pPr>
          </w:p>
        </w:tc>
        <w:tc>
          <w:tcPr>
            <w:tcW w:w="4580" w:type="dxa"/>
            <w:vAlign w:val="bottom"/>
            <w:tcBorders>
              <w:bottom w:val="single" w:sz="8" w:color="0000FF"/>
            </w:tcBorders>
            <w:gridSpan w:val="8"/>
          </w:tcPr>
          <w:p>
            <w:pPr>
              <w:spacing w:after="0" w:line="203" w:lineRule="exact"/>
              <w:rPr>
                <w:rFonts w:ascii="Times New Roman" w:cs="Times New Roman" w:eastAsia="Times New Roman" w:hAnsi="Times New Roman"/>
                <w:sz w:val="18"/>
                <w:szCs w:val="18"/>
                <w:color w:val="0000FF"/>
                <w:w w:val="97"/>
              </w:rPr>
            </w:pPr>
            <w:hyperlink r:id="rId152">
              <w:r>
                <w:rPr>
                  <w:rFonts w:ascii="Times New Roman" w:cs="Times New Roman" w:eastAsia="Times New Roman" w:hAnsi="Times New Roman"/>
                  <w:sz w:val="18"/>
                  <w:szCs w:val="18"/>
                  <w:color w:val="0000FF"/>
                  <w:w w:val="97"/>
                </w:rPr>
                <w:t>Form of 4.000% Senior Notes due 2031 (included in Exhibit 4.1)</w:t>
              </w:r>
            </w:hyperlink>
          </w:p>
        </w:tc>
        <w:tc>
          <w:tcPr>
            <w:tcW w:w="13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8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4.4(a)</w:t>
            </w:r>
          </w:p>
        </w:tc>
        <w:tc>
          <w:tcPr>
            <w:tcW w:w="20" w:type="dxa"/>
            <w:vAlign w:val="bottom"/>
          </w:tcPr>
          <w:p>
            <w:pPr>
              <w:spacing w:after="0"/>
              <w:rPr>
                <w:sz w:val="24"/>
                <w:szCs w:val="24"/>
                <w:color w:val="auto"/>
              </w:rPr>
            </w:pPr>
          </w:p>
        </w:tc>
        <w:tc>
          <w:tcPr>
            <w:tcW w:w="55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7"/>
              </w:rPr>
            </w:pPr>
            <w:hyperlink r:id="rId154">
              <w:r>
                <w:rPr>
                  <w:rFonts w:ascii="Times New Roman" w:cs="Times New Roman" w:eastAsia="Times New Roman" w:hAnsi="Times New Roman"/>
                  <w:sz w:val="18"/>
                  <w:szCs w:val="18"/>
                  <w:color w:val="0000FF"/>
                  <w:w w:val="97"/>
                </w:rPr>
                <w:t>Indenture, dated as of August 13, 2021, by and among The Scotts Miracle-Gro</w:t>
              </w:r>
            </w:hyperlink>
          </w:p>
        </w:tc>
        <w:tc>
          <w:tcPr>
            <w:tcW w:w="3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20" w:type="dxa"/>
            <w:vAlign w:val="bottom"/>
            <w:gridSpan w:val="24"/>
          </w:tcPr>
          <w:p>
            <w:pPr>
              <w:spacing w:after="0" w:line="151"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Company, the Guarantors (as defined therein) and U.S. Bank National Association,</w:t>
              </w:r>
            </w:hyperlink>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40" w:type="dxa"/>
            <w:vAlign w:val="bottom"/>
            <w:tcBorders>
              <w:top w:val="single" w:sz="8" w:color="0000FF"/>
            </w:tcBorders>
            <w:gridSpan w:val="22"/>
          </w:tcPr>
          <w:p>
            <w:pPr>
              <w:spacing w:after="0" w:line="164"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as trustee</w:t>
              </w:r>
            </w:hyperlink>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46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4.4(b)</w:t>
            </w:r>
          </w:p>
        </w:tc>
        <w:tc>
          <w:tcPr>
            <w:tcW w:w="20" w:type="dxa"/>
            <w:vAlign w:val="bottom"/>
          </w:tcPr>
          <w:p>
            <w:pPr>
              <w:spacing w:after="0"/>
              <w:rPr>
                <w:sz w:val="17"/>
                <w:szCs w:val="17"/>
                <w:color w:val="auto"/>
              </w:rPr>
            </w:pPr>
          </w:p>
        </w:tc>
        <w:tc>
          <w:tcPr>
            <w:tcW w:w="4580" w:type="dxa"/>
            <w:vAlign w:val="bottom"/>
            <w:tcBorders>
              <w:bottom w:val="single" w:sz="8" w:color="0000FF"/>
            </w:tcBorders>
            <w:gridSpan w:val="8"/>
          </w:tcPr>
          <w:p>
            <w:pPr>
              <w:spacing w:after="0" w:line="203" w:lineRule="exact"/>
              <w:rPr>
                <w:rFonts w:ascii="Times New Roman" w:cs="Times New Roman" w:eastAsia="Times New Roman" w:hAnsi="Times New Roman"/>
                <w:sz w:val="18"/>
                <w:szCs w:val="18"/>
                <w:color w:val="0000FF"/>
                <w:w w:val="97"/>
              </w:rPr>
            </w:pPr>
            <w:hyperlink r:id="rId154">
              <w:r>
                <w:rPr>
                  <w:rFonts w:ascii="Times New Roman" w:cs="Times New Roman" w:eastAsia="Times New Roman" w:hAnsi="Times New Roman"/>
                  <w:sz w:val="18"/>
                  <w:szCs w:val="18"/>
                  <w:color w:val="0000FF"/>
                  <w:w w:val="97"/>
                </w:rPr>
                <w:t>Form of 4.375% Senior Notes due 2032 (included in Exhibit 4.1)</w:t>
              </w:r>
            </w:hyperlink>
          </w:p>
        </w:tc>
        <w:tc>
          <w:tcPr>
            <w:tcW w:w="13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87"/>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Agreement to furnish copies of instruments and agreements defining rights of</w:t>
            </w: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0" w:type="dxa"/>
            <w:vAlign w:val="bottom"/>
            <w:tcBorders>
              <w:top w:val="single" w:sz="8" w:color="0000FF"/>
              <w:bottom w:val="single" w:sz="8" w:color="0000FF"/>
            </w:tcBorders>
            <w:gridSpan w:val="4"/>
          </w:tcPr>
          <w:p>
            <w:pPr>
              <w:spacing w:after="0" w:line="151" w:lineRule="exact"/>
              <w:rPr>
                <w:sz w:val="20"/>
                <w:szCs w:val="20"/>
                <w:color w:val="auto"/>
              </w:rPr>
            </w:pPr>
            <w:r>
              <w:rPr>
                <w:rFonts w:ascii="Times New Roman" w:cs="Times New Roman" w:eastAsia="Times New Roman" w:hAnsi="Times New Roman"/>
                <w:sz w:val="16"/>
                <w:szCs w:val="16"/>
                <w:color w:val="0000FF"/>
              </w:rPr>
              <w:t>holders of long-term debt</w:t>
            </w:r>
          </w:p>
        </w:tc>
        <w:tc>
          <w:tcPr>
            <w:tcW w:w="3660" w:type="dxa"/>
            <w:vAlign w:val="bottom"/>
            <w:tcBorders>
              <w:top w:val="single" w:sz="8" w:color="0000FF"/>
            </w:tcBorders>
            <w:gridSpan w:val="6"/>
          </w:tcPr>
          <w:p>
            <w:pPr>
              <w:spacing w:after="0"/>
              <w:rPr>
                <w:sz w:val="13"/>
                <w:szCs w:val="13"/>
                <w:color w:val="auto"/>
              </w:rPr>
            </w:pPr>
          </w:p>
        </w:tc>
        <w:tc>
          <w:tcPr>
            <w:tcW w:w="46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755"/>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gridSpan w:val="8"/>
          </w:tcPr>
          <w:p>
            <w:pPr>
              <w:jc w:val="center"/>
              <w:ind w:left="4232"/>
              <w:spacing w:after="0"/>
              <w:rPr>
                <w:sz w:val="20"/>
                <w:szCs w:val="20"/>
                <w:color w:val="auto"/>
              </w:rPr>
            </w:pPr>
            <w:r>
              <w:rPr>
                <w:rFonts w:ascii="Times New Roman" w:cs="Times New Roman" w:eastAsia="Times New Roman" w:hAnsi="Times New Roman"/>
                <w:sz w:val="18"/>
                <w:szCs w:val="18"/>
                <w:color w:val="auto"/>
                <w:w w:val="96"/>
              </w:rPr>
              <w:t>109</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54610</wp:posOffset>
            </wp:positionV>
            <wp:extent cx="716153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186118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6">
                      <a:extLst>
                        <a:ext uri="{28A0092B-C50C-407E-A947-70E740481C1C}"/>
                      </a:extLst>
                    </a:blip>
                    <a:srcRect/>
                    <a:stretch>
                      <a:fillRect/>
                    </a:stretch>
                  </pic:blipFill>
                  <pic:spPr bwMode="auto">
                    <a:xfrm>
                      <a:off x="0" y="0"/>
                      <a:ext cx="1861185" cy="825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164"/>
        </w:trPr>
        <w:tc>
          <w:tcPr>
            <w:tcW w:w="640" w:type="dxa"/>
            <w:vAlign w:val="bottom"/>
            <w:tcBorders>
              <w:top w:val="single" w:sz="8" w:color="auto"/>
            </w:tcBorders>
          </w:tcPr>
          <w:p>
            <w:pPr>
              <w:jc w:val="center"/>
              <w:spacing w:after="0" w:line="164" w:lineRule="exact"/>
              <w:rPr>
                <w:sz w:val="20"/>
                <w:szCs w:val="20"/>
                <w:color w:val="auto"/>
              </w:rPr>
            </w:pPr>
            <w:r>
              <w:rPr>
                <w:rFonts w:ascii="Times New Roman" w:cs="Times New Roman" w:eastAsia="Times New Roman" w:hAnsi="Times New Roman"/>
                <w:sz w:val="18"/>
                <w:szCs w:val="18"/>
                <w:color w:val="auto"/>
                <w:w w:val="99"/>
              </w:rPr>
              <w:t>8-K</w:t>
            </w:r>
          </w:p>
        </w:tc>
        <w:tc>
          <w:tcPr>
            <w:tcW w:w="80" w:type="dxa"/>
            <w:vAlign w:val="bottom"/>
          </w:tcPr>
          <w:p>
            <w:pPr>
              <w:spacing w:after="0"/>
              <w:rPr>
                <w:sz w:val="14"/>
                <w:szCs w:val="14"/>
                <w:color w:val="auto"/>
              </w:rPr>
            </w:pPr>
          </w:p>
        </w:tc>
        <w:tc>
          <w:tcPr>
            <w:tcW w:w="1020" w:type="dxa"/>
            <w:vAlign w:val="bottom"/>
            <w:tcBorders>
              <w:top w:val="single" w:sz="8" w:color="auto"/>
            </w:tcBorders>
          </w:tcPr>
          <w:p>
            <w:pPr>
              <w:ind w:left="20"/>
              <w:spacing w:after="0" w:line="164"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1080" w:type="dxa"/>
            <w:vAlign w:val="bottom"/>
            <w:tcBorders>
              <w:top w:val="single" w:sz="8" w:color="auto"/>
            </w:tcBorders>
          </w:tcPr>
          <w:p>
            <w:pPr>
              <w:ind w:left="20"/>
              <w:spacing w:after="0" w:line="164" w:lineRule="exact"/>
              <w:rPr>
                <w:sz w:val="20"/>
                <w:szCs w:val="20"/>
                <w:color w:val="auto"/>
              </w:rPr>
            </w:pPr>
            <w:r>
              <w:rPr>
                <w:rFonts w:ascii="Times New Roman" w:cs="Times New Roman" w:eastAsia="Times New Roman" w:hAnsi="Times New Roman"/>
                <w:sz w:val="18"/>
                <w:szCs w:val="18"/>
                <w:color w:val="auto"/>
              </w:rPr>
              <w:t>March 24,</w:t>
            </w:r>
          </w:p>
        </w:tc>
      </w:tr>
      <w:tr>
        <w:trPr>
          <w:trHeight w:val="228"/>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2005</w:t>
            </w:r>
          </w:p>
        </w:tc>
      </w:tr>
      <w:tr>
        <w:trPr>
          <w:trHeight w:val="179"/>
        </w:trPr>
        <w:tc>
          <w:tcPr>
            <w:tcW w:w="720" w:type="dxa"/>
            <w:vAlign w:val="bottom"/>
            <w:gridSpan w:val="2"/>
          </w:tcPr>
          <w:p>
            <w:pPr>
              <w:jc w:val="center"/>
              <w:ind w:right="80"/>
              <w:spacing w:after="0" w:line="179" w:lineRule="exact"/>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5"/>
                <w:szCs w:val="15"/>
                <w:color w:val="auto"/>
              </w:rPr>
            </w:pPr>
          </w:p>
        </w:tc>
        <w:tc>
          <w:tcPr>
            <w:tcW w:w="108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March 24,</w:t>
            </w:r>
          </w:p>
        </w:tc>
      </w:tr>
      <w:tr>
        <w:trPr>
          <w:trHeight w:val="228"/>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2005</w:t>
            </w:r>
          </w:p>
        </w:tc>
      </w:tr>
      <w:tr>
        <w:trPr>
          <w:trHeight w:val="350"/>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w:t>
            </w:r>
          </w:p>
        </w:tc>
      </w:tr>
      <w:tr>
        <w:trPr>
          <w:trHeight w:val="228"/>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2005</w:t>
            </w:r>
          </w:p>
        </w:tc>
      </w:tr>
      <w:tr>
        <w:trPr>
          <w:trHeight w:val="179"/>
        </w:trPr>
        <w:tc>
          <w:tcPr>
            <w:tcW w:w="720" w:type="dxa"/>
            <w:vAlign w:val="bottom"/>
            <w:gridSpan w:val="2"/>
          </w:tcPr>
          <w:p>
            <w:pPr>
              <w:jc w:val="center"/>
              <w:ind w:right="80"/>
              <w:spacing w:after="0" w:line="179" w:lineRule="exact"/>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8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December 16,</w:t>
            </w:r>
          </w:p>
        </w:tc>
      </w:tr>
      <w:tr>
        <w:trPr>
          <w:trHeight w:val="228"/>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w:t>
            </w:r>
          </w:p>
        </w:tc>
      </w:tr>
      <w:tr>
        <w:trPr>
          <w:trHeight w:val="350"/>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8,</w:t>
            </w:r>
          </w:p>
        </w:tc>
      </w:tr>
      <w:tr>
        <w:trPr>
          <w:trHeight w:val="228"/>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w:t>
            </w:r>
          </w:p>
        </w:tc>
      </w:tr>
      <w:tr>
        <w:trPr>
          <w:trHeight w:val="402"/>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6, 2020</w:t>
            </w:r>
          </w:p>
        </w:tc>
      </w:tr>
      <w:tr>
        <w:trPr>
          <w:trHeight w:val="578"/>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12, 2021</w:t>
            </w:r>
          </w:p>
        </w:tc>
      </w:tr>
      <w:tr>
        <w:trPr>
          <w:trHeight w:val="526"/>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11,</w:t>
            </w:r>
          </w:p>
        </w:tc>
      </w:tr>
      <w:tr>
        <w:trPr>
          <w:trHeight w:val="228"/>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r>
      <w:tr>
        <w:trPr>
          <w:trHeight w:val="350"/>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16,</w:t>
            </w:r>
          </w:p>
        </w:tc>
      </w:tr>
      <w:tr>
        <w:trPr>
          <w:trHeight w:val="228"/>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w:t>
            </w:r>
          </w:p>
        </w:tc>
      </w:tr>
      <w:tr>
        <w:trPr>
          <w:trHeight w:val="179"/>
        </w:trPr>
        <w:tc>
          <w:tcPr>
            <w:tcW w:w="720" w:type="dxa"/>
            <w:vAlign w:val="bottom"/>
            <w:gridSpan w:val="2"/>
          </w:tcPr>
          <w:p>
            <w:pPr>
              <w:jc w:val="center"/>
              <w:ind w:right="80"/>
              <w:spacing w:after="0" w:line="179" w:lineRule="exact"/>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8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October 28,</w:t>
            </w:r>
          </w:p>
        </w:tc>
      </w:tr>
      <w:tr>
        <w:trPr>
          <w:trHeight w:val="228"/>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r>
      <w:tr>
        <w:trPr>
          <w:trHeight w:val="402"/>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6, 2020</w:t>
            </w:r>
          </w:p>
        </w:tc>
      </w:tr>
      <w:tr>
        <w:trPr>
          <w:trHeight w:val="578"/>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12, 2021</w:t>
            </w:r>
          </w:p>
        </w:tc>
      </w:tr>
      <w:tr>
        <w:trPr>
          <w:trHeight w:val="526"/>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11,</w:t>
            </w:r>
          </w:p>
        </w:tc>
      </w:tr>
      <w:tr>
        <w:trPr>
          <w:trHeight w:val="228"/>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r>
      <w:tr>
        <w:trPr>
          <w:trHeight w:val="350"/>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28,</w:t>
            </w:r>
          </w:p>
        </w:tc>
      </w:tr>
      <w:tr>
        <w:trPr>
          <w:trHeight w:val="228"/>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r>
      <w:tr>
        <w:trPr>
          <w:trHeight w:val="179"/>
        </w:trPr>
        <w:tc>
          <w:tcPr>
            <w:tcW w:w="720" w:type="dxa"/>
            <w:vAlign w:val="bottom"/>
            <w:gridSpan w:val="2"/>
          </w:tcPr>
          <w:p>
            <w:pPr>
              <w:jc w:val="center"/>
              <w:ind w:right="80"/>
              <w:spacing w:after="0" w:line="179" w:lineRule="exact"/>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8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March 17,</w:t>
            </w:r>
          </w:p>
        </w:tc>
      </w:tr>
      <w:tr>
        <w:trPr>
          <w:trHeight w:val="228"/>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r>
      <w:tr>
        <w:trPr>
          <w:trHeight w:val="350"/>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11,</w:t>
            </w:r>
          </w:p>
        </w:tc>
      </w:tr>
      <w:tr>
        <w:trPr>
          <w:trHeight w:val="228"/>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r>
      <w:tr>
        <w:trPr>
          <w:trHeight w:val="350"/>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17,</w:t>
            </w:r>
          </w:p>
        </w:tc>
      </w:tr>
      <w:tr>
        <w:trPr>
          <w:trHeight w:val="228"/>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r>
      <w:tr>
        <w:trPr>
          <w:trHeight w:val="179"/>
        </w:trPr>
        <w:tc>
          <w:tcPr>
            <w:tcW w:w="720" w:type="dxa"/>
            <w:vAlign w:val="bottom"/>
            <w:gridSpan w:val="2"/>
          </w:tcPr>
          <w:p>
            <w:pPr>
              <w:jc w:val="center"/>
              <w:ind w:right="80"/>
              <w:spacing w:after="0" w:line="179" w:lineRule="exact"/>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8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August 13,</w:t>
            </w:r>
          </w:p>
        </w:tc>
      </w:tr>
      <w:tr>
        <w:trPr>
          <w:trHeight w:val="228"/>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r>
      <w:tr>
        <w:trPr>
          <w:trHeight w:val="350"/>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13,</w:t>
            </w:r>
          </w:p>
        </w:tc>
      </w:tr>
      <w:tr>
        <w:trPr>
          <w:trHeight w:val="228"/>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p>
      <w:pPr>
        <w:jc w:val="center"/>
        <w:spacing w:after="0"/>
        <w:rPr>
          <w:sz w:val="20"/>
          <w:szCs w:val="20"/>
          <w:color w:val="auto"/>
        </w:rPr>
      </w:pPr>
      <w:r>
        <w:rPr>
          <w:rFonts w:ascii="Times New Roman" w:cs="Times New Roman" w:eastAsia="Times New Roman" w:hAnsi="Times New Roman"/>
          <w:sz w:val="16"/>
          <w:szCs w:val="16"/>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24130</wp:posOffset>
            </wp:positionV>
            <wp:extent cx="62611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7">
                      <a:extLst>
                        <a:ext uri="{28A0092B-C50C-407E-A947-70E740481C1C}"/>
                      </a:extLst>
                    </a:blip>
                    <a:srcRect/>
                    <a:stretch>
                      <a:fillRect/>
                    </a:stretch>
                  </pic:blipFill>
                  <pic:spPr bwMode="auto">
                    <a:xfrm>
                      <a:off x="0" y="0"/>
                      <a:ext cx="626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3">
            <w:col w:w="7120" w:space="100"/>
            <w:col w:w="2940" w:space="240"/>
            <w:col w:w="700"/>
          </w:cols>
          <w:pgMar w:left="320" w:top="121" w:right="4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80" w:type="dxa"/>
            <w:vAlign w:val="bottom"/>
            <w:gridSpan w:val="4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6"/>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80" w:type="dxa"/>
            <w:vAlign w:val="bottom"/>
            <w:gridSpan w:val="4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1080" w:type="dxa"/>
            <w:vAlign w:val="bottom"/>
            <w:tcBorders>
              <w:top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00" w:type="dxa"/>
            <w:vAlign w:val="bottom"/>
            <w:tcBorders>
              <w:top w:val="single" w:sz="8" w:color="auto"/>
            </w:tcBorders>
            <w:gridSpan w:val="48"/>
          </w:tcPr>
          <w:p>
            <w:pPr>
              <w:spacing w:after="0" w:line="177"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Description of Capital Stock</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10.1(a)(i)</w:t>
            </w:r>
          </w:p>
        </w:tc>
        <w:tc>
          <w:tcPr>
            <w:tcW w:w="20" w:type="dxa"/>
            <w:vAlign w:val="bottom"/>
          </w:tcPr>
          <w:p>
            <w:pPr>
              <w:spacing w:after="0"/>
              <w:rPr>
                <w:sz w:val="24"/>
                <w:szCs w:val="24"/>
                <w:color w:val="auto"/>
              </w:rPr>
            </w:pPr>
          </w:p>
        </w:tc>
        <w:tc>
          <w:tcPr>
            <w:tcW w:w="6000" w:type="dxa"/>
            <w:vAlign w:val="bottom"/>
            <w:gridSpan w:val="48"/>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Sixth Amended and Restated Credit Agreement, dated as of April 8, 2022, by and</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40" w:type="dxa"/>
            <w:vAlign w:val="bottom"/>
            <w:tcBorders>
              <w:top w:val="single" w:sz="8" w:color="0000FF"/>
              <w:bottom w:val="single" w:sz="8" w:color="0000FF"/>
            </w:tcBorders>
            <w:gridSpan w:val="35"/>
          </w:tcPr>
          <w:p>
            <w:pPr>
              <w:spacing w:after="0" w:line="151"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among The Scotts Miracle-Gro Company, as a Borrower; the Subsidiary Borrowers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60" w:type="dxa"/>
            <w:vAlign w:val="bottom"/>
            <w:gridSpan w:val="46"/>
          </w:tcPr>
          <w:p>
            <w:pPr>
              <w:spacing w:after="0" w:line="164"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(as defined therein); JPMorgan Chase Bank, N.A., as Administrative Agent; Wells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tcBorders>
              <w:top w:val="single" w:sz="8" w:color="0000FF"/>
              <w:bottom w:val="single" w:sz="8" w:color="0000FF"/>
            </w:tcBorders>
            <w:gridSpan w:val="39"/>
          </w:tcPr>
          <w:p>
            <w:pPr>
              <w:spacing w:after="0" w:line="151"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Fargo Bank, National Association, Mizuho Bank, Ltd. and Bank of America, N.A.,</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bottom w:val="single" w:sz="8" w:color="0000FF"/>
            </w:tcBorders>
            <w:gridSpan w:val="41"/>
          </w:tcPr>
          <w:p>
            <w:pPr>
              <w:spacing w:after="0" w:line="151"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as Co-Syndication Agents; CoBank, ACB, Fifth Third Bank, National Association,</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42"/>
          </w:tcPr>
          <w:p>
            <w:pPr>
              <w:spacing w:after="0" w:line="164"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Coöperatieve Rabobank U.A., New York Branch, Sumitomo Mitsui Banking</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80" w:type="dxa"/>
            <w:vAlign w:val="bottom"/>
            <w:tcBorders>
              <w:top w:val="single" w:sz="8" w:color="0000FF"/>
            </w:tcBorders>
            <w:gridSpan w:val="16"/>
          </w:tcPr>
          <w:p>
            <w:pPr>
              <w:spacing w:after="0" w:line="151"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Corporation, TD Bank N.A. and Truist Bank, as Co-Documentation Agents;</w:t>
              </w:r>
            </w:hyperlink>
          </w:p>
        </w:tc>
        <w:tc>
          <w:tcPr>
            <w:tcW w:w="620" w:type="dxa"/>
            <w:vAlign w:val="bottom"/>
            <w:gridSpan w:val="32"/>
          </w:tcPr>
          <w:p>
            <w:pPr>
              <w:ind w:left="20"/>
              <w:spacing w:after="0" w:line="151"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and</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60" w:type="dxa"/>
            <w:vAlign w:val="bottom"/>
            <w:tcBorders>
              <w:top w:val="single" w:sz="8" w:color="0000FF"/>
            </w:tcBorders>
            <w:gridSpan w:val="33"/>
          </w:tcPr>
          <w:p>
            <w:pPr>
              <w:spacing w:after="0" w:line="151"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the several other banks and other financial institutions from time to time parties</w:t>
              </w:r>
            </w:hyperlink>
          </w:p>
        </w:tc>
        <w:tc>
          <w:tcPr>
            <w:tcW w:w="4294967257"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top w:val="single" w:sz="8" w:color="0000FF"/>
              <w:bottom w:val="single" w:sz="8" w:color="0000FF"/>
            </w:tcBorders>
            <w:gridSpan w:val="3"/>
          </w:tcPr>
          <w:p>
            <w:pPr>
              <w:spacing w:after="0" w:line="164" w:lineRule="exact"/>
              <w:rPr>
                <w:rFonts w:ascii="Times New Roman" w:cs="Times New Roman" w:eastAsia="Times New Roman" w:hAnsi="Times New Roman"/>
                <w:sz w:val="18"/>
                <w:szCs w:val="18"/>
                <w:color w:val="0000FF"/>
                <w:w w:val="95"/>
              </w:rPr>
            </w:pPr>
            <w:hyperlink r:id="rId159">
              <w:r>
                <w:rPr>
                  <w:rFonts w:ascii="Times New Roman" w:cs="Times New Roman" w:eastAsia="Times New Roman" w:hAnsi="Times New Roman"/>
                  <w:sz w:val="18"/>
                  <w:szCs w:val="18"/>
                  <w:color w:val="0000FF"/>
                  <w:w w:val="95"/>
                </w:rPr>
                <w:t>thereto</w:t>
              </w:r>
            </w:hyperlink>
          </w:p>
        </w:tc>
        <w:tc>
          <w:tcPr>
            <w:tcW w:w="5080" w:type="dxa"/>
            <w:vAlign w:val="bottom"/>
            <w:tcBorders>
              <w:top w:val="single" w:sz="8" w:color="0000FF"/>
            </w:tcBorders>
            <w:gridSpan w:val="2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10.1(a)(ii)</w:t>
            </w:r>
          </w:p>
        </w:tc>
        <w:tc>
          <w:tcPr>
            <w:tcW w:w="20" w:type="dxa"/>
            <w:vAlign w:val="bottom"/>
          </w:tcPr>
          <w:p>
            <w:pPr>
              <w:spacing w:after="0"/>
              <w:rPr>
                <w:sz w:val="17"/>
                <w:szCs w:val="17"/>
                <w:color w:val="auto"/>
              </w:rPr>
            </w:pPr>
          </w:p>
        </w:tc>
        <w:tc>
          <w:tcPr>
            <w:tcW w:w="6000" w:type="dxa"/>
            <w:vAlign w:val="bottom"/>
            <w:gridSpan w:val="48"/>
          </w:tcPr>
          <w:p>
            <w:pPr>
              <w:spacing w:after="0" w:line="203"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Amendment No. 1, dated June 8, 2022, to Sixth Amended and Restated Credit</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20" w:type="dxa"/>
            <w:vAlign w:val="bottom"/>
            <w:tcBorders>
              <w:top w:val="single" w:sz="8" w:color="0000FF"/>
              <w:bottom w:val="single" w:sz="8" w:color="0000FF"/>
            </w:tcBorders>
            <w:gridSpan w:val="18"/>
          </w:tcPr>
          <w:p>
            <w:pPr>
              <w:spacing w:after="0" w:line="151"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Agreement, dated as of April 8, 2022, by and among The Scotts Miracle-Gro</w:t>
              </w:r>
            </w:hyperlink>
          </w:p>
        </w:tc>
        <w:tc>
          <w:tcPr>
            <w:tcW w:w="8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0" w:type="dxa"/>
            <w:vAlign w:val="bottom"/>
            <w:gridSpan w:val="48"/>
          </w:tcPr>
          <w:p>
            <w:pPr>
              <w:spacing w:after="0" w:line="164"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Company, as a Borrower; the Subsidiary Borrowers (as defined therein); JPMorgan</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11"/>
          </w:tcPr>
          <w:p>
            <w:pPr>
              <w:spacing w:after="0" w:line="151"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Chase Bank, N.A., as Administrative Agent; Wells Fargo Bank, National</w:t>
              </w:r>
            </w:hyperlink>
          </w:p>
        </w:tc>
        <w:tc>
          <w:tcPr>
            <w:tcW w:w="800" w:type="dxa"/>
            <w:vAlign w:val="bottom"/>
            <w:tcBorders>
              <w:top w:val="single" w:sz="8" w:color="0000FF"/>
            </w:tcBorders>
            <w:gridSpan w:val="3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0" w:type="dxa"/>
            <w:vAlign w:val="bottom"/>
            <w:gridSpan w:val="48"/>
          </w:tcPr>
          <w:p>
            <w:pPr>
              <w:spacing w:after="0" w:line="151"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Association, Mizuho Bank, Ltd. and Bank of America, N.A., as Co-Syndication</w:t>
              </w:r>
            </w:hyperlink>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80" w:type="dxa"/>
            <w:vAlign w:val="bottom"/>
            <w:tcBorders>
              <w:top w:val="single" w:sz="8" w:color="0000FF"/>
              <w:bottom w:val="single" w:sz="8" w:color="0000FF"/>
            </w:tcBorders>
            <w:gridSpan w:val="20"/>
          </w:tcPr>
          <w:p>
            <w:pPr>
              <w:spacing w:after="0" w:line="164" w:lineRule="exact"/>
              <w:rPr>
                <w:rFonts w:ascii="Times New Roman" w:cs="Times New Roman" w:eastAsia="Times New Roman" w:hAnsi="Times New Roman"/>
                <w:sz w:val="18"/>
                <w:szCs w:val="18"/>
                <w:color w:val="0000FF"/>
                <w:w w:val="97"/>
              </w:rPr>
            </w:pPr>
            <w:hyperlink r:id="rId160">
              <w:r>
                <w:rPr>
                  <w:rFonts w:ascii="Times New Roman" w:cs="Times New Roman" w:eastAsia="Times New Roman" w:hAnsi="Times New Roman"/>
                  <w:sz w:val="18"/>
                  <w:szCs w:val="18"/>
                  <w:color w:val="0000FF"/>
                  <w:w w:val="97"/>
                </w:rPr>
                <w:t>Agents; CoBank, ACB, Fifth Third Bank, National Association, Coöperatieve</w:t>
              </w:r>
            </w:hyperlink>
          </w:p>
        </w:tc>
        <w:tc>
          <w:tcPr>
            <w:tcW w:w="160" w:type="dxa"/>
            <w:vAlign w:val="bottom"/>
            <w:tcBorders>
              <w:top w:val="single" w:sz="8" w:color="0000FF"/>
            </w:tcBorders>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0" w:type="dxa"/>
            <w:vAlign w:val="bottom"/>
            <w:gridSpan w:val="48"/>
          </w:tcPr>
          <w:p>
            <w:pPr>
              <w:spacing w:after="0" w:line="151"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Rabobank U.A., New York Branch, Sumitomo Mitsui Banking Corporation, TD</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tcBorders>
              <w:top w:val="single" w:sz="8" w:color="0000FF"/>
              <w:bottom w:val="single" w:sz="8" w:color="0000FF"/>
            </w:tcBorders>
            <w:gridSpan w:val="29"/>
          </w:tcPr>
          <w:p>
            <w:pPr>
              <w:spacing w:after="0" w:line="151"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Bank N.A. and Truist Bank, as Co-Documentation Agents; and the several other</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20" w:type="dxa"/>
            <w:vAlign w:val="bottom"/>
            <w:gridSpan w:val="31"/>
          </w:tcPr>
          <w:p>
            <w:pPr>
              <w:spacing w:after="0" w:line="164"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banks and other financial institutions from time to time parties thereto</w:t>
              </w:r>
            </w:hyperlink>
          </w:p>
        </w:tc>
        <w:tc>
          <w:tcPr>
            <w:tcW w:w="20" w:type="dxa"/>
            <w:vAlign w:val="bottom"/>
          </w:tcPr>
          <w:p>
            <w:pPr>
              <w:spacing w:after="0"/>
              <w:rPr>
                <w:sz w:val="14"/>
                <w:szCs w:val="14"/>
                <w:color w:val="auto"/>
              </w:rPr>
            </w:pPr>
          </w:p>
        </w:tc>
        <w:tc>
          <w:tcPr>
            <w:tcW w:w="4294967277"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77"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10.1(b)</w:t>
            </w:r>
          </w:p>
        </w:tc>
        <w:tc>
          <w:tcPr>
            <w:tcW w:w="20" w:type="dxa"/>
            <w:vAlign w:val="bottom"/>
          </w:tcPr>
          <w:p>
            <w:pPr>
              <w:spacing w:after="0"/>
              <w:rPr>
                <w:sz w:val="17"/>
                <w:szCs w:val="17"/>
                <w:color w:val="auto"/>
              </w:rPr>
            </w:pPr>
          </w:p>
        </w:tc>
        <w:tc>
          <w:tcPr>
            <w:tcW w:w="6000" w:type="dxa"/>
            <w:vAlign w:val="bottom"/>
            <w:gridSpan w:val="48"/>
          </w:tcPr>
          <w:p>
            <w:pPr>
              <w:spacing w:after="0" w:line="203"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Sixth Amended and Restated Guarantee and Collateral Agreement, dated as of</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40" w:type="dxa"/>
            <w:vAlign w:val="bottom"/>
            <w:tcBorders>
              <w:top w:val="single" w:sz="8" w:color="0000FF"/>
              <w:bottom w:val="single" w:sz="8" w:color="0000FF"/>
            </w:tcBorders>
            <w:gridSpan w:val="12"/>
          </w:tcPr>
          <w:p>
            <w:pPr>
              <w:spacing w:after="0" w:line="151"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April 8, 2022, made by The Scotts Miracle-Gro Company, each domestic</w:t>
              </w:r>
            </w:hyperlink>
          </w:p>
        </w:tc>
        <w:tc>
          <w:tcPr>
            <w:tcW w:w="380" w:type="dxa"/>
            <w:vAlign w:val="bottom"/>
            <w:tcBorders>
              <w:top w:val="single" w:sz="8" w:color="0000FF"/>
            </w:tcBorders>
            <w:gridSpan w:val="10"/>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294967277"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0" w:type="dxa"/>
            <w:vAlign w:val="bottom"/>
            <w:gridSpan w:val="48"/>
          </w:tcPr>
          <w:p>
            <w:pPr>
              <w:spacing w:after="0" w:line="164" w:lineRule="exact"/>
              <w:rPr>
                <w:rFonts w:ascii="Times New Roman" w:cs="Times New Roman" w:eastAsia="Times New Roman" w:hAnsi="Times New Roman"/>
                <w:sz w:val="18"/>
                <w:szCs w:val="18"/>
                <w:color w:val="0000FF"/>
                <w:w w:val="98"/>
              </w:rPr>
            </w:pPr>
            <w:hyperlink r:id="rId161">
              <w:r>
                <w:rPr>
                  <w:rFonts w:ascii="Times New Roman" w:cs="Times New Roman" w:eastAsia="Times New Roman" w:hAnsi="Times New Roman"/>
                  <w:sz w:val="18"/>
                  <w:szCs w:val="18"/>
                  <w:color w:val="0000FF"/>
                  <w:w w:val="98"/>
                </w:rPr>
                <w:t>Subsidiary Borrower under the Sixth Amended and Restated Credit Agreement, and</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80" w:type="dxa"/>
            <w:vAlign w:val="bottom"/>
            <w:tcBorders>
              <w:top w:val="single" w:sz="8" w:color="0000FF"/>
            </w:tcBorders>
            <w:gridSpan w:val="47"/>
          </w:tcPr>
          <w:p>
            <w:pPr>
              <w:spacing w:after="0" w:line="151"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certain of its and their domestic subsidiaries, in favor of JPMorgan Chase Bank,</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60" w:type="dxa"/>
            <w:vAlign w:val="bottom"/>
            <w:tcBorders>
              <w:top w:val="single" w:sz="8" w:color="0000FF"/>
            </w:tcBorders>
            <w:gridSpan w:val="28"/>
          </w:tcPr>
          <w:p>
            <w:pPr>
              <w:spacing w:after="0" w:line="151"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N.A., as Administrative Agent</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294967277"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77"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10.2(a)†</w:t>
            </w:r>
          </w:p>
        </w:tc>
        <w:tc>
          <w:tcPr>
            <w:tcW w:w="20" w:type="dxa"/>
            <w:vAlign w:val="bottom"/>
          </w:tcPr>
          <w:p>
            <w:pPr>
              <w:spacing w:after="0"/>
              <w:rPr>
                <w:sz w:val="18"/>
                <w:szCs w:val="18"/>
                <w:color w:val="auto"/>
              </w:rPr>
            </w:pPr>
          </w:p>
        </w:tc>
        <w:tc>
          <w:tcPr>
            <w:tcW w:w="6000" w:type="dxa"/>
            <w:vAlign w:val="bottom"/>
            <w:gridSpan w:val="48"/>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The Scotts Miracle-Gro Company Long-Term Incentive Plan (reflects amendment</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80" w:type="dxa"/>
            <w:vAlign w:val="bottom"/>
            <w:tcBorders>
              <w:top w:val="single" w:sz="8" w:color="0000FF"/>
              <w:bottom w:val="single" w:sz="8" w:color="0000FF"/>
            </w:tcBorders>
            <w:gridSpan w:val="37"/>
          </w:tcPr>
          <w:p>
            <w:pPr>
              <w:spacing w:after="0" w:line="151"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and restatement of plan formerly known as The Scotts Miracle-Gro Company 2006</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20" w:type="dxa"/>
            <w:vAlign w:val="bottom"/>
            <w:tcBorders>
              <w:bottom w:val="single" w:sz="8" w:color="0000FF"/>
            </w:tcBorders>
            <w:gridSpan w:val="34"/>
          </w:tcPr>
          <w:p>
            <w:pPr>
              <w:spacing w:after="0" w:line="164" w:lineRule="exact"/>
              <w:rPr>
                <w:rFonts w:ascii="Times New Roman" w:cs="Times New Roman" w:eastAsia="Times New Roman" w:hAnsi="Times New Roman"/>
                <w:sz w:val="18"/>
                <w:szCs w:val="18"/>
                <w:color w:val="0000FF"/>
                <w:w w:val="97"/>
              </w:rPr>
            </w:pPr>
            <w:hyperlink r:id="rId162">
              <w:r>
                <w:rPr>
                  <w:rFonts w:ascii="Times New Roman" w:cs="Times New Roman" w:eastAsia="Times New Roman" w:hAnsi="Times New Roman"/>
                  <w:sz w:val="18"/>
                  <w:szCs w:val="18"/>
                  <w:color w:val="0000FF"/>
                  <w:w w:val="97"/>
                </w:rPr>
                <w:t>Long-Term Incentive Plan) [January 17, 2013 through January 26, 2017 version]</w:t>
              </w:r>
            </w:hyperlink>
          </w:p>
        </w:tc>
        <w:tc>
          <w:tcPr>
            <w:tcW w:w="180" w:type="dxa"/>
            <w:vAlign w:val="bottom"/>
            <w:gridSpan w:val="9"/>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10.2(b)†</w:t>
            </w:r>
          </w:p>
        </w:tc>
        <w:tc>
          <w:tcPr>
            <w:tcW w:w="20" w:type="dxa"/>
            <w:vAlign w:val="bottom"/>
          </w:tcPr>
          <w:p>
            <w:pPr>
              <w:spacing w:after="0"/>
              <w:rPr>
                <w:sz w:val="17"/>
                <w:szCs w:val="17"/>
                <w:color w:val="auto"/>
              </w:rPr>
            </w:pPr>
          </w:p>
        </w:tc>
        <w:tc>
          <w:tcPr>
            <w:tcW w:w="6000" w:type="dxa"/>
            <w:vAlign w:val="bottom"/>
            <w:gridSpan w:val="48"/>
          </w:tcPr>
          <w:p>
            <w:pPr>
              <w:spacing w:after="0" w:line="203"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Form of Nonqualified Stock Option Award Agreement for Employees used to</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60" w:type="dxa"/>
            <w:vAlign w:val="bottom"/>
            <w:tcBorders>
              <w:top w:val="single" w:sz="8" w:color="0000FF"/>
            </w:tcBorders>
            <w:gridSpan w:val="19"/>
          </w:tcPr>
          <w:p>
            <w:pPr>
              <w:spacing w:after="0" w:line="151" w:lineRule="exact"/>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evidence grants made under The Scotts Miracle-Gro Company Long-Term</w:t>
              </w:r>
            </w:hyperlink>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294967277"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Borders>
              <w:top w:val="single" w:sz="8" w:color="0000FF"/>
            </w:tcBorders>
            <w:gridSpan w:val="13"/>
          </w:tcPr>
          <w:p>
            <w:pPr>
              <w:spacing w:after="0" w:line="164"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Incentive Plan [January 17, 2013 through January 26, 2017 version]</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6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4294967277"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77"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10.3(a)†</w:t>
            </w:r>
          </w:p>
        </w:tc>
        <w:tc>
          <w:tcPr>
            <w:tcW w:w="20" w:type="dxa"/>
            <w:vAlign w:val="bottom"/>
          </w:tcPr>
          <w:p>
            <w:pPr>
              <w:spacing w:after="0"/>
              <w:rPr>
                <w:sz w:val="17"/>
                <w:szCs w:val="17"/>
                <w:color w:val="auto"/>
              </w:rPr>
            </w:pPr>
          </w:p>
        </w:tc>
        <w:tc>
          <w:tcPr>
            <w:tcW w:w="6000" w:type="dxa"/>
            <w:vAlign w:val="bottom"/>
            <w:gridSpan w:val="48"/>
          </w:tcPr>
          <w:p>
            <w:pPr>
              <w:spacing w:after="0" w:line="203"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The Scotts Miracle-Gro Company Long-Term Incentive Plan [January 27, 2017</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20" w:type="dxa"/>
            <w:vAlign w:val="bottom"/>
            <w:tcBorders>
              <w:top w:val="single" w:sz="8" w:color="0000FF"/>
              <w:bottom w:val="single" w:sz="8" w:color="0000FF"/>
            </w:tcBorders>
            <w:gridSpan w:val="6"/>
          </w:tcPr>
          <w:p>
            <w:pPr>
              <w:spacing w:after="0" w:line="151" w:lineRule="exact"/>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through January 23, 2022 version]</w:t>
              </w:r>
            </w:hyperlink>
          </w:p>
        </w:tc>
        <w:tc>
          <w:tcPr>
            <w:tcW w:w="318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294967277"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10.3(b)†</w:t>
            </w:r>
          </w:p>
        </w:tc>
        <w:tc>
          <w:tcPr>
            <w:tcW w:w="20" w:type="dxa"/>
            <w:vAlign w:val="bottom"/>
          </w:tcPr>
          <w:p>
            <w:pPr>
              <w:spacing w:after="0"/>
              <w:rPr>
                <w:sz w:val="18"/>
                <w:szCs w:val="18"/>
                <w:color w:val="auto"/>
              </w:rPr>
            </w:pPr>
          </w:p>
        </w:tc>
        <w:tc>
          <w:tcPr>
            <w:tcW w:w="6000" w:type="dxa"/>
            <w:vAlign w:val="bottom"/>
            <w:gridSpan w:val="48"/>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Form of Standard Restricted Stock Unit Award Agreement which may be made</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80" w:type="dxa"/>
            <w:vAlign w:val="bottom"/>
            <w:gridSpan w:val="5"/>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60" w:type="dxa"/>
            <w:vAlign w:val="bottom"/>
            <w:gridSpan w:val="6"/>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77"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0" w:type="dxa"/>
            <w:vAlign w:val="bottom"/>
            <w:gridSpan w:val="48"/>
          </w:tcPr>
          <w:p>
            <w:pPr>
              <w:spacing w:after="0" w:line="151"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under The Scotts Miracle-Gro Company Long-Term Incentive Plan [January 27,</w:t>
              </w:r>
            </w:hyperlink>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40" w:type="dxa"/>
            <w:vAlign w:val="bottom"/>
            <w:tcBorders>
              <w:top w:val="single" w:sz="8" w:color="0000FF"/>
            </w:tcBorders>
            <w:gridSpan w:val="32"/>
          </w:tcPr>
          <w:p>
            <w:pPr>
              <w:spacing w:after="0" w:line="164"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2017 through January 23, 2022 version]</w:t>
              </w:r>
            </w:hyperlink>
          </w:p>
        </w:tc>
        <w:tc>
          <w:tcPr>
            <w:tcW w:w="4294967277"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80" w:type="dxa"/>
            <w:vAlign w:val="bottom"/>
            <w:gridSpan w:val="5"/>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10.3(c)†</w:t>
            </w:r>
          </w:p>
        </w:tc>
        <w:tc>
          <w:tcPr>
            <w:tcW w:w="20" w:type="dxa"/>
            <w:vAlign w:val="bottom"/>
          </w:tcPr>
          <w:p>
            <w:pPr>
              <w:spacing w:after="0"/>
              <w:rPr>
                <w:sz w:val="17"/>
                <w:szCs w:val="17"/>
                <w:color w:val="auto"/>
              </w:rPr>
            </w:pPr>
          </w:p>
        </w:tc>
        <w:tc>
          <w:tcPr>
            <w:tcW w:w="6000" w:type="dxa"/>
            <w:vAlign w:val="bottom"/>
            <w:gridSpan w:val="48"/>
          </w:tcPr>
          <w:p>
            <w:pPr>
              <w:spacing w:after="0" w:line="203"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Form of Standard Non-Qualified Stock Option Award Agreement which may be</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Borders>
              <w:top w:val="single" w:sz="8" w:color="0000FF"/>
            </w:tcBorders>
            <w:gridSpan w:val="30"/>
          </w:tcPr>
          <w:p>
            <w:pPr>
              <w:spacing w:after="0" w:line="151" w:lineRule="exact"/>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made under The Scotts Miracle-Gro Company Long-Term Incentive Plan</w:t>
              </w:r>
            </w:hyperlink>
          </w:p>
        </w:tc>
        <w:tc>
          <w:tcPr>
            <w:tcW w:w="2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140" w:type="dxa"/>
            <w:vAlign w:val="bottom"/>
            <w:gridSpan w:val="6"/>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c>
          <w:tcPr>
            <w:tcW w:w="10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10.3(d)†</w:t>
            </w:r>
          </w:p>
        </w:tc>
        <w:tc>
          <w:tcPr>
            <w:tcW w:w="20" w:type="dxa"/>
            <w:vAlign w:val="bottom"/>
          </w:tcPr>
          <w:p>
            <w:pPr>
              <w:spacing w:after="0"/>
              <w:rPr>
                <w:sz w:val="18"/>
                <w:szCs w:val="18"/>
                <w:color w:val="auto"/>
              </w:rPr>
            </w:pPr>
          </w:p>
        </w:tc>
        <w:tc>
          <w:tcPr>
            <w:tcW w:w="53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6"/>
              </w:rPr>
            </w:pPr>
            <w:hyperlink r:id="rId167">
              <w:r>
                <w:rPr>
                  <w:rFonts w:ascii="Times New Roman" w:cs="Times New Roman" w:eastAsia="Times New Roman" w:hAnsi="Times New Roman"/>
                  <w:sz w:val="18"/>
                  <w:szCs w:val="18"/>
                  <w:color w:val="0000FF"/>
                  <w:w w:val="96"/>
                </w:rPr>
                <w:t>Form of Deferred Stock Unit Award Agreement for Nonemployee Directors</w:t>
              </w:r>
            </w:hyperlink>
          </w:p>
        </w:tc>
        <w:tc>
          <w:tcPr>
            <w:tcW w:w="660" w:type="dxa"/>
            <w:vAlign w:val="bottom"/>
            <w:gridSpan w:val="34"/>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20" w:type="dxa"/>
            <w:vAlign w:val="bottom"/>
            <w:tcBorders>
              <w:bottom w:val="single" w:sz="8" w:color="0000FF"/>
            </w:tcBorders>
            <w:gridSpan w:val="26"/>
          </w:tcPr>
          <w:p>
            <w:pPr>
              <w:spacing w:after="0" w:line="151" w:lineRule="exact"/>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Retainer Deferrals (with Related Dividend Equivalents) used to evidence grants</w:t>
              </w:r>
            </w:hyperlink>
          </w:p>
        </w:tc>
        <w:tc>
          <w:tcPr>
            <w:tcW w:w="380" w:type="dxa"/>
            <w:vAlign w:val="bottom"/>
            <w:gridSpan w:val="22"/>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0" w:type="dxa"/>
            <w:vAlign w:val="bottom"/>
            <w:gridSpan w:val="48"/>
          </w:tcPr>
          <w:p>
            <w:pPr>
              <w:spacing w:after="0" w:line="164" w:lineRule="exact"/>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which may be made under The Scotts Miracle-Gro Company Long-Term Incentive</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top w:val="single" w:sz="8" w:color="0000FF"/>
              <w:bottom w:val="single" w:sz="8" w:color="0000FF"/>
            </w:tcBorders>
          </w:tcPr>
          <w:p>
            <w:pPr>
              <w:spacing w:after="0" w:line="151" w:lineRule="exact"/>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Plan</w:t>
              </w:r>
            </w:hyperlink>
          </w:p>
        </w:tc>
        <w:tc>
          <w:tcPr>
            <w:tcW w:w="5520" w:type="dxa"/>
            <w:vAlign w:val="bottom"/>
            <w:tcBorders>
              <w:top w:val="single" w:sz="8" w:color="0000FF"/>
            </w:tcBorders>
            <w:gridSpan w:val="39"/>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10.3(e)(i)†</w:t>
            </w:r>
          </w:p>
        </w:tc>
        <w:tc>
          <w:tcPr>
            <w:tcW w:w="20" w:type="dxa"/>
            <w:vAlign w:val="bottom"/>
          </w:tcPr>
          <w:p>
            <w:pPr>
              <w:spacing w:after="0"/>
              <w:rPr>
                <w:sz w:val="17"/>
                <w:szCs w:val="17"/>
                <w:color w:val="auto"/>
              </w:rPr>
            </w:pPr>
          </w:p>
        </w:tc>
        <w:tc>
          <w:tcPr>
            <w:tcW w:w="6000" w:type="dxa"/>
            <w:vAlign w:val="bottom"/>
            <w:gridSpan w:val="48"/>
          </w:tcPr>
          <w:p>
            <w:pPr>
              <w:spacing w:after="0" w:line="203" w:lineRule="exact"/>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Form of Restricted Stock Unit Award Agreement for Third Party Service-Providers</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40" w:type="dxa"/>
            <w:vAlign w:val="bottom"/>
            <w:tcBorders>
              <w:top w:val="single" w:sz="8" w:color="0000FF"/>
            </w:tcBorders>
            <w:gridSpan w:val="45"/>
          </w:tcPr>
          <w:p>
            <w:pPr>
              <w:spacing w:after="0" w:line="151" w:lineRule="exact"/>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(with Related Dividend Equivalents) which may be used to evidence grants made</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20" w:type="dxa"/>
            <w:vAlign w:val="bottom"/>
            <w:tcBorders>
              <w:top w:val="single" w:sz="8" w:color="0000FF"/>
            </w:tcBorders>
            <w:gridSpan w:val="34"/>
          </w:tcPr>
          <w:p>
            <w:pPr>
              <w:spacing w:after="0" w:line="164"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under The Scotts Miracle-Gro Company Long-Term Incentive Plan</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140" w:type="dxa"/>
            <w:vAlign w:val="bottom"/>
            <w:gridSpan w:val="6"/>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1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10.3(e)(ii)†</w:t>
            </w:r>
          </w:p>
        </w:tc>
        <w:tc>
          <w:tcPr>
            <w:tcW w:w="20" w:type="dxa"/>
            <w:vAlign w:val="bottom"/>
          </w:tcPr>
          <w:p>
            <w:pPr>
              <w:spacing w:after="0"/>
              <w:rPr>
                <w:sz w:val="17"/>
                <w:szCs w:val="17"/>
                <w:color w:val="auto"/>
              </w:rPr>
            </w:pPr>
          </w:p>
        </w:tc>
        <w:tc>
          <w:tcPr>
            <w:tcW w:w="6000" w:type="dxa"/>
            <w:vAlign w:val="bottom"/>
            <w:gridSpan w:val="48"/>
          </w:tcPr>
          <w:p>
            <w:pPr>
              <w:spacing w:after="0" w:line="203"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Form of Standard Restricted Stock Unit Award Agreement for Nonemployee</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tcBorders>
            <w:gridSpan w:val="17"/>
          </w:tcPr>
          <w:p>
            <w:pPr>
              <w:spacing w:after="0" w:line="151"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Directors (with Related Dividend Equivalents) used to evidence grants which</w:t>
              </w:r>
            </w:hyperlink>
          </w:p>
        </w:tc>
        <w:tc>
          <w:tcPr>
            <w:tcW w:w="600" w:type="dxa"/>
            <w:vAlign w:val="bottom"/>
            <w:gridSpan w:val="31"/>
          </w:tcPr>
          <w:p>
            <w:pPr>
              <w:ind w:left="80"/>
              <w:spacing w:after="0" w:line="151"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may</w:t>
              </w:r>
            </w:hyperlink>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60" w:type="dxa"/>
            <w:vAlign w:val="bottom"/>
            <w:tcBorders>
              <w:top w:val="single" w:sz="8" w:color="0000FF"/>
              <w:bottom w:val="single" w:sz="8" w:color="0000FF"/>
            </w:tcBorders>
            <w:gridSpan w:val="15"/>
          </w:tcPr>
          <w:p>
            <w:pPr>
              <w:spacing w:after="0" w:line="164" w:lineRule="exact"/>
              <w:rPr>
                <w:rFonts w:ascii="Times New Roman" w:cs="Times New Roman" w:eastAsia="Times New Roman" w:hAnsi="Times New Roman"/>
                <w:sz w:val="18"/>
                <w:szCs w:val="18"/>
                <w:color w:val="0000FF"/>
                <w:w w:val="96"/>
              </w:rPr>
            </w:pPr>
            <w:hyperlink r:id="rId169">
              <w:r>
                <w:rPr>
                  <w:rFonts w:ascii="Times New Roman" w:cs="Times New Roman" w:eastAsia="Times New Roman" w:hAnsi="Times New Roman"/>
                  <w:sz w:val="18"/>
                  <w:szCs w:val="18"/>
                  <w:color w:val="0000FF"/>
                  <w:w w:val="96"/>
                </w:rPr>
                <w:t>be made under The Scotts Miracle-Gro Company Long-Term Incentive Plan</w:t>
              </w:r>
            </w:hyperlink>
          </w:p>
        </w:tc>
        <w:tc>
          <w:tcPr>
            <w:tcW w:w="440" w:type="dxa"/>
            <w:vAlign w:val="bottom"/>
            <w:tcBorders>
              <w:top w:val="single" w:sz="8" w:color="0000FF"/>
            </w:tcBorders>
            <w:gridSpan w:val="23"/>
          </w:tcPr>
          <w:p>
            <w:pPr>
              <w:spacing w:after="0"/>
              <w:rPr>
                <w:sz w:val="14"/>
                <w:szCs w:val="14"/>
                <w:color w:val="auto"/>
              </w:rPr>
            </w:pPr>
          </w:p>
        </w:tc>
        <w:tc>
          <w:tcPr>
            <w:tcW w:w="20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10.4(a)†</w:t>
            </w:r>
          </w:p>
        </w:tc>
        <w:tc>
          <w:tcPr>
            <w:tcW w:w="20" w:type="dxa"/>
            <w:vAlign w:val="bottom"/>
          </w:tcPr>
          <w:p>
            <w:pPr>
              <w:spacing w:after="0"/>
              <w:rPr>
                <w:sz w:val="17"/>
                <w:szCs w:val="17"/>
                <w:color w:val="auto"/>
              </w:rPr>
            </w:pPr>
          </w:p>
        </w:tc>
        <w:tc>
          <w:tcPr>
            <w:tcW w:w="6000" w:type="dxa"/>
            <w:vAlign w:val="bottom"/>
            <w:gridSpan w:val="48"/>
          </w:tcPr>
          <w:p>
            <w:pPr>
              <w:spacing w:after="0" w:line="203"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The Scotts Miracle-Gro Company Long-Term Incentive Plan (effective January 24,</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0000FF"/>
              <w:bottom w:val="single" w:sz="8" w:color="0000FF"/>
            </w:tcBorders>
            <w:gridSpan w:val="2"/>
          </w:tcPr>
          <w:p>
            <w:pPr>
              <w:spacing w:after="0" w:line="151" w:lineRule="exact"/>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2022)</w:t>
              </w:r>
            </w:hyperlink>
          </w:p>
        </w:tc>
        <w:tc>
          <w:tcPr>
            <w:tcW w:w="80" w:type="dxa"/>
            <w:vAlign w:val="bottom"/>
            <w:tcBorders>
              <w:top w:val="single" w:sz="8" w:color="0000FF"/>
            </w:tcBorders>
          </w:tcPr>
          <w:p>
            <w:pPr>
              <w:spacing w:after="0"/>
              <w:rPr>
                <w:sz w:val="13"/>
                <w:szCs w:val="13"/>
                <w:color w:val="auto"/>
              </w:rPr>
            </w:pPr>
          </w:p>
        </w:tc>
        <w:tc>
          <w:tcPr>
            <w:tcW w:w="15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94967257"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10.4(b)†</w:t>
            </w:r>
          </w:p>
        </w:tc>
        <w:tc>
          <w:tcPr>
            <w:tcW w:w="20" w:type="dxa"/>
            <w:vAlign w:val="bottom"/>
          </w:tcPr>
          <w:p>
            <w:pPr>
              <w:spacing w:after="0"/>
              <w:rPr>
                <w:sz w:val="18"/>
                <w:szCs w:val="18"/>
                <w:color w:val="auto"/>
              </w:rPr>
            </w:pPr>
          </w:p>
        </w:tc>
        <w:tc>
          <w:tcPr>
            <w:tcW w:w="6000" w:type="dxa"/>
            <w:vAlign w:val="bottom"/>
            <w:gridSpan w:val="48"/>
          </w:tcPr>
          <w:p>
            <w:pPr>
              <w:spacing w:after="0"/>
              <w:rPr>
                <w:sz w:val="20"/>
                <w:szCs w:val="20"/>
                <w:color w:val="auto"/>
              </w:rPr>
            </w:pPr>
            <w:r>
              <w:rPr>
                <w:rFonts w:ascii="Times New Roman" w:cs="Times New Roman" w:eastAsia="Times New Roman" w:hAnsi="Times New Roman"/>
                <w:sz w:val="18"/>
                <w:szCs w:val="18"/>
                <w:color w:val="0000FF"/>
              </w:rPr>
              <w:t>Form of Standard Performance Unit Award Agreement which may be made under</w:t>
            </w: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60" w:type="dxa"/>
            <w:vAlign w:val="bottom"/>
            <w:tcBorders>
              <w:top w:val="single" w:sz="8" w:color="0000FF"/>
              <w:bottom w:val="single" w:sz="8" w:color="0000FF"/>
            </w:tcBorders>
            <w:gridSpan w:val="8"/>
          </w:tcPr>
          <w:p>
            <w:pPr>
              <w:spacing w:after="0" w:line="151" w:lineRule="exact"/>
              <w:rPr>
                <w:sz w:val="20"/>
                <w:szCs w:val="20"/>
                <w:color w:val="auto"/>
              </w:rPr>
            </w:pPr>
            <w:r>
              <w:rPr>
                <w:rFonts w:ascii="Times New Roman" w:cs="Times New Roman" w:eastAsia="Times New Roman" w:hAnsi="Times New Roman"/>
                <w:sz w:val="16"/>
                <w:szCs w:val="16"/>
                <w:color w:val="0000FF"/>
              </w:rPr>
              <w:t>The Scotts Miracle-Gro Long-Term Incentive Plan</w:t>
            </w:r>
          </w:p>
        </w:tc>
        <w:tc>
          <w:tcPr>
            <w:tcW w:w="2200" w:type="dxa"/>
            <w:vAlign w:val="bottom"/>
            <w:tcBorders>
              <w:top w:val="single" w:sz="8" w:color="0000FF"/>
            </w:tcBorders>
            <w:gridSpan w:val="28"/>
          </w:tcPr>
          <w:p>
            <w:pPr>
              <w:spacing w:after="0"/>
              <w:rPr>
                <w:sz w:val="13"/>
                <w:szCs w:val="13"/>
                <w:color w:val="auto"/>
              </w:rPr>
            </w:pPr>
          </w:p>
        </w:tc>
        <w:tc>
          <w:tcPr>
            <w:tcW w:w="24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755"/>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40" w:type="dxa"/>
            <w:vAlign w:val="bottom"/>
            <w:gridSpan w:val="10"/>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5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54610</wp:posOffset>
            </wp:positionV>
            <wp:extent cx="716153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186118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2">
                      <a:extLst>
                        <a:ext uri="{28A0092B-C50C-407E-A947-70E740481C1C}"/>
                      </a:extLst>
                    </a:blip>
                    <a:srcRect/>
                    <a:stretch>
                      <a:fillRect/>
                    </a:stretch>
                  </pic:blipFill>
                  <pic:spPr bwMode="auto">
                    <a:xfrm>
                      <a:off x="0" y="0"/>
                      <a:ext cx="1861185" cy="825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164"/>
        </w:trPr>
        <w:tc>
          <w:tcPr>
            <w:tcW w:w="640" w:type="dxa"/>
            <w:vAlign w:val="bottom"/>
            <w:tcBorders>
              <w:top w:val="single" w:sz="8" w:color="auto"/>
            </w:tcBorders>
          </w:tcPr>
          <w:p>
            <w:pPr>
              <w:jc w:val="center"/>
              <w:spacing w:after="0" w:line="164" w:lineRule="exact"/>
              <w:rPr>
                <w:sz w:val="20"/>
                <w:szCs w:val="20"/>
                <w:color w:val="auto"/>
              </w:rPr>
            </w:pPr>
            <w:r>
              <w:rPr>
                <w:rFonts w:ascii="Times New Roman" w:cs="Times New Roman" w:eastAsia="Times New Roman" w:hAnsi="Times New Roman"/>
                <w:sz w:val="18"/>
                <w:szCs w:val="18"/>
                <w:color w:val="auto"/>
                <w:w w:val="97"/>
              </w:rPr>
              <w:t>10-K</w:t>
            </w:r>
          </w:p>
        </w:tc>
        <w:tc>
          <w:tcPr>
            <w:tcW w:w="80" w:type="dxa"/>
            <w:vAlign w:val="bottom"/>
          </w:tcPr>
          <w:p>
            <w:pPr>
              <w:spacing w:after="0"/>
              <w:rPr>
                <w:sz w:val="14"/>
                <w:szCs w:val="14"/>
                <w:color w:val="auto"/>
              </w:rPr>
            </w:pPr>
          </w:p>
        </w:tc>
        <w:tc>
          <w:tcPr>
            <w:tcW w:w="1020" w:type="dxa"/>
            <w:vAlign w:val="bottom"/>
            <w:tcBorders>
              <w:top w:val="single" w:sz="8" w:color="auto"/>
            </w:tcBorders>
          </w:tcPr>
          <w:p>
            <w:pPr>
              <w:ind w:left="20"/>
              <w:spacing w:after="0" w:line="164"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4"/>
                <w:szCs w:val="14"/>
                <w:color w:val="auto"/>
              </w:rPr>
            </w:pPr>
          </w:p>
        </w:tc>
        <w:tc>
          <w:tcPr>
            <w:tcW w:w="1080" w:type="dxa"/>
            <w:vAlign w:val="bottom"/>
            <w:tcBorders>
              <w:top w:val="single" w:sz="8" w:color="auto"/>
            </w:tcBorders>
          </w:tcPr>
          <w:p>
            <w:pPr>
              <w:ind w:left="20"/>
              <w:spacing w:after="0" w:line="164" w:lineRule="exact"/>
              <w:rPr>
                <w:sz w:val="20"/>
                <w:szCs w:val="20"/>
                <w:color w:val="auto"/>
              </w:rPr>
            </w:pPr>
            <w:r>
              <w:rPr>
                <w:rFonts w:ascii="Times New Roman" w:cs="Times New Roman" w:eastAsia="Times New Roman" w:hAnsi="Times New Roman"/>
                <w:sz w:val="18"/>
                <w:szCs w:val="18"/>
                <w:color w:val="auto"/>
              </w:rPr>
              <w:t>November 27,</w:t>
            </w:r>
          </w:p>
        </w:tc>
      </w:tr>
      <w:tr>
        <w:trPr>
          <w:trHeight w:val="228"/>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r>
      <w:tr>
        <w:trPr>
          <w:trHeight w:val="231"/>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April 14,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
        <w:spacing w:after="0"/>
        <w:tabs>
          <w:tab w:leader="none" w:pos="720" w:val="left"/>
          <w:tab w:leader="none" w:pos="186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6"/>
          <w:szCs w:val="16"/>
          <w:color w:val="auto"/>
        </w:rPr>
        <w:t>June 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140" w:type="dxa"/>
        <w:tblCellMar>
          <w:top w:w="0" w:type="dxa"/>
          <w:left w:w="0" w:type="dxa"/>
          <w:bottom w:w="0" w:type="dxa"/>
          <w:right w:w="0" w:type="dxa"/>
        </w:tblCellMar>
      </w:tblPr>
      <w:tr>
        <w:trPr>
          <w:trHeight w:val="228"/>
        </w:trPr>
        <w:tc>
          <w:tcPr>
            <w:tcW w:w="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w:t>
            </w:r>
          </w:p>
        </w:tc>
        <w:tc>
          <w:tcPr>
            <w:tcW w:w="12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4"/>
              </w:rPr>
              <w:t>April 14, 2022</w:t>
            </w:r>
          </w:p>
        </w:tc>
      </w:tr>
      <w:tr>
        <w:trPr>
          <w:trHeight w:val="881"/>
        </w:trPr>
        <w:tc>
          <w:tcPr>
            <w:tcW w:w="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1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January 24,</w:t>
            </w:r>
          </w:p>
        </w:tc>
      </w:tr>
      <w:tr>
        <w:trPr>
          <w:trHeight w:val="228"/>
        </w:trPr>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2013</w:t>
            </w:r>
          </w:p>
        </w:tc>
      </w:tr>
      <w:tr>
        <w:trPr>
          <w:trHeight w:val="402"/>
        </w:trPr>
        <w:tc>
          <w:tcPr>
            <w:tcW w:w="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10-Q</w:t>
            </w: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10.7</w:t>
            </w:r>
          </w:p>
        </w:tc>
        <w:tc>
          <w:tcPr>
            <w:tcW w:w="1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May 7, 2015</w:t>
            </w:r>
          </w:p>
        </w:tc>
      </w:tr>
      <w:tr>
        <w:trPr>
          <w:trHeight w:val="526"/>
        </w:trPr>
        <w:tc>
          <w:tcPr>
            <w:tcW w:w="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1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January 30,</w:t>
            </w:r>
          </w:p>
        </w:tc>
      </w:tr>
      <w:tr>
        <w:trPr>
          <w:trHeight w:val="228"/>
        </w:trPr>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2017</w:t>
            </w:r>
          </w:p>
        </w:tc>
      </w:tr>
      <w:tr>
        <w:trPr>
          <w:trHeight w:val="179"/>
        </w:trPr>
        <w:tc>
          <w:tcPr>
            <w:tcW w:w="480" w:type="dxa"/>
            <w:vAlign w:val="bottom"/>
          </w:tcPr>
          <w:p>
            <w:pPr>
              <w:jc w:val="center"/>
              <w:ind w:right="32"/>
              <w:spacing w:after="0" w:line="179" w:lineRule="exact"/>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ind w:left="120"/>
              <w:spacing w:after="0" w:line="179" w:lineRule="exact"/>
              <w:rPr>
                <w:sz w:val="20"/>
                <w:szCs w:val="20"/>
                <w:color w:val="auto"/>
              </w:rPr>
            </w:pPr>
            <w:r>
              <w:rPr>
                <w:rFonts w:ascii="Times New Roman" w:cs="Times New Roman" w:eastAsia="Times New Roman" w:hAnsi="Times New Roman"/>
                <w:sz w:val="18"/>
                <w:szCs w:val="18"/>
                <w:color w:val="auto"/>
              </w:rPr>
              <w:t>10.4</w:t>
            </w:r>
          </w:p>
        </w:tc>
        <w:tc>
          <w:tcPr>
            <w:tcW w:w="1200" w:type="dxa"/>
            <w:vAlign w:val="bottom"/>
          </w:tcPr>
          <w:p>
            <w:pPr>
              <w:ind w:left="180"/>
              <w:spacing w:after="0" w:line="179" w:lineRule="exact"/>
              <w:rPr>
                <w:sz w:val="20"/>
                <w:szCs w:val="20"/>
                <w:color w:val="auto"/>
              </w:rPr>
            </w:pPr>
            <w:r>
              <w:rPr>
                <w:rFonts w:ascii="Times New Roman" w:cs="Times New Roman" w:eastAsia="Times New Roman" w:hAnsi="Times New Roman"/>
                <w:sz w:val="18"/>
                <w:szCs w:val="18"/>
                <w:color w:val="auto"/>
              </w:rPr>
              <w:t>January 30,</w:t>
            </w:r>
          </w:p>
        </w:tc>
      </w:tr>
      <w:tr>
        <w:trPr>
          <w:trHeight w:val="228"/>
        </w:trPr>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2017</w:t>
            </w:r>
          </w:p>
        </w:tc>
      </w:tr>
      <w:tr>
        <w:trPr>
          <w:trHeight w:val="350"/>
        </w:trPr>
        <w:tc>
          <w:tcPr>
            <w:tcW w:w="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10.5</w:t>
            </w:r>
          </w:p>
        </w:tc>
        <w:tc>
          <w:tcPr>
            <w:tcW w:w="1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January 30,</w:t>
            </w:r>
          </w:p>
        </w:tc>
      </w:tr>
      <w:tr>
        <w:trPr>
          <w:trHeight w:val="228"/>
        </w:trPr>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2017</w:t>
            </w:r>
          </w:p>
        </w:tc>
      </w:tr>
      <w:tr>
        <w:trPr>
          <w:trHeight w:val="179"/>
        </w:trPr>
        <w:tc>
          <w:tcPr>
            <w:tcW w:w="480" w:type="dxa"/>
            <w:vAlign w:val="bottom"/>
          </w:tcPr>
          <w:p>
            <w:pPr>
              <w:jc w:val="center"/>
              <w:ind w:right="32"/>
              <w:spacing w:after="0" w:line="179" w:lineRule="exact"/>
              <w:rPr>
                <w:sz w:val="20"/>
                <w:szCs w:val="20"/>
                <w:color w:val="auto"/>
              </w:rPr>
            </w:pPr>
            <w:r>
              <w:rPr>
                <w:rFonts w:ascii="Times New Roman" w:cs="Times New Roman" w:eastAsia="Times New Roman" w:hAnsi="Times New Roman"/>
                <w:sz w:val="18"/>
                <w:szCs w:val="18"/>
                <w:color w:val="auto"/>
                <w:w w:val="97"/>
              </w:rPr>
              <w:t>10-K</w:t>
            </w:r>
          </w:p>
        </w:tc>
        <w:tc>
          <w:tcPr>
            <w:tcW w:w="1080" w:type="dxa"/>
            <w:vAlign w:val="bottom"/>
          </w:tcPr>
          <w:p>
            <w:pPr>
              <w:ind w:left="120"/>
              <w:spacing w:after="0" w:line="179" w:lineRule="exact"/>
              <w:rPr>
                <w:sz w:val="20"/>
                <w:szCs w:val="20"/>
                <w:color w:val="auto"/>
              </w:rPr>
            </w:pPr>
            <w:r>
              <w:rPr>
                <w:rFonts w:ascii="Times New Roman" w:cs="Times New Roman" w:eastAsia="Times New Roman" w:hAnsi="Times New Roman"/>
                <w:sz w:val="18"/>
                <w:szCs w:val="18"/>
                <w:color w:val="auto"/>
              </w:rPr>
              <w:t>10.3(g)</w:t>
            </w:r>
          </w:p>
        </w:tc>
        <w:tc>
          <w:tcPr>
            <w:tcW w:w="1200" w:type="dxa"/>
            <w:vAlign w:val="bottom"/>
          </w:tcPr>
          <w:p>
            <w:pPr>
              <w:ind w:left="180"/>
              <w:spacing w:after="0" w:line="179" w:lineRule="exact"/>
              <w:rPr>
                <w:sz w:val="20"/>
                <w:szCs w:val="20"/>
                <w:color w:val="auto"/>
              </w:rPr>
            </w:pPr>
            <w:r>
              <w:rPr>
                <w:rFonts w:ascii="Times New Roman" w:cs="Times New Roman" w:eastAsia="Times New Roman" w:hAnsi="Times New Roman"/>
                <w:sz w:val="18"/>
                <w:szCs w:val="18"/>
                <w:color w:val="auto"/>
                <w:w w:val="97"/>
              </w:rPr>
              <w:t>November 29,</w:t>
            </w:r>
          </w:p>
        </w:tc>
      </w:tr>
      <w:tr>
        <w:trPr>
          <w:trHeight w:val="228"/>
        </w:trPr>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2018</w:t>
            </w:r>
          </w:p>
        </w:tc>
      </w:tr>
      <w:tr>
        <w:trPr>
          <w:trHeight w:val="521"/>
        </w:trPr>
        <w:tc>
          <w:tcPr>
            <w:tcW w:w="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10-K</w:t>
            </w: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10.3(h)(i)</w:t>
            </w:r>
          </w:p>
        </w:tc>
        <w:tc>
          <w:tcPr>
            <w:tcW w:w="12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November 29,</w:t>
            </w:r>
          </w:p>
        </w:tc>
      </w:tr>
      <w:tr>
        <w:trPr>
          <w:trHeight w:val="228"/>
        </w:trPr>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2018</w:t>
            </w:r>
          </w:p>
        </w:tc>
      </w:tr>
      <w:tr>
        <w:trPr>
          <w:trHeight w:val="350"/>
        </w:trPr>
        <w:tc>
          <w:tcPr>
            <w:tcW w:w="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10-K</w:t>
            </w: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10.3(h)(iii)</w:t>
            </w:r>
          </w:p>
        </w:tc>
        <w:tc>
          <w:tcPr>
            <w:tcW w:w="12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November 24,</w:t>
            </w:r>
          </w:p>
        </w:tc>
      </w:tr>
      <w:tr>
        <w:trPr>
          <w:trHeight w:val="228"/>
        </w:trPr>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2020</w:t>
            </w:r>
          </w:p>
        </w:tc>
      </w:tr>
      <w:tr>
        <w:trPr>
          <w:trHeight w:val="350"/>
        </w:trPr>
        <w:tc>
          <w:tcPr>
            <w:tcW w:w="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1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January 27,</w:t>
            </w:r>
          </w:p>
        </w:tc>
      </w:tr>
      <w:tr>
        <w:trPr>
          <w:trHeight w:val="228"/>
        </w:trPr>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p>
      <w:pPr>
        <w:jc w:val="center"/>
        <w:spacing w:after="0"/>
        <w:rPr>
          <w:sz w:val="20"/>
          <w:szCs w:val="20"/>
          <w:color w:val="auto"/>
        </w:rPr>
      </w:pPr>
      <w:r>
        <w:rPr>
          <w:rFonts w:ascii="Times New Roman" w:cs="Times New Roman" w:eastAsia="Times New Roman" w:hAnsi="Times New Roman"/>
          <w:sz w:val="16"/>
          <w:szCs w:val="16"/>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24130</wp:posOffset>
            </wp:positionV>
            <wp:extent cx="62611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3">
                      <a:extLst>
                        <a:ext uri="{28A0092B-C50C-407E-A947-70E740481C1C}"/>
                      </a:extLst>
                    </a:blip>
                    <a:srcRect/>
                    <a:stretch>
                      <a:fillRect/>
                    </a:stretch>
                  </pic:blipFill>
                  <pic:spPr bwMode="auto">
                    <a:xfrm>
                      <a:off x="0" y="0"/>
                      <a:ext cx="626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3">
            <w:col w:w="7120" w:space="100"/>
            <w:col w:w="2940" w:space="240"/>
            <w:col w:w="700"/>
          </w:cols>
          <w:pgMar w:left="320" w:top="121" w:right="47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28"/>
        </w:trPr>
        <w:tc>
          <w:tcPr>
            <w:tcW w:w="7220" w:type="dxa"/>
            <w:vAlign w:val="bottom"/>
            <w:gridSpan w:val="41"/>
          </w:tcPr>
          <w:p>
            <w:pPr>
              <w:spacing w:after="0"/>
              <w:rPr>
                <w:sz w:val="20"/>
                <w:szCs w:val="20"/>
                <w:color w:val="auto"/>
              </w:rPr>
            </w:pPr>
            <w:r>
              <w:rPr>
                <w:rFonts w:ascii="Times New Roman" w:cs="Times New Roman" w:eastAsia="Times New Roman" w:hAnsi="Times New Roman"/>
                <w:sz w:val="18"/>
                <w:szCs w:val="18"/>
                <w:color w:val="FFFFFF"/>
              </w:rPr>
              <w:t>Table of Contents</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8"/>
        </w:trPr>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4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0" w:type="dxa"/>
            <w:vAlign w:val="bottom"/>
          </w:tcPr>
          <w:p>
            <w:pPr>
              <w:spacing w:after="0"/>
              <w:rPr>
                <w:sz w:val="1"/>
                <w:szCs w:val="1"/>
                <w:color w:val="auto"/>
              </w:rPr>
            </w:pPr>
          </w:p>
        </w:tc>
      </w:tr>
      <w:tr>
        <w:trPr>
          <w:trHeight w:val="151"/>
        </w:trPr>
        <w:tc>
          <w:tcPr>
            <w:tcW w:w="1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740" w:type="dxa"/>
            <w:vAlign w:val="bottom"/>
            <w:gridSpan w:val="31"/>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1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236"/>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740" w:type="dxa"/>
            <w:vAlign w:val="bottom"/>
            <w:gridSpan w:val="31"/>
            <w:vMerge w:val="continue"/>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1080" w:type="dxa"/>
            <w:vAlign w:val="bottom"/>
            <w:tcBorders>
              <w:top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10.4(c)†</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00" w:type="dxa"/>
            <w:vAlign w:val="bottom"/>
            <w:tcBorders>
              <w:top w:val="single" w:sz="8" w:color="auto"/>
            </w:tcBorders>
            <w:gridSpan w:val="37"/>
          </w:tcPr>
          <w:p>
            <w:pPr>
              <w:spacing w:after="0" w:line="177"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Form of Standard Restricted Stock Unit Award Agreement which may be made</w:t>
              </w:r>
            </w:hyperlink>
          </w:p>
        </w:tc>
        <w:tc>
          <w:tcPr>
            <w:tcW w:w="20" w:type="dxa"/>
            <w:vAlign w:val="bottom"/>
          </w:tcPr>
          <w:p>
            <w:pPr>
              <w:spacing w:after="0"/>
              <w:rPr>
                <w:sz w:val="15"/>
                <w:szCs w:val="15"/>
                <w:color w:val="auto"/>
              </w:rPr>
            </w:pPr>
          </w:p>
        </w:tc>
        <w:tc>
          <w:tcPr>
            <w:tcW w:w="64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10-Q</w:t>
            </w:r>
          </w:p>
        </w:tc>
        <w:tc>
          <w:tcPr>
            <w:tcW w:w="80" w:type="dxa"/>
            <w:vAlign w:val="bottom"/>
          </w:tcPr>
          <w:p>
            <w:pPr>
              <w:spacing w:after="0"/>
              <w:rPr>
                <w:sz w:val="15"/>
                <w:szCs w:val="15"/>
                <w:color w:val="auto"/>
              </w:rPr>
            </w:pPr>
          </w:p>
        </w:tc>
        <w:tc>
          <w:tcPr>
            <w:tcW w:w="1020" w:type="dxa"/>
            <w:vAlign w:val="bottom"/>
            <w:tcBorders>
              <w:top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5"/>
                <w:szCs w:val="15"/>
                <w:color w:val="auto"/>
              </w:rPr>
            </w:pPr>
          </w:p>
        </w:tc>
        <w:tc>
          <w:tcPr>
            <w:tcW w:w="1080" w:type="dxa"/>
            <w:vAlign w:val="bottom"/>
            <w:tcBorders>
              <w:top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February 9,</w:t>
            </w: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80" w:type="dxa"/>
            <w:vAlign w:val="bottom"/>
            <w:tcBorders>
              <w:top w:val="single" w:sz="8" w:color="0000FF"/>
            </w:tcBorders>
            <w:gridSpan w:val="20"/>
          </w:tcPr>
          <w:p>
            <w:pPr>
              <w:spacing w:after="0" w:line="151" w:lineRule="exact"/>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under The Scotts Miracle-Gro Company Long-Term Incentive Plan</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ind w:left="20"/>
              <w:spacing w:after="0" w:line="151" w:lineRule="exact"/>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10.5(a)†</w:t>
            </w:r>
          </w:p>
        </w:tc>
        <w:tc>
          <w:tcPr>
            <w:tcW w:w="20" w:type="dxa"/>
            <w:vAlign w:val="bottom"/>
          </w:tcPr>
          <w:p>
            <w:pPr>
              <w:spacing w:after="0"/>
              <w:rPr>
                <w:sz w:val="18"/>
                <w:szCs w:val="18"/>
                <w:color w:val="auto"/>
              </w:rPr>
            </w:pPr>
          </w:p>
        </w:tc>
        <w:tc>
          <w:tcPr>
            <w:tcW w:w="6020" w:type="dxa"/>
            <w:vAlign w:val="bottom"/>
            <w:gridSpan w:val="38"/>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The Scotts Company LLC Amended and Restated Executive Incentive Plan</w:t>
              </w:r>
            </w:hyperlink>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5,</w:t>
            </w: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20" w:type="dxa"/>
            <w:vAlign w:val="bottom"/>
            <w:tcBorders>
              <w:top w:val="single" w:sz="8" w:color="0000FF"/>
            </w:tcBorders>
            <w:gridSpan w:val="15"/>
          </w:tcPr>
          <w:p>
            <w:pPr>
              <w:spacing w:after="0" w:line="151" w:lineRule="exact"/>
              <w:rPr>
                <w:rFonts w:ascii="Times New Roman" w:cs="Times New Roman" w:eastAsia="Times New Roman" w:hAnsi="Times New Roman"/>
                <w:sz w:val="16"/>
                <w:szCs w:val="16"/>
                <w:color w:val="0000FF"/>
              </w:rPr>
            </w:pPr>
            <w:hyperlink r:id="rId175">
              <w:r>
                <w:rPr>
                  <w:rFonts w:ascii="Times New Roman" w:cs="Times New Roman" w:eastAsia="Times New Roman" w:hAnsi="Times New Roman"/>
                  <w:sz w:val="16"/>
                  <w:szCs w:val="16"/>
                  <w:color w:val="0000FF"/>
                </w:rPr>
                <w:t>(effective as of October 1, 2019)</w:t>
              </w:r>
            </w:hyperlink>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ind w:left="20"/>
              <w:spacing w:after="0" w:line="151" w:lineRule="exact"/>
              <w:rPr>
                <w:sz w:val="20"/>
                <w:szCs w:val="20"/>
                <w:color w:val="auto"/>
              </w:rPr>
            </w:pPr>
            <w:r>
              <w:rPr>
                <w:rFonts w:ascii="Times New Roman" w:cs="Times New Roman" w:eastAsia="Times New Roman" w:hAnsi="Times New Roman"/>
                <w:sz w:val="16"/>
                <w:szCs w:val="16"/>
                <w:color w:val="auto"/>
              </w:rPr>
              <w:t>2020</w:t>
            </w: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10.5(b)†</w:t>
            </w:r>
          </w:p>
        </w:tc>
        <w:tc>
          <w:tcPr>
            <w:tcW w:w="20" w:type="dxa"/>
            <w:vAlign w:val="bottom"/>
          </w:tcPr>
          <w:p>
            <w:pPr>
              <w:spacing w:after="0"/>
              <w:rPr>
                <w:sz w:val="18"/>
                <w:szCs w:val="18"/>
                <w:color w:val="auto"/>
              </w:rPr>
            </w:pPr>
          </w:p>
        </w:tc>
        <w:tc>
          <w:tcPr>
            <w:tcW w:w="6020" w:type="dxa"/>
            <w:vAlign w:val="bottom"/>
            <w:gridSpan w:val="38"/>
          </w:tcPr>
          <w:p>
            <w:pPr>
              <w:spacing w:after="0"/>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Form of Employee Confidentiality, Noncompetition, Nonsolicitation Agreement for</w:t>
              </w:r>
            </w:hyperlink>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10,</w:t>
            </w: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60" w:type="dxa"/>
            <w:vAlign w:val="bottom"/>
            <w:tcBorders>
              <w:top w:val="single" w:sz="8" w:color="0000FF"/>
              <w:bottom w:val="single" w:sz="8" w:color="0000FF"/>
            </w:tcBorders>
            <w:gridSpan w:val="17"/>
          </w:tcPr>
          <w:p>
            <w:pPr>
              <w:spacing w:after="0" w:line="151" w:lineRule="exact"/>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employees participating in The Scotts Company LLC Executive/Management</w:t>
              </w:r>
            </w:hyperlink>
          </w:p>
        </w:tc>
        <w:tc>
          <w:tcPr>
            <w:tcW w:w="50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ind w:left="20"/>
              <w:spacing w:after="0" w:line="151" w:lineRule="exact"/>
              <w:rPr>
                <w:sz w:val="20"/>
                <w:szCs w:val="20"/>
                <w:color w:val="auto"/>
              </w:rPr>
            </w:pPr>
            <w:r>
              <w:rPr>
                <w:rFonts w:ascii="Times New Roman" w:cs="Times New Roman" w:eastAsia="Times New Roman" w:hAnsi="Times New Roman"/>
                <w:sz w:val="16"/>
                <w:szCs w:val="16"/>
                <w:color w:val="auto"/>
              </w:rPr>
              <w:t>2006</w:t>
            </w: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20" w:type="dxa"/>
            <w:vAlign w:val="bottom"/>
            <w:gridSpan w:val="38"/>
          </w:tcPr>
          <w:p>
            <w:pPr>
              <w:spacing w:after="0" w:line="164"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Incentive Plan (now known as The Scotts Company LLC Amended and Restated</w:t>
              </w:r>
            </w:hyperlink>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tcBorders>
              <w:top w:val="single" w:sz="8" w:color="0000FF"/>
              <w:bottom w:val="single" w:sz="8" w:color="0000FF"/>
            </w:tcBorders>
            <w:gridSpan w:val="5"/>
          </w:tcPr>
          <w:p>
            <w:pPr>
              <w:spacing w:after="0" w:line="151" w:lineRule="exact"/>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Executive Incentive Plan)</w:t>
              </w:r>
            </w:hyperlink>
          </w:p>
        </w:tc>
        <w:tc>
          <w:tcPr>
            <w:tcW w:w="386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7"/>
                <w:szCs w:val="17"/>
                <w:color w:val="auto"/>
              </w:rPr>
            </w:pPr>
          </w:p>
        </w:tc>
        <w:tc>
          <w:tcPr>
            <w:tcW w:w="6020" w:type="dxa"/>
            <w:vAlign w:val="bottom"/>
            <w:gridSpan w:val="38"/>
          </w:tcPr>
          <w:p>
            <w:pPr>
              <w:spacing w:after="0" w:line="203" w:lineRule="exact"/>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The Scotts Company LLC Executive Retirement Plan, as Amended and Restated as</w:t>
              </w:r>
            </w:hyperlink>
          </w:p>
        </w:tc>
        <w:tc>
          <w:tcPr>
            <w:tcW w:w="720" w:type="dxa"/>
            <w:vAlign w:val="bottom"/>
            <w:gridSpan w:val="2"/>
          </w:tcPr>
          <w:p>
            <w:pPr>
              <w:jc w:val="center"/>
              <w:ind w:right="80"/>
              <w:spacing w:after="0" w:line="203" w:lineRule="exact"/>
              <w:rPr>
                <w:sz w:val="20"/>
                <w:szCs w:val="20"/>
                <w:color w:val="auto"/>
              </w:rPr>
            </w:pPr>
            <w:r>
              <w:rPr>
                <w:rFonts w:ascii="Times New Roman" w:cs="Times New Roman" w:eastAsia="Times New Roman" w:hAnsi="Times New Roman"/>
                <w:sz w:val="18"/>
                <w:szCs w:val="18"/>
                <w:color w:val="auto"/>
                <w:w w:val="97"/>
              </w:rPr>
              <w:t>10-Q</w:t>
            </w:r>
          </w:p>
        </w:tc>
        <w:tc>
          <w:tcPr>
            <w:tcW w:w="10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10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February 5,</w:t>
            </w: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20" w:type="dxa"/>
            <w:vAlign w:val="bottom"/>
            <w:tcBorders>
              <w:top w:val="single" w:sz="8" w:color="0000FF"/>
              <w:bottom w:val="single" w:sz="8" w:color="0000FF"/>
            </w:tcBorders>
            <w:gridSpan w:val="11"/>
          </w:tcPr>
          <w:p>
            <w:pPr>
              <w:spacing w:after="0" w:line="151" w:lineRule="exact"/>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of January 1, 2015 (executed December 31, 2014)</w:t>
              </w:r>
            </w:hyperlink>
          </w:p>
        </w:tc>
        <w:tc>
          <w:tcPr>
            <w:tcW w:w="234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ind w:left="20"/>
              <w:spacing w:after="0" w:line="151" w:lineRule="exact"/>
              <w:rPr>
                <w:sz w:val="20"/>
                <w:szCs w:val="20"/>
                <w:color w:val="auto"/>
              </w:rPr>
            </w:pPr>
            <w:r>
              <w:rPr>
                <w:rFonts w:ascii="Times New Roman" w:cs="Times New Roman" w:eastAsia="Times New Roman" w:hAnsi="Times New Roman"/>
                <w:sz w:val="16"/>
                <w:szCs w:val="16"/>
                <w:color w:val="auto"/>
              </w:rPr>
              <w:t>2015</w:t>
            </w:r>
          </w:p>
        </w:tc>
        <w:tc>
          <w:tcPr>
            <w:tcW w:w="0" w:type="dxa"/>
            <w:vAlign w:val="bottom"/>
          </w:tcPr>
          <w:p>
            <w:pPr>
              <w:spacing w:after="0"/>
              <w:rPr>
                <w:sz w:val="1"/>
                <w:szCs w:val="1"/>
                <w:color w:val="auto"/>
              </w:rPr>
            </w:pPr>
          </w:p>
        </w:tc>
      </w:tr>
      <w:tr>
        <w:trPr>
          <w:trHeight w:val="21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10.7(a)†</w:t>
            </w:r>
          </w:p>
        </w:tc>
        <w:tc>
          <w:tcPr>
            <w:tcW w:w="20" w:type="dxa"/>
            <w:vAlign w:val="bottom"/>
          </w:tcPr>
          <w:p>
            <w:pPr>
              <w:spacing w:after="0"/>
              <w:rPr>
                <w:sz w:val="18"/>
                <w:szCs w:val="18"/>
                <w:color w:val="auto"/>
              </w:rPr>
            </w:pPr>
          </w:p>
        </w:tc>
        <w:tc>
          <w:tcPr>
            <w:tcW w:w="6020" w:type="dxa"/>
            <w:vAlign w:val="bottom"/>
            <w:gridSpan w:val="38"/>
          </w:tcPr>
          <w:p>
            <w:pPr>
              <w:spacing w:after="0"/>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Employee Confidentiality, Noncompetition, Nonsolicitation Agreement, dated as of</w:t>
              </w:r>
            </w:hyperlink>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17,</w:t>
            </w: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00" w:type="dxa"/>
            <w:vAlign w:val="bottom"/>
            <w:tcBorders>
              <w:top w:val="single" w:sz="8" w:color="0000FF"/>
            </w:tcBorders>
            <w:gridSpan w:val="32"/>
          </w:tcPr>
          <w:p>
            <w:pPr>
              <w:spacing w:after="0" w:line="151" w:lineRule="exact"/>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December 12, 2013, by and between The Scotts Company LLC, all companies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ind w:left="20"/>
              <w:spacing w:after="0" w:line="151" w:lineRule="exact"/>
              <w:rPr>
                <w:sz w:val="20"/>
                <w:szCs w:val="20"/>
                <w:color w:val="auto"/>
              </w:rPr>
            </w:pPr>
            <w:r>
              <w:rPr>
                <w:rFonts w:ascii="Times New Roman" w:cs="Times New Roman" w:eastAsia="Times New Roman" w:hAnsi="Times New Roman"/>
                <w:sz w:val="16"/>
                <w:szCs w:val="16"/>
                <w:color w:val="auto"/>
              </w:rPr>
              <w:t>2013</w:t>
            </w: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20" w:type="dxa"/>
            <w:vAlign w:val="bottom"/>
            <w:tcBorders>
              <w:top w:val="single" w:sz="8" w:color="0000FF"/>
            </w:tcBorders>
            <w:gridSpan w:val="18"/>
          </w:tcPr>
          <w:p>
            <w:pPr>
              <w:spacing w:after="0" w:line="164" w:lineRule="exact"/>
              <w:rPr>
                <w:rFonts w:ascii="Times New Roman" w:cs="Times New Roman" w:eastAsia="Times New Roman" w:hAnsi="Times New Roman"/>
                <w:sz w:val="18"/>
                <w:szCs w:val="18"/>
                <w:color w:val="0000FF"/>
                <w:w w:val="97"/>
              </w:rPr>
            </w:pPr>
            <w:hyperlink r:id="rId178">
              <w:r>
                <w:rPr>
                  <w:rFonts w:ascii="Times New Roman" w:cs="Times New Roman" w:eastAsia="Times New Roman" w:hAnsi="Times New Roman"/>
                  <w:sz w:val="18"/>
                  <w:szCs w:val="18"/>
                  <w:color w:val="0000FF"/>
                  <w:w w:val="97"/>
                </w:rPr>
                <w:t>controlled by, controlling or under common control with The Scotts Company</w:t>
              </w:r>
            </w:hyperlink>
          </w:p>
        </w:tc>
        <w:tc>
          <w:tcPr>
            <w:tcW w:w="500" w:type="dxa"/>
            <w:vAlign w:val="bottom"/>
            <w:gridSpan w:val="20"/>
          </w:tcPr>
          <w:p>
            <w:pPr>
              <w:spacing w:after="0" w:line="164"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LLC,</w:t>
              </w:r>
            </w:hyperlink>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80" w:type="dxa"/>
            <w:vAlign w:val="bottom"/>
            <w:tcBorders>
              <w:top w:val="single" w:sz="8" w:color="0000FF"/>
            </w:tcBorders>
            <w:gridSpan w:val="36"/>
          </w:tcPr>
          <w:p>
            <w:pPr>
              <w:spacing w:after="0" w:line="151" w:lineRule="exact"/>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and James Hagedorn</w:t>
              </w:r>
            </w:hyperlink>
          </w:p>
        </w:tc>
        <w:tc>
          <w:tcPr>
            <w:tcW w:w="4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10.7(b)†</w:t>
            </w:r>
          </w:p>
        </w:tc>
        <w:tc>
          <w:tcPr>
            <w:tcW w:w="20" w:type="dxa"/>
            <w:vAlign w:val="bottom"/>
          </w:tcPr>
          <w:p>
            <w:pPr>
              <w:spacing w:after="0"/>
              <w:rPr>
                <w:sz w:val="17"/>
                <w:szCs w:val="17"/>
                <w:color w:val="auto"/>
              </w:rPr>
            </w:pPr>
          </w:p>
        </w:tc>
        <w:tc>
          <w:tcPr>
            <w:tcW w:w="6020" w:type="dxa"/>
            <w:vAlign w:val="bottom"/>
            <w:gridSpan w:val="38"/>
          </w:tcPr>
          <w:p>
            <w:pPr>
              <w:spacing w:after="0" w:line="203"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Executive Severance Agreement, dated as of December 11, 2013, by and between</w:t>
              </w:r>
            </w:hyperlink>
          </w:p>
        </w:tc>
        <w:tc>
          <w:tcPr>
            <w:tcW w:w="720" w:type="dxa"/>
            <w:vAlign w:val="bottom"/>
            <w:gridSpan w:val="2"/>
          </w:tcPr>
          <w:p>
            <w:pPr>
              <w:jc w:val="center"/>
              <w:ind w:right="80"/>
              <w:spacing w:after="0" w:line="203" w:lineRule="exact"/>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0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December 17,</w:t>
            </w: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60" w:type="dxa"/>
            <w:vAlign w:val="bottom"/>
            <w:tcBorders>
              <w:top w:val="single" w:sz="8" w:color="0000FF"/>
              <w:bottom w:val="single" w:sz="8" w:color="0000FF"/>
            </w:tcBorders>
            <w:gridSpan w:val="10"/>
          </w:tcPr>
          <w:p>
            <w:pPr>
              <w:spacing w:after="0" w:line="151" w:lineRule="exact"/>
              <w:rPr>
                <w:rFonts w:ascii="Times New Roman" w:cs="Times New Roman" w:eastAsia="Times New Roman" w:hAnsi="Times New Roman"/>
                <w:sz w:val="16"/>
                <w:szCs w:val="16"/>
                <w:color w:val="0000FF"/>
              </w:rPr>
            </w:pPr>
            <w:hyperlink r:id="rId179">
              <w:r>
                <w:rPr>
                  <w:rFonts w:ascii="Times New Roman" w:cs="Times New Roman" w:eastAsia="Times New Roman" w:hAnsi="Times New Roman"/>
                  <w:sz w:val="16"/>
                  <w:szCs w:val="16"/>
                  <w:color w:val="0000FF"/>
                </w:rPr>
                <w:t>The Scotts Company LLC and James Hagedorn</w:t>
              </w:r>
            </w:hyperlink>
          </w:p>
        </w:tc>
        <w:tc>
          <w:tcPr>
            <w:tcW w:w="2380" w:type="dxa"/>
            <w:vAlign w:val="bottom"/>
            <w:tcBorders>
              <w:top w:val="single" w:sz="8" w:color="0000FF"/>
            </w:tcBorders>
            <w:gridSpan w:val="16"/>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ind w:left="20"/>
              <w:spacing w:after="0" w:line="151" w:lineRule="exact"/>
              <w:rPr>
                <w:sz w:val="20"/>
                <w:szCs w:val="20"/>
                <w:color w:val="auto"/>
              </w:rPr>
            </w:pPr>
            <w:r>
              <w:rPr>
                <w:rFonts w:ascii="Times New Roman" w:cs="Times New Roman" w:eastAsia="Times New Roman" w:hAnsi="Times New Roman"/>
                <w:sz w:val="16"/>
                <w:szCs w:val="16"/>
                <w:color w:val="auto"/>
              </w:rPr>
              <w:t>2013</w:t>
            </w:r>
          </w:p>
        </w:tc>
        <w:tc>
          <w:tcPr>
            <w:tcW w:w="0" w:type="dxa"/>
            <w:vAlign w:val="bottom"/>
          </w:tcPr>
          <w:p>
            <w:pPr>
              <w:spacing w:after="0"/>
              <w:rPr>
                <w:sz w:val="1"/>
                <w:szCs w:val="1"/>
                <w:color w:val="auto"/>
              </w:rPr>
            </w:pPr>
          </w:p>
        </w:tc>
      </w:tr>
      <w:tr>
        <w:trPr>
          <w:trHeight w:val="21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8"/>
                <w:szCs w:val="18"/>
                <w:color w:val="auto"/>
              </w:rPr>
            </w:pPr>
          </w:p>
        </w:tc>
        <w:tc>
          <w:tcPr>
            <w:tcW w:w="60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Summary of Compensation for Nonemployee Directors of The Scotts Miracle-Gro</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0" w:type="dxa"/>
            <w:vAlign w:val="bottom"/>
            <w:tcBorders>
              <w:top w:val="single" w:sz="8" w:color="0000FF"/>
            </w:tcBorders>
            <w:gridSpan w:val="27"/>
          </w:tcPr>
          <w:p>
            <w:pPr>
              <w:spacing w:after="0" w:line="151" w:lineRule="exact"/>
              <w:rPr>
                <w:sz w:val="20"/>
                <w:szCs w:val="20"/>
                <w:color w:val="auto"/>
              </w:rPr>
            </w:pPr>
            <w:r>
              <w:rPr>
                <w:rFonts w:ascii="Times New Roman" w:cs="Times New Roman" w:eastAsia="Times New Roman" w:hAnsi="Times New Roman"/>
                <w:sz w:val="16"/>
                <w:szCs w:val="16"/>
                <w:color w:val="0000FF"/>
              </w:rPr>
              <w:t>Company (effective as of January 24, 2022)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10.9(a)†</w:t>
            </w:r>
          </w:p>
        </w:tc>
        <w:tc>
          <w:tcPr>
            <w:tcW w:w="20" w:type="dxa"/>
            <w:vAlign w:val="bottom"/>
          </w:tcPr>
          <w:p>
            <w:pPr>
              <w:spacing w:after="0"/>
              <w:rPr>
                <w:sz w:val="18"/>
                <w:szCs w:val="18"/>
                <w:color w:val="auto"/>
              </w:rPr>
            </w:pPr>
          </w:p>
        </w:tc>
        <w:tc>
          <w:tcPr>
            <w:tcW w:w="6020" w:type="dxa"/>
            <w:vAlign w:val="bottom"/>
            <w:gridSpan w:val="38"/>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Consulting Agreement, dated February 15, 2021, between The Scotts Company</w:t>
              </w:r>
            </w:hyperlink>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12, 2021</w:t>
            </w: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0" w:type="dxa"/>
            <w:vAlign w:val="bottom"/>
            <w:tcBorders>
              <w:top w:val="single" w:sz="8" w:color="0000FF"/>
            </w:tcBorders>
            <w:gridSpan w:val="21"/>
          </w:tcPr>
          <w:p>
            <w:pPr>
              <w:spacing w:after="0" w:line="151" w:lineRule="exact"/>
              <w:rPr>
                <w:rFonts w:ascii="Times New Roman" w:cs="Times New Roman" w:eastAsia="Times New Roman" w:hAnsi="Times New Roman"/>
                <w:sz w:val="16"/>
                <w:szCs w:val="16"/>
                <w:color w:val="0000FF"/>
              </w:rPr>
            </w:pPr>
            <w:hyperlink r:id="rId180">
              <w:r>
                <w:rPr>
                  <w:rFonts w:ascii="Times New Roman" w:cs="Times New Roman" w:eastAsia="Times New Roman" w:hAnsi="Times New Roman"/>
                  <w:sz w:val="16"/>
                  <w:szCs w:val="16"/>
                  <w:color w:val="0000FF"/>
                </w:rPr>
                <w:t>LLC and Hanft Ideas LLC</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10.9(b)†</w:t>
            </w:r>
          </w:p>
        </w:tc>
        <w:tc>
          <w:tcPr>
            <w:tcW w:w="20" w:type="dxa"/>
            <w:vAlign w:val="bottom"/>
          </w:tcPr>
          <w:p>
            <w:pPr>
              <w:spacing w:after="0"/>
              <w:rPr>
                <w:sz w:val="18"/>
                <w:szCs w:val="18"/>
                <w:color w:val="auto"/>
              </w:rPr>
            </w:pPr>
          </w:p>
        </w:tc>
        <w:tc>
          <w:tcPr>
            <w:tcW w:w="6020" w:type="dxa"/>
            <w:vAlign w:val="bottom"/>
            <w:gridSpan w:val="38"/>
          </w:tcPr>
          <w:p>
            <w:pPr>
              <w:spacing w:after="0"/>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Consulting Agreement, dated February 8, 2022, between The Scotts Company LLC</w:t>
              </w:r>
            </w:hyperlink>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11, 2022</w:t>
            </w: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80" w:type="dxa"/>
            <w:vAlign w:val="bottom"/>
            <w:tcBorders>
              <w:top w:val="single" w:sz="8" w:color="0000FF"/>
            </w:tcBorders>
            <w:gridSpan w:val="31"/>
          </w:tcPr>
          <w:p>
            <w:pPr>
              <w:spacing w:after="0" w:line="151" w:lineRule="exact"/>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and Hanft Ideas LLC</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10.10(a)†</w:t>
            </w:r>
          </w:p>
        </w:tc>
        <w:tc>
          <w:tcPr>
            <w:tcW w:w="20" w:type="dxa"/>
            <w:vAlign w:val="bottom"/>
          </w:tcPr>
          <w:p>
            <w:pPr>
              <w:spacing w:after="0"/>
              <w:rPr>
                <w:sz w:val="18"/>
                <w:szCs w:val="18"/>
                <w:color w:val="auto"/>
              </w:rPr>
            </w:pPr>
          </w:p>
        </w:tc>
        <w:tc>
          <w:tcPr>
            <w:tcW w:w="6020" w:type="dxa"/>
            <w:vAlign w:val="bottom"/>
            <w:gridSpan w:val="38"/>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The Scotts Company LLC Executive Severance Plan, adopted on April 25, 2017</w:t>
              </w:r>
            </w:hyperlink>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10, 2017</w:t>
            </w: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218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10.10(b)†</w:t>
            </w:r>
          </w:p>
        </w:tc>
        <w:tc>
          <w:tcPr>
            <w:tcW w:w="20" w:type="dxa"/>
            <w:vAlign w:val="bottom"/>
          </w:tcPr>
          <w:p>
            <w:pPr>
              <w:spacing w:after="0"/>
              <w:rPr>
                <w:sz w:val="17"/>
                <w:szCs w:val="17"/>
                <w:color w:val="auto"/>
              </w:rPr>
            </w:pPr>
          </w:p>
        </w:tc>
        <w:tc>
          <w:tcPr>
            <w:tcW w:w="6020" w:type="dxa"/>
            <w:vAlign w:val="bottom"/>
            <w:gridSpan w:val="38"/>
          </w:tcPr>
          <w:p>
            <w:pPr>
              <w:spacing w:after="0" w:line="203" w:lineRule="exact"/>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Form of Tier 1 Participation Agreement under The Scotts Company LLC Executive</w:t>
              </w:r>
            </w:hyperlink>
          </w:p>
        </w:tc>
        <w:tc>
          <w:tcPr>
            <w:tcW w:w="720" w:type="dxa"/>
            <w:vAlign w:val="bottom"/>
            <w:gridSpan w:val="2"/>
          </w:tcPr>
          <w:p>
            <w:pPr>
              <w:jc w:val="center"/>
              <w:ind w:right="80"/>
              <w:spacing w:after="0" w:line="203" w:lineRule="exact"/>
              <w:rPr>
                <w:sz w:val="20"/>
                <w:szCs w:val="20"/>
                <w:color w:val="auto"/>
              </w:rPr>
            </w:pPr>
            <w:r>
              <w:rPr>
                <w:rFonts w:ascii="Times New Roman" w:cs="Times New Roman" w:eastAsia="Times New Roman" w:hAnsi="Times New Roman"/>
                <w:sz w:val="18"/>
                <w:szCs w:val="18"/>
                <w:color w:val="auto"/>
                <w:w w:val="97"/>
              </w:rPr>
              <w:t>10-Q</w:t>
            </w:r>
          </w:p>
        </w:tc>
        <w:tc>
          <w:tcPr>
            <w:tcW w:w="10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17"/>
                <w:szCs w:val="17"/>
                <w:color w:val="auto"/>
              </w:rPr>
            </w:pPr>
          </w:p>
        </w:tc>
        <w:tc>
          <w:tcPr>
            <w:tcW w:w="10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May 10, 2017</w:t>
            </w: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20" w:type="dxa"/>
            <w:vAlign w:val="bottom"/>
            <w:tcBorders>
              <w:top w:val="single" w:sz="8" w:color="0000FF"/>
            </w:tcBorders>
            <w:gridSpan w:val="33"/>
          </w:tcPr>
          <w:p>
            <w:pPr>
              <w:spacing w:after="0" w:line="151" w:lineRule="exact"/>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Severance Plan</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20" w:type="dxa"/>
            <w:vAlign w:val="bottom"/>
            <w:gridSpan w:val="38"/>
          </w:tcPr>
          <w:p>
            <w:pPr>
              <w:spacing w:after="0"/>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Third Amended and Restated Exclusive Agency and Marketing Agreement, entered</w:t>
              </w:r>
            </w:hyperlink>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31, 2019</w:t>
            </w: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40" w:type="dxa"/>
            <w:vAlign w:val="bottom"/>
            <w:tcBorders>
              <w:top w:val="single" w:sz="8" w:color="0000FF"/>
            </w:tcBorders>
            <w:gridSpan w:val="34"/>
          </w:tcPr>
          <w:p>
            <w:pPr>
              <w:spacing w:after="0" w:line="151" w:lineRule="exact"/>
              <w:rPr>
                <w:rFonts w:ascii="Times New Roman" w:cs="Times New Roman" w:eastAsia="Times New Roman" w:hAnsi="Times New Roman"/>
                <w:sz w:val="16"/>
                <w:szCs w:val="16"/>
                <w:color w:val="0000FF"/>
              </w:rPr>
            </w:pPr>
            <w:hyperlink r:id="rId184">
              <w:r>
                <w:rPr>
                  <w:rFonts w:ascii="Times New Roman" w:cs="Times New Roman" w:eastAsia="Times New Roman" w:hAnsi="Times New Roman"/>
                  <w:sz w:val="16"/>
                  <w:szCs w:val="16"/>
                  <w:color w:val="0000FF"/>
                </w:rPr>
                <w:t>into on July 29, 2019 and effective as of August 1, 2019, between Monsanto</w:t>
              </w:r>
            </w:hyperlink>
          </w:p>
        </w:tc>
        <w:tc>
          <w:tcPr>
            <w:tcW w:w="8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80" w:type="dxa"/>
            <w:vAlign w:val="bottom"/>
            <w:tcBorders>
              <w:top w:val="single" w:sz="8" w:color="0000FF"/>
              <w:bottom w:val="single" w:sz="8" w:color="0000FF"/>
            </w:tcBorders>
            <w:gridSpan w:val="8"/>
          </w:tcPr>
          <w:p>
            <w:pPr>
              <w:spacing w:after="0" w:line="164" w:lineRule="exact"/>
              <w:rPr>
                <w:rFonts w:ascii="Times New Roman" w:cs="Times New Roman" w:eastAsia="Times New Roman" w:hAnsi="Times New Roman"/>
                <w:sz w:val="18"/>
                <w:szCs w:val="18"/>
                <w:color w:val="0000FF"/>
                <w:w w:val="97"/>
              </w:rPr>
            </w:pPr>
            <w:hyperlink r:id="rId184">
              <w:r>
                <w:rPr>
                  <w:rFonts w:ascii="Times New Roman" w:cs="Times New Roman" w:eastAsia="Times New Roman" w:hAnsi="Times New Roman"/>
                  <w:sz w:val="18"/>
                  <w:szCs w:val="18"/>
                  <w:color w:val="0000FF"/>
                  <w:w w:val="97"/>
                </w:rPr>
                <w:t>Company and The Scotts Company LLC</w:t>
              </w:r>
            </w:hyperlink>
          </w:p>
        </w:tc>
        <w:tc>
          <w:tcPr>
            <w:tcW w:w="2480" w:type="dxa"/>
            <w:vAlign w:val="bottom"/>
            <w:tcBorders>
              <w:top w:val="single" w:sz="8" w:color="0000FF"/>
            </w:tcBorders>
            <w:gridSpan w:val="8"/>
          </w:tcPr>
          <w:p>
            <w:pPr>
              <w:spacing w:after="0"/>
              <w:rPr>
                <w:sz w:val="14"/>
                <w:szCs w:val="14"/>
                <w:color w:val="auto"/>
              </w:rPr>
            </w:pPr>
          </w:p>
        </w:tc>
        <w:tc>
          <w:tcPr>
            <w:tcW w:w="200" w:type="dxa"/>
            <w:vAlign w:val="bottom"/>
            <w:gridSpan w:val="3"/>
          </w:tcPr>
          <w:p>
            <w:pPr>
              <w:spacing w:after="0"/>
              <w:rPr>
                <w:sz w:val="14"/>
                <w:szCs w:val="14"/>
                <w:color w:val="auto"/>
              </w:rPr>
            </w:pPr>
          </w:p>
        </w:tc>
        <w:tc>
          <w:tcPr>
            <w:tcW w:w="10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9"/>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0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20" w:type="dxa"/>
            <w:vAlign w:val="bottom"/>
            <w:gridSpan w:val="38"/>
          </w:tcPr>
          <w:p>
            <w:pPr>
              <w:spacing w:after="0" w:line="203"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Brand Extension Agreement Asset Purchase Agreement, entered into on July 29,</w:t>
              </w:r>
            </w:hyperlink>
          </w:p>
        </w:tc>
        <w:tc>
          <w:tcPr>
            <w:tcW w:w="720" w:type="dxa"/>
            <w:vAlign w:val="bottom"/>
            <w:gridSpan w:val="2"/>
          </w:tcPr>
          <w:p>
            <w:pPr>
              <w:jc w:val="center"/>
              <w:ind w:right="80"/>
              <w:spacing w:after="0" w:line="203" w:lineRule="exact"/>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10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July 31, 2019</w:t>
            </w: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60" w:type="dxa"/>
            <w:vAlign w:val="bottom"/>
            <w:tcBorders>
              <w:top w:val="single" w:sz="8" w:color="0000FF"/>
            </w:tcBorders>
            <w:gridSpan w:val="23"/>
          </w:tcPr>
          <w:p>
            <w:pPr>
              <w:spacing w:after="0" w:line="151" w:lineRule="exact"/>
              <w:rPr>
                <w:rFonts w:ascii="Times New Roman" w:cs="Times New Roman" w:eastAsia="Times New Roman" w:hAnsi="Times New Roman"/>
                <w:sz w:val="16"/>
                <w:szCs w:val="16"/>
                <w:color w:val="0000FF"/>
              </w:rPr>
            </w:pPr>
            <w:hyperlink r:id="rId185">
              <w:r>
                <w:rPr>
                  <w:rFonts w:ascii="Times New Roman" w:cs="Times New Roman" w:eastAsia="Times New Roman" w:hAnsi="Times New Roman"/>
                  <w:sz w:val="16"/>
                  <w:szCs w:val="16"/>
                  <w:color w:val="0000FF"/>
                </w:rPr>
                <w:t>2019 and effective as of August 1, 2019, between Monsanto Company and The</w:t>
              </w:r>
            </w:hyperlink>
          </w:p>
        </w:tc>
        <w:tc>
          <w:tcPr>
            <w:tcW w:w="4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Borders>
              <w:top w:val="single" w:sz="8" w:color="0000FF"/>
              <w:bottom w:val="single" w:sz="8" w:color="0000FF"/>
            </w:tcBorders>
            <w:gridSpan w:val="4"/>
          </w:tcPr>
          <w:p>
            <w:pPr>
              <w:spacing w:after="0" w:line="164" w:lineRule="exact"/>
              <w:rPr>
                <w:rFonts w:ascii="Times New Roman" w:cs="Times New Roman" w:eastAsia="Times New Roman" w:hAnsi="Times New Roman"/>
                <w:sz w:val="18"/>
                <w:szCs w:val="18"/>
                <w:color w:val="0000FF"/>
                <w:w w:val="96"/>
              </w:rPr>
            </w:pPr>
            <w:hyperlink r:id="rId185">
              <w:r>
                <w:rPr>
                  <w:rFonts w:ascii="Times New Roman" w:cs="Times New Roman" w:eastAsia="Times New Roman" w:hAnsi="Times New Roman"/>
                  <w:sz w:val="18"/>
                  <w:szCs w:val="18"/>
                  <w:color w:val="0000FF"/>
                  <w:w w:val="96"/>
                </w:rPr>
                <w:t>Scotts Company LLC</w:t>
              </w:r>
            </w:hyperlink>
          </w:p>
        </w:tc>
        <w:tc>
          <w:tcPr>
            <w:tcW w:w="4020" w:type="dxa"/>
            <w:vAlign w:val="bottom"/>
            <w:tcBorders>
              <w:top w:val="single" w:sz="8" w:color="0000FF"/>
            </w:tcBorders>
            <w:gridSpan w:val="15"/>
          </w:tcPr>
          <w:p>
            <w:pPr>
              <w:spacing w:after="0"/>
              <w:rPr>
                <w:sz w:val="14"/>
                <w:szCs w:val="14"/>
                <w:color w:val="auto"/>
              </w:rPr>
            </w:pPr>
          </w:p>
        </w:tc>
        <w:tc>
          <w:tcPr>
            <w:tcW w:w="140" w:type="dxa"/>
            <w:vAlign w:val="bottom"/>
            <w:gridSpan w:val="6"/>
          </w:tcPr>
          <w:p>
            <w:pPr>
              <w:spacing w:after="0"/>
              <w:rPr>
                <w:sz w:val="14"/>
                <w:szCs w:val="14"/>
                <w:color w:val="auto"/>
              </w:rPr>
            </w:pPr>
          </w:p>
        </w:tc>
        <w:tc>
          <w:tcPr>
            <w:tcW w:w="1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9"/>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10.13(a)</w:t>
            </w:r>
          </w:p>
        </w:tc>
        <w:tc>
          <w:tcPr>
            <w:tcW w:w="20" w:type="dxa"/>
            <w:vAlign w:val="bottom"/>
          </w:tcPr>
          <w:p>
            <w:pPr>
              <w:spacing w:after="0"/>
              <w:rPr>
                <w:sz w:val="17"/>
                <w:szCs w:val="17"/>
                <w:color w:val="auto"/>
              </w:rPr>
            </w:pPr>
          </w:p>
        </w:tc>
        <w:tc>
          <w:tcPr>
            <w:tcW w:w="6020" w:type="dxa"/>
            <w:vAlign w:val="bottom"/>
            <w:gridSpan w:val="38"/>
          </w:tcPr>
          <w:p>
            <w:pPr>
              <w:spacing w:after="0" w:line="203"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Master Repurchase Agreement, and Annex I thereto, with Coöperatieve Rabobank,</w:t>
              </w:r>
            </w:hyperlink>
          </w:p>
        </w:tc>
        <w:tc>
          <w:tcPr>
            <w:tcW w:w="720" w:type="dxa"/>
            <w:vAlign w:val="bottom"/>
            <w:gridSpan w:val="2"/>
          </w:tcPr>
          <w:p>
            <w:pPr>
              <w:jc w:val="center"/>
              <w:ind w:right="80"/>
              <w:spacing w:after="0" w:line="203" w:lineRule="exact"/>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0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w w:val="98"/>
              </w:rPr>
              <w:t>April 13, 2017</w:t>
            </w: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tcBorders>
              <w:top w:val="single" w:sz="8" w:color="0000FF"/>
            </w:tcBorders>
            <w:gridSpan w:val="29"/>
          </w:tcPr>
          <w:p>
            <w:pPr>
              <w:spacing w:after="0" w:line="151" w:lineRule="exact"/>
              <w:rPr>
                <w:rFonts w:ascii="Times New Roman" w:cs="Times New Roman" w:eastAsia="Times New Roman" w:hAnsi="Times New Roman"/>
                <w:sz w:val="16"/>
                <w:szCs w:val="16"/>
                <w:color w:val="0000FF"/>
              </w:rPr>
            </w:pPr>
            <w:hyperlink r:id="rId186">
              <w:r>
                <w:rPr>
                  <w:rFonts w:ascii="Times New Roman" w:cs="Times New Roman" w:eastAsia="Times New Roman" w:hAnsi="Times New Roman"/>
                  <w:sz w:val="16"/>
                  <w:szCs w:val="16"/>
                  <w:color w:val="0000FF"/>
                </w:rPr>
                <w:t>U.A. (New York Branch), as agent and purchaser, and Sumitomo Mitsui Banking</w:t>
              </w:r>
            </w:hyperlink>
          </w:p>
        </w:tc>
        <w:tc>
          <w:tcPr>
            <w:tcW w:w="180" w:type="dxa"/>
            <w:vAlign w:val="bottom"/>
            <w:gridSpan w:val="9"/>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60" w:type="dxa"/>
            <w:vAlign w:val="bottom"/>
            <w:tcBorders>
              <w:top w:val="single" w:sz="8" w:color="0000FF"/>
              <w:bottom w:val="single" w:sz="8" w:color="0000FF"/>
            </w:tcBorders>
            <w:gridSpan w:val="13"/>
          </w:tcPr>
          <w:p>
            <w:pPr>
              <w:spacing w:after="0" w:line="164" w:lineRule="exact"/>
              <w:rPr>
                <w:rFonts w:ascii="Times New Roman" w:cs="Times New Roman" w:eastAsia="Times New Roman" w:hAnsi="Times New Roman"/>
                <w:sz w:val="18"/>
                <w:szCs w:val="18"/>
                <w:color w:val="0000FF"/>
                <w:w w:val="96"/>
              </w:rPr>
            </w:pPr>
            <w:hyperlink r:id="rId186">
              <w:r>
                <w:rPr>
                  <w:rFonts w:ascii="Times New Roman" w:cs="Times New Roman" w:eastAsia="Times New Roman" w:hAnsi="Times New Roman"/>
                  <w:sz w:val="18"/>
                  <w:szCs w:val="18"/>
                  <w:color w:val="0000FF"/>
                  <w:w w:val="96"/>
                </w:rPr>
                <w:t>Corporation (New York Branch), as purchaser, dated as of April 7, 2017</w:t>
              </w:r>
            </w:hyperlink>
          </w:p>
        </w:tc>
        <w:tc>
          <w:tcPr>
            <w:tcW w:w="640" w:type="dxa"/>
            <w:vAlign w:val="bottom"/>
            <w:tcBorders>
              <w:top w:val="single" w:sz="8" w:color="0000FF"/>
            </w:tcBorders>
            <w:gridSpan w:val="12"/>
          </w:tcPr>
          <w:p>
            <w:pPr>
              <w:spacing w:after="0"/>
              <w:rPr>
                <w:sz w:val="14"/>
                <w:szCs w:val="14"/>
                <w:color w:val="auto"/>
              </w:rPr>
            </w:pPr>
          </w:p>
        </w:tc>
        <w:tc>
          <w:tcPr>
            <w:tcW w:w="120" w:type="dxa"/>
            <w:vAlign w:val="bottom"/>
            <w:gridSpan w:val="3"/>
          </w:tcPr>
          <w:p>
            <w:pPr>
              <w:spacing w:after="0"/>
              <w:rPr>
                <w:sz w:val="14"/>
                <w:szCs w:val="14"/>
                <w:color w:val="auto"/>
              </w:rPr>
            </w:pPr>
          </w:p>
        </w:tc>
        <w:tc>
          <w:tcPr>
            <w:tcW w:w="200" w:type="dxa"/>
            <w:vAlign w:val="bottom"/>
            <w:gridSpan w:val="10"/>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10.13(b)</w:t>
            </w:r>
          </w:p>
        </w:tc>
        <w:tc>
          <w:tcPr>
            <w:tcW w:w="20" w:type="dxa"/>
            <w:vAlign w:val="bottom"/>
          </w:tcPr>
          <w:p>
            <w:pPr>
              <w:spacing w:after="0"/>
              <w:rPr>
                <w:sz w:val="17"/>
                <w:szCs w:val="17"/>
                <w:color w:val="auto"/>
              </w:rPr>
            </w:pPr>
          </w:p>
        </w:tc>
        <w:tc>
          <w:tcPr>
            <w:tcW w:w="6020" w:type="dxa"/>
            <w:vAlign w:val="bottom"/>
            <w:gridSpan w:val="38"/>
          </w:tcPr>
          <w:p>
            <w:pPr>
              <w:spacing w:after="0" w:line="203"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Amendment No. 1 to Master Repurchase Agreement with Coöperatieve Rabobank,</w:t>
              </w:r>
            </w:hyperlink>
          </w:p>
        </w:tc>
        <w:tc>
          <w:tcPr>
            <w:tcW w:w="720" w:type="dxa"/>
            <w:vAlign w:val="bottom"/>
            <w:gridSpan w:val="2"/>
          </w:tcPr>
          <w:p>
            <w:pPr>
              <w:jc w:val="center"/>
              <w:ind w:right="80"/>
              <w:spacing w:after="0" w:line="203" w:lineRule="exact"/>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0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August 24,</w:t>
            </w: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tcBorders>
              <w:top w:val="single" w:sz="8" w:color="0000FF"/>
            </w:tcBorders>
            <w:gridSpan w:val="28"/>
          </w:tcPr>
          <w:p>
            <w:pPr>
              <w:spacing w:after="0" w:line="151" w:lineRule="exact"/>
              <w:rPr>
                <w:rFonts w:ascii="Times New Roman" w:cs="Times New Roman" w:eastAsia="Times New Roman" w:hAnsi="Times New Roman"/>
                <w:sz w:val="16"/>
                <w:szCs w:val="16"/>
                <w:color w:val="0000FF"/>
              </w:rPr>
            </w:pPr>
            <w:hyperlink r:id="rId187">
              <w:r>
                <w:rPr>
                  <w:rFonts w:ascii="Times New Roman" w:cs="Times New Roman" w:eastAsia="Times New Roman" w:hAnsi="Times New Roman"/>
                  <w:sz w:val="16"/>
                  <w:szCs w:val="16"/>
                  <w:color w:val="0000FF"/>
                </w:rPr>
                <w:t>U.A. (New York Branch), as agent and purchaser, and Sumitomo Mitsui Banking</w:t>
              </w:r>
            </w:hyperlink>
          </w:p>
        </w:tc>
        <w:tc>
          <w:tcPr>
            <w:tcW w:w="200" w:type="dxa"/>
            <w:vAlign w:val="bottom"/>
            <w:gridSpan w:val="10"/>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ind w:left="20"/>
              <w:spacing w:after="0" w:line="151" w:lineRule="exact"/>
              <w:rPr>
                <w:sz w:val="20"/>
                <w:szCs w:val="20"/>
                <w:color w:val="auto"/>
              </w:rPr>
            </w:pPr>
            <w:r>
              <w:rPr>
                <w:rFonts w:ascii="Times New Roman" w:cs="Times New Roman" w:eastAsia="Times New Roman" w:hAnsi="Times New Roman"/>
                <w:sz w:val="16"/>
                <w:szCs w:val="16"/>
                <w:color w:val="auto"/>
              </w:rPr>
              <w:t>2018</w:t>
            </w: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00" w:type="dxa"/>
            <w:vAlign w:val="bottom"/>
            <w:tcBorders>
              <w:top w:val="single" w:sz="8" w:color="0000FF"/>
            </w:tcBorders>
            <w:gridSpan w:val="25"/>
          </w:tcPr>
          <w:p>
            <w:pPr>
              <w:spacing w:after="0" w:line="164"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Corporation (New York Branch), as purchaser, dated as of August 24, 2018</w:t>
              </w:r>
            </w:hyperlink>
          </w:p>
        </w:tc>
        <w:tc>
          <w:tcPr>
            <w:tcW w:w="320" w:type="dxa"/>
            <w:vAlign w:val="bottom"/>
            <w:gridSpan w:val="13"/>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80" w:type="dxa"/>
            <w:vAlign w:val="bottom"/>
            <w:gridSpan w:val="14"/>
            <w:shd w:val="clear" w:color="auto" w:fill="0000FF"/>
          </w:tcPr>
          <w:p>
            <w:pPr>
              <w:spacing w:after="0" w:line="20" w:lineRule="exact"/>
              <w:rPr>
                <w:sz w:val="1"/>
                <w:szCs w:val="1"/>
                <w:color w:val="auto"/>
              </w:rPr>
            </w:pPr>
          </w:p>
        </w:tc>
        <w:tc>
          <w:tcPr>
            <w:tcW w:w="740" w:type="dxa"/>
            <w:vAlign w:val="bottom"/>
            <w:gridSpan w:val="2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10.13(c)</w:t>
            </w:r>
          </w:p>
        </w:tc>
        <w:tc>
          <w:tcPr>
            <w:tcW w:w="20" w:type="dxa"/>
            <w:vAlign w:val="bottom"/>
          </w:tcPr>
          <w:p>
            <w:pPr>
              <w:spacing w:after="0"/>
              <w:rPr>
                <w:sz w:val="17"/>
                <w:szCs w:val="17"/>
                <w:color w:val="auto"/>
              </w:rPr>
            </w:pPr>
          </w:p>
        </w:tc>
        <w:tc>
          <w:tcPr>
            <w:tcW w:w="6020" w:type="dxa"/>
            <w:vAlign w:val="bottom"/>
            <w:gridSpan w:val="38"/>
          </w:tcPr>
          <w:p>
            <w:pPr>
              <w:spacing w:after="0" w:line="203"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Amendment No. 2 to Master Repurchase Agreement with Coöperatieve Rabobank,</w:t>
              </w:r>
            </w:hyperlink>
          </w:p>
        </w:tc>
        <w:tc>
          <w:tcPr>
            <w:tcW w:w="720" w:type="dxa"/>
            <w:vAlign w:val="bottom"/>
            <w:gridSpan w:val="2"/>
          </w:tcPr>
          <w:p>
            <w:pPr>
              <w:jc w:val="center"/>
              <w:ind w:right="80"/>
              <w:spacing w:after="0" w:line="203" w:lineRule="exact"/>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0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August 25,</w:t>
            </w: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tcBorders>
              <w:top w:val="single" w:sz="8" w:color="0000FF"/>
            </w:tcBorders>
            <w:gridSpan w:val="28"/>
          </w:tcPr>
          <w:p>
            <w:pPr>
              <w:spacing w:after="0" w:line="151" w:lineRule="exact"/>
              <w:rPr>
                <w:rFonts w:ascii="Times New Roman" w:cs="Times New Roman" w:eastAsia="Times New Roman" w:hAnsi="Times New Roman"/>
                <w:sz w:val="16"/>
                <w:szCs w:val="16"/>
                <w:color w:val="0000FF"/>
              </w:rPr>
            </w:pPr>
            <w:hyperlink r:id="rId188">
              <w:r>
                <w:rPr>
                  <w:rFonts w:ascii="Times New Roman" w:cs="Times New Roman" w:eastAsia="Times New Roman" w:hAnsi="Times New Roman"/>
                  <w:sz w:val="16"/>
                  <w:szCs w:val="16"/>
                  <w:color w:val="0000FF"/>
                </w:rPr>
                <w:t>U.A. (New York Branch), as agent and purchaser, and Sumitomo Mitsui Banking</w:t>
              </w:r>
            </w:hyperlink>
          </w:p>
        </w:tc>
        <w:tc>
          <w:tcPr>
            <w:tcW w:w="200" w:type="dxa"/>
            <w:vAlign w:val="bottom"/>
            <w:gridSpan w:val="10"/>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ind w:left="20"/>
              <w:spacing w:after="0" w:line="151" w:lineRule="exact"/>
              <w:rPr>
                <w:sz w:val="20"/>
                <w:szCs w:val="20"/>
                <w:color w:val="auto"/>
              </w:rPr>
            </w:pPr>
            <w:r>
              <w:rPr>
                <w:rFonts w:ascii="Times New Roman" w:cs="Times New Roman" w:eastAsia="Times New Roman" w:hAnsi="Times New Roman"/>
                <w:sz w:val="16"/>
                <w:szCs w:val="16"/>
                <w:color w:val="auto"/>
              </w:rPr>
              <w:t>2020</w:t>
            </w: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00" w:type="dxa"/>
            <w:vAlign w:val="bottom"/>
            <w:tcBorders>
              <w:top w:val="single" w:sz="8" w:color="0000FF"/>
            </w:tcBorders>
            <w:gridSpan w:val="25"/>
          </w:tcPr>
          <w:p>
            <w:pPr>
              <w:spacing w:after="0" w:line="164"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Corporation (New York Branch), as purchaser, dated as of August 21, 2020</w:t>
              </w:r>
            </w:hyperlink>
          </w:p>
        </w:tc>
        <w:tc>
          <w:tcPr>
            <w:tcW w:w="320" w:type="dxa"/>
            <w:vAlign w:val="bottom"/>
            <w:gridSpan w:val="13"/>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80" w:type="dxa"/>
            <w:vAlign w:val="bottom"/>
            <w:gridSpan w:val="14"/>
            <w:shd w:val="clear" w:color="auto" w:fill="0000FF"/>
          </w:tcPr>
          <w:p>
            <w:pPr>
              <w:spacing w:after="0" w:line="20" w:lineRule="exact"/>
              <w:rPr>
                <w:sz w:val="1"/>
                <w:szCs w:val="1"/>
                <w:color w:val="auto"/>
              </w:rPr>
            </w:pPr>
          </w:p>
        </w:tc>
        <w:tc>
          <w:tcPr>
            <w:tcW w:w="740" w:type="dxa"/>
            <w:vAlign w:val="bottom"/>
            <w:gridSpan w:val="2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10.13(d)</w:t>
            </w:r>
          </w:p>
        </w:tc>
        <w:tc>
          <w:tcPr>
            <w:tcW w:w="20" w:type="dxa"/>
            <w:vAlign w:val="bottom"/>
          </w:tcPr>
          <w:p>
            <w:pPr>
              <w:spacing w:after="0"/>
              <w:rPr>
                <w:sz w:val="17"/>
                <w:szCs w:val="17"/>
                <w:color w:val="auto"/>
              </w:rPr>
            </w:pPr>
          </w:p>
        </w:tc>
        <w:tc>
          <w:tcPr>
            <w:tcW w:w="6020" w:type="dxa"/>
            <w:vAlign w:val="bottom"/>
            <w:gridSpan w:val="38"/>
          </w:tcPr>
          <w:p>
            <w:pPr>
              <w:spacing w:after="0" w:line="203"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Amendment No. 3 to Master Repurchase Agreement with Coöperatieve Rabobank,</w:t>
              </w:r>
            </w:hyperlink>
          </w:p>
        </w:tc>
        <w:tc>
          <w:tcPr>
            <w:tcW w:w="720" w:type="dxa"/>
            <w:vAlign w:val="bottom"/>
            <w:gridSpan w:val="2"/>
          </w:tcPr>
          <w:p>
            <w:pPr>
              <w:jc w:val="center"/>
              <w:ind w:right="80"/>
              <w:spacing w:after="0" w:line="203" w:lineRule="exact"/>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0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August 20,</w:t>
            </w: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tcBorders>
              <w:top w:val="single" w:sz="8" w:color="0000FF"/>
            </w:tcBorders>
            <w:gridSpan w:val="28"/>
          </w:tcPr>
          <w:p>
            <w:pPr>
              <w:spacing w:after="0" w:line="151" w:lineRule="exact"/>
              <w:rPr>
                <w:rFonts w:ascii="Times New Roman" w:cs="Times New Roman" w:eastAsia="Times New Roman" w:hAnsi="Times New Roman"/>
                <w:sz w:val="16"/>
                <w:szCs w:val="16"/>
                <w:color w:val="0000FF"/>
              </w:rPr>
            </w:pPr>
            <w:hyperlink r:id="rId189">
              <w:r>
                <w:rPr>
                  <w:rFonts w:ascii="Times New Roman" w:cs="Times New Roman" w:eastAsia="Times New Roman" w:hAnsi="Times New Roman"/>
                  <w:sz w:val="16"/>
                  <w:szCs w:val="16"/>
                  <w:color w:val="0000FF"/>
                </w:rPr>
                <w:t>U.A. (New York Branch), as agent and purchaser, and Sumitomo Mitsui Banking</w:t>
              </w:r>
            </w:hyperlink>
          </w:p>
        </w:tc>
        <w:tc>
          <w:tcPr>
            <w:tcW w:w="200" w:type="dxa"/>
            <w:vAlign w:val="bottom"/>
            <w:gridSpan w:val="10"/>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ind w:left="20"/>
              <w:spacing w:after="0" w:line="151" w:lineRule="exact"/>
              <w:rPr>
                <w:sz w:val="20"/>
                <w:szCs w:val="20"/>
                <w:color w:val="auto"/>
              </w:rPr>
            </w:pPr>
            <w:r>
              <w:rPr>
                <w:rFonts w:ascii="Times New Roman" w:cs="Times New Roman" w:eastAsia="Times New Roman" w:hAnsi="Times New Roman"/>
                <w:sz w:val="16"/>
                <w:szCs w:val="16"/>
                <w:color w:val="auto"/>
              </w:rPr>
              <w:t>2021</w:t>
            </w: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00" w:type="dxa"/>
            <w:vAlign w:val="bottom"/>
            <w:tcBorders>
              <w:top w:val="single" w:sz="8" w:color="0000FF"/>
            </w:tcBorders>
            <w:gridSpan w:val="25"/>
          </w:tcPr>
          <w:p>
            <w:pPr>
              <w:spacing w:after="0" w:line="164"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Corporation (New York Branch), as purchaser, dated as of August 20, 2021</w:t>
              </w:r>
            </w:hyperlink>
          </w:p>
        </w:tc>
        <w:tc>
          <w:tcPr>
            <w:tcW w:w="320" w:type="dxa"/>
            <w:vAlign w:val="bottom"/>
            <w:gridSpan w:val="13"/>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80" w:type="dxa"/>
            <w:vAlign w:val="bottom"/>
            <w:gridSpan w:val="14"/>
            <w:shd w:val="clear" w:color="auto" w:fill="0000FF"/>
          </w:tcPr>
          <w:p>
            <w:pPr>
              <w:spacing w:after="0" w:line="20" w:lineRule="exact"/>
              <w:rPr>
                <w:sz w:val="1"/>
                <w:szCs w:val="1"/>
                <w:color w:val="auto"/>
              </w:rPr>
            </w:pPr>
          </w:p>
        </w:tc>
        <w:tc>
          <w:tcPr>
            <w:tcW w:w="740" w:type="dxa"/>
            <w:vAlign w:val="bottom"/>
            <w:gridSpan w:val="2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10.13(e)</w:t>
            </w:r>
          </w:p>
        </w:tc>
        <w:tc>
          <w:tcPr>
            <w:tcW w:w="20" w:type="dxa"/>
            <w:vAlign w:val="bottom"/>
          </w:tcPr>
          <w:p>
            <w:pPr>
              <w:spacing w:after="0"/>
              <w:rPr>
                <w:sz w:val="17"/>
                <w:szCs w:val="17"/>
                <w:color w:val="auto"/>
              </w:rPr>
            </w:pPr>
          </w:p>
        </w:tc>
        <w:tc>
          <w:tcPr>
            <w:tcW w:w="6020" w:type="dxa"/>
            <w:vAlign w:val="bottom"/>
            <w:gridSpan w:val="38"/>
          </w:tcPr>
          <w:p>
            <w:pPr>
              <w:spacing w:after="0" w:line="203"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Amendment No. 4 to Master Repurchase Agreement with Coöperatieve Rabobank,</w:t>
              </w:r>
            </w:hyperlink>
          </w:p>
        </w:tc>
        <w:tc>
          <w:tcPr>
            <w:tcW w:w="720" w:type="dxa"/>
            <w:vAlign w:val="bottom"/>
            <w:gridSpan w:val="2"/>
          </w:tcPr>
          <w:p>
            <w:pPr>
              <w:jc w:val="center"/>
              <w:ind w:right="80"/>
              <w:spacing w:after="0" w:line="203" w:lineRule="exact"/>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0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August 23,</w:t>
            </w: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tcBorders>
              <w:top w:val="single" w:sz="8" w:color="0000FF"/>
            </w:tcBorders>
            <w:gridSpan w:val="28"/>
          </w:tcPr>
          <w:p>
            <w:pPr>
              <w:spacing w:after="0" w:line="151" w:lineRule="exact"/>
              <w:rPr>
                <w:rFonts w:ascii="Times New Roman" w:cs="Times New Roman" w:eastAsia="Times New Roman" w:hAnsi="Times New Roman"/>
                <w:sz w:val="16"/>
                <w:szCs w:val="16"/>
                <w:color w:val="0000FF"/>
              </w:rPr>
            </w:pPr>
            <w:hyperlink r:id="rId190">
              <w:r>
                <w:rPr>
                  <w:rFonts w:ascii="Times New Roman" w:cs="Times New Roman" w:eastAsia="Times New Roman" w:hAnsi="Times New Roman"/>
                  <w:sz w:val="16"/>
                  <w:szCs w:val="16"/>
                  <w:color w:val="0000FF"/>
                </w:rPr>
                <w:t>U.A. (New York Branch), as agent and purchaser, and Sumitomo Mitsui Banking</w:t>
              </w:r>
            </w:hyperlink>
          </w:p>
        </w:tc>
        <w:tc>
          <w:tcPr>
            <w:tcW w:w="200" w:type="dxa"/>
            <w:vAlign w:val="bottom"/>
            <w:gridSpan w:val="10"/>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ind w:left="20"/>
              <w:spacing w:after="0" w:line="151" w:lineRule="exact"/>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00" w:type="dxa"/>
            <w:vAlign w:val="bottom"/>
            <w:tcBorders>
              <w:top w:val="single" w:sz="8" w:color="0000FF"/>
            </w:tcBorders>
            <w:gridSpan w:val="25"/>
          </w:tcPr>
          <w:p>
            <w:pPr>
              <w:spacing w:after="0" w:line="164"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Corporation (New York Branch), as purchaser, dated as of August 19, 2022</w:t>
              </w:r>
            </w:hyperlink>
          </w:p>
        </w:tc>
        <w:tc>
          <w:tcPr>
            <w:tcW w:w="320" w:type="dxa"/>
            <w:vAlign w:val="bottom"/>
            <w:gridSpan w:val="13"/>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80" w:type="dxa"/>
            <w:vAlign w:val="bottom"/>
            <w:gridSpan w:val="14"/>
            <w:shd w:val="clear" w:color="auto" w:fill="0000FF"/>
          </w:tcPr>
          <w:p>
            <w:pPr>
              <w:spacing w:after="0" w:line="20" w:lineRule="exact"/>
              <w:rPr>
                <w:sz w:val="1"/>
                <w:szCs w:val="1"/>
                <w:color w:val="auto"/>
              </w:rPr>
            </w:pPr>
          </w:p>
        </w:tc>
        <w:tc>
          <w:tcPr>
            <w:tcW w:w="740" w:type="dxa"/>
            <w:vAlign w:val="bottom"/>
            <w:gridSpan w:val="2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8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10.14(a)</w:t>
            </w:r>
          </w:p>
        </w:tc>
        <w:tc>
          <w:tcPr>
            <w:tcW w:w="20" w:type="dxa"/>
            <w:vAlign w:val="bottom"/>
          </w:tcPr>
          <w:p>
            <w:pPr>
              <w:spacing w:after="0"/>
              <w:rPr>
                <w:sz w:val="17"/>
                <w:szCs w:val="17"/>
                <w:color w:val="auto"/>
              </w:rPr>
            </w:pPr>
          </w:p>
        </w:tc>
        <w:tc>
          <w:tcPr>
            <w:tcW w:w="6020" w:type="dxa"/>
            <w:vAlign w:val="bottom"/>
            <w:gridSpan w:val="38"/>
          </w:tcPr>
          <w:p>
            <w:pPr>
              <w:spacing w:after="0" w:line="205" w:lineRule="exact"/>
              <w:rPr>
                <w:rFonts w:ascii="Times New Roman" w:cs="Times New Roman" w:eastAsia="Times New Roman" w:hAnsi="Times New Roman"/>
                <w:sz w:val="18"/>
                <w:szCs w:val="18"/>
                <w:u w:val="single" w:color="auto"/>
                <w:color w:val="0000FF"/>
              </w:rPr>
            </w:pPr>
            <w:hyperlink r:id="rId191">
              <w:r>
                <w:rPr>
                  <w:rFonts w:ascii="Times New Roman" w:cs="Times New Roman" w:eastAsia="Times New Roman" w:hAnsi="Times New Roman"/>
                  <w:sz w:val="18"/>
                  <w:szCs w:val="18"/>
                  <w:u w:val="single" w:color="auto"/>
                  <w:color w:val="0000FF"/>
                </w:rPr>
                <w:t>Master Framework Agreement with Coöperatieve Rabobank, U.A. (New York</w:t>
              </w:r>
            </w:hyperlink>
          </w:p>
        </w:tc>
        <w:tc>
          <w:tcPr>
            <w:tcW w:w="720" w:type="dxa"/>
            <w:vAlign w:val="bottom"/>
            <w:gridSpan w:val="2"/>
          </w:tcPr>
          <w:p>
            <w:pPr>
              <w:jc w:val="center"/>
              <w:ind w:right="80"/>
              <w:spacing w:after="0" w:line="205" w:lineRule="exact"/>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w w:val="98"/>
              </w:rPr>
              <w:t>April 13, 2017</w:t>
            </w:r>
          </w:p>
        </w:tc>
        <w:tc>
          <w:tcPr>
            <w:tcW w:w="0" w:type="dxa"/>
            <w:vAlign w:val="bottom"/>
          </w:tcPr>
          <w:p>
            <w:pPr>
              <w:spacing w:after="0"/>
              <w:rPr>
                <w:sz w:val="1"/>
                <w:szCs w:val="1"/>
                <w:color w:val="auto"/>
              </w:rPr>
            </w:pPr>
          </w:p>
        </w:tc>
      </w:tr>
    </w:tbl>
    <w:p>
      <w:pPr>
        <w:ind w:left="1200" w:right="3140"/>
        <w:spacing w:after="0" w:line="227" w:lineRule="auto"/>
        <w:rPr>
          <w:rFonts w:ascii="Times New Roman" w:cs="Times New Roman" w:eastAsia="Times New Roman" w:hAnsi="Times New Roman"/>
          <w:sz w:val="18"/>
          <w:szCs w:val="18"/>
          <w:u w:val="single" w:color="auto"/>
          <w:color w:val="0000FF"/>
        </w:rPr>
      </w:pPr>
      <w:hyperlink r:id="rId191">
        <w:r>
          <w:rPr>
            <w:rFonts w:ascii="Times New Roman" w:cs="Times New Roman" w:eastAsia="Times New Roman" w:hAnsi="Times New Roman"/>
            <w:sz w:val="18"/>
            <w:szCs w:val="18"/>
            <w:u w:val="single" w:color="auto"/>
            <w:color w:val="0000FF"/>
          </w:rPr>
          <w:t>Branch), as agent and purchaser, and Sumitomo Mitsui Banking Corporation (New</w:t>
        </w:r>
      </w:hyperlink>
      <w:r>
        <w:rPr>
          <w:rFonts w:ascii="Times New Roman" w:cs="Times New Roman" w:eastAsia="Times New Roman" w:hAnsi="Times New Roman"/>
          <w:sz w:val="18"/>
          <w:szCs w:val="18"/>
          <w:u w:val="single" w:color="auto"/>
          <w:color w:val="0000FF"/>
        </w:rPr>
        <w:t xml:space="preserve"> </w:t>
      </w:r>
      <w:hyperlink r:id="rId191">
        <w:r>
          <w:rPr>
            <w:rFonts w:ascii="Times New Roman" w:cs="Times New Roman" w:eastAsia="Times New Roman" w:hAnsi="Times New Roman"/>
            <w:sz w:val="18"/>
            <w:szCs w:val="18"/>
            <w:u w:val="single" w:color="auto"/>
            <w:color w:val="0000FF"/>
          </w:rPr>
          <w:t>York Branch), as purchaser, dated as of April 7, 2017</w:t>
        </w:r>
      </w:hyperlink>
    </w:p>
    <w:p>
      <w:pPr>
        <w:spacing w:after="0" w:line="200" w:lineRule="exact"/>
        <w:rPr>
          <w:sz w:val="20"/>
          <w:szCs w:val="20"/>
          <w:color w:val="auto"/>
        </w:rPr>
      </w:pPr>
    </w:p>
    <w:p>
      <w:pPr>
        <w:spacing w:after="0" w:line="29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p>
      <w:pPr>
        <w:jc w:val="center"/>
        <w:spacing w:after="0"/>
        <w:rPr>
          <w:sz w:val="20"/>
          <w:szCs w:val="20"/>
          <w:color w:val="auto"/>
        </w:rPr>
      </w:pPr>
      <w:r>
        <w:rPr>
          <w:rFonts w:ascii="Times New Roman" w:cs="Times New Roman" w:eastAsia="Times New Roman" w:hAnsi="Times New Roman"/>
          <w:sz w:val="16"/>
          <w:szCs w:val="16"/>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24130</wp:posOffset>
            </wp:positionV>
            <wp:extent cx="62611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3">
                      <a:extLst>
                        <a:ext uri="{28A0092B-C50C-407E-A947-70E740481C1C}"/>
                      </a:extLst>
                    </a:blip>
                    <a:srcRect/>
                    <a:stretch>
                      <a:fillRect/>
                    </a:stretch>
                  </pic:blipFill>
                  <pic:spPr bwMode="auto">
                    <a:xfrm>
                      <a:off x="0" y="0"/>
                      <a:ext cx="626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10160" w:space="240"/>
            <w:col w:w="700"/>
          </w:cols>
          <w:pgMar w:left="320" w:top="121" w:right="47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28"/>
        </w:trPr>
        <w:tc>
          <w:tcPr>
            <w:tcW w:w="7220" w:type="dxa"/>
            <w:vAlign w:val="bottom"/>
            <w:gridSpan w:val="16"/>
          </w:tcPr>
          <w:p>
            <w:pPr>
              <w:spacing w:after="0"/>
              <w:rPr>
                <w:sz w:val="20"/>
                <w:szCs w:val="20"/>
                <w:color w:val="auto"/>
              </w:rPr>
            </w:pPr>
            <w:r>
              <w:rPr>
                <w:rFonts w:ascii="Times New Roman" w:cs="Times New Roman" w:eastAsia="Times New Roman" w:hAnsi="Times New Roman"/>
                <w:sz w:val="18"/>
                <w:szCs w:val="18"/>
                <w:color w:val="FFFFFF"/>
              </w:rPr>
              <w:t>Table of Contents</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8"/>
        </w:trPr>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0" w:type="dxa"/>
            <w:vAlign w:val="bottom"/>
          </w:tcPr>
          <w:p>
            <w:pPr>
              <w:spacing w:after="0"/>
              <w:rPr>
                <w:sz w:val="1"/>
                <w:szCs w:val="1"/>
                <w:color w:val="auto"/>
              </w:rPr>
            </w:pPr>
          </w:p>
        </w:tc>
      </w:tr>
      <w:tr>
        <w:trPr>
          <w:trHeight w:val="151"/>
        </w:trPr>
        <w:tc>
          <w:tcPr>
            <w:tcW w:w="1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4180" w:type="dxa"/>
            <w:vAlign w:val="bottom"/>
            <w:gridSpan w:val="12"/>
            <w:vMerge w:val="restart"/>
          </w:tcPr>
          <w:p>
            <w:pPr>
              <w:ind w:left="6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1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236"/>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180" w:type="dxa"/>
            <w:vAlign w:val="bottom"/>
            <w:gridSpan w:val="12"/>
            <w:vMerge w:val="continue"/>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1080" w:type="dxa"/>
            <w:vAlign w:val="bottom"/>
            <w:tcBorders>
              <w:top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10.14(b)</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920" w:type="dxa"/>
            <w:vAlign w:val="bottom"/>
            <w:tcBorders>
              <w:top w:val="single" w:sz="8" w:color="auto"/>
            </w:tcBorders>
            <w:gridSpan w:val="12"/>
          </w:tcPr>
          <w:p>
            <w:pPr>
              <w:spacing w:after="0" w:line="177" w:lineRule="exact"/>
              <w:rPr>
                <w:rFonts w:ascii="Times New Roman" w:cs="Times New Roman" w:eastAsia="Times New Roman" w:hAnsi="Times New Roman"/>
                <w:sz w:val="18"/>
                <w:szCs w:val="18"/>
                <w:color w:val="0000FF"/>
                <w:w w:val="98"/>
              </w:rPr>
            </w:pPr>
            <w:hyperlink r:id="rId194">
              <w:r>
                <w:rPr>
                  <w:rFonts w:ascii="Times New Roman" w:cs="Times New Roman" w:eastAsia="Times New Roman" w:hAnsi="Times New Roman"/>
                  <w:sz w:val="18"/>
                  <w:szCs w:val="18"/>
                  <w:color w:val="0000FF"/>
                  <w:w w:val="98"/>
                </w:rPr>
                <w:t>Amendment No. 1 to Master Framework Agreement with Coöperatieve Rabobank,</w:t>
              </w:r>
            </w:hyperlink>
          </w:p>
        </w:tc>
        <w:tc>
          <w:tcPr>
            <w:tcW w:w="100" w:type="dxa"/>
            <w:vAlign w:val="bottom"/>
          </w:tcPr>
          <w:p>
            <w:pPr>
              <w:spacing w:after="0"/>
              <w:rPr>
                <w:sz w:val="15"/>
                <w:szCs w:val="15"/>
                <w:color w:val="auto"/>
              </w:rPr>
            </w:pPr>
          </w:p>
        </w:tc>
        <w:tc>
          <w:tcPr>
            <w:tcW w:w="64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8-K</w:t>
            </w:r>
          </w:p>
        </w:tc>
        <w:tc>
          <w:tcPr>
            <w:tcW w:w="80" w:type="dxa"/>
            <w:vAlign w:val="bottom"/>
          </w:tcPr>
          <w:p>
            <w:pPr>
              <w:spacing w:after="0"/>
              <w:rPr>
                <w:sz w:val="15"/>
                <w:szCs w:val="15"/>
                <w:color w:val="auto"/>
              </w:rPr>
            </w:pPr>
          </w:p>
        </w:tc>
        <w:tc>
          <w:tcPr>
            <w:tcW w:w="1020" w:type="dxa"/>
            <w:vAlign w:val="bottom"/>
            <w:tcBorders>
              <w:top w:val="single" w:sz="8" w:color="auto"/>
            </w:tcBorders>
          </w:tcPr>
          <w:p>
            <w:pPr>
              <w:jc w:val="right"/>
              <w:ind w:right="612"/>
              <w:spacing w:after="0" w:line="177" w:lineRule="exact"/>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15"/>
                <w:szCs w:val="15"/>
                <w:color w:val="auto"/>
              </w:rPr>
            </w:pPr>
          </w:p>
        </w:tc>
        <w:tc>
          <w:tcPr>
            <w:tcW w:w="1080" w:type="dxa"/>
            <w:vAlign w:val="bottom"/>
            <w:tcBorders>
              <w:top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August 31,</w:t>
            </w: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tcBorders>
              <w:top w:val="single" w:sz="8" w:color="0000FF"/>
            </w:tcBorders>
            <w:gridSpan w:val="9"/>
          </w:tcPr>
          <w:p>
            <w:pPr>
              <w:spacing w:after="0" w:line="151" w:lineRule="exact"/>
              <w:rPr>
                <w:rFonts w:ascii="Times New Roman" w:cs="Times New Roman" w:eastAsia="Times New Roman" w:hAnsi="Times New Roman"/>
                <w:sz w:val="16"/>
                <w:szCs w:val="16"/>
                <w:color w:val="0000FF"/>
              </w:rPr>
            </w:pPr>
            <w:hyperlink r:id="rId194">
              <w:r>
                <w:rPr>
                  <w:rFonts w:ascii="Times New Roman" w:cs="Times New Roman" w:eastAsia="Times New Roman" w:hAnsi="Times New Roman"/>
                  <w:sz w:val="16"/>
                  <w:szCs w:val="16"/>
                  <w:color w:val="0000FF"/>
                </w:rPr>
                <w:t>U.A. (New York Branch), as agent and purchaser, and Sumitomo Mitsui Banking</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ind w:left="20"/>
              <w:spacing w:after="0" w:line="151" w:lineRule="exact"/>
              <w:rPr>
                <w:sz w:val="20"/>
                <w:szCs w:val="20"/>
                <w:color w:val="auto"/>
              </w:rPr>
            </w:pPr>
            <w:r>
              <w:rPr>
                <w:rFonts w:ascii="Times New Roman" w:cs="Times New Roman" w:eastAsia="Times New Roman" w:hAnsi="Times New Roman"/>
                <w:sz w:val="16"/>
                <w:szCs w:val="16"/>
                <w:color w:val="auto"/>
              </w:rPr>
              <w:t>2017</w:t>
            </w: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00" w:type="dxa"/>
            <w:vAlign w:val="bottom"/>
            <w:tcBorders>
              <w:top w:val="single" w:sz="8" w:color="0000FF"/>
              <w:bottom w:val="single" w:sz="8" w:color="0000FF"/>
            </w:tcBorders>
            <w:gridSpan w:val="6"/>
          </w:tcPr>
          <w:p>
            <w:pPr>
              <w:spacing w:after="0" w:line="164" w:lineRule="exact"/>
              <w:rPr>
                <w:rFonts w:ascii="Times New Roman" w:cs="Times New Roman" w:eastAsia="Times New Roman" w:hAnsi="Times New Roman"/>
                <w:sz w:val="18"/>
                <w:szCs w:val="18"/>
                <w:color w:val="0000FF"/>
                <w:w w:val="96"/>
              </w:rPr>
            </w:pPr>
            <w:hyperlink r:id="rId194">
              <w:r>
                <w:rPr>
                  <w:rFonts w:ascii="Times New Roman" w:cs="Times New Roman" w:eastAsia="Times New Roman" w:hAnsi="Times New Roman"/>
                  <w:sz w:val="18"/>
                  <w:szCs w:val="18"/>
                  <w:color w:val="0000FF"/>
                  <w:w w:val="96"/>
                </w:rPr>
                <w:t>Corporation (New York Branch), as purchaser, dated as of August 25, 2017</w:t>
              </w:r>
            </w:hyperlink>
          </w:p>
        </w:tc>
        <w:tc>
          <w:tcPr>
            <w:tcW w:w="40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10.14(c)</w:t>
            </w:r>
          </w:p>
        </w:tc>
        <w:tc>
          <w:tcPr>
            <w:tcW w:w="20" w:type="dxa"/>
            <w:vAlign w:val="bottom"/>
          </w:tcPr>
          <w:p>
            <w:pPr>
              <w:spacing w:after="0"/>
              <w:rPr>
                <w:sz w:val="17"/>
                <w:szCs w:val="17"/>
                <w:color w:val="auto"/>
              </w:rPr>
            </w:pPr>
          </w:p>
        </w:tc>
        <w:tc>
          <w:tcPr>
            <w:tcW w:w="6020" w:type="dxa"/>
            <w:vAlign w:val="bottom"/>
            <w:gridSpan w:val="13"/>
          </w:tcPr>
          <w:p>
            <w:pPr>
              <w:spacing w:after="0" w:line="203"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Amendment No. 2 to Master Framework Agreement with Coöperatieve Rabobank,</w:t>
              </w:r>
            </w:hyperlink>
          </w:p>
        </w:tc>
        <w:tc>
          <w:tcPr>
            <w:tcW w:w="720" w:type="dxa"/>
            <w:vAlign w:val="bottom"/>
            <w:gridSpan w:val="2"/>
          </w:tcPr>
          <w:p>
            <w:pPr>
              <w:jc w:val="center"/>
              <w:ind w:right="80"/>
              <w:spacing w:after="0" w:line="203" w:lineRule="exact"/>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jc w:val="right"/>
              <w:ind w:right="612"/>
              <w:spacing w:after="0" w:line="203" w:lineRule="exact"/>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tcPr>
          <w:p>
            <w:pPr>
              <w:spacing w:after="0"/>
              <w:rPr>
                <w:sz w:val="17"/>
                <w:szCs w:val="17"/>
                <w:color w:val="auto"/>
              </w:rPr>
            </w:pPr>
          </w:p>
        </w:tc>
        <w:tc>
          <w:tcPr>
            <w:tcW w:w="10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August 24,</w:t>
            </w: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tcBorders>
              <w:top w:val="single" w:sz="8" w:color="0000FF"/>
            </w:tcBorders>
            <w:gridSpan w:val="9"/>
          </w:tcPr>
          <w:p>
            <w:pPr>
              <w:spacing w:after="0" w:line="151" w:lineRule="exact"/>
              <w:rPr>
                <w:rFonts w:ascii="Times New Roman" w:cs="Times New Roman" w:eastAsia="Times New Roman" w:hAnsi="Times New Roman"/>
                <w:sz w:val="16"/>
                <w:szCs w:val="16"/>
                <w:color w:val="0000FF"/>
              </w:rPr>
            </w:pPr>
            <w:hyperlink r:id="rId195">
              <w:r>
                <w:rPr>
                  <w:rFonts w:ascii="Times New Roman" w:cs="Times New Roman" w:eastAsia="Times New Roman" w:hAnsi="Times New Roman"/>
                  <w:sz w:val="16"/>
                  <w:szCs w:val="16"/>
                  <w:color w:val="0000FF"/>
                </w:rPr>
                <w:t>U.A. (New York Branch), as agent and purchaser, and Sumitomo Mitsui Banking</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ind w:left="20"/>
              <w:spacing w:after="0" w:line="151" w:lineRule="exact"/>
              <w:rPr>
                <w:sz w:val="20"/>
                <w:szCs w:val="20"/>
                <w:color w:val="auto"/>
              </w:rPr>
            </w:pPr>
            <w:r>
              <w:rPr>
                <w:rFonts w:ascii="Times New Roman" w:cs="Times New Roman" w:eastAsia="Times New Roman" w:hAnsi="Times New Roman"/>
                <w:sz w:val="16"/>
                <w:szCs w:val="16"/>
                <w:color w:val="auto"/>
              </w:rPr>
              <w:t>2018</w:t>
            </w: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00" w:type="dxa"/>
            <w:vAlign w:val="bottom"/>
            <w:tcBorders>
              <w:top w:val="single" w:sz="8" w:color="0000FF"/>
              <w:bottom w:val="single" w:sz="8" w:color="0000FF"/>
            </w:tcBorders>
            <w:gridSpan w:val="6"/>
          </w:tcPr>
          <w:p>
            <w:pPr>
              <w:spacing w:after="0" w:line="164" w:lineRule="exact"/>
              <w:rPr>
                <w:rFonts w:ascii="Times New Roman" w:cs="Times New Roman" w:eastAsia="Times New Roman" w:hAnsi="Times New Roman"/>
                <w:sz w:val="18"/>
                <w:szCs w:val="18"/>
                <w:color w:val="0000FF"/>
                <w:w w:val="96"/>
              </w:rPr>
            </w:pPr>
            <w:hyperlink r:id="rId195">
              <w:r>
                <w:rPr>
                  <w:rFonts w:ascii="Times New Roman" w:cs="Times New Roman" w:eastAsia="Times New Roman" w:hAnsi="Times New Roman"/>
                  <w:sz w:val="18"/>
                  <w:szCs w:val="18"/>
                  <w:color w:val="0000FF"/>
                  <w:w w:val="96"/>
                </w:rPr>
                <w:t>Corporation (New York Branch), as purchaser, dated as of August 24, 2018</w:t>
              </w:r>
            </w:hyperlink>
          </w:p>
        </w:tc>
        <w:tc>
          <w:tcPr>
            <w:tcW w:w="40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10.14(d)</w:t>
            </w:r>
          </w:p>
        </w:tc>
        <w:tc>
          <w:tcPr>
            <w:tcW w:w="20" w:type="dxa"/>
            <w:vAlign w:val="bottom"/>
          </w:tcPr>
          <w:p>
            <w:pPr>
              <w:spacing w:after="0"/>
              <w:rPr>
                <w:sz w:val="17"/>
                <w:szCs w:val="17"/>
                <w:color w:val="auto"/>
              </w:rPr>
            </w:pPr>
          </w:p>
        </w:tc>
        <w:tc>
          <w:tcPr>
            <w:tcW w:w="6020" w:type="dxa"/>
            <w:vAlign w:val="bottom"/>
            <w:gridSpan w:val="13"/>
          </w:tcPr>
          <w:p>
            <w:pPr>
              <w:spacing w:after="0" w:line="203"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Amendment No. 3 to Master Framework Agreement with Coöperatieve Rabobank,</w:t>
              </w:r>
            </w:hyperlink>
          </w:p>
        </w:tc>
        <w:tc>
          <w:tcPr>
            <w:tcW w:w="720" w:type="dxa"/>
            <w:vAlign w:val="bottom"/>
            <w:gridSpan w:val="2"/>
          </w:tcPr>
          <w:p>
            <w:pPr>
              <w:jc w:val="center"/>
              <w:ind w:right="80"/>
              <w:spacing w:after="0" w:line="203" w:lineRule="exact"/>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jc w:val="right"/>
              <w:ind w:right="612"/>
              <w:spacing w:after="0" w:line="203" w:lineRule="exact"/>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17"/>
                <w:szCs w:val="17"/>
                <w:color w:val="auto"/>
              </w:rPr>
            </w:pPr>
          </w:p>
        </w:tc>
        <w:tc>
          <w:tcPr>
            <w:tcW w:w="10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August 20,</w:t>
            </w: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tcBorders>
              <w:top w:val="single" w:sz="8" w:color="0000FF"/>
            </w:tcBorders>
            <w:gridSpan w:val="9"/>
          </w:tcPr>
          <w:p>
            <w:pPr>
              <w:spacing w:after="0" w:line="151" w:lineRule="exact"/>
              <w:rPr>
                <w:rFonts w:ascii="Times New Roman" w:cs="Times New Roman" w:eastAsia="Times New Roman" w:hAnsi="Times New Roman"/>
                <w:sz w:val="16"/>
                <w:szCs w:val="16"/>
                <w:color w:val="0000FF"/>
              </w:rPr>
            </w:pPr>
            <w:hyperlink r:id="rId196">
              <w:r>
                <w:rPr>
                  <w:rFonts w:ascii="Times New Roman" w:cs="Times New Roman" w:eastAsia="Times New Roman" w:hAnsi="Times New Roman"/>
                  <w:sz w:val="16"/>
                  <w:szCs w:val="16"/>
                  <w:color w:val="0000FF"/>
                </w:rPr>
                <w:t>U.A. (New York Branch), as agent and purchaser, and Sumitomo Mitsui Banking</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ind w:left="20"/>
              <w:spacing w:after="0" w:line="151" w:lineRule="exact"/>
              <w:rPr>
                <w:sz w:val="20"/>
                <w:szCs w:val="20"/>
                <w:color w:val="auto"/>
              </w:rPr>
            </w:pPr>
            <w:r>
              <w:rPr>
                <w:rFonts w:ascii="Times New Roman" w:cs="Times New Roman" w:eastAsia="Times New Roman" w:hAnsi="Times New Roman"/>
                <w:sz w:val="16"/>
                <w:szCs w:val="16"/>
                <w:color w:val="auto"/>
              </w:rPr>
              <w:t>2019</w:t>
            </w: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00" w:type="dxa"/>
            <w:vAlign w:val="bottom"/>
            <w:tcBorders>
              <w:top w:val="single" w:sz="8" w:color="0000FF"/>
              <w:bottom w:val="single" w:sz="8" w:color="0000FF"/>
            </w:tcBorders>
            <w:gridSpan w:val="6"/>
          </w:tcPr>
          <w:p>
            <w:pPr>
              <w:spacing w:after="0" w:line="164" w:lineRule="exact"/>
              <w:rPr>
                <w:rFonts w:ascii="Times New Roman" w:cs="Times New Roman" w:eastAsia="Times New Roman" w:hAnsi="Times New Roman"/>
                <w:sz w:val="18"/>
                <w:szCs w:val="18"/>
                <w:color w:val="0000FF"/>
                <w:w w:val="96"/>
              </w:rPr>
            </w:pPr>
            <w:hyperlink r:id="rId196">
              <w:r>
                <w:rPr>
                  <w:rFonts w:ascii="Times New Roman" w:cs="Times New Roman" w:eastAsia="Times New Roman" w:hAnsi="Times New Roman"/>
                  <w:sz w:val="18"/>
                  <w:szCs w:val="18"/>
                  <w:color w:val="0000FF"/>
                  <w:w w:val="96"/>
                </w:rPr>
                <w:t>Corporation (New York Branch), as purchaser, dated as of August 23, 2019</w:t>
              </w:r>
            </w:hyperlink>
          </w:p>
        </w:tc>
        <w:tc>
          <w:tcPr>
            <w:tcW w:w="40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10.14(e)</w:t>
            </w:r>
          </w:p>
        </w:tc>
        <w:tc>
          <w:tcPr>
            <w:tcW w:w="20" w:type="dxa"/>
            <w:vAlign w:val="bottom"/>
          </w:tcPr>
          <w:p>
            <w:pPr>
              <w:spacing w:after="0"/>
              <w:rPr>
                <w:sz w:val="17"/>
                <w:szCs w:val="17"/>
                <w:color w:val="auto"/>
              </w:rPr>
            </w:pPr>
          </w:p>
        </w:tc>
        <w:tc>
          <w:tcPr>
            <w:tcW w:w="6020" w:type="dxa"/>
            <w:vAlign w:val="bottom"/>
            <w:gridSpan w:val="13"/>
          </w:tcPr>
          <w:p>
            <w:pPr>
              <w:spacing w:after="0" w:line="203"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Amendment No. 4 to Master Framework Agreement with Coöperatieve Rabobank,</w:t>
              </w:r>
            </w:hyperlink>
          </w:p>
        </w:tc>
        <w:tc>
          <w:tcPr>
            <w:tcW w:w="720" w:type="dxa"/>
            <w:vAlign w:val="bottom"/>
            <w:gridSpan w:val="2"/>
          </w:tcPr>
          <w:p>
            <w:pPr>
              <w:jc w:val="center"/>
              <w:ind w:right="80"/>
              <w:spacing w:after="0" w:line="203" w:lineRule="exact"/>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jc w:val="right"/>
              <w:ind w:right="612"/>
              <w:spacing w:after="0" w:line="203" w:lineRule="exact"/>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tcPr>
          <w:p>
            <w:pPr>
              <w:spacing w:after="0"/>
              <w:rPr>
                <w:sz w:val="17"/>
                <w:szCs w:val="17"/>
                <w:color w:val="auto"/>
              </w:rPr>
            </w:pPr>
          </w:p>
        </w:tc>
        <w:tc>
          <w:tcPr>
            <w:tcW w:w="10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August 25,</w:t>
            </w: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tcBorders>
              <w:top w:val="single" w:sz="8" w:color="0000FF"/>
            </w:tcBorders>
            <w:gridSpan w:val="9"/>
          </w:tcPr>
          <w:p>
            <w:pPr>
              <w:spacing w:after="0" w:line="151" w:lineRule="exact"/>
              <w:rPr>
                <w:rFonts w:ascii="Times New Roman" w:cs="Times New Roman" w:eastAsia="Times New Roman" w:hAnsi="Times New Roman"/>
                <w:sz w:val="16"/>
                <w:szCs w:val="16"/>
                <w:color w:val="0000FF"/>
              </w:rPr>
            </w:pPr>
            <w:hyperlink r:id="rId197">
              <w:r>
                <w:rPr>
                  <w:rFonts w:ascii="Times New Roman" w:cs="Times New Roman" w:eastAsia="Times New Roman" w:hAnsi="Times New Roman"/>
                  <w:sz w:val="16"/>
                  <w:szCs w:val="16"/>
                  <w:color w:val="0000FF"/>
                </w:rPr>
                <w:t>U.A. (New York Branch), as agent and purchaser, and Sumitomo Mitsui Banking</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ind w:left="20"/>
              <w:spacing w:after="0" w:line="151" w:lineRule="exact"/>
              <w:rPr>
                <w:sz w:val="20"/>
                <w:szCs w:val="20"/>
                <w:color w:val="auto"/>
              </w:rPr>
            </w:pPr>
            <w:r>
              <w:rPr>
                <w:rFonts w:ascii="Times New Roman" w:cs="Times New Roman" w:eastAsia="Times New Roman" w:hAnsi="Times New Roman"/>
                <w:sz w:val="16"/>
                <w:szCs w:val="16"/>
                <w:color w:val="auto"/>
              </w:rPr>
              <w:t>2020</w:t>
            </w: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00" w:type="dxa"/>
            <w:vAlign w:val="bottom"/>
            <w:tcBorders>
              <w:top w:val="single" w:sz="8" w:color="0000FF"/>
              <w:bottom w:val="single" w:sz="8" w:color="0000FF"/>
            </w:tcBorders>
            <w:gridSpan w:val="6"/>
          </w:tcPr>
          <w:p>
            <w:pPr>
              <w:spacing w:after="0" w:line="164" w:lineRule="exact"/>
              <w:rPr>
                <w:rFonts w:ascii="Times New Roman" w:cs="Times New Roman" w:eastAsia="Times New Roman" w:hAnsi="Times New Roman"/>
                <w:sz w:val="18"/>
                <w:szCs w:val="18"/>
                <w:color w:val="0000FF"/>
                <w:w w:val="96"/>
              </w:rPr>
            </w:pPr>
            <w:hyperlink r:id="rId197">
              <w:r>
                <w:rPr>
                  <w:rFonts w:ascii="Times New Roman" w:cs="Times New Roman" w:eastAsia="Times New Roman" w:hAnsi="Times New Roman"/>
                  <w:sz w:val="18"/>
                  <w:szCs w:val="18"/>
                  <w:color w:val="0000FF"/>
                  <w:w w:val="96"/>
                </w:rPr>
                <w:t>Corporation (New York Branch), as purchaser, dated as of August 21, 2020</w:t>
              </w:r>
            </w:hyperlink>
          </w:p>
        </w:tc>
        <w:tc>
          <w:tcPr>
            <w:tcW w:w="40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10.14(f)</w:t>
            </w:r>
          </w:p>
        </w:tc>
        <w:tc>
          <w:tcPr>
            <w:tcW w:w="20" w:type="dxa"/>
            <w:vAlign w:val="bottom"/>
          </w:tcPr>
          <w:p>
            <w:pPr>
              <w:spacing w:after="0"/>
              <w:rPr>
                <w:sz w:val="17"/>
                <w:szCs w:val="17"/>
                <w:color w:val="auto"/>
              </w:rPr>
            </w:pPr>
          </w:p>
        </w:tc>
        <w:tc>
          <w:tcPr>
            <w:tcW w:w="6020" w:type="dxa"/>
            <w:vAlign w:val="bottom"/>
            <w:gridSpan w:val="13"/>
          </w:tcPr>
          <w:p>
            <w:pPr>
              <w:spacing w:after="0" w:line="203"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Amendment No. 5 to Master Framework Agreement with Coöperatieve Rabobank,</w:t>
              </w:r>
            </w:hyperlink>
          </w:p>
        </w:tc>
        <w:tc>
          <w:tcPr>
            <w:tcW w:w="720" w:type="dxa"/>
            <w:vAlign w:val="bottom"/>
            <w:gridSpan w:val="2"/>
          </w:tcPr>
          <w:p>
            <w:pPr>
              <w:jc w:val="center"/>
              <w:ind w:right="80"/>
              <w:spacing w:after="0" w:line="203" w:lineRule="exact"/>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jc w:val="right"/>
              <w:ind w:right="612"/>
              <w:spacing w:after="0" w:line="203" w:lineRule="exact"/>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tcPr>
          <w:p>
            <w:pPr>
              <w:spacing w:after="0"/>
              <w:rPr>
                <w:sz w:val="17"/>
                <w:szCs w:val="17"/>
                <w:color w:val="auto"/>
              </w:rPr>
            </w:pPr>
          </w:p>
        </w:tc>
        <w:tc>
          <w:tcPr>
            <w:tcW w:w="10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August 20,</w:t>
            </w: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tcBorders>
              <w:top w:val="single" w:sz="8" w:color="0000FF"/>
            </w:tcBorders>
            <w:gridSpan w:val="9"/>
          </w:tcPr>
          <w:p>
            <w:pPr>
              <w:spacing w:after="0" w:line="151" w:lineRule="exact"/>
              <w:rPr>
                <w:rFonts w:ascii="Times New Roman" w:cs="Times New Roman" w:eastAsia="Times New Roman" w:hAnsi="Times New Roman"/>
                <w:sz w:val="16"/>
                <w:szCs w:val="16"/>
                <w:color w:val="0000FF"/>
              </w:rPr>
            </w:pPr>
            <w:hyperlink r:id="rId198">
              <w:r>
                <w:rPr>
                  <w:rFonts w:ascii="Times New Roman" w:cs="Times New Roman" w:eastAsia="Times New Roman" w:hAnsi="Times New Roman"/>
                  <w:sz w:val="16"/>
                  <w:szCs w:val="16"/>
                  <w:color w:val="0000FF"/>
                </w:rPr>
                <w:t>U.A. (New York Branch), as agent and purchaser, and Sumitomo Mitsui Banking</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ind w:left="20"/>
              <w:spacing w:after="0" w:line="151" w:lineRule="exact"/>
              <w:rPr>
                <w:sz w:val="20"/>
                <w:szCs w:val="20"/>
                <w:color w:val="auto"/>
              </w:rPr>
            </w:pPr>
            <w:r>
              <w:rPr>
                <w:rFonts w:ascii="Times New Roman" w:cs="Times New Roman" w:eastAsia="Times New Roman" w:hAnsi="Times New Roman"/>
                <w:sz w:val="16"/>
                <w:szCs w:val="16"/>
                <w:color w:val="auto"/>
              </w:rPr>
              <w:t>2021</w:t>
            </w: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00" w:type="dxa"/>
            <w:vAlign w:val="bottom"/>
            <w:tcBorders>
              <w:top w:val="single" w:sz="8" w:color="0000FF"/>
              <w:bottom w:val="single" w:sz="8" w:color="0000FF"/>
            </w:tcBorders>
            <w:gridSpan w:val="6"/>
          </w:tcPr>
          <w:p>
            <w:pPr>
              <w:spacing w:after="0" w:line="164" w:lineRule="exact"/>
              <w:rPr>
                <w:rFonts w:ascii="Times New Roman" w:cs="Times New Roman" w:eastAsia="Times New Roman" w:hAnsi="Times New Roman"/>
                <w:sz w:val="18"/>
                <w:szCs w:val="18"/>
                <w:color w:val="0000FF"/>
                <w:w w:val="96"/>
              </w:rPr>
            </w:pPr>
            <w:hyperlink r:id="rId198">
              <w:r>
                <w:rPr>
                  <w:rFonts w:ascii="Times New Roman" w:cs="Times New Roman" w:eastAsia="Times New Roman" w:hAnsi="Times New Roman"/>
                  <w:sz w:val="18"/>
                  <w:szCs w:val="18"/>
                  <w:color w:val="0000FF"/>
                  <w:w w:val="96"/>
                </w:rPr>
                <w:t>Corporation (New York Branch), as purchaser, dated as of August 20, 2021</w:t>
              </w:r>
            </w:hyperlink>
          </w:p>
        </w:tc>
        <w:tc>
          <w:tcPr>
            <w:tcW w:w="40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10.14(g)</w:t>
            </w:r>
          </w:p>
        </w:tc>
        <w:tc>
          <w:tcPr>
            <w:tcW w:w="20" w:type="dxa"/>
            <w:vAlign w:val="bottom"/>
          </w:tcPr>
          <w:p>
            <w:pPr>
              <w:spacing w:after="0"/>
              <w:rPr>
                <w:sz w:val="17"/>
                <w:szCs w:val="17"/>
                <w:color w:val="auto"/>
              </w:rPr>
            </w:pPr>
          </w:p>
        </w:tc>
        <w:tc>
          <w:tcPr>
            <w:tcW w:w="6020" w:type="dxa"/>
            <w:vAlign w:val="bottom"/>
            <w:gridSpan w:val="13"/>
          </w:tcPr>
          <w:p>
            <w:pPr>
              <w:spacing w:after="0" w:line="203"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Amendment No. 6 to Master Framework Agreement with Coöperatieve Rabobank,</w:t>
              </w:r>
            </w:hyperlink>
          </w:p>
        </w:tc>
        <w:tc>
          <w:tcPr>
            <w:tcW w:w="720" w:type="dxa"/>
            <w:vAlign w:val="bottom"/>
            <w:gridSpan w:val="2"/>
          </w:tcPr>
          <w:p>
            <w:pPr>
              <w:jc w:val="center"/>
              <w:ind w:right="80"/>
              <w:spacing w:after="0" w:line="203" w:lineRule="exact"/>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jc w:val="right"/>
              <w:ind w:right="612"/>
              <w:spacing w:after="0" w:line="203" w:lineRule="exact"/>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tcPr>
          <w:p>
            <w:pPr>
              <w:spacing w:after="0"/>
              <w:rPr>
                <w:sz w:val="17"/>
                <w:szCs w:val="17"/>
                <w:color w:val="auto"/>
              </w:rPr>
            </w:pPr>
          </w:p>
        </w:tc>
        <w:tc>
          <w:tcPr>
            <w:tcW w:w="10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August 23,</w:t>
            </w: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tcBorders>
              <w:top w:val="single" w:sz="8" w:color="0000FF"/>
            </w:tcBorders>
            <w:gridSpan w:val="9"/>
          </w:tcPr>
          <w:p>
            <w:pPr>
              <w:spacing w:after="0" w:line="151" w:lineRule="exact"/>
              <w:rPr>
                <w:rFonts w:ascii="Times New Roman" w:cs="Times New Roman" w:eastAsia="Times New Roman" w:hAnsi="Times New Roman"/>
                <w:sz w:val="16"/>
                <w:szCs w:val="16"/>
                <w:color w:val="0000FF"/>
              </w:rPr>
            </w:pPr>
            <w:hyperlink r:id="rId199">
              <w:r>
                <w:rPr>
                  <w:rFonts w:ascii="Times New Roman" w:cs="Times New Roman" w:eastAsia="Times New Roman" w:hAnsi="Times New Roman"/>
                  <w:sz w:val="16"/>
                  <w:szCs w:val="16"/>
                  <w:color w:val="0000FF"/>
                </w:rPr>
                <w:t>U.A. (New York Branch), as agent and purchaser, and Sumitomo Mitsui Banking</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ind w:left="20"/>
              <w:spacing w:after="0" w:line="151" w:lineRule="exact"/>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00" w:type="dxa"/>
            <w:vAlign w:val="bottom"/>
            <w:tcBorders>
              <w:top w:val="single" w:sz="8" w:color="0000FF"/>
            </w:tcBorders>
            <w:gridSpan w:val="7"/>
          </w:tcPr>
          <w:p>
            <w:pPr>
              <w:spacing w:after="0" w:line="164"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Corporation (New York Branch), as purchaser, dated as of August 19, 2022</w:t>
              </w:r>
            </w:hyperlink>
          </w:p>
        </w:tc>
        <w:tc>
          <w:tcPr>
            <w:tcW w:w="6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0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tcBorders>
              <w:top w:val="single" w:sz="8" w:color="0000FF"/>
              <w:bottom w:val="single" w:sz="8" w:color="0000FF"/>
            </w:tcBorders>
            <w:gridSpan w:val="3"/>
          </w:tcPr>
          <w:p>
            <w:pPr>
              <w:spacing w:after="0" w:line="203" w:lineRule="exact"/>
              <w:rPr>
                <w:rFonts w:ascii="Times New Roman" w:cs="Times New Roman" w:eastAsia="Times New Roman" w:hAnsi="Times New Roman"/>
                <w:sz w:val="18"/>
                <w:szCs w:val="18"/>
                <w:color w:val="0000FF"/>
                <w:w w:val="96"/>
              </w:rPr>
            </w:pPr>
            <w:hyperlink r:id="rId200">
              <w:r>
                <w:rPr>
                  <w:rFonts w:ascii="Times New Roman" w:cs="Times New Roman" w:eastAsia="Times New Roman" w:hAnsi="Times New Roman"/>
                  <w:sz w:val="18"/>
                  <w:szCs w:val="18"/>
                  <w:color w:val="0000FF"/>
                  <w:w w:val="96"/>
                </w:rPr>
                <w:t>Form of Aircraft Time Sharing Agreement for Executive Officers</w:t>
              </w:r>
            </w:hyperlink>
          </w:p>
        </w:tc>
        <w:tc>
          <w:tcPr>
            <w:tcW w:w="680" w:type="dxa"/>
            <w:vAlign w:val="bottom"/>
            <w:tcBorders>
              <w:top w:val="single" w:sz="8" w:color="0000FF"/>
            </w:tcBorders>
            <w:gridSpan w:val="2"/>
          </w:tcPr>
          <w:p>
            <w:pPr>
              <w:spacing w:after="0"/>
              <w:rPr>
                <w:sz w:val="17"/>
                <w:szCs w:val="17"/>
                <w:color w:val="auto"/>
              </w:rPr>
            </w:pPr>
          </w:p>
        </w:tc>
        <w:tc>
          <w:tcPr>
            <w:tcW w:w="740" w:type="dxa"/>
            <w:vAlign w:val="bottom"/>
            <w:gridSpan w:val="8"/>
          </w:tcPr>
          <w:p>
            <w:pPr>
              <w:spacing w:after="0"/>
              <w:rPr>
                <w:sz w:val="17"/>
                <w:szCs w:val="17"/>
                <w:color w:val="auto"/>
              </w:rPr>
            </w:pPr>
          </w:p>
        </w:tc>
        <w:tc>
          <w:tcPr>
            <w:tcW w:w="720" w:type="dxa"/>
            <w:vAlign w:val="bottom"/>
            <w:gridSpan w:val="2"/>
          </w:tcPr>
          <w:p>
            <w:pPr>
              <w:jc w:val="center"/>
              <w:ind w:right="80"/>
              <w:spacing w:after="0" w:line="203" w:lineRule="exact"/>
              <w:rPr>
                <w:sz w:val="20"/>
                <w:szCs w:val="20"/>
                <w:color w:val="auto"/>
              </w:rPr>
            </w:pPr>
            <w:r>
              <w:rPr>
                <w:rFonts w:ascii="Times New Roman" w:cs="Times New Roman" w:eastAsia="Times New Roman" w:hAnsi="Times New Roman"/>
                <w:sz w:val="18"/>
                <w:szCs w:val="18"/>
                <w:color w:val="auto"/>
                <w:w w:val="97"/>
              </w:rPr>
              <w:t>10-Q</w:t>
            </w:r>
          </w:p>
        </w:tc>
        <w:tc>
          <w:tcPr>
            <w:tcW w:w="1020" w:type="dxa"/>
            <w:vAlign w:val="bottom"/>
          </w:tcPr>
          <w:p>
            <w:pPr>
              <w:jc w:val="right"/>
              <w:ind w:right="612"/>
              <w:spacing w:after="0" w:line="203" w:lineRule="exact"/>
              <w:rPr>
                <w:sz w:val="20"/>
                <w:szCs w:val="20"/>
                <w:color w:val="auto"/>
              </w:rPr>
            </w:pPr>
            <w:r>
              <w:rPr>
                <w:rFonts w:ascii="Times New Roman" w:cs="Times New Roman" w:eastAsia="Times New Roman" w:hAnsi="Times New Roman"/>
                <w:sz w:val="18"/>
                <w:szCs w:val="18"/>
                <w:color w:val="auto"/>
                <w:w w:val="95"/>
              </w:rPr>
              <w:t>10.4</w:t>
            </w:r>
          </w:p>
        </w:tc>
        <w:tc>
          <w:tcPr>
            <w:tcW w:w="120" w:type="dxa"/>
            <w:vAlign w:val="bottom"/>
          </w:tcPr>
          <w:p>
            <w:pPr>
              <w:spacing w:after="0"/>
              <w:rPr>
                <w:sz w:val="17"/>
                <w:szCs w:val="17"/>
                <w:color w:val="auto"/>
              </w:rPr>
            </w:pPr>
          </w:p>
        </w:tc>
        <w:tc>
          <w:tcPr>
            <w:tcW w:w="10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May 11, 2016</w:t>
            </w: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8"/>
                <w:szCs w:val="18"/>
                <w:color w:val="auto"/>
              </w:rPr>
              <w:t>10.16</w:t>
            </w:r>
            <w:r>
              <w:rPr>
                <w:rFonts w:ascii="Times New Roman" w:cs="Times New Roman" w:eastAsia="Times New Roman" w:hAnsi="Times New Roman"/>
                <w:sz w:val="22"/>
                <w:szCs w:val="22"/>
                <w:color w:val="auto"/>
                <w:vertAlign w:val="superscript"/>
              </w:rPr>
              <w:t>†</w:t>
            </w:r>
          </w:p>
        </w:tc>
        <w:tc>
          <w:tcPr>
            <w:tcW w:w="20" w:type="dxa"/>
            <w:vAlign w:val="bottom"/>
          </w:tcPr>
          <w:p>
            <w:pPr>
              <w:spacing w:after="0"/>
              <w:rPr>
                <w:sz w:val="17"/>
                <w:szCs w:val="17"/>
                <w:color w:val="auto"/>
              </w:rPr>
            </w:pPr>
          </w:p>
        </w:tc>
        <w:tc>
          <w:tcPr>
            <w:tcW w:w="6020" w:type="dxa"/>
            <w:vAlign w:val="bottom"/>
            <w:gridSpan w:val="13"/>
          </w:tcPr>
          <w:p>
            <w:pPr>
              <w:spacing w:after="0" w:line="203" w:lineRule="exact"/>
              <w:rPr>
                <w:rFonts w:ascii="Times New Roman" w:cs="Times New Roman" w:eastAsia="Times New Roman" w:hAnsi="Times New Roman"/>
                <w:sz w:val="18"/>
                <w:szCs w:val="18"/>
                <w:color w:val="0000FF"/>
                <w:w w:val="99"/>
              </w:rPr>
            </w:pPr>
            <w:hyperlink r:id="rId201">
              <w:r>
                <w:rPr>
                  <w:rFonts w:ascii="Times New Roman" w:cs="Times New Roman" w:eastAsia="Times New Roman" w:hAnsi="Times New Roman"/>
                  <w:sz w:val="18"/>
                  <w:szCs w:val="18"/>
                  <w:color w:val="0000FF"/>
                  <w:w w:val="99"/>
                </w:rPr>
                <w:t>Retention Agreement, dated August 22, 2018, by and between The Scotts Company</w:t>
              </w:r>
            </w:hyperlink>
          </w:p>
        </w:tc>
        <w:tc>
          <w:tcPr>
            <w:tcW w:w="720" w:type="dxa"/>
            <w:vAlign w:val="bottom"/>
            <w:gridSpan w:val="2"/>
          </w:tcPr>
          <w:p>
            <w:pPr>
              <w:jc w:val="center"/>
              <w:ind w:right="80"/>
              <w:spacing w:after="0" w:line="203" w:lineRule="exact"/>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jc w:val="right"/>
              <w:ind w:right="612"/>
              <w:spacing w:after="0" w:line="203" w:lineRule="exact"/>
              <w:rPr>
                <w:sz w:val="20"/>
                <w:szCs w:val="20"/>
                <w:color w:val="auto"/>
              </w:rPr>
            </w:pPr>
            <w:r>
              <w:rPr>
                <w:rFonts w:ascii="Times New Roman" w:cs="Times New Roman" w:eastAsia="Times New Roman" w:hAnsi="Times New Roman"/>
                <w:sz w:val="18"/>
                <w:szCs w:val="18"/>
                <w:color w:val="auto"/>
                <w:w w:val="95"/>
              </w:rPr>
              <w:t>10.3</w:t>
            </w:r>
          </w:p>
        </w:tc>
        <w:tc>
          <w:tcPr>
            <w:tcW w:w="120" w:type="dxa"/>
            <w:vAlign w:val="bottom"/>
          </w:tcPr>
          <w:p>
            <w:pPr>
              <w:spacing w:after="0"/>
              <w:rPr>
                <w:sz w:val="17"/>
                <w:szCs w:val="17"/>
                <w:color w:val="auto"/>
              </w:rPr>
            </w:pPr>
          </w:p>
        </w:tc>
        <w:tc>
          <w:tcPr>
            <w:tcW w:w="10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August 24,</w:t>
            </w: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80" w:type="dxa"/>
            <w:vAlign w:val="bottom"/>
            <w:tcBorders>
              <w:top w:val="single" w:sz="8" w:color="0000FF"/>
            </w:tcBorders>
            <w:gridSpan w:val="11"/>
          </w:tcPr>
          <w:p>
            <w:pPr>
              <w:spacing w:after="0" w:line="151" w:lineRule="exact"/>
              <w:rPr>
                <w:rFonts w:ascii="Times New Roman" w:cs="Times New Roman" w:eastAsia="Times New Roman" w:hAnsi="Times New Roman"/>
                <w:sz w:val="16"/>
                <w:szCs w:val="16"/>
                <w:color w:val="0000FF"/>
              </w:rPr>
            </w:pPr>
            <w:hyperlink r:id="rId201">
              <w:r>
                <w:rPr>
                  <w:rFonts w:ascii="Times New Roman" w:cs="Times New Roman" w:eastAsia="Times New Roman" w:hAnsi="Times New Roman"/>
                  <w:sz w:val="16"/>
                  <w:szCs w:val="16"/>
                  <w:color w:val="0000FF"/>
                </w:rPr>
                <w:t>LLC and Denise S. Stump</w:t>
              </w:r>
            </w:hyperlink>
          </w:p>
        </w:tc>
        <w:tc>
          <w:tcPr>
            <w:tcW w:w="14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ind w:left="20"/>
              <w:spacing w:after="0" w:line="151" w:lineRule="exact"/>
              <w:rPr>
                <w:sz w:val="20"/>
                <w:szCs w:val="20"/>
                <w:color w:val="auto"/>
              </w:rPr>
            </w:pPr>
            <w:r>
              <w:rPr>
                <w:rFonts w:ascii="Times New Roman" w:cs="Times New Roman" w:eastAsia="Times New Roman" w:hAnsi="Times New Roman"/>
                <w:sz w:val="16"/>
                <w:szCs w:val="16"/>
                <w:color w:val="auto"/>
              </w:rPr>
              <w:t>2018</w:t>
            </w: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20" w:type="dxa"/>
            <w:vAlign w:val="bottom"/>
          </w:tcPr>
          <w:p>
            <w:pPr>
              <w:spacing w:after="0"/>
              <w:rPr>
                <w:sz w:val="18"/>
                <w:szCs w:val="18"/>
                <w:color w:val="auto"/>
              </w:rPr>
            </w:pPr>
          </w:p>
        </w:tc>
        <w:tc>
          <w:tcPr>
            <w:tcW w:w="6020" w:type="dxa"/>
            <w:vAlign w:val="bottom"/>
            <w:gridSpan w:val="13"/>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Separation Agreement and Release of All Claims, effective as of January 22, 2021,</w:t>
              </w:r>
            </w:hyperlink>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28,</w:t>
            </w: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4"/>
          </w:tcPr>
          <w:p>
            <w:pPr>
              <w:spacing w:after="0" w:line="151" w:lineRule="exact"/>
              <w:rPr>
                <w:rFonts w:ascii="Times New Roman" w:cs="Times New Roman" w:eastAsia="Times New Roman" w:hAnsi="Times New Roman"/>
                <w:sz w:val="16"/>
                <w:szCs w:val="16"/>
                <w:color w:val="0000FF"/>
              </w:rPr>
            </w:pPr>
            <w:hyperlink r:id="rId202">
              <w:r>
                <w:rPr>
                  <w:rFonts w:ascii="Times New Roman" w:cs="Times New Roman" w:eastAsia="Times New Roman" w:hAnsi="Times New Roman"/>
                  <w:sz w:val="16"/>
                  <w:szCs w:val="16"/>
                  <w:color w:val="0000FF"/>
                </w:rPr>
                <w:t>by and between The Scotts Company LLC and Thomas Randal Coleman</w:t>
              </w:r>
            </w:hyperlink>
          </w:p>
        </w:tc>
        <w:tc>
          <w:tcPr>
            <w:tcW w:w="720" w:type="dxa"/>
            <w:vAlign w:val="bottom"/>
            <w:tcBorders>
              <w:top w:val="single" w:sz="8" w:color="0000FF"/>
            </w:tcBorders>
            <w:gridSpan w:val="6"/>
          </w:tcPr>
          <w:p>
            <w:pPr>
              <w:spacing w:after="0"/>
              <w:rPr>
                <w:sz w:val="13"/>
                <w:szCs w:val="13"/>
                <w:color w:val="auto"/>
              </w:rPr>
            </w:pPr>
          </w:p>
        </w:tc>
        <w:tc>
          <w:tcPr>
            <w:tcW w:w="18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ind w:left="20"/>
              <w:spacing w:after="0" w:line="151" w:lineRule="exact"/>
              <w:rPr>
                <w:sz w:val="20"/>
                <w:szCs w:val="20"/>
                <w:color w:val="auto"/>
              </w:rPr>
            </w:pPr>
            <w:r>
              <w:rPr>
                <w:rFonts w:ascii="Times New Roman" w:cs="Times New Roman" w:eastAsia="Times New Roman" w:hAnsi="Times New Roman"/>
                <w:sz w:val="16"/>
                <w:szCs w:val="16"/>
                <w:color w:val="auto"/>
              </w:rPr>
              <w:t>2021</w:t>
            </w:r>
          </w:p>
        </w:tc>
        <w:tc>
          <w:tcPr>
            <w:tcW w:w="0" w:type="dxa"/>
            <w:vAlign w:val="bottom"/>
          </w:tcPr>
          <w:p>
            <w:pPr>
              <w:spacing w:after="0"/>
              <w:rPr>
                <w:sz w:val="1"/>
                <w:szCs w:val="1"/>
                <w:color w:val="auto"/>
              </w:rPr>
            </w:pPr>
          </w:p>
        </w:tc>
      </w:tr>
      <w:tr>
        <w:trPr>
          <w:trHeight w:val="21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20" w:type="dxa"/>
            <w:vAlign w:val="bottom"/>
          </w:tcPr>
          <w:p>
            <w:pPr>
              <w:spacing w:after="0"/>
              <w:rPr>
                <w:sz w:val="18"/>
                <w:szCs w:val="18"/>
                <w:color w:val="auto"/>
              </w:rPr>
            </w:pPr>
          </w:p>
        </w:tc>
        <w:tc>
          <w:tcPr>
            <w:tcW w:w="6020" w:type="dxa"/>
            <w:vAlign w:val="bottom"/>
            <w:gridSpan w:val="13"/>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Separation Agreement and Release of All Claims, effective as of October 4, 2022,</w:t>
              </w:r>
            </w:hyperlink>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4,</w:t>
            </w: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60" w:type="dxa"/>
            <w:vAlign w:val="bottom"/>
            <w:tcBorders>
              <w:top w:val="single" w:sz="8" w:color="0000FF"/>
            </w:tcBorders>
            <w:gridSpan w:val="8"/>
          </w:tcPr>
          <w:p>
            <w:pPr>
              <w:spacing w:after="0" w:line="151" w:lineRule="exact"/>
              <w:rPr>
                <w:rFonts w:ascii="Times New Roman" w:cs="Times New Roman" w:eastAsia="Times New Roman" w:hAnsi="Times New Roman"/>
                <w:sz w:val="16"/>
                <w:szCs w:val="16"/>
                <w:color w:val="0000FF"/>
              </w:rPr>
            </w:pPr>
            <w:hyperlink r:id="rId203">
              <w:r>
                <w:rPr>
                  <w:rFonts w:ascii="Times New Roman" w:cs="Times New Roman" w:eastAsia="Times New Roman" w:hAnsi="Times New Roman"/>
                  <w:sz w:val="16"/>
                  <w:szCs w:val="16"/>
                  <w:color w:val="0000FF"/>
                </w:rPr>
                <w:t>by and between The Scotts Company LLC and Cory J. Miller</w:t>
              </w:r>
            </w:hyperlink>
          </w:p>
        </w:tc>
        <w:tc>
          <w:tcPr>
            <w:tcW w:w="260" w:type="dxa"/>
            <w:vAlign w:val="bottom"/>
            <w:gridSpan w:val="5"/>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ind w:left="20"/>
              <w:spacing w:after="0" w:line="151" w:lineRule="exact"/>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ind w:left="1200" w:hanging="1177"/>
        <w:spacing w:after="0"/>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 of The Scotts Miracle-Gro Company</w:t>
      </w:r>
    </w:p>
    <w:p>
      <w:pPr>
        <w:spacing w:after="0" w:line="21" w:lineRule="exact"/>
        <w:rPr>
          <w:rFonts w:ascii="Times New Roman" w:cs="Times New Roman" w:eastAsia="Times New Roman" w:hAnsi="Times New Roman"/>
          <w:sz w:val="18"/>
          <w:szCs w:val="18"/>
          <w:color w:val="auto"/>
        </w:rPr>
      </w:pPr>
    </w:p>
    <w:p>
      <w:pPr>
        <w:ind w:left="1200" w:hanging="1177"/>
        <w:spacing w:after="0"/>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Guarantor Subsidiaries</w:t>
      </w:r>
    </w:p>
    <w:p>
      <w:pPr>
        <w:spacing w:after="0" w:line="16" w:lineRule="exact"/>
        <w:rPr>
          <w:rFonts w:ascii="Times New Roman" w:cs="Times New Roman" w:eastAsia="Times New Roman" w:hAnsi="Times New Roman"/>
          <w:sz w:val="18"/>
          <w:szCs w:val="18"/>
          <w:color w:val="auto"/>
        </w:rPr>
      </w:pPr>
    </w:p>
    <w:p>
      <w:pPr>
        <w:ind w:left="1200" w:hanging="1177"/>
        <w:spacing w:after="0" w:line="215" w:lineRule="auto"/>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Consent of Independent Registered Public Accounting Firm — Deloitte &amp; Touche</w:t>
      </w: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LLP</w:t>
      </w:r>
    </w:p>
    <w:p>
      <w:pPr>
        <w:spacing w:after="0" w:line="9" w:lineRule="exact"/>
        <w:rPr>
          <w:rFonts w:ascii="Times New Roman" w:cs="Times New Roman" w:eastAsia="Times New Roman" w:hAnsi="Times New Roman"/>
          <w:sz w:val="18"/>
          <w:szCs w:val="18"/>
          <w:color w:val="auto"/>
        </w:rPr>
      </w:pPr>
    </w:p>
    <w:p>
      <w:pPr>
        <w:ind w:left="1200" w:right="3140" w:hanging="1177"/>
        <w:spacing w:after="0" w:line="231" w:lineRule="auto"/>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Powers of Attorney of Executive Officers and Directors of The Scotts Miracle-Gro Company</w:t>
      </w:r>
    </w:p>
    <w:tbl>
      <w:tblPr>
        <w:tblLayout w:type="fixed"/>
        <w:tblInd w:w="20" w:type="dxa"/>
        <w:tblCellMar>
          <w:top w:w="0" w:type="dxa"/>
          <w:left w:w="0" w:type="dxa"/>
          <w:bottom w:w="0" w:type="dxa"/>
          <w:right w:w="0" w:type="dxa"/>
        </w:tblCellMar>
      </w:tblPr>
      <w:tr>
        <w:trPr>
          <w:trHeight w:val="198"/>
        </w:trPr>
        <w:tc>
          <w:tcPr>
            <w:tcW w:w="1180" w:type="dxa"/>
            <w:vAlign w:val="bottom"/>
          </w:tcPr>
          <w:p>
            <w:pPr>
              <w:jc w:val="right"/>
              <w:ind w:right="792"/>
              <w:spacing w:after="0" w:line="198" w:lineRule="exact"/>
              <w:rPr>
                <w:sz w:val="20"/>
                <w:szCs w:val="20"/>
                <w:color w:val="auto"/>
              </w:rPr>
            </w:pPr>
            <w:r>
              <w:rPr>
                <w:rFonts w:ascii="Times New Roman" w:cs="Times New Roman" w:eastAsia="Times New Roman" w:hAnsi="Times New Roman"/>
                <w:sz w:val="18"/>
                <w:szCs w:val="18"/>
                <w:color w:val="auto"/>
                <w:w w:val="88"/>
              </w:rPr>
              <w:t>31.1</w:t>
            </w:r>
          </w:p>
        </w:tc>
        <w:tc>
          <w:tcPr>
            <w:tcW w:w="1820" w:type="dxa"/>
            <w:vAlign w:val="bottom"/>
            <w:tcBorders>
              <w:bottom w:val="single" w:sz="8" w:color="0000FF"/>
            </w:tcBorders>
          </w:tcPr>
          <w:p>
            <w:pPr>
              <w:spacing w:after="0" w:line="198" w:lineRule="exact"/>
              <w:rPr>
                <w:sz w:val="20"/>
                <w:szCs w:val="20"/>
                <w:color w:val="auto"/>
              </w:rPr>
            </w:pPr>
            <w:r>
              <w:rPr>
                <w:rFonts w:ascii="Times New Roman" w:cs="Times New Roman" w:eastAsia="Times New Roman" w:hAnsi="Times New Roman"/>
                <w:sz w:val="18"/>
                <w:szCs w:val="18"/>
                <w:color w:val="0000FF"/>
                <w:w w:val="97"/>
              </w:rPr>
              <w:t>Rule 13a-14(a)/15d-14(a)</w:t>
            </w:r>
          </w:p>
        </w:tc>
        <w:tc>
          <w:tcPr>
            <w:tcW w:w="3060" w:type="dxa"/>
            <w:vAlign w:val="bottom"/>
            <w:tcBorders>
              <w:bottom w:val="single" w:sz="8" w:color="0000FF"/>
            </w:tcBorders>
            <w:gridSpan w:val="2"/>
          </w:tcPr>
          <w:p>
            <w:pPr>
              <w:ind w:left="20"/>
              <w:spacing w:after="0" w:line="198" w:lineRule="exact"/>
              <w:rPr>
                <w:sz w:val="20"/>
                <w:szCs w:val="20"/>
                <w:color w:val="auto"/>
              </w:rPr>
            </w:pPr>
            <w:r>
              <w:rPr>
                <w:rFonts w:ascii="Times New Roman" w:cs="Times New Roman" w:eastAsia="Times New Roman" w:hAnsi="Times New Roman"/>
                <w:sz w:val="18"/>
                <w:szCs w:val="18"/>
                <w:color w:val="0000FF"/>
                <w:w w:val="96"/>
              </w:rPr>
              <w:t>Certifications (Principal Executive Officer)</w:t>
            </w:r>
          </w:p>
        </w:tc>
      </w:tr>
      <w:tr>
        <w:trPr>
          <w:trHeight w:val="203"/>
        </w:trPr>
        <w:tc>
          <w:tcPr>
            <w:tcW w:w="1180" w:type="dxa"/>
            <w:vAlign w:val="bottom"/>
          </w:tcPr>
          <w:p>
            <w:pPr>
              <w:jc w:val="right"/>
              <w:ind w:right="792"/>
              <w:spacing w:after="0" w:line="203" w:lineRule="exact"/>
              <w:rPr>
                <w:sz w:val="20"/>
                <w:szCs w:val="20"/>
                <w:color w:val="auto"/>
              </w:rPr>
            </w:pPr>
            <w:r>
              <w:rPr>
                <w:rFonts w:ascii="Times New Roman" w:cs="Times New Roman" w:eastAsia="Times New Roman" w:hAnsi="Times New Roman"/>
                <w:sz w:val="18"/>
                <w:szCs w:val="18"/>
                <w:color w:val="auto"/>
                <w:w w:val="88"/>
              </w:rPr>
              <w:t>31.2</w:t>
            </w:r>
          </w:p>
        </w:tc>
        <w:tc>
          <w:tcPr>
            <w:tcW w:w="1820" w:type="dxa"/>
            <w:vAlign w:val="bottom"/>
            <w:tcBorders>
              <w:bottom w:val="single" w:sz="8" w:color="0000FF"/>
            </w:tcBorders>
          </w:tcPr>
          <w:p>
            <w:pPr>
              <w:spacing w:after="0" w:line="203" w:lineRule="exact"/>
              <w:rPr>
                <w:sz w:val="20"/>
                <w:szCs w:val="20"/>
                <w:color w:val="auto"/>
              </w:rPr>
            </w:pPr>
            <w:r>
              <w:rPr>
                <w:rFonts w:ascii="Times New Roman" w:cs="Times New Roman" w:eastAsia="Times New Roman" w:hAnsi="Times New Roman"/>
                <w:sz w:val="18"/>
                <w:szCs w:val="18"/>
                <w:color w:val="0000FF"/>
                <w:w w:val="97"/>
              </w:rPr>
              <w:t>Rule 13a-14(a)/15d-14(a)</w:t>
            </w:r>
          </w:p>
        </w:tc>
        <w:tc>
          <w:tcPr>
            <w:tcW w:w="3020" w:type="dxa"/>
            <w:vAlign w:val="bottom"/>
            <w:tcBorders>
              <w:bottom w:val="single" w:sz="8" w:color="0000FF"/>
            </w:tcBorders>
          </w:tcPr>
          <w:p>
            <w:pPr>
              <w:ind w:left="20"/>
              <w:spacing w:after="0" w:line="203" w:lineRule="exact"/>
              <w:rPr>
                <w:sz w:val="20"/>
                <w:szCs w:val="20"/>
                <w:color w:val="auto"/>
              </w:rPr>
            </w:pPr>
            <w:r>
              <w:rPr>
                <w:rFonts w:ascii="Times New Roman" w:cs="Times New Roman" w:eastAsia="Times New Roman" w:hAnsi="Times New Roman"/>
                <w:sz w:val="18"/>
                <w:szCs w:val="18"/>
                <w:color w:val="0000FF"/>
                <w:w w:val="96"/>
              </w:rPr>
              <w:t>Certifications (Principal Financial Officer)</w:t>
            </w:r>
          </w:p>
        </w:tc>
        <w:tc>
          <w:tcPr>
            <w:tcW w:w="40" w:type="dxa"/>
            <w:vAlign w:val="bottom"/>
          </w:tcPr>
          <w:p>
            <w:pPr>
              <w:spacing w:after="0"/>
              <w:rPr>
                <w:sz w:val="17"/>
                <w:szCs w:val="17"/>
                <w:color w:val="auto"/>
              </w:rPr>
            </w:pPr>
          </w:p>
        </w:tc>
      </w:tr>
    </w:tbl>
    <w:p>
      <w:pPr>
        <w:spacing w:after="0" w:line="21" w:lineRule="exact"/>
        <w:rPr>
          <w:sz w:val="20"/>
          <w:szCs w:val="20"/>
          <w:color w:val="auto"/>
        </w:rPr>
      </w:pPr>
    </w:p>
    <w:p>
      <w:pPr>
        <w:ind w:left="1200" w:right="3340" w:hanging="1177"/>
        <w:spacing w:after="0" w:line="231" w:lineRule="auto"/>
        <w:tabs>
          <w:tab w:leader="none" w:pos="12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Section 1350 Certifications (Principal Executive Officer and Principal Financial Officer)</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38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XBRL Taxonomy Extension Calculation Linkbase</w:t>
            </w:r>
          </w:p>
        </w:tc>
      </w:t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3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22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8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6"/>
              </w:rPr>
              <w:t>XBRL Taxonomy Extension Presentation Linkbase</w:t>
            </w:r>
          </w:p>
        </w:tc>
      </w:tr>
    </w:tbl>
    <w:p>
      <w:pPr>
        <w:ind w:left="1200" w:right="3520" w:hanging="1177"/>
        <w:spacing w:after="0" w:line="228" w:lineRule="auto"/>
        <w:tabs>
          <w:tab w:leader="none" w:pos="1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91" w:lineRule="exact"/>
        <w:rPr>
          <w:sz w:val="20"/>
          <w:szCs w:val="20"/>
          <w:color w:val="auto"/>
        </w:rPr>
      </w:pPr>
    </w:p>
    <w:p>
      <w:pPr>
        <w:ind w:left="640" w:hanging="617"/>
        <w:spacing w:after="0"/>
        <w:tabs>
          <w:tab w:leader="none" w:pos="640"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Management contract,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p>
      <w:pPr>
        <w:jc w:val="center"/>
        <w:spacing w:after="0"/>
        <w:rPr>
          <w:sz w:val="20"/>
          <w:szCs w:val="20"/>
          <w:color w:val="auto"/>
        </w:rPr>
      </w:pPr>
      <w:r>
        <w:rPr>
          <w:rFonts w:ascii="Times New Roman" w:cs="Times New Roman" w:eastAsia="Times New Roman" w:hAnsi="Times New Roman"/>
          <w:sz w:val="16"/>
          <w:szCs w:val="16"/>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24130</wp:posOffset>
            </wp:positionV>
            <wp:extent cx="62611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4">
                      <a:extLst>
                        <a:ext uri="{28A0092B-C50C-407E-A947-70E740481C1C}"/>
                      </a:extLst>
                    </a:blip>
                    <a:srcRect/>
                    <a:stretch>
                      <a:fillRect/>
                    </a:stretch>
                  </pic:blipFill>
                  <pic:spPr bwMode="auto">
                    <a:xfrm>
                      <a:off x="0" y="0"/>
                      <a:ext cx="626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10160" w:space="240"/>
            <w:col w:w="700"/>
          </w:cols>
          <w:pgMar w:left="320" w:top="121" w:right="47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369060" cy="292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5">
                      <a:clrChange>
                        <a:clrFrom>
                          <a:srgbClr val="FFFFFF"/>
                        </a:clrFrom>
                        <a:clrTo>
                          <a:srgbClr val="FFFFFF">
                            <a:alpha val="0"/>
                          </a:srgbClr>
                        </a:clrTo>
                      </a:clrChange>
                      <a:extLst>
                        <a:ext uri="{28A0092B-C50C-407E-A947-70E740481C1C}"/>
                      </a:extLst>
                    </a:blip>
                    <a:srcRect/>
                    <a:stretch>
                      <a:fillRect/>
                    </a:stretch>
                  </pic:blipFill>
                  <pic:spPr bwMode="auto">
                    <a:xfrm>
                      <a:off x="0" y="0"/>
                      <a:ext cx="1369060" cy="292100"/>
                    </a:xfrm>
                    <a:prstGeom prst="rect">
                      <a:avLst/>
                    </a:prstGeom>
                    <a:noFill/>
                  </pic:spPr>
                </pic:pic>
              </a:graphicData>
            </a:graphic>
          </wp:anchor>
        </w:drawing>
        <w:t>Exhibit 4.5</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November 28, 2022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Securities and Exchange Commission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 F Street, N.E.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Washington, D.C. 20549</w:t>
      </w:r>
    </w:p>
    <w:p>
      <w:pPr>
        <w:spacing w:after="0" w:line="232" w:lineRule="exact"/>
        <w:rPr>
          <w:sz w:val="20"/>
          <w:szCs w:val="20"/>
          <w:color w:val="auto"/>
        </w:rPr>
      </w:pPr>
    </w:p>
    <w:p>
      <w:pPr>
        <w:ind w:left="1260"/>
        <w:spacing w:after="0"/>
        <w:tabs>
          <w:tab w:leader="none" w:pos="1740" w:val="left"/>
        </w:tabs>
        <w:rPr>
          <w:sz w:val="20"/>
          <w:szCs w:val="20"/>
          <w:color w:val="auto"/>
        </w:rPr>
      </w:pPr>
      <w:r>
        <w:rPr>
          <w:rFonts w:ascii="Times New Roman" w:cs="Times New Roman" w:eastAsia="Times New Roman" w:hAnsi="Times New Roman"/>
          <w:sz w:val="21"/>
          <w:szCs w:val="21"/>
          <w:color w:val="auto"/>
        </w:rPr>
        <w:t>Re:</w:t>
        <w:tab/>
        <w:t>The Scotts Miracle-Gro Company – Annual Report on Form 10-K for the fiscal year ended September 30, 2022</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Ladies and Gentlemen:</w:t>
      </w:r>
    </w:p>
    <w:p>
      <w:pPr>
        <w:spacing w:after="0" w:line="245" w:lineRule="exact"/>
        <w:rPr>
          <w:sz w:val="20"/>
          <w:szCs w:val="20"/>
          <w:color w:val="auto"/>
        </w:rPr>
      </w:pPr>
    </w:p>
    <w:p>
      <w:pPr>
        <w:ind w:firstLine="206"/>
        <w:spacing w:after="0" w:line="281" w:lineRule="auto"/>
        <w:rPr>
          <w:sz w:val="20"/>
          <w:szCs w:val="20"/>
          <w:color w:val="auto"/>
        </w:rPr>
      </w:pPr>
      <w:r>
        <w:rPr>
          <w:rFonts w:ascii="Times New Roman" w:cs="Times New Roman" w:eastAsia="Times New Roman" w:hAnsi="Times New Roman"/>
          <w:sz w:val="21"/>
          <w:szCs w:val="21"/>
          <w:color w:val="auto"/>
        </w:rPr>
        <w:t>The Scotts Miracle-Gro Company, an Ohio corporation (“Scotts Miracle-Gro”), is today filing its Annual Report on Form 10-K for the fiscal year ended September 30, 2022 (the “Form 10-K”).</w:t>
      </w:r>
    </w:p>
    <w:p>
      <w:pPr>
        <w:spacing w:after="0" w:line="184" w:lineRule="exact"/>
        <w:rPr>
          <w:sz w:val="20"/>
          <w:szCs w:val="20"/>
          <w:color w:val="auto"/>
        </w:rPr>
      </w:pPr>
    </w:p>
    <w:p>
      <w:pPr>
        <w:ind w:right="20" w:firstLine="175"/>
        <w:spacing w:after="0" w:line="255" w:lineRule="auto"/>
        <w:rPr>
          <w:sz w:val="20"/>
          <w:szCs w:val="20"/>
          <w:color w:val="auto"/>
        </w:rPr>
      </w:pPr>
      <w:r>
        <w:rPr>
          <w:rFonts w:ascii="Times New Roman" w:cs="Times New Roman" w:eastAsia="Times New Roman" w:hAnsi="Times New Roman"/>
          <w:sz w:val="21"/>
          <w:szCs w:val="21"/>
          <w:color w:val="auto"/>
        </w:rPr>
        <w:t>Neither Scotts Miracle-Gro nor any of its consolidated subsidiaries has outstanding any instrument or agreement with respect to its long-term debt, other than those filed or incorporated by reference as an exhibit to the Form 10-K, under which the total amount of long-term debt authorized exceeds ten percent (10%) of the total assets of Scotts Miracle-Gro and its subsidiaries on a consolidated basis. In accordance with the provisions of Item 601(b)(4)(iii) of SEC Regulation S-K, Scotts Miracle-Gro hereby agrees to furnish to the SEC, upon request, a copy of each such instrument or agreement defining the rights of holders of long-term debt of Scotts Miracle-Gro or the rights of holders of long-term debt of one of Scotts Miracle-Gro’s consolidated subsidiaries, in each case which is not being filed or incorporated by reference as an exhibit to the Form 10-K.</w:t>
      </w:r>
    </w:p>
    <w:p>
      <w:pPr>
        <w:spacing w:after="0" w:line="20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Very truly yours,</w:t>
      </w:r>
    </w:p>
    <w:p>
      <w:pPr>
        <w:spacing w:after="0" w:line="24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THE SCOTTS MIRACLE-GRO COMPANY</w:t>
      </w:r>
    </w:p>
    <w:p>
      <w:pPr>
        <w:spacing w:after="0" w:line="24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/s/ DAVID C. EVANS</w:t>
      </w:r>
    </w:p>
    <w:p>
      <w:pPr>
        <w:spacing w:after="0" w:line="24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David C. Evans</w:t>
      </w:r>
    </w:p>
    <w:p>
      <w:pPr>
        <w:spacing w:after="0" w:line="3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Executive Vice President and Interim Chief Financial Officer</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14111 Scottslawn Road Marysville, OH 43041 937-644-0011</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www.scotts.com</w:t>
      </w:r>
    </w:p>
    <w:p>
      <w:pPr>
        <w:sectPr>
          <w:pgSz w:w="11900" w:h="16838" w:orient="portrait"/>
          <w:cols w:equalWidth="0" w:num="1">
            <w:col w:w="11240"/>
          </w:cols>
          <w:pgMar w:left="320" w:top="908"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1"/>
          <w:szCs w:val="21"/>
          <w:color w:val="auto"/>
        </w:rPr>
        <w:t>Exhibit 10.4(b)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Granted To:</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Associate ID: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Award Type: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Grant Date:</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THE SCOTTS MIRACLE-GRO COMPANY</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LONG-TERM INCENTIVE PLAN</w:t>
      </w: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PERFORMANCE UNIT AWARD AGREEMENT FOR EMPLOYEES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[(with related Dividend Equivalents)]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Award Agreement describes the type of Award that you have been granted and the terms and conditions of your Award.</w:t>
      </w:r>
    </w:p>
    <w:p>
      <w:pPr>
        <w:spacing w:after="0" w:line="241" w:lineRule="exact"/>
        <w:rPr>
          <w:sz w:val="20"/>
          <w:szCs w:val="20"/>
          <w:color w:val="auto"/>
        </w:rPr>
      </w:pPr>
    </w:p>
    <w:p>
      <w:pPr>
        <w:jc w:val="both"/>
        <w:ind w:firstLine="5"/>
        <w:spacing w:after="0" w:line="254" w:lineRule="auto"/>
        <w:tabs>
          <w:tab w:leader="none" w:pos="631" w:val="left"/>
        </w:tabs>
        <w:numPr>
          <w:ilvl w:val="0"/>
          <w:numId w:val="4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DESCRIPTION OF YOUR PERFORMANCE UNITS. </w:t>
      </w:r>
      <w:r>
        <w:rPr>
          <w:rFonts w:ascii="Times New Roman" w:cs="Times New Roman" w:eastAsia="Times New Roman" w:hAnsi="Times New Roman"/>
          <w:sz w:val="21"/>
          <w:szCs w:val="21"/>
          <w:color w:val="auto"/>
        </w:rPr>
        <w:t>You have received a grant of [</w:t>
      </w:r>
      <w:r>
        <w:rPr>
          <w:rFonts w:ascii="Times New Roman" w:cs="Times New Roman" w:eastAsia="Times New Roman" w:hAnsi="Times New Roman"/>
          <w:sz w:val="21"/>
          <w:szCs w:val="21"/>
          <w:b w:val="1"/>
          <w:bCs w:val="1"/>
          <w:color w:val="auto"/>
        </w:rPr>
        <w:t>Number</w:t>
      </w:r>
      <w:r>
        <w:rPr>
          <w:rFonts w:ascii="Times New Roman" w:cs="Times New Roman" w:eastAsia="Times New Roman" w:hAnsi="Times New Roman"/>
          <w:sz w:val="21"/>
          <w:szCs w:val="21"/>
          <w:color w:val="auto"/>
        </w:rPr>
        <w:t>] Performance Units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(“Performance Units”), based on a target level of performance</w:t>
      </w:r>
      <w:r>
        <w:rPr>
          <w:rFonts w:ascii="Times New Roman" w:cs="Times New Roman" w:eastAsia="Times New Roman" w:hAnsi="Times New Roman"/>
          <w:sz w:val="21"/>
          <w:szCs w:val="21"/>
          <w:i w:val="1"/>
          <w:iCs w:val="1"/>
          <w:color w:val="auto"/>
        </w:rPr>
        <w:t>[, and an equal number of related Dividend Equivalents]</w:t>
      </w:r>
      <w:r>
        <w:rPr>
          <w:rFonts w:ascii="Times New Roman" w:cs="Times New Roman" w:eastAsia="Times New Roman" w:hAnsi="Times New Roman"/>
          <w:sz w:val="21"/>
          <w:szCs w:val="21"/>
          <w:color w:val="auto"/>
        </w:rPr>
        <w:t>. The “Grant Date” of your Award is [</w:t>
      </w:r>
      <w:r>
        <w:rPr>
          <w:rFonts w:ascii="Times New Roman" w:cs="Times New Roman" w:eastAsia="Times New Roman" w:hAnsi="Times New Roman"/>
          <w:sz w:val="21"/>
          <w:szCs w:val="21"/>
          <w:b w:val="1"/>
          <w:bCs w:val="1"/>
          <w:color w:val="auto"/>
        </w:rPr>
        <w:t>Grant Date</w:t>
      </w:r>
      <w:r>
        <w:rPr>
          <w:rFonts w:ascii="Times New Roman" w:cs="Times New Roman" w:eastAsia="Times New Roman" w:hAnsi="Times New Roman"/>
          <w:sz w:val="21"/>
          <w:szCs w:val="21"/>
          <w:color w:val="auto"/>
        </w:rPr>
        <w:t xml:space="preserve">]. Each Performance Unit represents the right to receive one full Share at the time and in the manner described in this Award Agreement based upon the performance criteria described in the attached </w:t>
      </w:r>
      <w:r>
        <w:rPr>
          <w:rFonts w:ascii="Times New Roman" w:cs="Times New Roman" w:eastAsia="Times New Roman" w:hAnsi="Times New Roman"/>
          <w:sz w:val="21"/>
          <w:szCs w:val="21"/>
          <w:b w:val="1"/>
          <w:bCs w:val="1"/>
          <w:u w:val="single" w:color="auto"/>
          <w:color w:val="auto"/>
        </w:rPr>
        <w:t>Exhibit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[Subject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Section 6 of this Award Agreement, each Dividend Equivalent represents the right to receive an amount equal to the dividends that are declared and paid during the period beginning on the Grant Date and ending on the Settlement Date (as described in Section 5(a) of this Award Agreement) with respect to the Share represented by the related Performance Unit.] </w:t>
      </w:r>
      <w:r>
        <w:rPr>
          <w:rFonts w:ascii="Times New Roman" w:cs="Times New Roman" w:eastAsia="Times New Roman" w:hAnsi="Times New Roman"/>
          <w:sz w:val="21"/>
          <w:szCs w:val="21"/>
          <w:color w:val="auto"/>
        </w:rPr>
        <w:t>As described herein,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Performance Units </w:t>
      </w:r>
      <w:r>
        <w:rPr>
          <w:rFonts w:ascii="Times New Roman" w:cs="Times New Roman" w:eastAsia="Times New Roman" w:hAnsi="Times New Roman"/>
          <w:sz w:val="21"/>
          <w:szCs w:val="21"/>
          <w:i w:val="1"/>
          <w:iCs w:val="1"/>
          <w:color w:val="auto"/>
        </w:rPr>
        <w:t>[and related Dividend Equivalents]</w:t>
      </w:r>
      <w:r>
        <w:rPr>
          <w:rFonts w:ascii="Times New Roman" w:cs="Times New Roman" w:eastAsia="Times New Roman" w:hAnsi="Times New Roman"/>
          <w:sz w:val="21"/>
          <w:szCs w:val="21"/>
          <w:color w:val="auto"/>
        </w:rPr>
        <w:t xml:space="preserve"> that will actually be paid out to you may be more or less than the number of Performance Units granted. See </w:t>
      </w:r>
      <w:r>
        <w:rPr>
          <w:rFonts w:ascii="Times New Roman" w:cs="Times New Roman" w:eastAsia="Times New Roman" w:hAnsi="Times New Roman"/>
          <w:sz w:val="21"/>
          <w:szCs w:val="21"/>
          <w:b w:val="1"/>
          <w:bCs w:val="1"/>
          <w:u w:val="single" w:color="auto"/>
          <w:color w:val="auto"/>
        </w:rPr>
        <w:t>Exhibit A</w:t>
      </w:r>
      <w:r>
        <w:rPr>
          <w:rFonts w:ascii="Times New Roman" w:cs="Times New Roman" w:eastAsia="Times New Roman" w:hAnsi="Times New Roman"/>
          <w:sz w:val="21"/>
          <w:szCs w:val="21"/>
          <w:color w:val="auto"/>
        </w:rPr>
        <w:t xml:space="preserve"> for more details.</w:t>
      </w:r>
    </w:p>
    <w:p>
      <w:pPr>
        <w:spacing w:after="0" w:line="17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1"/>
          <w:szCs w:val="21"/>
          <w:color w:val="auto"/>
        </w:rPr>
        <w:t xml:space="preserve">To accept this Award Agreement, you must provide your acknowledgement and acceptance of the terms contained herein by completing the on-line grant agreement process facilitated by </w:t>
      </w:r>
      <w:r>
        <w:rPr>
          <w:rFonts w:ascii="Times New Roman" w:cs="Times New Roman" w:eastAsia="Times New Roman" w:hAnsi="Times New Roman"/>
          <w:sz w:val="21"/>
          <w:szCs w:val="21"/>
          <w:b w:val="1"/>
          <w:bCs w:val="1"/>
          <w:color w:val="auto"/>
        </w:rPr>
        <w:t>Merrill Lynch</w:t>
      </w:r>
      <w:r>
        <w:rPr>
          <w:rFonts w:ascii="Times New Roman" w:cs="Times New Roman" w:eastAsia="Times New Roman" w:hAnsi="Times New Roman"/>
          <w:sz w:val="21"/>
          <w:szCs w:val="21"/>
          <w:color w:val="auto"/>
        </w:rPr>
        <w:t xml:space="preserve"> (the “Third Party Administrator”) no later than [</w:t>
      </w:r>
      <w:r>
        <w:rPr>
          <w:rFonts w:ascii="Times New Roman" w:cs="Times New Roman" w:eastAsia="Times New Roman" w:hAnsi="Times New Roman"/>
          <w:sz w:val="21"/>
          <w:szCs w:val="21"/>
          <w:b w:val="1"/>
          <w:bCs w:val="1"/>
          <w:color w:val="auto"/>
        </w:rPr>
        <w:t>Acceptance Date</w:t>
      </w:r>
      <w:r>
        <w:rPr>
          <w:rFonts w:ascii="Times New Roman" w:cs="Times New Roman" w:eastAsia="Times New Roman" w:hAnsi="Times New Roman"/>
          <w:sz w:val="21"/>
          <w:szCs w:val="21"/>
          <w:color w:val="auto"/>
        </w:rPr>
        <w:t>].</w:t>
      </w:r>
    </w:p>
    <w:p>
      <w:pPr>
        <w:spacing w:after="0" w:line="151" w:lineRule="exact"/>
        <w:rPr>
          <w:sz w:val="20"/>
          <w:szCs w:val="20"/>
          <w:color w:val="auto"/>
        </w:rPr>
      </w:pPr>
    </w:p>
    <w:p>
      <w:pPr>
        <w:ind w:left="640" w:hanging="635"/>
        <w:spacing w:after="0"/>
        <w:tabs>
          <w:tab w:leader="none" w:pos="640" w:val="left"/>
        </w:tabs>
        <w:numPr>
          <w:ilvl w:val="0"/>
          <w:numId w:val="4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INCORPORATION OF PLAN AND DEFINITIONS.</w:t>
      </w:r>
    </w:p>
    <w:p>
      <w:pPr>
        <w:spacing w:after="0" w:line="248" w:lineRule="exact"/>
        <w:rPr>
          <w:rFonts w:ascii="Times New Roman" w:cs="Times New Roman" w:eastAsia="Times New Roman" w:hAnsi="Times New Roman"/>
          <w:sz w:val="21"/>
          <w:szCs w:val="21"/>
          <w:b w:val="1"/>
          <w:bCs w:val="1"/>
          <w:color w:val="auto"/>
        </w:rPr>
      </w:pPr>
    </w:p>
    <w:p>
      <w:pPr>
        <w:jc w:val="both"/>
        <w:ind w:left="1280" w:hanging="644"/>
        <w:spacing w:after="0" w:line="259" w:lineRule="auto"/>
        <w:tabs>
          <w:tab w:leader="none" w:pos="1277"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This Award Agreement and your Performance Units are granted pursuant to the terms and conditions of The Scotts Miracle-Gro Company Long-Term Incentive Plan effective January 24, 2022 (the “Plan”) and this Award Agreement. All provisions of the Plan are incorporated herein by reference, and your Performance Units </w:t>
      </w:r>
      <w:r>
        <w:rPr>
          <w:rFonts w:ascii="Times New Roman" w:cs="Times New Roman" w:eastAsia="Times New Roman" w:hAnsi="Times New Roman"/>
          <w:sz w:val="21"/>
          <w:szCs w:val="21"/>
          <w:i w:val="1"/>
          <w:iCs w:val="1"/>
          <w:color w:val="auto"/>
        </w:rPr>
        <w:t>[and related Dividend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Equivalents] </w:t>
      </w:r>
      <w:r>
        <w:rPr>
          <w:rFonts w:ascii="Times New Roman" w:cs="Times New Roman" w:eastAsia="Times New Roman" w:hAnsi="Times New Roman"/>
          <w:sz w:val="21"/>
          <w:szCs w:val="21"/>
          <w:color w:val="auto"/>
        </w:rPr>
        <w:t>are subject to the terms of the Plan. To the extent there is a conflict between this Award Agreement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Plan, the Plan will govern.</w:t>
      </w:r>
    </w:p>
    <w:p>
      <w:pPr>
        <w:spacing w:after="0" w:line="195" w:lineRule="exact"/>
        <w:rPr>
          <w:rFonts w:ascii="Times New Roman" w:cs="Times New Roman" w:eastAsia="Times New Roman" w:hAnsi="Times New Roman"/>
          <w:sz w:val="21"/>
          <w:szCs w:val="21"/>
          <w:color w:val="auto"/>
        </w:rPr>
      </w:pPr>
    </w:p>
    <w:p>
      <w:pPr>
        <w:ind w:left="1100" w:hanging="464"/>
        <w:spacing w:after="0"/>
        <w:tabs>
          <w:tab w:leader="none" w:pos="1100"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Capitalized terms that are not defined in this Award Agreement have the same meanings as in the Plan.</w:t>
      </w:r>
    </w:p>
    <w:p>
      <w:pPr>
        <w:sectPr>
          <w:pgSz w:w="11900" w:h="16838" w:orient="portrait"/>
          <w:cols w:equalWidth="0" w:num="1">
            <w:col w:w="11240"/>
          </w:cols>
          <w:pgMar w:left="320" w:top="100" w:right="339" w:bottom="1440" w:gutter="0" w:footer="0" w:header="0"/>
        </w:sectPr>
      </w:pPr>
    </w:p>
    <w:bookmarkStart w:id="115" w:name="page116"/>
    <w:bookmarkEnd w:id="115"/>
    <w:p>
      <w:pPr>
        <w:jc w:val="both"/>
        <w:ind w:firstLine="5"/>
        <w:spacing w:after="0" w:line="258" w:lineRule="auto"/>
        <w:tabs>
          <w:tab w:leader="none" w:pos="527" w:val="left"/>
        </w:tabs>
        <w:numPr>
          <w:ilvl w:val="0"/>
          <w:numId w:val="4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PERFORMANCE UNIT ACHIEVEMENT. </w:t>
      </w:r>
      <w:r>
        <w:rPr>
          <w:rFonts w:ascii="Times New Roman" w:cs="Times New Roman" w:eastAsia="Times New Roman" w:hAnsi="Times New Roman"/>
          <w:sz w:val="21"/>
          <w:szCs w:val="21"/>
          <w:color w:val="auto"/>
        </w:rPr>
        <w:t>The number of “Performance Units Achieved” will be calculated as follows: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 xml:space="preserve">Performance Units Achieved = Performance Units * Payout Percentage [(capped at __%)]. </w:t>
      </w:r>
      <w:r>
        <w:rPr>
          <w:rFonts w:ascii="Times New Roman" w:cs="Times New Roman" w:eastAsia="Times New Roman" w:hAnsi="Times New Roman"/>
          <w:sz w:val="21"/>
          <w:szCs w:val="21"/>
          <w:color w:val="auto"/>
        </w:rPr>
        <w:t>The number of Performance Units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Achieved, if any, is subject to satisfaction of the performance criteria set forth on </w:t>
      </w:r>
      <w:r>
        <w:rPr>
          <w:rFonts w:ascii="Times New Roman" w:cs="Times New Roman" w:eastAsia="Times New Roman" w:hAnsi="Times New Roman"/>
          <w:sz w:val="21"/>
          <w:szCs w:val="21"/>
          <w:b w:val="1"/>
          <w:bCs w:val="1"/>
          <w:u w:val="single" w:color="auto"/>
          <w:color w:val="auto"/>
        </w:rPr>
        <w:t>Exhibit A</w:t>
      </w:r>
      <w:r>
        <w:rPr>
          <w:rFonts w:ascii="Times New Roman" w:cs="Times New Roman" w:eastAsia="Times New Roman" w:hAnsi="Times New Roman"/>
          <w:sz w:val="21"/>
          <w:szCs w:val="21"/>
          <w:color w:val="auto"/>
        </w:rPr>
        <w:t xml:space="preserve"> over the period beginning on </w:t>
      </w:r>
      <w:r>
        <w:rPr>
          <w:rFonts w:ascii="Times New Roman" w:cs="Times New Roman" w:eastAsia="Times New Roman" w:hAnsi="Times New Roman"/>
          <w:sz w:val="21"/>
          <w:szCs w:val="21"/>
          <w:b w:val="1"/>
          <w:bCs w:val="1"/>
          <w:color w:val="auto"/>
        </w:rPr>
        <w:t>[First Day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of Performance Period] </w:t>
      </w:r>
      <w:r>
        <w:rPr>
          <w:rFonts w:ascii="Times New Roman" w:cs="Times New Roman" w:eastAsia="Times New Roman" w:hAnsi="Times New Roman"/>
          <w:sz w:val="21"/>
          <w:szCs w:val="21"/>
          <w:color w:val="auto"/>
        </w:rPr>
        <w:t>and ending on</w:t>
      </w:r>
      <w:r>
        <w:rPr>
          <w:rFonts w:ascii="Times New Roman" w:cs="Times New Roman" w:eastAsia="Times New Roman" w:hAnsi="Times New Roman"/>
          <w:sz w:val="21"/>
          <w:szCs w:val="21"/>
          <w:b w:val="1"/>
          <w:bCs w:val="1"/>
          <w:color w:val="auto"/>
        </w:rPr>
        <w:t xml:space="preserve"> [Last Day of Performance Period] </w:t>
      </w:r>
      <w:r>
        <w:rPr>
          <w:rFonts w:ascii="Times New Roman" w:cs="Times New Roman" w:eastAsia="Times New Roman" w:hAnsi="Times New Roman"/>
          <w:sz w:val="21"/>
          <w:szCs w:val="21"/>
          <w:color w:val="auto"/>
        </w:rPr>
        <w:t>(the “Performance Period”), and will be determined 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end of the Performance Period. Each whole Performance Unit Achieved represents the right to receive one full Share at the time and in the manner described in this Award Agreement.</w:t>
      </w:r>
    </w:p>
    <w:p>
      <w:pPr>
        <w:spacing w:after="0" w:line="164" w:lineRule="exact"/>
        <w:rPr>
          <w:rFonts w:ascii="Times New Roman" w:cs="Times New Roman" w:eastAsia="Times New Roman" w:hAnsi="Times New Roman"/>
          <w:sz w:val="21"/>
          <w:szCs w:val="21"/>
          <w:b w:val="1"/>
          <w:bCs w:val="1"/>
          <w:color w:val="auto"/>
        </w:rPr>
      </w:pPr>
    </w:p>
    <w:p>
      <w:pPr>
        <w:ind w:firstLine="5"/>
        <w:spacing w:after="0" w:line="285" w:lineRule="auto"/>
        <w:tabs>
          <w:tab w:leader="none" w:pos="537" w:val="left"/>
        </w:tabs>
        <w:numPr>
          <w:ilvl w:val="0"/>
          <w:numId w:val="4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VESTING. </w:t>
      </w:r>
      <w:r>
        <w:rPr>
          <w:rFonts w:ascii="Times New Roman" w:cs="Times New Roman" w:eastAsia="Times New Roman" w:hAnsi="Times New Roman"/>
          <w:sz w:val="21"/>
          <w:szCs w:val="21"/>
          <w:color w:val="auto"/>
        </w:rPr>
        <w:t>Except as provided in Section 6 of this Award Agreement, the Performance Units Achieved are subject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following vesting criteria:</w:t>
      </w:r>
    </w:p>
    <w:p>
      <w:pPr>
        <w:spacing w:after="0" w:line="175" w:lineRule="exact"/>
        <w:rPr>
          <w:rFonts w:ascii="Times New Roman" w:cs="Times New Roman" w:eastAsia="Times New Roman" w:hAnsi="Times New Roman"/>
          <w:sz w:val="21"/>
          <w:szCs w:val="21"/>
          <w:b w:val="1"/>
          <w:bCs w:val="1"/>
          <w:color w:val="auto"/>
        </w:rPr>
      </w:pPr>
    </w:p>
    <w:p>
      <w:pPr>
        <w:ind w:left="1260" w:hanging="624"/>
        <w:spacing w:after="0" w:line="267" w:lineRule="auto"/>
        <w:tabs>
          <w:tab w:leader="none" w:pos="1165"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Normal Vesting. </w:t>
      </w:r>
      <w:r>
        <w:rPr>
          <w:rFonts w:ascii="Times New Roman" w:cs="Times New Roman" w:eastAsia="Times New Roman" w:hAnsi="Times New Roman"/>
          <w:sz w:val="21"/>
          <w:szCs w:val="21"/>
          <w:color w:val="auto"/>
        </w:rPr>
        <w:t>In general, if your employment continues from the Grant Date until</w:t>
      </w:r>
      <w:r>
        <w:rPr>
          <w:rFonts w:ascii="Times New Roman" w:cs="Times New Roman" w:eastAsia="Times New Roman" w:hAnsi="Times New Roman"/>
          <w:sz w:val="21"/>
          <w:szCs w:val="21"/>
          <w:b w:val="1"/>
          <w:bCs w:val="1"/>
          <w:color w:val="auto"/>
        </w:rPr>
        <w:t xml:space="preserve"> [Vesting Date] </w:t>
      </w:r>
      <w:r>
        <w:rPr>
          <w:rFonts w:ascii="Times New Roman" w:cs="Times New Roman" w:eastAsia="Times New Roman" w:hAnsi="Times New Roman"/>
          <w:sz w:val="21"/>
          <w:szCs w:val="21"/>
          <w:color w:val="auto"/>
        </w:rPr>
        <w:t>(the “Normal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Vesting Date”), you will become 100% vested in the number of Performance Units Achieved (subject to the performance criteria as described in Section 3 and </w:t>
      </w:r>
      <w:r>
        <w:rPr>
          <w:rFonts w:ascii="Times New Roman" w:cs="Times New Roman" w:eastAsia="Times New Roman" w:hAnsi="Times New Roman"/>
          <w:sz w:val="21"/>
          <w:szCs w:val="21"/>
          <w:b w:val="1"/>
          <w:bCs w:val="1"/>
          <w:u w:val="single" w:color="auto"/>
          <w:color w:val="auto"/>
        </w:rPr>
        <w:t>Exhibit A</w:t>
      </w:r>
      <w:r>
        <w:rPr>
          <w:rFonts w:ascii="Times New Roman" w:cs="Times New Roman" w:eastAsia="Times New Roman" w:hAnsi="Times New Roman"/>
          <w:sz w:val="21"/>
          <w:szCs w:val="21"/>
          <w:color w:val="auto"/>
        </w:rPr>
        <w:t>) on such date; or</w:t>
      </w:r>
    </w:p>
    <w:p>
      <w:pPr>
        <w:spacing w:after="0" w:line="179" w:lineRule="exact"/>
        <w:rPr>
          <w:rFonts w:ascii="Times New Roman" w:cs="Times New Roman" w:eastAsia="Times New Roman" w:hAnsi="Times New Roman"/>
          <w:sz w:val="21"/>
          <w:szCs w:val="21"/>
          <w:color w:val="auto"/>
        </w:rPr>
      </w:pPr>
    </w:p>
    <w:p>
      <w:pPr>
        <w:jc w:val="both"/>
        <w:ind w:left="1280" w:hanging="644"/>
        <w:spacing w:after="0" w:line="267" w:lineRule="auto"/>
        <w:tabs>
          <w:tab w:leader="none" w:pos="1276"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Partial Vesting. </w:t>
      </w:r>
      <w:r>
        <w:rPr>
          <w:rFonts w:ascii="Times New Roman" w:cs="Times New Roman" w:eastAsia="Times New Roman" w:hAnsi="Times New Roman"/>
          <w:sz w:val="21"/>
          <w:szCs w:val="21"/>
          <w:color w:val="auto"/>
        </w:rPr>
        <w:t>Under the following circumstances, the Performance Units Achieved (subject to the performance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criteria as described in Section 3 and </w:t>
      </w:r>
      <w:r>
        <w:rPr>
          <w:rFonts w:ascii="Times New Roman" w:cs="Times New Roman" w:eastAsia="Times New Roman" w:hAnsi="Times New Roman"/>
          <w:sz w:val="21"/>
          <w:szCs w:val="21"/>
          <w:b w:val="1"/>
          <w:bCs w:val="1"/>
          <w:u w:val="single" w:color="auto"/>
          <w:color w:val="auto"/>
        </w:rPr>
        <w:t>Exhibit A</w:t>
      </w:r>
      <w:r>
        <w:rPr>
          <w:rFonts w:ascii="Times New Roman" w:cs="Times New Roman" w:eastAsia="Times New Roman" w:hAnsi="Times New Roman"/>
          <w:sz w:val="21"/>
          <w:szCs w:val="21"/>
          <w:color w:val="auto"/>
        </w:rPr>
        <w:t>) will vest on a partial basis even if you Terminate prior to the Normal Vesting Date, as indicated below:</w:t>
      </w:r>
    </w:p>
    <w:p>
      <w:pPr>
        <w:spacing w:after="0" w:line="196" w:lineRule="exact"/>
        <w:rPr>
          <w:rFonts w:ascii="Times New Roman" w:cs="Times New Roman" w:eastAsia="Times New Roman" w:hAnsi="Times New Roman"/>
          <w:sz w:val="21"/>
          <w:szCs w:val="21"/>
          <w:color w:val="auto"/>
        </w:rPr>
      </w:pPr>
    </w:p>
    <w:p>
      <w:pPr>
        <w:jc w:val="both"/>
        <w:ind w:left="1900" w:hanging="633"/>
        <w:spacing w:after="0" w:line="255" w:lineRule="auto"/>
        <w:tabs>
          <w:tab w:leader="none" w:pos="1888" w:val="left"/>
        </w:tabs>
        <w:numPr>
          <w:ilvl w:val="2"/>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you Terminate because of your death or due to a disability for which you qualify for benefits under the Scotts Miracle-Gro Company’s Long-term Disability Plan or another long-term disability plan sponsored by the Company (“Disabled”), the number of Performance Units Achieved will </w:t>
      </w:r>
      <w:r>
        <w:rPr>
          <w:rFonts w:ascii="Times New Roman" w:cs="Times New Roman" w:eastAsia="Times New Roman" w:hAnsi="Times New Roman"/>
          <w:sz w:val="21"/>
          <w:szCs w:val="21"/>
          <w:i w:val="1"/>
          <w:iCs w:val="1"/>
          <w:color w:val="auto"/>
        </w:rPr>
        <w:t>[vest on a prorated basis based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upon the number of days you were employed by the Company between [</w:t>
      </w:r>
      <w:r>
        <w:rPr>
          <w:rFonts w:ascii="Times New Roman" w:cs="Times New Roman" w:eastAsia="Times New Roman" w:hAnsi="Times New Roman"/>
          <w:sz w:val="21"/>
          <w:szCs w:val="21"/>
          <w:b w:val="1"/>
          <w:bCs w:val="1"/>
          <w:i w:val="1"/>
          <w:iCs w:val="1"/>
          <w:color w:val="auto"/>
        </w:rPr>
        <w:t>First Day of Performance Period</w:t>
      </w:r>
      <w:r>
        <w:rPr>
          <w:rFonts w:ascii="Times New Roman" w:cs="Times New Roman" w:eastAsia="Times New Roman" w:hAnsi="Times New Roman"/>
          <w:sz w:val="21"/>
          <w:szCs w:val="21"/>
          <w:i w:val="1"/>
          <w:iCs w:val="1"/>
          <w:color w:val="auto"/>
        </w:rPr>
        <w:t xml:space="preserve">] and the Termination Date over 365. The number of Performance Units Achieved will] become [partially] [100%] </w:t>
      </w:r>
      <w:r>
        <w:rPr>
          <w:rFonts w:ascii="Times New Roman" w:cs="Times New Roman" w:eastAsia="Times New Roman" w:hAnsi="Times New Roman"/>
          <w:sz w:val="21"/>
          <w:szCs w:val="21"/>
          <w:color w:val="auto"/>
        </w:rPr>
        <w:t>vested as of the Normal Vesting Date</w:t>
      </w:r>
      <w:r>
        <w:rPr>
          <w:rFonts w:ascii="Times New Roman" w:cs="Times New Roman" w:eastAsia="Times New Roman" w:hAnsi="Times New Roman"/>
          <w:sz w:val="21"/>
          <w:szCs w:val="21"/>
          <w:i w:val="1"/>
          <w:iCs w:val="1"/>
          <w:color w:val="auto"/>
        </w:rPr>
        <w:t xml:space="preserve"> [as described in this section]</w:t>
      </w:r>
      <w:r>
        <w:rPr>
          <w:rFonts w:ascii="Times New Roman" w:cs="Times New Roman" w:eastAsia="Times New Roman" w:hAnsi="Times New Roman"/>
          <w:sz w:val="21"/>
          <w:szCs w:val="21"/>
          <w:color w:val="auto"/>
        </w:rPr>
        <w:t>, and will continue to be settled 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original Settlement Date in accordance with Section 5 of this Award Agreement; or</w:t>
      </w:r>
    </w:p>
    <w:p>
      <w:pPr>
        <w:spacing w:after="0" w:line="201" w:lineRule="exact"/>
        <w:rPr>
          <w:rFonts w:ascii="Times New Roman" w:cs="Times New Roman" w:eastAsia="Times New Roman" w:hAnsi="Times New Roman"/>
          <w:sz w:val="21"/>
          <w:szCs w:val="21"/>
          <w:color w:val="auto"/>
        </w:rPr>
      </w:pPr>
    </w:p>
    <w:p>
      <w:pPr>
        <w:jc w:val="both"/>
        <w:ind w:left="1900" w:hanging="633"/>
        <w:spacing w:after="0" w:line="255" w:lineRule="auto"/>
        <w:tabs>
          <w:tab w:leader="none" w:pos="1871" w:val="left"/>
        </w:tabs>
        <w:numPr>
          <w:ilvl w:val="2"/>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you Terminate for a reason other than Cause after reaching age 55 and completing at least 10 years of employment with the Company, its Affiliates and/or its Subsidiaries, the number of Performance Units Achieved will </w:t>
      </w:r>
      <w:r>
        <w:rPr>
          <w:rFonts w:ascii="Times New Roman" w:cs="Times New Roman" w:eastAsia="Times New Roman" w:hAnsi="Times New Roman"/>
          <w:sz w:val="21"/>
          <w:szCs w:val="21"/>
          <w:i w:val="1"/>
          <w:iCs w:val="1"/>
          <w:color w:val="auto"/>
        </w:rPr>
        <w:t>[vest on a prorated basis based upon the number of days you were employed by the Company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between [</w:t>
      </w:r>
      <w:r>
        <w:rPr>
          <w:rFonts w:ascii="Times New Roman" w:cs="Times New Roman" w:eastAsia="Times New Roman" w:hAnsi="Times New Roman"/>
          <w:sz w:val="21"/>
          <w:szCs w:val="21"/>
          <w:b w:val="1"/>
          <w:bCs w:val="1"/>
          <w:i w:val="1"/>
          <w:iCs w:val="1"/>
          <w:color w:val="auto"/>
        </w:rPr>
        <w:t>First Day of Performance Period</w:t>
      </w:r>
      <w:r>
        <w:rPr>
          <w:rFonts w:ascii="Times New Roman" w:cs="Times New Roman" w:eastAsia="Times New Roman" w:hAnsi="Times New Roman"/>
          <w:sz w:val="21"/>
          <w:szCs w:val="21"/>
          <w:i w:val="1"/>
          <w:iCs w:val="1"/>
          <w:color w:val="auto"/>
        </w:rPr>
        <w:t xml:space="preserve">] and the Termination Date over 365. The number of Performance Units Achieved will] become [100%][partially] </w:t>
      </w:r>
      <w:r>
        <w:rPr>
          <w:rFonts w:ascii="Times New Roman" w:cs="Times New Roman" w:eastAsia="Times New Roman" w:hAnsi="Times New Roman"/>
          <w:sz w:val="21"/>
          <w:szCs w:val="21"/>
          <w:color w:val="auto"/>
        </w:rPr>
        <w:t>vested as of the Normal Vesting Date as described in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section, and will continue to be settled on the original Settlement Date in accordance with Section 5 of this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83" w:right="339" w:bottom="1440" w:gutter="0" w:footer="0" w:header="0"/>
        </w:sectPr>
      </w:pPr>
    </w:p>
    <w:bookmarkStart w:id="116" w:name="page117"/>
    <w:bookmarkEnd w:id="116"/>
    <w:p>
      <w:pPr>
        <w:jc w:val="both"/>
        <w:ind w:left="640" w:right="400" w:hanging="635"/>
        <w:spacing w:after="0" w:line="267" w:lineRule="auto"/>
        <w:tabs>
          <w:tab w:leader="none" w:pos="377" w:val="left"/>
        </w:tabs>
        <w:numPr>
          <w:ilvl w:val="0"/>
          <w:numId w:val="4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SETTLEMENT. </w:t>
      </w:r>
      <w:r>
        <w:rPr>
          <w:rFonts w:ascii="Times New Roman" w:cs="Times New Roman" w:eastAsia="Times New Roman" w:hAnsi="Times New Roman"/>
          <w:sz w:val="21"/>
          <w:szCs w:val="21"/>
          <w:color w:val="auto"/>
        </w:rPr>
        <w:t>Subject to the terms of the Plan and this Award Agreement, the number of vested Performance Units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Achieved, minus any Shares that are withheld for taxes as provided under Section 5(c), shall be settled in a lump sum </w:t>
      </w:r>
      <w:r>
        <w:rPr>
          <w:rFonts w:ascii="Times New Roman" w:cs="Times New Roman" w:eastAsia="Times New Roman" w:hAnsi="Times New Roman"/>
          <w:sz w:val="21"/>
          <w:szCs w:val="21"/>
          <w:i w:val="1"/>
          <w:iCs w:val="1"/>
          <w:color w:val="auto"/>
        </w:rPr>
        <w:t>[as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soon as administratively practicable following the Normal Vesting Date][on [</w:t>
      </w:r>
      <w:r>
        <w:rPr>
          <w:rFonts w:ascii="Times New Roman" w:cs="Times New Roman" w:eastAsia="Times New Roman" w:hAnsi="Times New Roman"/>
          <w:sz w:val="21"/>
          <w:szCs w:val="21"/>
          <w:b w:val="1"/>
          <w:bCs w:val="1"/>
          <w:i w:val="1"/>
          <w:iCs w:val="1"/>
          <w:color w:val="auto"/>
        </w:rPr>
        <w:t>Settlement Date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“Settlement Date”).</w:t>
      </w:r>
    </w:p>
    <w:p>
      <w:pPr>
        <w:spacing w:after="0" w:line="196" w:lineRule="exact"/>
        <w:rPr>
          <w:rFonts w:ascii="Times New Roman" w:cs="Times New Roman" w:eastAsia="Times New Roman" w:hAnsi="Times New Roman"/>
          <w:sz w:val="21"/>
          <w:szCs w:val="21"/>
          <w:b w:val="1"/>
          <w:bCs w:val="1"/>
          <w:color w:val="auto"/>
        </w:rPr>
      </w:pPr>
    </w:p>
    <w:p>
      <w:pPr>
        <w:ind w:left="1260" w:right="60" w:hanging="624"/>
        <w:spacing w:after="0" w:line="259" w:lineRule="auto"/>
        <w:tabs>
          <w:tab w:leader="none" w:pos="1065"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whole Performance Units Achieved shall be settled in full Shares, and any fractional Performance Unit Achieved shall be settled in cash, determined based upon the Fair Market Value of a Share on the respective Settlement Date, which shall be equal to the closing price of a Share on the Settlement Date if it is a trading day or, if such date is not a trading day, on the next trading day.</w:t>
      </w:r>
    </w:p>
    <w:p>
      <w:pPr>
        <w:spacing w:after="0" w:line="191" w:lineRule="exact"/>
        <w:rPr>
          <w:rFonts w:ascii="Times New Roman" w:cs="Times New Roman" w:eastAsia="Times New Roman" w:hAnsi="Times New Roman"/>
          <w:sz w:val="21"/>
          <w:szCs w:val="21"/>
          <w:color w:val="auto"/>
        </w:rPr>
      </w:pPr>
    </w:p>
    <w:p>
      <w:pPr>
        <w:ind w:left="1260" w:hanging="624"/>
        <w:spacing w:after="0" w:line="296" w:lineRule="auto"/>
        <w:tabs>
          <w:tab w:leader="none" w:pos="1124"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[Except as provided in Section 6 of the Award Agreement [Y][y]]</w:t>
      </w:r>
      <w:r>
        <w:rPr>
          <w:rFonts w:ascii="Times New Roman" w:cs="Times New Roman" w:eastAsia="Times New Roman" w:hAnsi="Times New Roman"/>
          <w:sz w:val="21"/>
          <w:szCs w:val="21"/>
          <w:color w:val="auto"/>
        </w:rPr>
        <w:t>ou will have none of the rights of a shareholder with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respect to Shares underlying the Performance Units unless and until you become the record holder of such Shares.</w:t>
      </w:r>
    </w:p>
    <w:p>
      <w:pPr>
        <w:spacing w:after="0" w:line="155" w:lineRule="exact"/>
        <w:rPr>
          <w:rFonts w:ascii="Times New Roman" w:cs="Times New Roman" w:eastAsia="Times New Roman" w:hAnsi="Times New Roman"/>
          <w:sz w:val="21"/>
          <w:szCs w:val="21"/>
          <w:color w:val="auto"/>
        </w:rPr>
      </w:pPr>
    </w:p>
    <w:p>
      <w:pPr>
        <w:ind w:left="1260" w:hanging="624"/>
        <w:spacing w:after="0" w:line="265" w:lineRule="auto"/>
        <w:tabs>
          <w:tab w:leader="none" w:pos="1175"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may use one of the following methods to pay the required withholding taxes related to the settlement of your Performance Units Achieved. You will decide on the method at the time prescribed by the Company. If you do not elect one of these methods, the Company will apply the Net Settlement method described below:</w:t>
      </w:r>
    </w:p>
    <w:p>
      <w:pPr>
        <w:spacing w:after="0" w:line="159" w:lineRule="exact"/>
        <w:rPr>
          <w:rFonts w:ascii="Times New Roman" w:cs="Times New Roman" w:eastAsia="Times New Roman" w:hAnsi="Times New Roman"/>
          <w:sz w:val="21"/>
          <w:szCs w:val="21"/>
          <w:color w:val="auto"/>
        </w:rPr>
      </w:pPr>
    </w:p>
    <w:p>
      <w:pPr>
        <w:ind w:left="1900" w:hanging="633"/>
        <w:spacing w:after="0" w:line="271" w:lineRule="auto"/>
        <w:tabs>
          <w:tab w:leader="none" w:pos="1757" w:val="left"/>
        </w:tabs>
        <w:numPr>
          <w:ilvl w:val="2"/>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CASH PAYMENT: If you elect this alternative, you will be responsible for paying the Company, through the Third Party Administrator, cash equal to the required withholding Taxes applicable on your Performance Units.</w:t>
      </w:r>
    </w:p>
    <w:p>
      <w:pPr>
        <w:spacing w:after="0" w:line="180" w:lineRule="exact"/>
        <w:rPr>
          <w:rFonts w:ascii="Times New Roman" w:cs="Times New Roman" w:eastAsia="Times New Roman" w:hAnsi="Times New Roman"/>
          <w:sz w:val="21"/>
          <w:szCs w:val="21"/>
          <w:color w:val="auto"/>
        </w:rPr>
      </w:pPr>
    </w:p>
    <w:p>
      <w:pPr>
        <w:ind w:left="1900" w:hanging="633"/>
        <w:spacing w:after="0" w:line="259" w:lineRule="auto"/>
        <w:tabs>
          <w:tab w:leader="none" w:pos="1809" w:val="left"/>
        </w:tabs>
        <w:numPr>
          <w:ilvl w:val="2"/>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SETTLEMENT: If you elect this alternative, the Company will retain the number of Shares with a Fair Market Value equal to the required withholding Taxes applicable on your Performance Units, provided that such withholding can be no more than the maximum withholding rate applicable to each jurisdiction for which the Company is required to withhold.</w:t>
      </w:r>
    </w:p>
    <w:p>
      <w:pPr>
        <w:spacing w:after="0" w:line="206" w:lineRule="exact"/>
        <w:rPr>
          <w:rFonts w:ascii="Times New Roman" w:cs="Times New Roman" w:eastAsia="Times New Roman" w:hAnsi="Times New Roman"/>
          <w:sz w:val="21"/>
          <w:szCs w:val="21"/>
          <w:color w:val="auto"/>
        </w:rPr>
      </w:pPr>
    </w:p>
    <w:p>
      <w:pPr>
        <w:ind w:left="1260" w:hanging="624"/>
        <w:spacing w:after="0" w:line="254" w:lineRule="auto"/>
        <w:tabs>
          <w:tab w:leader="none" w:pos="1170"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of Performance Units Achieved will vest and be settled only under the circumstances described above, unless there is a Change in Control, in which case your Performance Units may vest earlier at Target in accordance with the Plan, unless otherwise determined by the Committee. See the Plan for further details. Notwithstanding any other provisions of this Award Agreement to the contrary, in the event that as a result of any acceleration of vesting under the Plan or this Award Agreement in connection with a Change in Control it is determined that any payment or distribution in the nature of compensation (within the meaning of Section 280G(b)(2) of the Code) to or for the benefit of the Participant, whether paid or payable or distributed or distributable pursuant to the terms of this Award Agreement or otherwise (the “Payments”), would constitute an “excess parachute payment” within the meaning of Section 280G of the Code,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83" w:right="339" w:bottom="1440" w:gutter="0" w:footer="0" w:header="0"/>
        </w:sectPr>
      </w:pPr>
    </w:p>
    <w:bookmarkStart w:id="117" w:name="page118"/>
    <w:bookmarkEnd w:id="117"/>
    <w:p>
      <w:pPr>
        <w:jc w:val="both"/>
        <w:ind w:left="1260"/>
        <w:spacing w:after="0" w:line="265" w:lineRule="auto"/>
        <w:rPr>
          <w:sz w:val="20"/>
          <w:szCs w:val="20"/>
          <w:color w:val="auto"/>
        </w:rPr>
      </w:pPr>
      <w:r>
        <w:rPr>
          <w:rFonts w:ascii="Times New Roman" w:cs="Times New Roman" w:eastAsia="Times New Roman" w:hAnsi="Times New Roman"/>
          <w:sz w:val="20"/>
          <w:szCs w:val="20"/>
          <w:color w:val="auto"/>
        </w:rPr>
        <w:t>the Company shall reduce (but not below zero) the aggregate value of the Payments under this Award Agreement to the Reduced Amount (as defined below), if reducing the Payments under this Award Agreement will provide the Participant with a greater net after-tax amount than would be the case if no reduction was made. The Payments shall be reduced as described in the preceding sentence only if (i) the net amount of the Payments, as so reduced (and after subtracting the net amount of applicable federal, state and local income and payroll taxes on the reduced Payments), is greater than or equal to (ii) the net amount of the Payments without such reduction (but after subtracting the net amount of applicable federal, state and local income and payroll taxes on the Payments and the amount of Excise Tax (as defined below) to which the Participant would be subject with respect to the unreduced Payments). Only amounts payable under this Award Agreement shall be reduced pursuant to this subsection (d). The “Reduced Amount” shall be an amount that maximizes the aggregate value of Payments under this Award Agreement without causing any Payment under this Award Agreement to be subject to the Excise Tax, determined in accordance with Section 280G(d)</w:t>
      </w:r>
    </w:p>
    <w:p>
      <w:pPr>
        <w:spacing w:after="0" w:line="4" w:lineRule="exact"/>
        <w:rPr>
          <w:sz w:val="20"/>
          <w:szCs w:val="20"/>
          <w:color w:val="auto"/>
        </w:rPr>
      </w:pPr>
    </w:p>
    <w:p>
      <w:pPr>
        <w:ind w:left="1260" w:firstLine="7"/>
        <w:spacing w:after="0" w:line="258" w:lineRule="auto"/>
        <w:tabs>
          <w:tab w:leader="none" w:pos="1564"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Code. The term “Excise Tax” means the excise tax imposed under Section 4999 of the Code, together with any interest or penalties imposed with respect to such excise tax.</w:t>
      </w:r>
    </w:p>
    <w:p>
      <w:pPr>
        <w:spacing w:after="0" w:line="193" w:lineRule="exact"/>
        <w:rPr>
          <w:sz w:val="20"/>
          <w:szCs w:val="20"/>
          <w:color w:val="auto"/>
        </w:rPr>
      </w:pPr>
    </w:p>
    <w:p>
      <w:pPr>
        <w:ind w:left="1900" w:hanging="633"/>
        <w:spacing w:after="0" w:line="257" w:lineRule="auto"/>
        <w:tabs>
          <w:tab w:leader="none" w:pos="1824"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determinations to be made under this Section 5(d) shall be made by an independent registered public accounting firm or consulting firm selected by the Company immediately prior to a change in control, which shall provide its determinations and any supporting calculations both to the Company and the Participant within ten (10) days of the change in control. Any such determination by such firm shall be binding upon the Company and the Participant. All of the fees and expenses of the accounting or consulting firm in performing the determinations referred to in this Section shall be borne solely by the Company.</w:t>
      </w:r>
    </w:p>
    <w:p>
      <w:pPr>
        <w:spacing w:after="0" w:line="2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b w:val="1"/>
          <w:bCs w:val="1"/>
          <w:i w:val="1"/>
          <w:iCs w:val="1"/>
          <w:color w:val="auto"/>
        </w:rPr>
        <w:t xml:space="preserve">[6. DIVIDEND EQUIVALENTS. </w:t>
      </w:r>
      <w:r>
        <w:rPr>
          <w:rFonts w:ascii="Times New Roman" w:cs="Times New Roman" w:eastAsia="Times New Roman" w:hAnsi="Times New Roman"/>
          <w:sz w:val="21"/>
          <w:szCs w:val="21"/>
          <w:i w:val="1"/>
          <w:iCs w:val="1"/>
          <w:color w:val="auto"/>
        </w:rPr>
        <w:t>Each Dividend Equivalent represents the right to receive an amount equal to the dividends that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are declared and paid during the period beginning on the Grant Date and ending on the Settlement Date with respect to the Shares represented by the related Performance Units Achieved, subject to the same terms and conditions. The Dividend Equivalents on Performance Units Achieved shall be payable only when and to the extent that the underlying Performance Unit vests and becomes payable. Any Dividend Equivalents will be distributed to you in accordance with Section 5 of this Award Agreement or forfeited, depending on whether or not you have met the conditions described in this Award Agreement and the Plan. Any such distributions will be made in (i) cash, for any Dividend Equivalents relating to cash dividends and/or (ii) Shares, for any Dividend Equivalents relating to Share dividends.]</w:t>
      </w:r>
    </w:p>
    <w:p>
      <w:pPr>
        <w:spacing w:after="0" w:line="16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1"/>
          <w:szCs w:val="21"/>
          <w:b w:val="1"/>
          <w:bCs w:val="1"/>
          <w:i w:val="1"/>
          <w:iCs w:val="1"/>
          <w:color w:val="auto"/>
        </w:rPr>
        <w:t>[6][7]</w:t>
      </w:r>
      <w:r>
        <w:rPr>
          <w:rFonts w:ascii="Times New Roman" w:cs="Times New Roman" w:eastAsia="Times New Roman" w:hAnsi="Times New Roman"/>
          <w:sz w:val="21"/>
          <w:szCs w:val="21"/>
          <w:b w:val="1"/>
          <w:bCs w:val="1"/>
          <w:color w:val="auto"/>
        </w:rPr>
        <w:t>.</w:t>
      </w:r>
      <w:r>
        <w:rPr>
          <w:sz w:val="20"/>
          <w:szCs w:val="20"/>
          <w:color w:val="auto"/>
        </w:rPr>
        <w:tab/>
      </w:r>
      <w:r>
        <w:rPr>
          <w:rFonts w:ascii="Times New Roman" w:cs="Times New Roman" w:eastAsia="Times New Roman" w:hAnsi="Times New Roman"/>
          <w:sz w:val="20"/>
          <w:szCs w:val="20"/>
          <w:b w:val="1"/>
          <w:bCs w:val="1"/>
          <w:color w:val="auto"/>
        </w:rPr>
        <w:t>FORFEITURE.</w:t>
      </w:r>
    </w:p>
    <w:p>
      <w:pPr>
        <w:spacing w:after="0" w:line="249" w:lineRule="exact"/>
        <w:rPr>
          <w:sz w:val="20"/>
          <w:szCs w:val="20"/>
          <w:color w:val="auto"/>
        </w:rPr>
      </w:pPr>
    </w:p>
    <w:p>
      <w:pPr>
        <w:ind w:left="1260" w:hanging="624"/>
        <w:spacing w:after="0" w:line="281" w:lineRule="auto"/>
        <w:tabs>
          <w:tab w:leader="none" w:pos="1257"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in Section 4 of this Award Agreement, you will forfeit your unvested Performance Units if you Terminate prior to the Normal Vesting Date, whether the performance criteria are achieved or not.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87" w:right="339" w:bottom="1440" w:gutter="0" w:footer="0" w:header="0"/>
        </w:sectPr>
      </w:pPr>
    </w:p>
    <w:bookmarkStart w:id="118" w:name="page119"/>
    <w:bookmarkEnd w:id="118"/>
    <w:p>
      <w:pPr>
        <w:spacing w:after="0" w:line="184" w:lineRule="exact"/>
        <w:rPr>
          <w:sz w:val="20"/>
          <w:szCs w:val="20"/>
          <w:color w:val="auto"/>
        </w:rPr>
      </w:pPr>
    </w:p>
    <w:p>
      <w:pPr>
        <w:jc w:val="both"/>
        <w:ind w:left="1260" w:hanging="624"/>
        <w:spacing w:after="0" w:line="263" w:lineRule="auto"/>
        <w:tabs>
          <w:tab w:leader="none" w:pos="1255"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you engage in “Conduct That Is Harmful To The Company” (as described below), you will forfeit your Performance Units </w:t>
      </w:r>
      <w:r>
        <w:rPr>
          <w:rFonts w:ascii="Times New Roman" w:cs="Times New Roman" w:eastAsia="Times New Roman" w:hAnsi="Times New Roman"/>
          <w:sz w:val="21"/>
          <w:szCs w:val="21"/>
          <w:i w:val="1"/>
          <w:iCs w:val="1"/>
          <w:color w:val="auto"/>
        </w:rPr>
        <w:t>[and related Dividend Equivalents]</w:t>
      </w:r>
      <w:r>
        <w:rPr>
          <w:rFonts w:ascii="Times New Roman" w:cs="Times New Roman" w:eastAsia="Times New Roman" w:hAnsi="Times New Roman"/>
          <w:sz w:val="21"/>
          <w:szCs w:val="21"/>
          <w:color w:val="auto"/>
        </w:rPr>
        <w:t xml:space="preserve"> and must return to the Company all Shares and other amounts you have received through the Plan or this Award Agreement if, without the Company’s written consent, you do any of the following within 180 days before and 730 days after you Terminate:</w:t>
      </w:r>
    </w:p>
    <w:p>
      <w:pPr>
        <w:spacing w:after="0" w:line="190" w:lineRule="exact"/>
        <w:rPr>
          <w:rFonts w:ascii="Times New Roman" w:cs="Times New Roman" w:eastAsia="Times New Roman" w:hAnsi="Times New Roman"/>
          <w:sz w:val="21"/>
          <w:szCs w:val="21"/>
          <w:color w:val="auto"/>
        </w:rPr>
      </w:pPr>
    </w:p>
    <w:p>
      <w:pPr>
        <w:ind w:left="1900" w:hanging="633"/>
        <w:spacing w:after="0" w:line="281" w:lineRule="auto"/>
        <w:tabs>
          <w:tab w:leader="none" w:pos="1888"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breach any confidentiality, nondisclosure, and/or noncompetition obligations under any agreement or plan with the Company or any Affiliate or Subsidiary;</w:t>
      </w:r>
    </w:p>
    <w:p>
      <w:pPr>
        <w:spacing w:after="0" w:line="170" w:lineRule="exact"/>
        <w:rPr>
          <w:rFonts w:ascii="Times New Roman" w:cs="Times New Roman" w:eastAsia="Times New Roman" w:hAnsi="Times New Roman"/>
          <w:sz w:val="21"/>
          <w:szCs w:val="21"/>
          <w:color w:val="auto"/>
        </w:rPr>
      </w:pPr>
    </w:p>
    <w:p>
      <w:pPr>
        <w:jc w:val="both"/>
        <w:ind w:left="1900" w:hanging="633"/>
        <w:spacing w:after="0" w:line="271" w:lineRule="auto"/>
        <w:tabs>
          <w:tab w:leader="none" w:pos="1894"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engage in conduct that the Committee reasonably concludes requires the forfeiture and recoupment of the Award under the terms of any Company recoupment or clawback policy, any other applicable policy of the Company, and any applicable laws and regulations;</w:t>
      </w:r>
    </w:p>
    <w:p>
      <w:pPr>
        <w:spacing w:after="0" w:line="180" w:lineRule="exact"/>
        <w:rPr>
          <w:rFonts w:ascii="Times New Roman" w:cs="Times New Roman" w:eastAsia="Times New Roman" w:hAnsi="Times New Roman"/>
          <w:sz w:val="21"/>
          <w:szCs w:val="21"/>
          <w:color w:val="auto"/>
        </w:rPr>
      </w:pPr>
    </w:p>
    <w:p>
      <w:pPr>
        <w:ind w:left="1900" w:hanging="633"/>
        <w:spacing w:after="0" w:line="281" w:lineRule="auto"/>
        <w:tabs>
          <w:tab w:leader="none" w:pos="1900"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fail or refuse to consult with, supply information to or otherwise cooperate with the Company or any Affiliate or Subsidiary after having been requested to do so;</w:t>
      </w:r>
    </w:p>
    <w:p>
      <w:pPr>
        <w:spacing w:after="0" w:line="170" w:lineRule="exact"/>
        <w:rPr>
          <w:rFonts w:ascii="Times New Roman" w:cs="Times New Roman" w:eastAsia="Times New Roman" w:hAnsi="Times New Roman"/>
          <w:sz w:val="21"/>
          <w:szCs w:val="21"/>
          <w:color w:val="auto"/>
        </w:rPr>
      </w:pPr>
    </w:p>
    <w:p>
      <w:pPr>
        <w:ind w:left="1900" w:hanging="633"/>
        <w:spacing w:after="0" w:line="281" w:lineRule="auto"/>
        <w:tabs>
          <w:tab w:leader="none" w:pos="1888"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deliberately engage in any action that the Company concludes has caused substantial harm to the interests of the Company or any Affiliate or Subsidiary;</w:t>
      </w:r>
    </w:p>
    <w:p>
      <w:pPr>
        <w:spacing w:after="0" w:line="170" w:lineRule="exact"/>
        <w:rPr>
          <w:rFonts w:ascii="Times New Roman" w:cs="Times New Roman" w:eastAsia="Times New Roman" w:hAnsi="Times New Roman"/>
          <w:sz w:val="21"/>
          <w:szCs w:val="21"/>
          <w:color w:val="auto"/>
        </w:rPr>
      </w:pPr>
    </w:p>
    <w:p>
      <w:pPr>
        <w:jc w:val="both"/>
        <w:ind w:left="1900" w:hanging="633"/>
        <w:spacing w:after="0" w:line="257" w:lineRule="auto"/>
        <w:tabs>
          <w:tab w:leader="none" w:pos="1895"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fail to return all property (other than personal property), including vehicles, computer or other equipment or electronic devices,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provided to you in the course of your employment with the Company or any Affiliate or Subsidiary; or</w:t>
      </w:r>
    </w:p>
    <w:p>
      <w:pPr>
        <w:spacing w:after="0" w:line="209" w:lineRule="exact"/>
        <w:rPr>
          <w:rFonts w:ascii="Times New Roman" w:cs="Times New Roman" w:eastAsia="Times New Roman" w:hAnsi="Times New Roman"/>
          <w:sz w:val="21"/>
          <w:szCs w:val="21"/>
          <w:color w:val="auto"/>
        </w:rPr>
      </w:pPr>
    </w:p>
    <w:p>
      <w:pPr>
        <w:ind w:left="1900" w:hanging="633"/>
        <w:spacing w:after="0" w:line="281" w:lineRule="auto"/>
        <w:tabs>
          <w:tab w:leader="none" w:pos="1888"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engaged in conduct that the Committee reasonably concludes would have given rise to a Termination for Cause had it been discovered before you Terminated.</w:t>
      </w:r>
    </w:p>
    <w:p>
      <w:pPr>
        <w:spacing w:after="0" w:line="167"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21"/>
          <w:szCs w:val="21"/>
          <w:b w:val="1"/>
          <w:bCs w:val="1"/>
          <w:i w:val="1"/>
          <w:iCs w:val="1"/>
          <w:color w:val="auto"/>
        </w:rPr>
        <w:t>[7][8]</w:t>
      </w:r>
      <w:r>
        <w:rPr>
          <w:rFonts w:ascii="Times New Roman" w:cs="Times New Roman" w:eastAsia="Times New Roman" w:hAnsi="Times New Roman"/>
          <w:sz w:val="21"/>
          <w:szCs w:val="21"/>
          <w:b w:val="1"/>
          <w:bCs w:val="1"/>
          <w:color w:val="auto"/>
        </w:rPr>
        <w:t>. AMENDMENT AND TERMINATION.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Subject to the terms of the Plan, the Company may amend or terminate this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Award Agreement or the Plan at any time.</w:t>
      </w:r>
    </w:p>
    <w:p>
      <w:pPr>
        <w:spacing w:after="0" w:line="163"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21"/>
          <w:szCs w:val="21"/>
          <w:b w:val="1"/>
          <w:bCs w:val="1"/>
          <w:i w:val="1"/>
          <w:iCs w:val="1"/>
          <w:color w:val="auto"/>
        </w:rPr>
        <w:t>[8][9]</w:t>
      </w:r>
      <w:r>
        <w:rPr>
          <w:rFonts w:ascii="Times New Roman" w:cs="Times New Roman" w:eastAsia="Times New Roman" w:hAnsi="Times New Roman"/>
          <w:sz w:val="21"/>
          <w:szCs w:val="21"/>
          <w:b w:val="1"/>
          <w:bCs w:val="1"/>
          <w:color w:val="auto"/>
        </w:rPr>
        <w:t>. BENEFICIARY DESIGNATION.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You may name a beneficiary or beneficiaries to receive any vested Performance Units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 xml:space="preserve">[and related Dividend Equivalents] </w:t>
      </w:r>
      <w:r>
        <w:rPr>
          <w:rFonts w:ascii="Times New Roman" w:cs="Times New Roman" w:eastAsia="Times New Roman" w:hAnsi="Times New Roman"/>
          <w:sz w:val="21"/>
          <w:szCs w:val="21"/>
          <w:color w:val="auto"/>
        </w:rPr>
        <w:t>that may be achieved under this Award Agreement but are settled after you die. This may be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done only on the Beneficiary Designation Form and by following the rules described in that Form. The Beneficiary Designation Form does not need to be completed now and is not required as a</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40" w:right="339" w:bottom="1440" w:gutter="0" w:footer="0" w:header="0"/>
        </w:sectPr>
      </w:pPr>
    </w:p>
    <w:bookmarkStart w:id="119" w:name="page120"/>
    <w:bookmarkEnd w:id="119"/>
    <w:p>
      <w:pPr>
        <w:ind w:right="220"/>
        <w:spacing w:after="0" w:line="281" w:lineRule="auto"/>
        <w:rPr>
          <w:sz w:val="20"/>
          <w:szCs w:val="20"/>
          <w:color w:val="auto"/>
        </w:rPr>
      </w:pPr>
      <w:r>
        <w:rPr>
          <w:rFonts w:ascii="Times New Roman" w:cs="Times New Roman" w:eastAsia="Times New Roman" w:hAnsi="Times New Roman"/>
          <w:sz w:val="21"/>
          <w:szCs w:val="21"/>
          <w:color w:val="auto"/>
        </w:rPr>
        <w:t>condition of receiving your Award. However, if you die without completing a Beneficiary Designation Form or if you do not complete that Form correctly, your beneficiary will be your surviving spouse or, if you do not have a surviving spouse, your estate.</w:t>
      </w:r>
    </w:p>
    <w:p>
      <w:pPr>
        <w:spacing w:after="0" w:line="167"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21"/>
          <w:szCs w:val="21"/>
          <w:b w:val="1"/>
          <w:bCs w:val="1"/>
          <w:i w:val="1"/>
          <w:iCs w:val="1"/>
          <w:color w:val="auto"/>
        </w:rPr>
        <w:t>[9][10]</w:t>
      </w:r>
      <w:r>
        <w:rPr>
          <w:rFonts w:ascii="Times New Roman" w:cs="Times New Roman" w:eastAsia="Times New Roman" w:hAnsi="Times New Roman"/>
          <w:sz w:val="21"/>
          <w:szCs w:val="21"/>
          <w:b w:val="1"/>
          <w:bCs w:val="1"/>
          <w:color w:val="auto"/>
        </w:rPr>
        <w:t>. TRANSFERRING YOUR PERFORMANCE UNITS</w:t>
      </w:r>
      <w:r>
        <w:rPr>
          <w:rFonts w:ascii="Times New Roman" w:cs="Times New Roman" w:eastAsia="Times New Roman" w:hAnsi="Times New Roman"/>
          <w:sz w:val="21"/>
          <w:szCs w:val="21"/>
          <w:b w:val="1"/>
          <w:bCs w:val="1"/>
          <w:i w:val="1"/>
          <w:iCs w:val="1"/>
          <w:color w:val="auto"/>
        </w:rPr>
        <w:t xml:space="preserve"> [AND RELATED DIVIDEND EQUIVALENTS]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Except as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described in Section </w:t>
      </w:r>
      <w:r>
        <w:rPr>
          <w:rFonts w:ascii="Times New Roman" w:cs="Times New Roman" w:eastAsia="Times New Roman" w:hAnsi="Times New Roman"/>
          <w:sz w:val="21"/>
          <w:szCs w:val="21"/>
          <w:i w:val="1"/>
          <w:iCs w:val="1"/>
          <w:color w:val="auto"/>
        </w:rPr>
        <w:t>[8][9]</w:t>
      </w:r>
      <w:r>
        <w:rPr>
          <w:rFonts w:ascii="Times New Roman" w:cs="Times New Roman" w:eastAsia="Times New Roman" w:hAnsi="Times New Roman"/>
          <w:sz w:val="21"/>
          <w:szCs w:val="21"/>
          <w:color w:val="auto"/>
        </w:rPr>
        <w:t xml:space="preserve">, your Performance Units </w:t>
      </w:r>
      <w:r>
        <w:rPr>
          <w:rFonts w:ascii="Times New Roman" w:cs="Times New Roman" w:eastAsia="Times New Roman" w:hAnsi="Times New Roman"/>
          <w:sz w:val="21"/>
          <w:szCs w:val="21"/>
          <w:i w:val="1"/>
          <w:iCs w:val="1"/>
          <w:color w:val="auto"/>
        </w:rPr>
        <w:t>[and related Dividend Equivalents]</w:t>
      </w:r>
      <w:r>
        <w:rPr>
          <w:rFonts w:ascii="Times New Roman" w:cs="Times New Roman" w:eastAsia="Times New Roman" w:hAnsi="Times New Roman"/>
          <w:sz w:val="21"/>
          <w:szCs w:val="21"/>
          <w:color w:val="auto"/>
        </w:rPr>
        <w:t xml:space="preserve"> may not be transferred to another person. Also, the Committee may allow you to place your Performance Units </w:t>
      </w:r>
      <w:r>
        <w:rPr>
          <w:rFonts w:ascii="Times New Roman" w:cs="Times New Roman" w:eastAsia="Times New Roman" w:hAnsi="Times New Roman"/>
          <w:sz w:val="21"/>
          <w:szCs w:val="21"/>
          <w:i w:val="1"/>
          <w:iCs w:val="1"/>
          <w:color w:val="auto"/>
        </w:rPr>
        <w:t>[and related Dividend Equivalents]</w:t>
      </w:r>
      <w:r>
        <w:rPr>
          <w:rFonts w:ascii="Times New Roman" w:cs="Times New Roman" w:eastAsia="Times New Roman" w:hAnsi="Times New Roman"/>
          <w:sz w:val="21"/>
          <w:szCs w:val="21"/>
          <w:color w:val="auto"/>
        </w:rPr>
        <w:t xml:space="preserve"> into a trust established for your benefit or the benefit of your family. Contact the Third Party Administrator for further details.</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b w:val="1"/>
          <w:bCs w:val="1"/>
          <w:i w:val="1"/>
          <w:iCs w:val="1"/>
          <w:color w:val="auto"/>
        </w:rPr>
        <w:t>[10][11]</w:t>
      </w:r>
      <w:r>
        <w:rPr>
          <w:rFonts w:ascii="Times New Roman" w:cs="Times New Roman" w:eastAsia="Times New Roman" w:hAnsi="Times New Roman"/>
          <w:sz w:val="21"/>
          <w:szCs w:val="21"/>
          <w:b w:val="1"/>
          <w:bCs w:val="1"/>
          <w:color w:val="auto"/>
        </w:rPr>
        <w:t>. GOVERNING LAW.</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This Award Agreement shall be governed by the laws of the State of Ohio, excluding any conflicts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or choice of law rule or principle that might otherwise refer construction or interpretation of the Plan to the substantive law of another jurisdiction. This Award Agreement and the delivery of any Shares hereunder shall be governed by applicable federal and state securities laws and exchanges.</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b w:val="1"/>
          <w:bCs w:val="1"/>
          <w:i w:val="1"/>
          <w:iCs w:val="1"/>
          <w:color w:val="auto"/>
        </w:rPr>
        <w:t>[11][12]</w:t>
      </w:r>
      <w:r>
        <w:rPr>
          <w:rFonts w:ascii="Times New Roman" w:cs="Times New Roman" w:eastAsia="Times New Roman" w:hAnsi="Times New Roman"/>
          <w:sz w:val="21"/>
          <w:szCs w:val="21"/>
          <w:b w:val="1"/>
          <w:bCs w:val="1"/>
          <w:color w:val="auto"/>
        </w:rPr>
        <w:t>. OTHER AGREEMENTS AND POLICIES.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Your Performance Units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[and related Dividend Equivalents]</w:t>
      </w:r>
      <w:r>
        <w:rPr>
          <w:rFonts w:ascii="Times New Roman" w:cs="Times New Roman" w:eastAsia="Times New Roman" w:hAnsi="Times New Roman"/>
          <w:sz w:val="21"/>
          <w:szCs w:val="21"/>
          <w:color w:val="auto"/>
        </w:rPr>
        <w:t>, whether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achieved or not, will be subject to the terms of any other written agreements between you and the Company or any Affiliate or Subsidiary to the extent that those other agreements do not directly conflict with the terms of the Plan or this Award Agreement. Your Performance Units granted under the Plan shall be subject to any applicable Company clawback or recoupment policies, share trading policies and other policies that may be implemented by the Company from time to time.</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1"/>
          <w:szCs w:val="21"/>
          <w:b w:val="1"/>
          <w:bCs w:val="1"/>
          <w:i w:val="1"/>
          <w:iCs w:val="1"/>
          <w:color w:val="auto"/>
        </w:rPr>
        <w:t>[12][13]</w:t>
      </w:r>
      <w:r>
        <w:rPr>
          <w:rFonts w:ascii="Times New Roman" w:cs="Times New Roman" w:eastAsia="Times New Roman" w:hAnsi="Times New Roman"/>
          <w:sz w:val="21"/>
          <w:szCs w:val="21"/>
          <w:b w:val="1"/>
          <w:bCs w:val="1"/>
          <w:color w:val="auto"/>
        </w:rPr>
        <w:t>. ADJUSTMENTS TO YOUR PERFORMANCE UNITS.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Subject to the terms of the Plan, your Performance Units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 xml:space="preserve">[and related Dividend Equivalents] </w:t>
      </w:r>
      <w:r>
        <w:rPr>
          <w:rFonts w:ascii="Times New Roman" w:cs="Times New Roman" w:eastAsia="Times New Roman" w:hAnsi="Times New Roman"/>
          <w:sz w:val="21"/>
          <w:szCs w:val="21"/>
          <w:color w:val="auto"/>
        </w:rPr>
        <w:t>will be adjusted, if appropriate, to reflect any change to the Company’s capital structure (e.g.,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number of Shares underlying your Performance Units will be adjusted to reflect a stock split).</w:t>
      </w:r>
    </w:p>
    <w:p>
      <w:pPr>
        <w:spacing w:after="0" w:line="18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1"/>
          <w:szCs w:val="21"/>
          <w:b w:val="1"/>
          <w:bCs w:val="1"/>
          <w:i w:val="1"/>
          <w:iCs w:val="1"/>
          <w:color w:val="auto"/>
        </w:rPr>
        <w:t>[13][14]</w:t>
      </w:r>
      <w:r>
        <w:rPr>
          <w:rFonts w:ascii="Times New Roman" w:cs="Times New Roman" w:eastAsia="Times New Roman" w:hAnsi="Times New Roman"/>
          <w:sz w:val="21"/>
          <w:szCs w:val="21"/>
          <w:b w:val="1"/>
          <w:bCs w:val="1"/>
          <w:color w:val="auto"/>
        </w:rPr>
        <w:t>.</w:t>
      </w:r>
      <w:r>
        <w:rPr>
          <w:sz w:val="20"/>
          <w:szCs w:val="20"/>
          <w:color w:val="auto"/>
        </w:rPr>
        <w:tab/>
      </w:r>
      <w:r>
        <w:rPr>
          <w:rFonts w:ascii="Times New Roman" w:cs="Times New Roman" w:eastAsia="Times New Roman" w:hAnsi="Times New Roman"/>
          <w:sz w:val="20"/>
          <w:szCs w:val="20"/>
          <w:b w:val="1"/>
          <w:bCs w:val="1"/>
          <w:color w:val="auto"/>
        </w:rPr>
        <w:t>YOUR ACKNOWLEDGMENT OF AND AGREEMENT TO AWARD CONDITIONS.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signing below, you acknowledge and agree that:</w:t>
      </w:r>
    </w:p>
    <w:p>
      <w:pPr>
        <w:spacing w:after="0" w:line="219" w:lineRule="exact"/>
        <w:rPr>
          <w:sz w:val="20"/>
          <w:szCs w:val="20"/>
          <w:color w:val="auto"/>
        </w:rPr>
      </w:pPr>
    </w:p>
    <w:p>
      <w:pPr>
        <w:ind w:left="1060" w:hanging="424"/>
        <w:spacing w:after="0"/>
        <w:tabs>
          <w:tab w:leader="none" w:pos="106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copy of the Plan has been made available to you;</w:t>
      </w:r>
    </w:p>
    <w:p>
      <w:pPr>
        <w:spacing w:after="0" w:line="218" w:lineRule="exact"/>
        <w:rPr>
          <w:rFonts w:ascii="Times New Roman" w:cs="Times New Roman" w:eastAsia="Times New Roman" w:hAnsi="Times New Roman"/>
          <w:sz w:val="21"/>
          <w:szCs w:val="21"/>
          <w:color w:val="auto"/>
        </w:rPr>
      </w:pPr>
    </w:p>
    <w:p>
      <w:pPr>
        <w:ind w:left="1080" w:hanging="444"/>
        <w:spacing w:after="0"/>
        <w:tabs>
          <w:tab w:leader="none" w:pos="108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understand and accept the terms and conditions of your Award;</w:t>
      </w:r>
    </w:p>
    <w:p>
      <w:pPr>
        <w:spacing w:after="0" w:line="218" w:lineRule="exact"/>
        <w:rPr>
          <w:rFonts w:ascii="Times New Roman" w:cs="Times New Roman" w:eastAsia="Times New Roman" w:hAnsi="Times New Roman"/>
          <w:sz w:val="21"/>
          <w:szCs w:val="21"/>
          <w:color w:val="auto"/>
        </w:rPr>
      </w:pPr>
    </w:p>
    <w:p>
      <w:pPr>
        <w:ind w:left="1260" w:hanging="624"/>
        <w:spacing w:after="0" w:line="281" w:lineRule="auto"/>
        <w:tabs>
          <w:tab w:leader="none" w:pos="1139"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accepting this Award under the Plan, you agree to all Committee determinations as described in the Plan and this Award Agreement;</w:t>
      </w:r>
    </w:p>
    <w:p>
      <w:pPr>
        <w:spacing w:after="0" w:line="183" w:lineRule="exact"/>
        <w:rPr>
          <w:rFonts w:ascii="Times New Roman" w:cs="Times New Roman" w:eastAsia="Times New Roman" w:hAnsi="Times New Roman"/>
          <w:sz w:val="21"/>
          <w:szCs w:val="21"/>
          <w:color w:val="auto"/>
        </w:rPr>
      </w:pPr>
    </w:p>
    <w:p>
      <w:pPr>
        <w:jc w:val="both"/>
        <w:ind w:left="1260" w:hanging="624"/>
        <w:spacing w:after="0" w:line="265" w:lineRule="auto"/>
        <w:tabs>
          <w:tab w:leader="none" w:pos="1191"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will consent (on your own behalf and on behalf of your beneficiaries and transferees and without any further consideration) to any necessary change to your Award or this Award Agreement to comply with any law and to avoid paying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87" w:right="339" w:bottom="1440" w:gutter="0" w:footer="0" w:header="0"/>
        </w:sectPr>
      </w:pPr>
    </w:p>
    <w:bookmarkStart w:id="120" w:name="page121"/>
    <w:bookmarkEnd w:id="120"/>
    <w:p>
      <w:pPr>
        <w:ind w:left="1180"/>
        <w:spacing w:after="0" w:line="281" w:lineRule="auto"/>
        <w:rPr>
          <w:sz w:val="20"/>
          <w:szCs w:val="20"/>
          <w:color w:val="auto"/>
        </w:rPr>
      </w:pPr>
      <w:r>
        <w:rPr>
          <w:rFonts w:ascii="Times New Roman" w:cs="Times New Roman" w:eastAsia="Times New Roman" w:hAnsi="Times New Roman"/>
          <w:sz w:val="21"/>
          <w:szCs w:val="21"/>
          <w:color w:val="auto"/>
        </w:rPr>
        <w:t>penalties under Section 409A of the Code, even if those changes affect the terms of your Award and reduce its value or potential value; and</w:t>
      </w:r>
    </w:p>
    <w:p>
      <w:pPr>
        <w:spacing w:after="0" w:line="144" w:lineRule="exact"/>
        <w:rPr>
          <w:sz w:val="20"/>
          <w:szCs w:val="20"/>
          <w:color w:val="auto"/>
        </w:rPr>
      </w:pPr>
    </w:p>
    <w:p>
      <w:pPr>
        <w:ind w:left="1180" w:hanging="624"/>
        <w:spacing w:after="0" w:line="294" w:lineRule="auto"/>
        <w:tabs>
          <w:tab w:leader="none" w:pos="1058"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must return a signed copy of this Award Agreement utilizing the on-line grant agreement process defined above before [</w:t>
      </w: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w:t>
      </w:r>
    </w:p>
    <w:p>
      <w:pPr>
        <w:sectPr>
          <w:pgSz w:w="11900" w:h="16838" w:orient="portrait"/>
          <w:cols w:equalWidth="0" w:num="1">
            <w:col w:w="11160"/>
          </w:cols>
          <w:pgMar w:left="400" w:top="1387" w:right="339" w:bottom="1440" w:gutter="0" w:footer="0" w:header="0"/>
        </w:sect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Grantee’s Name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SCOTTS MIRACLE-GRO COMPANY</w:t>
      </w:r>
    </w:p>
    <w:p>
      <w:pPr>
        <w:spacing w:after="0" w:line="200" w:lineRule="exact"/>
        <w:rPr>
          <w:sz w:val="20"/>
          <w:szCs w:val="20"/>
          <w:color w:val="auto"/>
        </w:rPr>
      </w:pPr>
    </w:p>
    <w:p>
      <w:pPr>
        <w:sectPr>
          <w:pgSz w:w="11900" w:h="16838" w:orient="portrait"/>
          <w:cols w:equalWidth="0" w:num="2">
            <w:col w:w="4640" w:space="720"/>
            <w:col w:w="5800"/>
          </w:cols>
          <w:pgMar w:left="400" w:top="1387" w:right="339" w:bottom="1440" w:gutter="0" w:footer="0" w:header="0"/>
          <w:type w:val="continuous"/>
        </w:sectPr>
      </w:pP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By: ___________________________________</w:t>
      </w:r>
    </w:p>
    <w:p>
      <w:pPr>
        <w:spacing w:after="0" w:line="198" w:lineRule="exact"/>
        <w:rPr>
          <w:sz w:val="20"/>
          <w:szCs w:val="20"/>
          <w:color w:val="auto"/>
        </w:rPr>
      </w:pPr>
    </w:p>
    <w:p>
      <w:pPr>
        <w:sectPr>
          <w:pgSz w:w="11900" w:h="16838" w:orient="portrait"/>
          <w:cols w:equalWidth="0" w:num="2">
            <w:col w:w="4700" w:space="720"/>
            <w:col w:w="5740"/>
          </w:cols>
          <w:pgMar w:left="400" w:top="1387"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signed: 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[Name of Company Representative]</w:t>
      </w:r>
    </w:p>
    <w:p>
      <w:pPr>
        <w:spacing w:after="0" w:line="209" w:lineRule="auto"/>
        <w:rPr>
          <w:sz w:val="20"/>
          <w:szCs w:val="20"/>
          <w:color w:val="auto"/>
        </w:rPr>
      </w:pPr>
      <w:r>
        <w:rPr>
          <w:rFonts w:ascii="Times New Roman" w:cs="Times New Roman" w:eastAsia="Times New Roman" w:hAnsi="Times New Roman"/>
          <w:sz w:val="21"/>
          <w:szCs w:val="21"/>
          <w:color w:val="auto"/>
        </w:rPr>
        <w:t>[Title of Company Representative]</w:t>
      </w:r>
    </w:p>
    <w:p>
      <w:pPr>
        <w:spacing w:after="0"/>
        <w:rPr>
          <w:sz w:val="20"/>
          <w:szCs w:val="20"/>
          <w:color w:val="auto"/>
        </w:rPr>
      </w:pPr>
      <w:r>
        <w:rPr>
          <w:rFonts w:ascii="Times New Roman" w:cs="Times New Roman" w:eastAsia="Times New Roman" w:hAnsi="Times New Roman"/>
          <w:sz w:val="21"/>
          <w:szCs w:val="21"/>
          <w:color w:val="auto"/>
        </w:rPr>
        <w:t>Date signed: ____________________________</w:t>
      </w:r>
    </w:p>
    <w:p>
      <w:pPr>
        <w:spacing w:after="0" w:line="200" w:lineRule="exact"/>
        <w:rPr>
          <w:sz w:val="20"/>
          <w:szCs w:val="20"/>
          <w:color w:val="auto"/>
        </w:rPr>
      </w:pPr>
    </w:p>
    <w:p>
      <w:pPr>
        <w:sectPr>
          <w:pgSz w:w="11900" w:h="16838" w:orient="portrait"/>
          <w:cols w:equalWidth="0" w:num="2">
            <w:col w:w="4700" w:space="720"/>
            <w:col w:w="5740"/>
          </w:cols>
          <w:pgMar w:left="400" w:top="138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160"/>
          </w:cols>
          <w:pgMar w:left="400" w:top="1387" w:right="339" w:bottom="1440" w:gutter="0" w:footer="0" w:header="0"/>
          <w:type w:val="continuous"/>
        </w:sectPr>
      </w:pPr>
    </w:p>
    <w:bookmarkStart w:id="121" w:name="page122"/>
    <w:bookmarkEnd w:id="121"/>
    <w:p>
      <w:pPr>
        <w:jc w:val="center"/>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PERFORMANCE CRITERIA</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(EQUITY INCENTIVE: PERFORMANCE UNIT AWARD)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Performance Unit Achievement:</w:t>
      </w:r>
    </w:p>
    <w:p>
      <w:pPr>
        <w:spacing w:after="0" w:line="219"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21"/>
          <w:szCs w:val="21"/>
          <w:color w:val="auto"/>
        </w:rPr>
        <w:t>The number of Performance Units Achieved under this Award Agreement is subject to the satisfaction of the following performance criteria and will be determined as of the end of the Performance Period, as follows: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Performance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Performance Units Achieved = Performance Units * Payout Percentage (capped at [·]%)</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Payout Percentage = Portion of Performance Units achieved based on actual results against the following performance goals:</w:t>
      </w:r>
    </w:p>
    <w:p>
      <w:pPr>
        <w:spacing w:after="0" w:line="200" w:lineRule="exact"/>
        <w:rPr>
          <w:sz w:val="20"/>
          <w:szCs w:val="20"/>
          <w:color w:val="auto"/>
        </w:rPr>
      </w:pPr>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200" w:type="dxa"/>
            <w:vAlign w:val="bottom"/>
            <w:tcBorders>
              <w:right w:val="single" w:sz="8" w:color="auto"/>
            </w:tcBorders>
          </w:tcPr>
          <w:p>
            <w:pPr>
              <w:spacing w:after="0"/>
              <w:rPr>
                <w:sz w:val="18"/>
                <w:szCs w:val="18"/>
                <w:color w:val="auto"/>
              </w:rPr>
            </w:pPr>
          </w:p>
        </w:tc>
        <w:tc>
          <w:tcPr>
            <w:tcW w:w="1540" w:type="dxa"/>
            <w:vAlign w:val="bottom"/>
            <w:tcBorders>
              <w:top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1"/>
                <w:szCs w:val="21"/>
                <w:b w:val="1"/>
                <w:bCs w:val="1"/>
                <w:color w:val="auto"/>
                <w:w w:val="98"/>
              </w:rPr>
              <w:t>Metric</w:t>
            </w:r>
          </w:p>
        </w:tc>
        <w:tc>
          <w:tcPr>
            <w:tcW w:w="1600" w:type="dxa"/>
            <w:vAlign w:val="bottom"/>
            <w:tcBorders>
              <w:top w:val="single" w:sz="8" w:color="auto"/>
              <w:right w:val="single" w:sz="8" w:color="auto"/>
            </w:tcBorders>
          </w:tcPr>
          <w:p>
            <w:pPr>
              <w:spacing w:after="0"/>
              <w:rPr>
                <w:sz w:val="18"/>
                <w:szCs w:val="18"/>
                <w:color w:val="auto"/>
              </w:rPr>
            </w:pPr>
          </w:p>
        </w:tc>
        <w:tc>
          <w:tcPr>
            <w:tcW w:w="1620" w:type="dxa"/>
            <w:vAlign w:val="bottom"/>
            <w:tcBorders>
              <w:top w:val="single" w:sz="8" w:color="auto"/>
              <w:right w:val="single" w:sz="8" w:color="auto"/>
            </w:tcBorders>
          </w:tcPr>
          <w:p>
            <w:pPr>
              <w:spacing w:after="0"/>
              <w:rPr>
                <w:sz w:val="18"/>
                <w:szCs w:val="18"/>
                <w:color w:val="auto"/>
              </w:rPr>
            </w:pPr>
          </w:p>
        </w:tc>
        <w:tc>
          <w:tcPr>
            <w:tcW w:w="160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220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w w:val="98"/>
              </w:rPr>
              <w:t>Weighting</w:t>
            </w:r>
          </w:p>
        </w:tc>
        <w:tc>
          <w:tcPr>
            <w:tcW w:w="160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b w:val="1"/>
                <w:bCs w:val="1"/>
                <w:color w:val="auto"/>
              </w:rPr>
              <w:t>[Metric]</w:t>
            </w: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[TBD%]</w:t>
            </w:r>
          </w:p>
        </w:tc>
        <w:tc>
          <w:tcPr>
            <w:tcW w:w="1600" w:type="dxa"/>
            <w:vAlign w:val="bottom"/>
            <w:tcBorders>
              <w:right w:val="single" w:sz="8" w:color="auto"/>
            </w:tcBorders>
            <w:vMerge w:val="restart"/>
          </w:tcPr>
          <w:p>
            <w:pPr>
              <w:ind w:left="420"/>
              <w:spacing w:after="0"/>
              <w:rPr>
                <w:sz w:val="20"/>
                <w:szCs w:val="20"/>
                <w:color w:val="auto"/>
              </w:rPr>
            </w:pPr>
            <w:r>
              <w:rPr>
                <w:rFonts w:ascii="Times New Roman" w:cs="Times New Roman" w:eastAsia="Times New Roman" w:hAnsi="Times New Roman"/>
                <w:sz w:val="21"/>
                <w:szCs w:val="21"/>
                <w:b w:val="1"/>
                <w:bCs w:val="1"/>
                <w:color w:val="auto"/>
              </w:rPr>
              <w:t>$TBDM</w:t>
            </w:r>
          </w:p>
        </w:tc>
        <w:tc>
          <w:tcPr>
            <w:tcW w:w="1620" w:type="dxa"/>
            <w:vAlign w:val="bottom"/>
            <w:tcBorders>
              <w:right w:val="single" w:sz="8" w:color="auto"/>
            </w:tcBorders>
            <w:vMerge w:val="restart"/>
          </w:tcPr>
          <w:p>
            <w:pPr>
              <w:ind w:left="420"/>
              <w:spacing w:after="0"/>
              <w:rPr>
                <w:sz w:val="20"/>
                <w:szCs w:val="20"/>
                <w:color w:val="auto"/>
              </w:rPr>
            </w:pPr>
            <w:r>
              <w:rPr>
                <w:rFonts w:ascii="Times New Roman" w:cs="Times New Roman" w:eastAsia="Times New Roman" w:hAnsi="Times New Roman"/>
                <w:sz w:val="21"/>
                <w:szCs w:val="21"/>
                <w:b w:val="1"/>
                <w:bCs w:val="1"/>
                <w:color w:val="auto"/>
              </w:rPr>
              <w:t>$TBDM</w:t>
            </w:r>
          </w:p>
        </w:tc>
        <w:tc>
          <w:tcPr>
            <w:tcW w:w="1600" w:type="dxa"/>
            <w:vAlign w:val="bottom"/>
            <w:tcBorders>
              <w:right w:val="single" w:sz="8" w:color="auto"/>
            </w:tcBorders>
            <w:vMerge w:val="restart"/>
          </w:tcPr>
          <w:p>
            <w:pPr>
              <w:ind w:left="420"/>
              <w:spacing w:after="0"/>
              <w:rPr>
                <w:sz w:val="20"/>
                <w:szCs w:val="20"/>
                <w:color w:val="auto"/>
              </w:rPr>
            </w:pPr>
            <w:r>
              <w:rPr>
                <w:rFonts w:ascii="Times New Roman" w:cs="Times New Roman" w:eastAsia="Times New Roman" w:hAnsi="Times New Roman"/>
                <w:sz w:val="21"/>
                <w:szCs w:val="21"/>
                <w:b w:val="1"/>
                <w:bCs w:val="1"/>
                <w:color w:val="auto"/>
              </w:rPr>
              <w:t>$TBDM</w:t>
            </w:r>
          </w:p>
        </w:tc>
        <w:tc>
          <w:tcPr>
            <w:tcW w:w="0" w:type="dxa"/>
            <w:vAlign w:val="bottom"/>
          </w:tcPr>
          <w:p>
            <w:pPr>
              <w:spacing w:after="0"/>
              <w:rPr>
                <w:sz w:val="1"/>
                <w:szCs w:val="1"/>
                <w:color w:val="auto"/>
              </w:rPr>
            </w:pPr>
          </w:p>
        </w:tc>
      </w:tr>
      <w:tr>
        <w:trPr>
          <w:trHeight w:val="100"/>
        </w:trPr>
        <w:tc>
          <w:tcPr>
            <w:tcW w:w="2200" w:type="dxa"/>
            <w:vAlign w:val="bottom"/>
            <w:tcBorders>
              <w:left w:val="single" w:sz="8" w:color="auto"/>
              <w:right w:val="single" w:sz="8" w:color="auto"/>
            </w:tcBorders>
          </w:tcPr>
          <w:p>
            <w:pPr>
              <w:spacing w:after="0"/>
              <w:rPr>
                <w:sz w:val="8"/>
                <w:szCs w:val="8"/>
                <w:color w:val="auto"/>
              </w:rPr>
            </w:pPr>
          </w:p>
        </w:tc>
        <w:tc>
          <w:tcPr>
            <w:tcW w:w="154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200" w:type="dxa"/>
            <w:vAlign w:val="bottom"/>
            <w:tcBorders>
              <w:left w:val="single" w:sz="8" w:color="auto"/>
              <w:bottom w:val="single" w:sz="8" w:color="auto"/>
              <w:right w:val="single" w:sz="8" w:color="auto"/>
            </w:tcBorders>
          </w:tcPr>
          <w:p>
            <w:pPr>
              <w:spacing w:after="0"/>
              <w:rPr>
                <w:sz w:val="10"/>
                <w:szCs w:val="10"/>
                <w:color w:val="auto"/>
              </w:rPr>
            </w:pPr>
          </w:p>
        </w:tc>
        <w:tc>
          <w:tcPr>
            <w:tcW w:w="154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b w:val="1"/>
                <w:bCs w:val="1"/>
                <w:color w:val="auto"/>
              </w:rPr>
              <w:t>[Metric]</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[TBD%]</w:t>
            </w:r>
          </w:p>
        </w:tc>
        <w:tc>
          <w:tcPr>
            <w:tcW w:w="1600" w:type="dxa"/>
            <w:vAlign w:val="bottom"/>
            <w:tcBorders>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21"/>
                <w:szCs w:val="21"/>
                <w:b w:val="1"/>
                <w:bCs w:val="1"/>
                <w:color w:val="auto"/>
              </w:rPr>
              <w:t>$TBDM</w:t>
            </w:r>
          </w:p>
        </w:tc>
        <w:tc>
          <w:tcPr>
            <w:tcW w:w="1620" w:type="dxa"/>
            <w:vAlign w:val="bottom"/>
            <w:tcBorders>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21"/>
                <w:szCs w:val="21"/>
                <w:b w:val="1"/>
                <w:bCs w:val="1"/>
                <w:color w:val="auto"/>
              </w:rPr>
              <w:t>$TBDM</w:t>
            </w:r>
          </w:p>
        </w:tc>
        <w:tc>
          <w:tcPr>
            <w:tcW w:w="1600" w:type="dxa"/>
            <w:vAlign w:val="bottom"/>
            <w:tcBorders>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21"/>
                <w:szCs w:val="21"/>
                <w:b w:val="1"/>
                <w:bCs w:val="1"/>
                <w:color w:val="auto"/>
              </w:rPr>
              <w:t>$TBDM</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left="640"/>
        <w:spacing w:after="0" w:line="273" w:lineRule="auto"/>
        <w:rPr>
          <w:sz w:val="20"/>
          <w:szCs w:val="20"/>
          <w:color w:val="auto"/>
        </w:rPr>
      </w:pPr>
      <w:r>
        <w:rPr>
          <w:rFonts w:ascii="Times New Roman" w:cs="Times New Roman" w:eastAsia="Times New Roman" w:hAnsi="Times New Roman"/>
          <w:sz w:val="21"/>
          <w:szCs w:val="21"/>
          <w:b w:val="1"/>
          <w:bCs w:val="1"/>
          <w:color w:val="auto"/>
        </w:rPr>
        <w:t xml:space="preserve">Note 1: </w:t>
      </w:r>
      <w:r>
        <w:rPr>
          <w:rFonts w:ascii="Times New Roman" w:cs="Times New Roman" w:eastAsia="Times New Roman" w:hAnsi="Times New Roman"/>
          <w:sz w:val="21"/>
          <w:szCs w:val="21"/>
          <w:color w:val="auto"/>
        </w:rPr>
        <w:t>Performance goals may be adjusted as applicable over the Performance Period (subject to the Compensation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Organization Committee approval) to account for material acquisitions, new or expanded JVs, divestitures and certain other pre-defined events.</w:t>
      </w:r>
    </w:p>
    <w:p>
      <w:pPr>
        <w:spacing w:after="0" w:line="43" w:lineRule="exact"/>
        <w:rPr>
          <w:sz w:val="20"/>
          <w:szCs w:val="20"/>
          <w:color w:val="auto"/>
        </w:rPr>
      </w:pPr>
    </w:p>
    <w:p>
      <w:pPr>
        <w:jc w:val="both"/>
        <w:ind w:left="640"/>
        <w:spacing w:after="0" w:line="267" w:lineRule="auto"/>
        <w:rPr>
          <w:sz w:val="20"/>
          <w:szCs w:val="20"/>
          <w:color w:val="auto"/>
        </w:rPr>
      </w:pPr>
      <w:r>
        <w:rPr>
          <w:rFonts w:ascii="Times New Roman" w:cs="Times New Roman" w:eastAsia="Times New Roman" w:hAnsi="Times New Roman"/>
          <w:sz w:val="21"/>
          <w:szCs w:val="21"/>
          <w:b w:val="1"/>
          <w:bCs w:val="1"/>
          <w:color w:val="auto"/>
        </w:rPr>
        <w:t xml:space="preserve">Note 2: </w:t>
      </w:r>
      <w:r>
        <w:rPr>
          <w:rFonts w:ascii="Times New Roman" w:cs="Times New Roman" w:eastAsia="Times New Roman" w:hAnsi="Times New Roman"/>
          <w:sz w:val="21"/>
          <w:szCs w:val="21"/>
          <w:color w:val="auto"/>
        </w:rPr>
        <w:t>If the actual payout percentage is greater than [·]%, the number of Performance Units Achieved, the number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Performance Units Achieved will be capped at [·]% of the target shares granted. [Payouts above [·]% are payable in cash subject to the terms and conditions of the applicable annual incentive plan for (i.e. EIP, SLIP, etc.)]</w:t>
      </w:r>
    </w:p>
    <w:p>
      <w:pPr>
        <w:spacing w:after="0" w:line="180" w:lineRule="exact"/>
        <w:rPr>
          <w:sz w:val="20"/>
          <w:szCs w:val="20"/>
          <w:color w:val="auto"/>
        </w:rPr>
      </w:pPr>
    </w:p>
    <w:p>
      <w:pPr>
        <w:jc w:val="both"/>
        <w:ind w:left="640"/>
        <w:spacing w:after="0" w:line="298" w:lineRule="auto"/>
        <w:rPr>
          <w:sz w:val="20"/>
          <w:szCs w:val="20"/>
          <w:color w:val="auto"/>
        </w:rPr>
      </w:pPr>
      <w:r>
        <w:rPr>
          <w:rFonts w:ascii="Times New Roman" w:cs="Times New Roman" w:eastAsia="Times New Roman" w:hAnsi="Times New Roman"/>
          <w:sz w:val="21"/>
          <w:szCs w:val="21"/>
          <w:b w:val="1"/>
          <w:bCs w:val="1"/>
          <w:color w:val="auto"/>
        </w:rPr>
        <w:t xml:space="preserve">Note 3: </w:t>
      </w:r>
      <w:r>
        <w:rPr>
          <w:rFonts w:ascii="Times New Roman" w:cs="Times New Roman" w:eastAsia="Times New Roman" w:hAnsi="Times New Roman"/>
          <w:sz w:val="21"/>
          <w:szCs w:val="21"/>
          <w:color w:val="auto"/>
        </w:rPr>
        <w:t>If actual performance is below the Minimum performance level indicated for both metrics, no Performance Units will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83"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1"/>
          <w:szCs w:val="21"/>
          <w:b w:val="1"/>
          <w:bCs w:val="1"/>
          <w:color w:val="auto"/>
        </w:rPr>
        <w:t>Exhibit 10.8</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Summary of Compensation for Nonemployee Directors of</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The Scotts Miracle-Gro Company</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Effective as of January 24, 2022</w:t>
      </w:r>
    </w:p>
    <w:p>
      <w:pPr>
        <w:spacing w:after="0" w:line="2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1"/>
          <w:szCs w:val="21"/>
          <w:b w:val="1"/>
          <w:bCs w:val="1"/>
          <w:color w:val="auto"/>
        </w:rPr>
        <w:t>_____________________________________</w:t>
      </w:r>
    </w:p>
    <w:p>
      <w:pPr>
        <w:spacing w:after="0" w:line="221" w:lineRule="exact"/>
        <w:rPr>
          <w:sz w:val="20"/>
          <w:szCs w:val="20"/>
          <w:color w:val="auto"/>
        </w:rPr>
      </w:pPr>
    </w:p>
    <w:p>
      <w:pPr>
        <w:ind w:right="620" w:firstLine="631"/>
        <w:spacing w:after="0" w:line="280" w:lineRule="auto"/>
        <w:rPr>
          <w:sz w:val="20"/>
          <w:szCs w:val="20"/>
          <w:color w:val="auto"/>
        </w:rPr>
      </w:pPr>
      <w:r>
        <w:rPr>
          <w:rFonts w:ascii="Times New Roman" w:cs="Times New Roman" w:eastAsia="Times New Roman" w:hAnsi="Times New Roman"/>
          <w:sz w:val="20"/>
          <w:szCs w:val="20"/>
          <w:color w:val="auto"/>
        </w:rPr>
        <w:t>At the meeting of the Board of Directors (the “Board”) of The Scotts Miracle-Gro Company (the “Company”) held on January 24, 2022, the Board approved the recommendations of the Nominating and Governance Committee of the Board (the “Committee”) with respect to compensation for the calendar year for nonemployee members of the Board (“Nonemployee Directors”) and the Lead Independent Director of the Company. The compensation approved by the Board is described below.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Annual Cash Retainer; Reimbursement of Expenses</w:t>
      </w:r>
    </w:p>
    <w:p>
      <w:pPr>
        <w:spacing w:after="0" w:line="249" w:lineRule="exact"/>
        <w:rPr>
          <w:sz w:val="20"/>
          <w:szCs w:val="20"/>
          <w:color w:val="auto"/>
        </w:rPr>
      </w:pPr>
    </w:p>
    <w:p>
      <w:pPr>
        <w:ind w:right="40" w:firstLine="631"/>
        <w:spacing w:after="0" w:line="257" w:lineRule="auto"/>
        <w:rPr>
          <w:sz w:val="20"/>
          <w:szCs w:val="20"/>
          <w:color w:val="auto"/>
        </w:rPr>
      </w:pPr>
      <w:r>
        <w:rPr>
          <w:rFonts w:ascii="Times New Roman" w:cs="Times New Roman" w:eastAsia="Times New Roman" w:hAnsi="Times New Roman"/>
          <w:sz w:val="21"/>
          <w:szCs w:val="21"/>
          <w:color w:val="auto"/>
        </w:rPr>
        <w:t>Each of the Nonemployee Directors will be paid an annual cash retainer in the amount of $115,000 and the Lead Independent Director will be paid an additional annual cash retainer in the amount of $15,000. The annual cash retainer(s) will be paid on a quarterly basis, in February, April, July and October. The Nonemployee Directors have the option to elect, in advance, to receive up to 100% of their quarterly cash retainers in cash or fully-vested deferred stock units that generally settle in three years. Nonemployee Directors receive reimbursement of all reasonable travel and other expenses associated with attending Board and Board committee meetings.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Restricted Stock Units</w:t>
      </w:r>
    </w:p>
    <w:p>
      <w:pPr>
        <w:spacing w:after="0" w:line="249" w:lineRule="exact"/>
        <w:rPr>
          <w:sz w:val="20"/>
          <w:szCs w:val="20"/>
          <w:color w:val="auto"/>
        </w:rPr>
      </w:pPr>
    </w:p>
    <w:p>
      <w:pPr>
        <w:ind w:right="140" w:firstLine="631"/>
        <w:spacing w:after="0" w:line="255" w:lineRule="auto"/>
        <w:rPr>
          <w:sz w:val="20"/>
          <w:szCs w:val="20"/>
          <w:color w:val="auto"/>
        </w:rPr>
      </w:pPr>
      <w:r>
        <w:rPr>
          <w:rFonts w:ascii="Times New Roman" w:cs="Times New Roman" w:eastAsia="Times New Roman" w:hAnsi="Times New Roman"/>
          <w:sz w:val="21"/>
          <w:szCs w:val="21"/>
          <w:color w:val="auto"/>
        </w:rPr>
        <w:t>Shortly following each of the Company’s annual meetings: (a) each Nonemployee Director will be granted restricted stock units having a grant date value of $210,000, with no additional restricted stock units awarded for serving as Board committee chairs or members; and (b) the Lead Independent Director will be granted additional restricted stock units having a grant date value of $35,000. The number of restricted stock units (and related dividend equivalents) granted to each Nonemployee Director will be calculated by dividing the aggregate value of restricted stock units to be granted to such Nonemployee Director by the closing price of the Company’s common shares on the grant date and rounding any resulting fractional restricted stock unit up to the next whole restricted stock unit.</w:t>
      </w:r>
    </w:p>
    <w:p>
      <w:pPr>
        <w:spacing w:after="0" w:line="215" w:lineRule="exact"/>
        <w:rPr>
          <w:sz w:val="20"/>
          <w:szCs w:val="20"/>
          <w:color w:val="auto"/>
        </w:rPr>
      </w:pPr>
    </w:p>
    <w:p>
      <w:pPr>
        <w:ind w:right="180" w:firstLine="631"/>
        <w:spacing w:after="0" w:line="255" w:lineRule="auto"/>
        <w:rPr>
          <w:sz w:val="20"/>
          <w:szCs w:val="20"/>
          <w:color w:val="auto"/>
        </w:rPr>
      </w:pPr>
      <w:r>
        <w:rPr>
          <w:rFonts w:ascii="Times New Roman" w:cs="Times New Roman" w:eastAsia="Times New Roman" w:hAnsi="Times New Roman"/>
          <w:sz w:val="21"/>
          <w:szCs w:val="21"/>
          <w:color w:val="auto"/>
        </w:rPr>
        <w:t>The restricted stock units (and related dividend equivalents) will be granted under The Scotts Miracle-Gro Company Long-Term Incentive Plan (Effective as of January 24, 2022) (the “2022 Plan”). Each whole restricted stock unit represents the right to receive one full common share of the Company at the time and in the manner described in the Restricted Stock Unit Award Agreement for Nonemployee Directors (with Related Dividend Equivalents) evidencing the award. Each dividend equivalent represents the right to receive additional restricted stock units (rounded to the nearest whole restricted stock unit) in respect of dividends that are declared and paid during the period beginning on the grant date and ending on the settlement date with respect to the common shares of the Company represented by the related restricted stock units.</w:t>
      </w:r>
    </w:p>
    <w:p>
      <w:pPr>
        <w:spacing w:after="0" w:line="202" w:lineRule="exact"/>
        <w:rPr>
          <w:sz w:val="20"/>
          <w:szCs w:val="20"/>
          <w:color w:val="auto"/>
        </w:rPr>
      </w:pPr>
    </w:p>
    <w:p>
      <w:pPr>
        <w:ind w:right="140" w:firstLine="631"/>
        <w:spacing w:after="0" w:line="259" w:lineRule="auto"/>
        <w:rPr>
          <w:sz w:val="20"/>
          <w:szCs w:val="20"/>
          <w:color w:val="auto"/>
        </w:rPr>
      </w:pPr>
      <w:r>
        <w:rPr>
          <w:rFonts w:ascii="Times New Roman" w:cs="Times New Roman" w:eastAsia="Times New Roman" w:hAnsi="Times New Roman"/>
          <w:sz w:val="21"/>
          <w:szCs w:val="21"/>
          <w:color w:val="auto"/>
        </w:rPr>
        <w:t>In general, the restricted stock units, including any restricted stock units received in respect of dividend equivalents on or prior to the vesting date, will generally become 100% vested on the first anniversary of the grant date (the “Vesting Date”). Any restricted stock units received in respect of dividend equivalents following the vesting date will be 100% vested on the date they are credited to the Nonemployee Director. If a Nonemployee Director ceases to be a member of the Board as a result of their</w:t>
      </w:r>
    </w:p>
    <w:p>
      <w:pPr>
        <w:sectPr>
          <w:pgSz w:w="11900" w:h="16838" w:orient="portrait"/>
          <w:cols w:equalWidth="0" w:num="1">
            <w:col w:w="11240"/>
          </w:cols>
          <w:pgMar w:left="320" w:top="870" w:right="339" w:bottom="1440" w:gutter="0" w:footer="0" w:header="0"/>
        </w:sectPr>
      </w:pPr>
    </w:p>
    <w:bookmarkStart w:id="123" w:name="page124"/>
    <w:bookmarkEnd w:id="123"/>
    <w:p>
      <w:pPr>
        <w:spacing w:after="0" w:line="259" w:lineRule="auto"/>
        <w:rPr>
          <w:sz w:val="20"/>
          <w:szCs w:val="20"/>
          <w:color w:val="auto"/>
        </w:rPr>
      </w:pPr>
      <w:r>
        <w:rPr>
          <w:rFonts w:ascii="Times New Roman" w:cs="Times New Roman" w:eastAsia="Times New Roman" w:hAnsi="Times New Roman"/>
          <w:sz w:val="21"/>
          <w:szCs w:val="21"/>
          <w:color w:val="auto"/>
        </w:rPr>
        <w:t>death or becoming totally disabled, then all of the Nonemployee Director’s restricted stock units (and related dividend equivalents) will become 100% vested as of the date the Nonemployee Director’s service on the Board terminates. If a Nonemployee Director ceases to be a member of the Board prior to the Vesting Date for any reason other than a change in control of the Company (except as provided above for death or disability), the Nonemployee Director’s restricted stock units (and related dividend equivalents) will be immediately forfeited.</w:t>
      </w:r>
    </w:p>
    <w:p>
      <w:pPr>
        <w:spacing w:after="0" w:line="195" w:lineRule="exact"/>
        <w:rPr>
          <w:sz w:val="20"/>
          <w:szCs w:val="20"/>
          <w:color w:val="auto"/>
        </w:rPr>
      </w:pPr>
    </w:p>
    <w:p>
      <w:pPr>
        <w:ind w:firstLine="631"/>
        <w:spacing w:after="0" w:line="257" w:lineRule="auto"/>
        <w:rPr>
          <w:sz w:val="20"/>
          <w:szCs w:val="20"/>
          <w:color w:val="auto"/>
        </w:rPr>
      </w:pPr>
      <w:r>
        <w:rPr>
          <w:rFonts w:ascii="Times New Roman" w:cs="Times New Roman" w:eastAsia="Times New Roman" w:hAnsi="Times New Roman"/>
          <w:sz w:val="21"/>
          <w:szCs w:val="21"/>
          <w:color w:val="auto"/>
        </w:rPr>
        <w:t>Subject to the terms of the 2022 Plan, vested restricted stock units (and related dividend equivalents) will be settled in a lump sum as soon as administratively practicable following the earliest to occur of (a) termination, (b) death, (c) disability, or (d) the third anniversary of the grant date; unless the Nonemployee Director elected, in advance, to defer settlement of the restricted stock units to a later date. Whole restricted stock units (and related dividend equivalents) will be settled in full common shares of the Company and any fractional restricted stock units will be settled in cash, determined based on the fair market value of a common share of the Company on the settlement date.</w:t>
      </w:r>
    </w:p>
    <w:p>
      <w:pPr>
        <w:spacing w:after="0" w:line="197" w:lineRule="exact"/>
        <w:rPr>
          <w:sz w:val="20"/>
          <w:szCs w:val="20"/>
          <w:color w:val="auto"/>
        </w:rPr>
      </w:pPr>
    </w:p>
    <w:p>
      <w:pPr>
        <w:ind w:right="100" w:firstLine="631"/>
        <w:spacing w:after="0" w:line="265" w:lineRule="auto"/>
        <w:rPr>
          <w:sz w:val="20"/>
          <w:szCs w:val="20"/>
          <w:color w:val="auto"/>
        </w:rPr>
      </w:pPr>
      <w:r>
        <w:rPr>
          <w:rFonts w:ascii="Times New Roman" w:cs="Times New Roman" w:eastAsia="Times New Roman" w:hAnsi="Times New Roman"/>
          <w:sz w:val="21"/>
          <w:szCs w:val="21"/>
          <w:color w:val="auto"/>
        </w:rPr>
        <w:t>If there is a Change in Control (as defined in the 2022 Plan), each Nonemployee Director’s restricted stock units (and related dividend equivalents) will become 100% vested on the date of the Change in Control and will be settled within 30-days of the Change in Control.</w:t>
      </w:r>
    </w:p>
    <w:p>
      <w:pPr>
        <w:spacing w:after="0" w:line="199" w:lineRule="exact"/>
        <w:rPr>
          <w:sz w:val="20"/>
          <w:szCs w:val="20"/>
          <w:color w:val="auto"/>
        </w:rPr>
      </w:pPr>
    </w:p>
    <w:p>
      <w:pPr>
        <w:ind w:right="220" w:firstLine="631"/>
        <w:spacing w:after="0" w:line="257" w:lineRule="auto"/>
        <w:rPr>
          <w:sz w:val="20"/>
          <w:szCs w:val="20"/>
          <w:color w:val="auto"/>
        </w:rPr>
      </w:pPr>
      <w:r>
        <w:rPr>
          <w:rFonts w:ascii="Times New Roman" w:cs="Times New Roman" w:eastAsia="Times New Roman" w:hAnsi="Times New Roman"/>
          <w:sz w:val="21"/>
          <w:szCs w:val="21"/>
          <w:color w:val="auto"/>
        </w:rPr>
        <w:t>For more information about the restricted stock units (and related dividend equivalents) granted to the Nonemployee Directors, please refer to: (a) the Form of Standard Restricted Stock Unit Award Agreement for Nonemployee Directors (with Related Dividend Equivalents) that is included as an exhibit to the Company’s Annual Report on Form 10-K; (b) the Form of Deferred Stock Unit Award Agreement for Nonemployee Directors Retainer Deferrals (with Related Dividend Equivalents) that is included as an exhibit to the Company’s Annual Report on Form 10-K; and (c) the 2022 Plan that is included as Exhibit 10.1 to the Company’s Current Report on Form 8-K filed January 27, 2022.</w:t>
      </w:r>
    </w:p>
    <w:p>
      <w:pPr>
        <w:sectPr>
          <w:pgSz w:w="11900" w:h="16838" w:orient="portrait"/>
          <w:cols w:equalWidth="0" w:num="1">
            <w:col w:w="11240"/>
          </w:cols>
          <w:pgMar w:left="320" w:top="874"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DIRECT AND INDIRECT SUBSIDIARIES OF</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79" w:lineRule="exact"/>
        <w:rPr>
          <w:sz w:val="20"/>
          <w:szCs w:val="20"/>
          <w:color w:val="auto"/>
        </w:rPr>
      </w:pPr>
    </w:p>
    <w:p>
      <w:pPr>
        <w:ind w:right="200"/>
        <w:spacing w:after="0" w:line="329" w:lineRule="auto"/>
        <w:rPr>
          <w:sz w:val="20"/>
          <w:szCs w:val="20"/>
          <w:color w:val="auto"/>
        </w:rPr>
      </w:pPr>
      <w:r>
        <w:rPr>
          <w:rFonts w:ascii="Times New Roman" w:cs="Times New Roman" w:eastAsia="Times New Roman" w:hAnsi="Times New Roman"/>
          <w:sz w:val="18"/>
          <w:szCs w:val="18"/>
          <w:color w:val="auto"/>
        </w:rPr>
        <w:t>Directly owned subsidiaries, as of September 30, 2022, are located at the left margin, each subsidiary tier thereunder is indented. Subsidiaries are listed under the names of their respective parent entities. Unless otherwise noted, the subsidiaries are wholly-owned.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0" w:type="dxa"/>
            <w:vAlign w:val="bottom"/>
          </w:tcPr>
          <w:p>
            <w:pPr>
              <w:spacing w:after="0"/>
              <w:rPr>
                <w:sz w:val="1"/>
                <w:szCs w:val="1"/>
                <w:color w:val="auto"/>
              </w:rPr>
            </w:pPr>
          </w:p>
        </w:tc>
      </w:tr>
      <w:tr>
        <w:trPr>
          <w:trHeight w:val="233"/>
        </w:trPr>
        <w:tc>
          <w:tcPr>
            <w:tcW w:w="8740" w:type="dxa"/>
            <w:vAlign w:val="bottom"/>
            <w:gridSpan w:val="2"/>
            <w:vMerge w:val="continue"/>
          </w:tcPr>
          <w:p>
            <w:pPr>
              <w:spacing w:after="0"/>
              <w:rPr>
                <w:sz w:val="20"/>
                <w:szCs w:val="20"/>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FORMATION</w:t>
            </w:r>
          </w:p>
        </w:tc>
        <w:tc>
          <w:tcPr>
            <w:tcW w:w="0" w:type="dxa"/>
            <w:vAlign w:val="bottom"/>
          </w:tcPr>
          <w:p>
            <w:pPr>
              <w:spacing w:after="0"/>
              <w:rPr>
                <w:sz w:val="1"/>
                <w:szCs w:val="1"/>
                <w:color w:val="auto"/>
              </w:rPr>
            </w:pPr>
          </w:p>
        </w:tc>
      </w:tr>
      <w:tr>
        <w:trPr>
          <w:trHeight w:val="215"/>
        </w:trPr>
        <w:tc>
          <w:tcPr>
            <w:tcW w:w="8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1868 Ventures LLC</w:t>
            </w:r>
          </w:p>
        </w:tc>
        <w:tc>
          <w:tcPr>
            <w:tcW w:w="520" w:type="dxa"/>
            <w:vAlign w:val="bottom"/>
          </w:tcPr>
          <w:p>
            <w:pPr>
              <w:spacing w:after="0"/>
              <w:rPr>
                <w:sz w:val="18"/>
                <w:szCs w:val="18"/>
                <w:color w:val="auto"/>
              </w:rPr>
            </w:pPr>
          </w:p>
        </w:tc>
        <w:tc>
          <w:tcPr>
            <w:tcW w:w="2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223"/>
        </w:trPr>
        <w:tc>
          <w:tcPr>
            <w:tcW w:w="8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Swiss Farms Products, Inc.</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GenSource, Inc.</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22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OMS Investments, Inc.</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68"/>
        </w:trPr>
        <w:tc>
          <w:tcPr>
            <w:tcW w:w="8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Scotts Temecula Operations, LLC</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8"/>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Sanford Scientific, Inc.</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2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Global Services, Inc.</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220"/>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Live Goods Holdings, Inc.</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226"/>
        </w:trPr>
        <w:tc>
          <w:tcPr>
            <w:tcW w:w="8740" w:type="dxa"/>
            <w:vAlign w:val="bottom"/>
            <w:gridSpan w:val="2"/>
          </w:tcPr>
          <w:p>
            <w:pPr>
              <w:ind w:left="160"/>
              <w:spacing w:after="0" w:line="226" w:lineRule="exact"/>
              <w:rPr>
                <w:sz w:val="20"/>
                <w:szCs w:val="20"/>
                <w:color w:val="auto"/>
              </w:rPr>
            </w:pPr>
            <w:r>
              <w:rPr>
                <w:rFonts w:ascii="Times New Roman" w:cs="Times New Roman" w:eastAsia="Times New Roman" w:hAnsi="Times New Roman"/>
                <w:sz w:val="18"/>
                <w:szCs w:val="18"/>
                <w:color w:val="auto"/>
              </w:rPr>
              <w:t>Bonnie Plants, LLC</w:t>
            </w:r>
            <w:r>
              <w:rPr>
                <w:rFonts w:ascii="Times New Roman" w:cs="Times New Roman" w:eastAsia="Times New Roman" w:hAnsi="Times New Roman"/>
                <w:sz w:val="22"/>
                <w:szCs w:val="22"/>
                <w:color w:val="auto"/>
                <w:vertAlign w:val="superscript"/>
              </w:rPr>
              <w:t>1</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Manufacturing Company</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68"/>
        </w:trPr>
        <w:tc>
          <w:tcPr>
            <w:tcW w:w="8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Miracle-Gro Lawn Products, Inc.</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58"/>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Oregon Research Station LLC</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22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Products Co.</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302"/>
        </w:trPr>
        <w:tc>
          <w:tcPr>
            <w:tcW w:w="8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Scotts Servicios, S.A. de C.V.</w:t>
            </w:r>
            <w:r>
              <w:rPr>
                <w:rFonts w:ascii="Times New Roman" w:cs="Times New Roman" w:eastAsia="Times New Roman" w:hAnsi="Times New Roman"/>
                <w:sz w:val="22"/>
                <w:szCs w:val="22"/>
                <w:color w:val="auto"/>
                <w:vertAlign w:val="superscript"/>
              </w:rPr>
              <w:t>2</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22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Professional Products Co.</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302"/>
        </w:trPr>
        <w:tc>
          <w:tcPr>
            <w:tcW w:w="8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Scotts Servicios, S.A. de C.V.2</w:t>
            </w:r>
            <w:r>
              <w:rPr>
                <w:rFonts w:ascii="Times New Roman" w:cs="Times New Roman" w:eastAsia="Times New Roman" w:hAnsi="Times New Roman"/>
                <w:sz w:val="22"/>
                <w:szCs w:val="22"/>
                <w:color w:val="auto"/>
                <w:vertAlign w:val="superscript"/>
              </w:rPr>
              <w:t>2</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22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SMG Growing Media, Inc.</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268"/>
        </w:trPr>
        <w:tc>
          <w:tcPr>
            <w:tcW w:w="8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AeroGrow International, Inc.</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302"/>
        </w:trPr>
        <w:tc>
          <w:tcPr>
            <w:tcW w:w="8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Hyponex Corporation</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302"/>
        </w:trPr>
        <w:tc>
          <w:tcPr>
            <w:tcW w:w="8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Rod McLellan Company</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302"/>
        </w:trPr>
        <w:tc>
          <w:tcPr>
            <w:tcW w:w="8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 Hawthorne Gardening Company</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302"/>
        </w:trPr>
        <w:tc>
          <w:tcPr>
            <w:tcW w:w="87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Hawthorne Hydroponics LLC</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302"/>
        </w:trPr>
        <w:tc>
          <w:tcPr>
            <w:tcW w:w="87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Hawthorne Gardening B.V.</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302"/>
        </w:trPr>
        <w:tc>
          <w:tcPr>
            <w:tcW w:w="8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Gavita International B.V.</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302"/>
        </w:trPr>
        <w:tc>
          <w:tcPr>
            <w:tcW w:w="87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Hawthorne Lighting B.V.</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58"/>
        </w:trPr>
        <w:tc>
          <w:tcPr>
            <w:tcW w:w="87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Agrolux Canada Limited</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68"/>
        </w:trPr>
        <w:tc>
          <w:tcPr>
            <w:tcW w:w="87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Agrolux Nederland B.V.</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302"/>
        </w:trPr>
        <w:tc>
          <w:tcPr>
            <w:tcW w:w="87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Hawthorne Canada Limited</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302"/>
        </w:trPr>
        <w:tc>
          <w:tcPr>
            <w:tcW w:w="8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HGCI, Inc.</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________________________</w:t>
      </w:r>
    </w:p>
    <w:p>
      <w:pPr>
        <w:ind w:left="120" w:hanging="97"/>
        <w:spacing w:after="0" w:line="190" w:lineRule="auto"/>
        <w:tabs>
          <w:tab w:leader="none" w:pos="120" w:val="left"/>
        </w:tabs>
        <w:numPr>
          <w:ilvl w:val="0"/>
          <w:numId w:val="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Scotts Live Goods Holdings, Inc.’s ownership is 50.0%.</w:t>
      </w:r>
    </w:p>
    <w:p>
      <w:pPr>
        <w:ind w:left="120" w:hanging="97"/>
        <w:spacing w:after="0" w:line="198" w:lineRule="auto"/>
        <w:tabs>
          <w:tab w:leader="none" w:pos="120" w:val="left"/>
        </w:tabs>
        <w:numPr>
          <w:ilvl w:val="0"/>
          <w:numId w:val="5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Scotts Professional Products Co. owns 50% and Scotts Products Co. owns 50.0%.</w:t>
      </w:r>
    </w:p>
    <w:p>
      <w:pPr>
        <w:sectPr>
          <w:pgSz w:w="11900" w:h="16838" w:orient="portrait"/>
          <w:cols w:equalWidth="0" w:num="1">
            <w:col w:w="11240"/>
          </w:cols>
          <w:pgMar w:left="320" w:top="356" w:right="339" w:bottom="1440" w:gutter="0" w:footer="0" w:header="0"/>
        </w:sectPr>
      </w:pPr>
    </w:p>
    <w:bookmarkStart w:id="125" w:name="page126"/>
    <w:bookmarkEnd w:id="125"/>
    <w:tbl>
      <w:tblPr>
        <w:tblLayout w:type="fixed"/>
        <w:tblInd w:w="20" w:type="dxa"/>
        <w:tblCellMar>
          <w:top w:w="0" w:type="dxa"/>
          <w:left w:w="0" w:type="dxa"/>
          <w:bottom w:w="0" w:type="dxa"/>
          <w:right w:w="0" w:type="dxa"/>
        </w:tblCellMar>
      </w:tblPr>
      <w:tr>
        <w:trPr>
          <w:trHeight w:val="223"/>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SMGM LLC</w:t>
            </w:r>
          </w:p>
        </w:tc>
        <w:tc>
          <w:tcPr>
            <w:tcW w:w="420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Ohio</w:t>
            </w:r>
          </w:p>
        </w:tc>
      </w:tr>
      <w:tr>
        <w:trPr>
          <w:trHeight w:val="268"/>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Scotts-Sierra Investments LLC</w:t>
            </w:r>
          </w:p>
        </w:tc>
        <w:tc>
          <w:tcPr>
            <w:tcW w:w="420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Delaware</w:t>
            </w:r>
          </w:p>
        </w:tc>
      </w:tr>
      <w:tr>
        <w:trPr>
          <w:trHeight w:val="302"/>
        </w:trPr>
        <w:tc>
          <w:tcPr>
            <w:tcW w:w="5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Scotts Sierra (China) Co., Ltd.</w:t>
            </w:r>
          </w:p>
        </w:tc>
        <w:tc>
          <w:tcPr>
            <w:tcW w:w="420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China</w:t>
            </w:r>
          </w:p>
        </w:tc>
      </w:tr>
      <w:tr>
        <w:trPr>
          <w:trHeight w:val="302"/>
        </w:trPr>
        <w:tc>
          <w:tcPr>
            <w:tcW w:w="5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Scotts Canada Ltd.</w:t>
            </w:r>
          </w:p>
        </w:tc>
        <w:tc>
          <w:tcPr>
            <w:tcW w:w="420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Canada</w:t>
            </w:r>
          </w:p>
        </w:tc>
      </w:tr>
      <w:tr>
        <w:trPr>
          <w:trHeight w:val="337"/>
        </w:trPr>
        <w:tc>
          <w:tcPr>
            <w:tcW w:w="5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Laketon Peat Moss Inc.</w:t>
            </w:r>
            <w:r>
              <w:rPr>
                <w:rFonts w:ascii="Times New Roman" w:cs="Times New Roman" w:eastAsia="Times New Roman" w:hAnsi="Times New Roman"/>
                <w:sz w:val="22"/>
                <w:szCs w:val="22"/>
                <w:color w:val="auto"/>
                <w:vertAlign w:val="superscript"/>
              </w:rPr>
              <w:t>3</w:t>
            </w:r>
          </w:p>
        </w:tc>
        <w:tc>
          <w:tcPr>
            <w:tcW w:w="420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Canada</w:t>
            </w:r>
          </w:p>
        </w:tc>
      </w:tr>
      <w:tr>
        <w:trPr>
          <w:trHeight w:val="302"/>
        </w:trPr>
        <w:tc>
          <w:tcPr>
            <w:tcW w:w="5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Scotts de Mexico SA de CV</w:t>
            </w:r>
            <w:r>
              <w:rPr>
                <w:rFonts w:ascii="Times New Roman" w:cs="Times New Roman" w:eastAsia="Times New Roman" w:hAnsi="Times New Roman"/>
                <w:sz w:val="22"/>
                <w:szCs w:val="22"/>
                <w:color w:val="auto"/>
                <w:vertAlign w:val="superscript"/>
              </w:rPr>
              <w:t>4</w:t>
            </w:r>
          </w:p>
        </w:tc>
        <w:tc>
          <w:tcPr>
            <w:tcW w:w="420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Mexico</w:t>
            </w:r>
          </w:p>
        </w:tc>
      </w:tr>
      <w:tr>
        <w:trPr>
          <w:trHeight w:val="268"/>
        </w:trPr>
        <w:tc>
          <w:tcPr>
            <w:tcW w:w="5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SMG Germany GmbH</w:t>
            </w:r>
          </w:p>
        </w:tc>
        <w:tc>
          <w:tcPr>
            <w:tcW w:w="420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Germany</w:t>
            </w:r>
          </w:p>
        </w:tc>
      </w:tr>
      <w:tr>
        <w:trPr>
          <w:trHeight w:val="302"/>
        </w:trPr>
        <w:tc>
          <w:tcPr>
            <w:tcW w:w="5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SMG Gardening (UK) Limited</w:t>
            </w:r>
          </w:p>
        </w:tc>
        <w:tc>
          <w:tcPr>
            <w:tcW w:w="4200" w:type="dxa"/>
            <w:vAlign w:val="bottom"/>
          </w:tcPr>
          <w:p>
            <w:pPr>
              <w:ind w:left="3020"/>
              <w:spacing w:after="0"/>
              <w:rPr>
                <w:sz w:val="20"/>
                <w:szCs w:val="20"/>
                <w:color w:val="auto"/>
              </w:rPr>
            </w:pPr>
            <w:r>
              <w:rPr>
                <w:rFonts w:ascii="Times New Roman" w:cs="Times New Roman" w:eastAsia="Times New Roman" w:hAnsi="Times New Roman"/>
                <w:sz w:val="18"/>
                <w:szCs w:val="18"/>
                <w:color w:val="auto"/>
                <w:w w:val="95"/>
              </w:rPr>
              <w:t>United Kingdom</w:t>
            </w:r>
          </w:p>
        </w:tc>
      </w:tr>
      <w:tr>
        <w:trPr>
          <w:trHeight w:val="258"/>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The Hawthorne Collective, Inc.</w:t>
            </w:r>
          </w:p>
        </w:tc>
        <w:tc>
          <w:tcPr>
            <w:tcW w:w="420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Ohio</w:t>
            </w:r>
          </w:p>
        </w:tc>
      </w:tr>
      <w:tr>
        <w:trPr>
          <w:trHeight w:val="22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The Scotts Company LLC</w:t>
            </w:r>
          </w:p>
        </w:tc>
        <w:tc>
          <w:tcPr>
            <w:tcW w:w="420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Ohio</w:t>
            </w:r>
          </w:p>
        </w:tc>
      </w:tr>
      <w:tr>
        <w:trPr>
          <w:trHeight w:val="300"/>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Scotts Miracle-Gro Foundation</w:t>
            </w:r>
            <w:r>
              <w:rPr>
                <w:rFonts w:ascii="Times New Roman" w:cs="Times New Roman" w:eastAsia="Times New Roman" w:hAnsi="Times New Roman"/>
                <w:sz w:val="22"/>
                <w:szCs w:val="22"/>
                <w:color w:val="auto"/>
                <w:vertAlign w:val="superscript"/>
              </w:rPr>
              <w:t>5</w:t>
            </w:r>
          </w:p>
        </w:tc>
        <w:tc>
          <w:tcPr>
            <w:tcW w:w="420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Ohio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ind w:left="100" w:hanging="97"/>
        <w:spacing w:after="0" w:line="186" w:lineRule="auto"/>
        <w:tabs>
          <w:tab w:leader="none" w:pos="100" w:val="left"/>
        </w:tabs>
        <w:numPr>
          <w:ilvl w:val="0"/>
          <w:numId w:val="5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Scotts Canada Ltd.'s ownership is 50.0%.</w:t>
      </w:r>
    </w:p>
    <w:p>
      <w:pPr>
        <w:ind w:left="100" w:hanging="97"/>
        <w:spacing w:after="0" w:line="181" w:lineRule="auto"/>
        <w:tabs>
          <w:tab w:leader="none" w:pos="100" w:val="left"/>
        </w:tabs>
        <w:numPr>
          <w:ilvl w:val="0"/>
          <w:numId w:val="5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Scotts Company LLC owns 0.5% and Scotts-Sierra Investments LLC owns the remaining 99.5%.</w:t>
      </w:r>
    </w:p>
    <w:p>
      <w:pPr>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8"/>
          <w:szCs w:val="18"/>
          <w:color w:val="auto"/>
        </w:rPr>
        <w:t xml:space="preserve"> The Scotts Miracle-Gro Foundation is a 501(c)(3) corporation.</w:t>
      </w:r>
    </w:p>
    <w:p>
      <w:pPr>
        <w:sectPr>
          <w:pgSz w:w="11900" w:h="16838" w:orient="portrait"/>
          <w:cols w:equalWidth="0" w:num="1">
            <w:col w:w="10119"/>
          </w:cols>
          <w:pgMar w:left="340" w:top="910" w:right="1440"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33333"/>
        </w:rPr>
        <w:t>LIST OF GUARANTOR SUBSIDIARIES</w:t>
      </w:r>
    </w:p>
    <w:p>
      <w:pPr>
        <w:spacing w:after="0" w:line="200" w:lineRule="exact"/>
        <w:rPr>
          <w:sz w:val="20"/>
          <w:szCs w:val="20"/>
          <w:color w:val="auto"/>
        </w:rPr>
      </w:pPr>
    </w:p>
    <w:p>
      <w:pPr>
        <w:spacing w:after="0" w:line="224"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8"/>
          <w:szCs w:val="18"/>
          <w:color w:val="333333"/>
        </w:rPr>
        <w:t>The following subsidiaries of The Scotts Miracle-Gro Company (the "Company") were, as of September 30, 2022, guarantors of the Company's 5.250% Senior Notes due 2026, 4.500% Senior Notes due 2029, 4.000% Senior Notes due 2031 and 4.375% Senior Notes due 2032: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GUARANTOR SUBSIDIARY</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FORMATION</w:t>
            </w:r>
          </w:p>
        </w:tc>
      </w:tr>
      <w:tr>
        <w:trPr>
          <w:trHeight w:val="212"/>
        </w:trPr>
        <w:tc>
          <w:tcPr>
            <w:tcW w:w="5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1868 Ventures LLC</w:t>
            </w:r>
          </w:p>
        </w:tc>
        <w:tc>
          <w:tcPr>
            <w:tcW w:w="560" w:type="dxa"/>
            <w:vAlign w:val="bottom"/>
          </w:tcPr>
          <w:p>
            <w:pPr>
              <w:spacing w:after="0"/>
              <w:rPr>
                <w:sz w:val="18"/>
                <w:szCs w:val="18"/>
                <w:color w:val="auto"/>
              </w:rPr>
            </w:pPr>
          </w:p>
        </w:tc>
        <w:tc>
          <w:tcPr>
            <w:tcW w:w="4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23"/>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AeroGrow International, Inc.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r>
      <w:tr>
        <w:trPr>
          <w:trHeight w:val="223"/>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GenSource, Inc.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23"/>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Hawthorne Hydroponics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HGCI, Inc.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r>
      <w:tr>
        <w:trPr>
          <w:trHeight w:val="223"/>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Hyponex Corporation</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Miracle-Gro Lawn Products, Inc.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r>
      <w:tr>
        <w:trPr>
          <w:trHeight w:val="223"/>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OMS Investments, Inc.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Rod McLellan Company</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r>
      <w:tr>
        <w:trPr>
          <w:trHeight w:val="223"/>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Sanford Scientific, Inc.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r>
      <w:tr>
        <w:trPr>
          <w:trHeight w:val="223"/>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Live Goods Holdings, Inc.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23"/>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Manufacturing Company</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Products Co.</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23"/>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Professional Products Co.</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23"/>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Scotts-Sierra Investments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Temecula Operations,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SMG Growing Media, Inc.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23"/>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SMGM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23"/>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Swiss Farms Products, Inc.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Hawthorne Collective, Inc.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23"/>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Hawthorne Gardening Company</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8"/>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Scotts Company LLC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bl>
    <w:p>
      <w:pPr>
        <w:sectPr>
          <w:pgSz w:w="11900" w:h="16838" w:orient="portrait"/>
          <w:cols w:equalWidth="0" w:num="1">
            <w:col w:w="11240"/>
          </w:cols>
          <w:pgMar w:left="320" w:top="1394" w:right="339" w:bottom="1440" w:gutter="0" w:footer="0" w:header="0"/>
        </w:sectPr>
      </w:pPr>
    </w:p>
    <w:bookmarkStart w:id="127" w:name="page128"/>
    <w:bookmarkEnd w:id="127"/>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Exhibit 23</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5"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033-47073, 333-72715, 333-124503, 333-131466, 333-147397, 333-153925, 333-154364, 333-186187, 333-215774, 333-222840, and 333-262303 on Form S-8 and Registration Statement No. 333-261488 on Form S-3 of our reports dated November 28, 2022, relating to the consolidated financial statements and consolidated financial statement schedules of The Scotts Miracle-Gro Company and subsidiaries (the “Company”) and the effectiveness of the Company's internal control over financial reporting, appearing in this Annual Report on Form 10-K of the Company for the fiscal year ended September 30, 2022.</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Columbus, Ohio</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28, 2022</w:t>
      </w:r>
    </w:p>
    <w:p>
      <w:pPr>
        <w:sectPr>
          <w:pgSz w:w="11900" w:h="16838" w:orient="portrait"/>
          <w:cols w:equalWidth="0" w:num="1">
            <w:col w:w="11240"/>
          </w:cols>
          <w:pgMar w:left="320" w:top="1440"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firstLine="206"/>
        <w:spacing w:after="0" w:line="486" w:lineRule="exact"/>
        <w:rPr>
          <w:sz w:val="20"/>
          <w:szCs w:val="20"/>
          <w:color w:val="auto"/>
        </w:rPr>
      </w:pPr>
      <w:r>
        <w:rPr>
          <w:rFonts w:ascii="Times New Roman" w:cs="Times New Roman" w:eastAsia="Times New Roman" w:hAnsi="Times New Roman"/>
          <w:sz w:val="21"/>
          <w:szCs w:val="21"/>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2022, hereby constitutes and appoints James Hagedorn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on November 28, 2022.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22860</wp:posOffset>
            </wp:positionV>
            <wp:extent cx="23202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6">
                      <a:extLst>
                        <a:ext uri="{28A0092B-C50C-407E-A947-70E740481C1C}"/>
                      </a:extLst>
                    </a:blip>
                    <a:srcRect/>
                    <a:stretch>
                      <a:fillRect/>
                    </a:stretch>
                  </pic:blipFill>
                  <pic:spPr bwMode="auto">
                    <a:xfrm>
                      <a:off x="0" y="0"/>
                      <a:ext cx="2320290" cy="8255"/>
                    </a:xfrm>
                    <a:prstGeom prst="rect">
                      <a:avLst/>
                    </a:prstGeom>
                    <a:noFill/>
                  </pic:spPr>
                </pic:pic>
              </a:graphicData>
            </a:graphic>
          </wp:anchor>
        </w:drawing>
      </w:r>
    </w:p>
    <w:p>
      <w:pPr>
        <w:spacing w:after="0" w:line="1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David C. Evans</w:t>
      </w:r>
    </w:p>
    <w:p>
      <w:pPr>
        <w:sectPr>
          <w:pgSz w:w="11900" w:h="16838" w:orient="portrait"/>
          <w:cols w:equalWidth="0" w:num="1">
            <w:col w:w="11240"/>
          </w:cols>
          <w:pgMar w:left="320" w:top="119" w:right="339" w:bottom="1440" w:gutter="0" w:footer="0" w:header="0"/>
        </w:sectPr>
      </w:pPr>
    </w:p>
    <w:bookmarkStart w:id="129" w:name="page130"/>
    <w:bookmarkEnd w:id="129"/>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206"/>
        <w:spacing w:after="0" w:line="486" w:lineRule="exact"/>
        <w:rPr>
          <w:sz w:val="20"/>
          <w:szCs w:val="20"/>
          <w:color w:val="auto"/>
        </w:rPr>
      </w:pPr>
      <w:r>
        <w:rPr>
          <w:rFonts w:ascii="Times New Roman" w:cs="Times New Roman" w:eastAsia="Times New Roman" w:hAnsi="Times New Roman"/>
          <w:sz w:val="21"/>
          <w:szCs w:val="21"/>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2022, hereby constitutes and appoints James Hagedorn, David C. Evans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on November 28, 2022.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/s/ BRIAN D. FINN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22860</wp:posOffset>
            </wp:positionV>
            <wp:extent cx="23202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7">
                      <a:extLst>
                        <a:ext uri="{28A0092B-C50C-407E-A947-70E740481C1C}"/>
                      </a:extLst>
                    </a:blip>
                    <a:srcRect/>
                    <a:stretch>
                      <a:fillRect/>
                    </a:stretch>
                  </pic:blipFill>
                  <pic:spPr bwMode="auto">
                    <a:xfrm>
                      <a:off x="0" y="0"/>
                      <a:ext cx="2320290" cy="8255"/>
                    </a:xfrm>
                    <a:prstGeom prst="rect">
                      <a:avLst/>
                    </a:prstGeom>
                    <a:noFill/>
                  </pic:spPr>
                </pic:pic>
              </a:graphicData>
            </a:graphic>
          </wp:anchor>
        </w:drawing>
      </w:r>
    </w:p>
    <w:p>
      <w:pPr>
        <w:spacing w:after="0" w:line="1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Brian D. Finn</w:t>
      </w:r>
    </w:p>
    <w:p>
      <w:pPr>
        <w:sectPr>
          <w:pgSz w:w="11900" w:h="16838" w:orient="portrait"/>
          <w:cols w:equalWidth="0" w:num="1">
            <w:col w:w="11220"/>
          </w:cols>
          <w:pgMar w:left="320" w:top="743" w:right="359" w:bottom="1440" w:gutter="0" w:footer="0" w:header="0"/>
        </w:sectPr>
      </w:pPr>
    </w:p>
    <w:bookmarkStart w:id="130" w:name="page131"/>
    <w:bookmarkEnd w:id="130"/>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206"/>
        <w:spacing w:after="0" w:line="486" w:lineRule="exact"/>
        <w:rPr>
          <w:sz w:val="20"/>
          <w:szCs w:val="20"/>
          <w:color w:val="auto"/>
        </w:rPr>
      </w:pPr>
      <w:r>
        <w:rPr>
          <w:rFonts w:ascii="Times New Roman" w:cs="Times New Roman" w:eastAsia="Times New Roman" w:hAnsi="Times New Roman"/>
          <w:sz w:val="21"/>
          <w:szCs w:val="21"/>
          <w:color w:val="auto"/>
        </w:rPr>
        <w:t>The undersigned officer and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2022, hereby constitutes and appoints David C. Evans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on November 28, 2022.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22860</wp:posOffset>
            </wp:positionV>
            <wp:extent cx="23202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8">
                      <a:extLst>
                        <a:ext uri="{28A0092B-C50C-407E-A947-70E740481C1C}"/>
                      </a:extLst>
                    </a:blip>
                    <a:srcRect/>
                    <a:stretch>
                      <a:fillRect/>
                    </a:stretch>
                  </pic:blipFill>
                  <pic:spPr bwMode="auto">
                    <a:xfrm>
                      <a:off x="0" y="0"/>
                      <a:ext cx="2320290" cy="8255"/>
                    </a:xfrm>
                    <a:prstGeom prst="rect">
                      <a:avLst/>
                    </a:prstGeom>
                    <a:noFill/>
                  </pic:spPr>
                </pic:pic>
              </a:graphicData>
            </a:graphic>
          </wp:anchor>
        </w:drawing>
      </w:r>
    </w:p>
    <w:p>
      <w:pPr>
        <w:spacing w:after="0" w:line="1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James Hagedorn</w:t>
      </w:r>
    </w:p>
    <w:p>
      <w:pPr>
        <w:sectPr>
          <w:pgSz w:w="11900" w:h="16838" w:orient="portrait"/>
          <w:cols w:equalWidth="0" w:num="1">
            <w:col w:w="11140"/>
          </w:cols>
          <w:pgMar w:left="320" w:top="743" w:right="439" w:bottom="1440" w:gutter="0" w:footer="0" w:header="0"/>
        </w:sectPr>
      </w:pPr>
    </w:p>
    <w:bookmarkStart w:id="131" w:name="page132"/>
    <w:bookmarkEnd w:id="131"/>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206"/>
        <w:spacing w:after="0" w:line="486" w:lineRule="exact"/>
        <w:rPr>
          <w:sz w:val="20"/>
          <w:szCs w:val="20"/>
          <w:color w:val="auto"/>
        </w:rPr>
      </w:pPr>
      <w:r>
        <w:rPr>
          <w:rFonts w:ascii="Times New Roman" w:cs="Times New Roman" w:eastAsia="Times New Roman" w:hAnsi="Times New Roman"/>
          <w:sz w:val="21"/>
          <w:szCs w:val="21"/>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2022, hereby constitutes and appoints James Hagedorn, David C. Evans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on November 28, 2022.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/s/ ADAM HANFT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22860</wp:posOffset>
            </wp:positionV>
            <wp:extent cx="23202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9">
                      <a:extLst>
                        <a:ext uri="{28A0092B-C50C-407E-A947-70E740481C1C}"/>
                      </a:extLst>
                    </a:blip>
                    <a:srcRect/>
                    <a:stretch>
                      <a:fillRect/>
                    </a:stretch>
                  </pic:blipFill>
                  <pic:spPr bwMode="auto">
                    <a:xfrm>
                      <a:off x="0" y="0"/>
                      <a:ext cx="2320290" cy="8255"/>
                    </a:xfrm>
                    <a:prstGeom prst="rect">
                      <a:avLst/>
                    </a:prstGeom>
                    <a:noFill/>
                  </pic:spPr>
                </pic:pic>
              </a:graphicData>
            </a:graphic>
          </wp:anchor>
        </w:drawing>
      </w:r>
    </w:p>
    <w:p>
      <w:pPr>
        <w:spacing w:after="0" w:line="1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Adam Hanft</w:t>
      </w:r>
    </w:p>
    <w:p>
      <w:pPr>
        <w:sectPr>
          <w:pgSz w:w="11900" w:h="16838" w:orient="portrait"/>
          <w:cols w:equalWidth="0" w:num="1">
            <w:col w:w="11220"/>
          </w:cols>
          <w:pgMar w:left="320" w:top="743" w:right="359" w:bottom="1440" w:gutter="0" w:footer="0" w:header="0"/>
        </w:sectPr>
      </w:pPr>
    </w:p>
    <w:bookmarkStart w:id="132" w:name="page133"/>
    <w:bookmarkEnd w:id="132"/>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206"/>
        <w:spacing w:after="0" w:line="486" w:lineRule="exact"/>
        <w:rPr>
          <w:sz w:val="20"/>
          <w:szCs w:val="20"/>
          <w:color w:val="auto"/>
        </w:rPr>
      </w:pPr>
      <w:r>
        <w:rPr>
          <w:rFonts w:ascii="Times New Roman" w:cs="Times New Roman" w:eastAsia="Times New Roman" w:hAnsi="Times New Roman"/>
          <w:sz w:val="21"/>
          <w:szCs w:val="21"/>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2022, hereby constitutes and appoints James Hagedorn, David C. Evans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on November 28, 2022.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/s/ STEPHEN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22860</wp:posOffset>
            </wp:positionV>
            <wp:extent cx="23202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0">
                      <a:extLst>
                        <a:ext uri="{28A0092B-C50C-407E-A947-70E740481C1C}"/>
                      </a:extLst>
                    </a:blip>
                    <a:srcRect/>
                    <a:stretch>
                      <a:fillRect/>
                    </a:stretch>
                  </pic:blipFill>
                  <pic:spPr bwMode="auto">
                    <a:xfrm>
                      <a:off x="0" y="0"/>
                      <a:ext cx="2320290" cy="8255"/>
                    </a:xfrm>
                    <a:prstGeom prst="rect">
                      <a:avLst/>
                    </a:prstGeom>
                    <a:noFill/>
                  </pic:spPr>
                </pic:pic>
              </a:graphicData>
            </a:graphic>
          </wp:anchor>
        </w:drawing>
      </w:r>
    </w:p>
    <w:p>
      <w:pPr>
        <w:spacing w:after="0" w:line="1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Stephen L. Johnson</w:t>
      </w:r>
    </w:p>
    <w:p>
      <w:pPr>
        <w:sectPr>
          <w:pgSz w:w="11900" w:h="16838" w:orient="portrait"/>
          <w:cols w:equalWidth="0" w:num="1">
            <w:col w:w="11220"/>
          </w:cols>
          <w:pgMar w:left="320" w:top="743" w:right="359" w:bottom="1440" w:gutter="0" w:footer="0" w:header="0"/>
        </w:sectPr>
      </w:pPr>
    </w:p>
    <w:bookmarkStart w:id="133" w:name="page134"/>
    <w:bookmarkEnd w:id="133"/>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206"/>
        <w:spacing w:after="0" w:line="486" w:lineRule="exact"/>
        <w:rPr>
          <w:sz w:val="20"/>
          <w:szCs w:val="20"/>
          <w:color w:val="auto"/>
        </w:rPr>
      </w:pPr>
      <w:r>
        <w:rPr>
          <w:rFonts w:ascii="Times New Roman" w:cs="Times New Roman" w:eastAsia="Times New Roman" w:hAnsi="Times New Roman"/>
          <w:sz w:val="21"/>
          <w:szCs w:val="21"/>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2022, hereby constitutes and appoints James Hagedorn, David C. Evans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on November 28, 2022.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/s/ THOMAS N.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22860</wp:posOffset>
            </wp:positionV>
            <wp:extent cx="23202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1">
                      <a:extLst>
                        <a:ext uri="{28A0092B-C50C-407E-A947-70E740481C1C}"/>
                      </a:extLst>
                    </a:blip>
                    <a:srcRect/>
                    <a:stretch>
                      <a:fillRect/>
                    </a:stretch>
                  </pic:blipFill>
                  <pic:spPr bwMode="auto">
                    <a:xfrm>
                      <a:off x="0" y="0"/>
                      <a:ext cx="2320290" cy="8255"/>
                    </a:xfrm>
                    <a:prstGeom prst="rect">
                      <a:avLst/>
                    </a:prstGeom>
                    <a:noFill/>
                  </pic:spPr>
                </pic:pic>
              </a:graphicData>
            </a:graphic>
          </wp:anchor>
        </w:drawing>
      </w:r>
    </w:p>
    <w:p>
      <w:pPr>
        <w:spacing w:after="0" w:line="1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Thomas N. Kelly Jr.</w:t>
      </w:r>
    </w:p>
    <w:p>
      <w:pPr>
        <w:sectPr>
          <w:pgSz w:w="11900" w:h="16838" w:orient="portrait"/>
          <w:cols w:equalWidth="0" w:num="1">
            <w:col w:w="11220"/>
          </w:cols>
          <w:pgMar w:left="320" w:top="743" w:right="359" w:bottom="1440" w:gutter="0" w:footer="0" w:header="0"/>
        </w:sectPr>
      </w:pPr>
    </w:p>
    <w:bookmarkStart w:id="134" w:name="page135"/>
    <w:bookmarkEnd w:id="134"/>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206"/>
        <w:spacing w:after="0" w:line="486" w:lineRule="exact"/>
        <w:rPr>
          <w:sz w:val="20"/>
          <w:szCs w:val="20"/>
          <w:color w:val="auto"/>
        </w:rPr>
      </w:pPr>
      <w:r>
        <w:rPr>
          <w:rFonts w:ascii="Times New Roman" w:cs="Times New Roman" w:eastAsia="Times New Roman" w:hAnsi="Times New Roman"/>
          <w:sz w:val="21"/>
          <w:szCs w:val="21"/>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2022, hereby constitutes and appoints James Hagedorn, David C. Evans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on November 28, 2022.</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/s/ KATHERINE HAGEDORN</w:t>
      </w:r>
    </w:p>
    <w:p>
      <w:pPr>
        <w:ind w:left="3800"/>
        <w:spacing w:after="0"/>
        <w:rPr>
          <w:sz w:val="20"/>
          <w:szCs w:val="20"/>
          <w:color w:val="auto"/>
        </w:rPr>
      </w:pPr>
      <w:r>
        <w:rPr>
          <w:rFonts w:ascii="Times New Roman" w:cs="Times New Roman" w:eastAsia="Times New Roman" w:hAnsi="Times New Roman"/>
          <w:sz w:val="21"/>
          <w:szCs w:val="21"/>
          <w:color w:val="auto"/>
        </w:rPr>
        <w:t>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7620</wp:posOffset>
            </wp:positionV>
            <wp:extent cx="24536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2">
                      <a:extLst>
                        <a:ext uri="{28A0092B-C50C-407E-A947-70E740481C1C}"/>
                      </a:extLst>
                    </a:blip>
                    <a:srcRect/>
                    <a:stretch>
                      <a:fillRect/>
                    </a:stretch>
                  </pic:blipFill>
                  <pic:spPr bwMode="auto">
                    <a:xfrm>
                      <a:off x="0" y="0"/>
                      <a:ext cx="2453640" cy="8255"/>
                    </a:xfrm>
                    <a:prstGeom prst="rect">
                      <a:avLst/>
                    </a:prstGeom>
                    <a:noFill/>
                  </pic:spPr>
                </pic:pic>
              </a:graphicData>
            </a:graphic>
          </wp:anchor>
        </w:drawing>
      </w:r>
    </w:p>
    <w:p>
      <w:pPr>
        <w:spacing w:after="0" w:line="8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Katherine Hagedorn Littlefield</w:t>
      </w:r>
    </w:p>
    <w:p>
      <w:pPr>
        <w:sectPr>
          <w:pgSz w:w="11900" w:h="16838" w:orient="portrait"/>
          <w:cols w:equalWidth="0" w:num="1">
            <w:col w:w="11220"/>
          </w:cols>
          <w:pgMar w:left="320" w:top="743" w:right="359" w:bottom="1440" w:gutter="0" w:footer="0" w:header="0"/>
        </w:sectPr>
      </w:pPr>
    </w:p>
    <w:bookmarkStart w:id="135" w:name="page136"/>
    <w:bookmarkEnd w:id="135"/>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206"/>
        <w:spacing w:after="0" w:line="486" w:lineRule="exact"/>
        <w:rPr>
          <w:sz w:val="20"/>
          <w:szCs w:val="20"/>
          <w:color w:val="auto"/>
        </w:rPr>
      </w:pPr>
      <w:r>
        <w:rPr>
          <w:rFonts w:ascii="Times New Roman" w:cs="Times New Roman" w:eastAsia="Times New Roman" w:hAnsi="Times New Roman"/>
          <w:sz w:val="21"/>
          <w:szCs w:val="21"/>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2022, hereby constitutes and appoints James Hagedorn, David C. Evans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on November 28, 2022.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/s/ NANCY G. MISTRETTA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22860</wp:posOffset>
            </wp:positionV>
            <wp:extent cx="23202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3">
                      <a:extLst>
                        <a:ext uri="{28A0092B-C50C-407E-A947-70E740481C1C}"/>
                      </a:extLst>
                    </a:blip>
                    <a:srcRect/>
                    <a:stretch>
                      <a:fillRect/>
                    </a:stretch>
                  </pic:blipFill>
                  <pic:spPr bwMode="auto">
                    <a:xfrm>
                      <a:off x="0" y="0"/>
                      <a:ext cx="2320290" cy="8255"/>
                    </a:xfrm>
                    <a:prstGeom prst="rect">
                      <a:avLst/>
                    </a:prstGeom>
                    <a:noFill/>
                  </pic:spPr>
                </pic:pic>
              </a:graphicData>
            </a:graphic>
          </wp:anchor>
        </w:drawing>
      </w:r>
    </w:p>
    <w:p>
      <w:pPr>
        <w:spacing w:after="0" w:line="1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Nancy G. Mistretta</w:t>
      </w:r>
    </w:p>
    <w:p>
      <w:pPr>
        <w:sectPr>
          <w:pgSz w:w="11900" w:h="16838" w:orient="portrait"/>
          <w:cols w:equalWidth="0" w:num="1">
            <w:col w:w="11220"/>
          </w:cols>
          <w:pgMar w:left="320" w:top="743" w:right="359" w:bottom="1440" w:gutter="0" w:footer="0" w:header="0"/>
        </w:sectPr>
      </w:pPr>
    </w:p>
    <w:bookmarkStart w:id="136" w:name="page137"/>
    <w:bookmarkEnd w:id="136"/>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206"/>
        <w:spacing w:after="0" w:line="486" w:lineRule="exact"/>
        <w:rPr>
          <w:sz w:val="20"/>
          <w:szCs w:val="20"/>
          <w:color w:val="auto"/>
        </w:rPr>
      </w:pPr>
      <w:r>
        <w:rPr>
          <w:rFonts w:ascii="Times New Roman" w:cs="Times New Roman" w:eastAsia="Times New Roman" w:hAnsi="Times New Roman"/>
          <w:sz w:val="21"/>
          <w:szCs w:val="21"/>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2022, hereby constitutes and appoints James Hagedorn, David C. Evans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on November 28, 2022.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/s/ BRIAN E. SANDOVAL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22860</wp:posOffset>
            </wp:positionV>
            <wp:extent cx="23202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4">
                      <a:extLst>
                        <a:ext uri="{28A0092B-C50C-407E-A947-70E740481C1C}"/>
                      </a:extLst>
                    </a:blip>
                    <a:srcRect/>
                    <a:stretch>
                      <a:fillRect/>
                    </a:stretch>
                  </pic:blipFill>
                  <pic:spPr bwMode="auto">
                    <a:xfrm>
                      <a:off x="0" y="0"/>
                      <a:ext cx="2320290" cy="8255"/>
                    </a:xfrm>
                    <a:prstGeom prst="rect">
                      <a:avLst/>
                    </a:prstGeom>
                    <a:noFill/>
                  </pic:spPr>
                </pic:pic>
              </a:graphicData>
            </a:graphic>
          </wp:anchor>
        </w:drawing>
      </w:r>
    </w:p>
    <w:p>
      <w:pPr>
        <w:spacing w:after="0" w:line="1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Brian E. Sandoval</w:t>
      </w:r>
    </w:p>
    <w:p>
      <w:pPr>
        <w:sectPr>
          <w:pgSz w:w="11900" w:h="16838" w:orient="portrait"/>
          <w:cols w:equalWidth="0" w:num="1">
            <w:col w:w="11220"/>
          </w:cols>
          <w:pgMar w:left="320" w:top="743" w:right="359" w:bottom="1440" w:gutter="0" w:footer="0" w:header="0"/>
        </w:sectPr>
      </w:pPr>
    </w:p>
    <w:bookmarkStart w:id="137" w:name="page138"/>
    <w:bookmarkEnd w:id="137"/>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206"/>
        <w:spacing w:after="0" w:line="486" w:lineRule="exact"/>
        <w:rPr>
          <w:sz w:val="20"/>
          <w:szCs w:val="20"/>
          <w:color w:val="auto"/>
        </w:rPr>
      </w:pPr>
      <w:r>
        <w:rPr>
          <w:rFonts w:ascii="Times New Roman" w:cs="Times New Roman" w:eastAsia="Times New Roman" w:hAnsi="Times New Roman"/>
          <w:sz w:val="21"/>
          <w:szCs w:val="21"/>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2022, hereby constitutes and appoints James Hagedorn, David C. Evans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on November 28, 2022.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/s/ PETER E. SHUMLIN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22860</wp:posOffset>
            </wp:positionV>
            <wp:extent cx="23202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5">
                      <a:extLst>
                        <a:ext uri="{28A0092B-C50C-407E-A947-70E740481C1C}"/>
                      </a:extLst>
                    </a:blip>
                    <a:srcRect/>
                    <a:stretch>
                      <a:fillRect/>
                    </a:stretch>
                  </pic:blipFill>
                  <pic:spPr bwMode="auto">
                    <a:xfrm>
                      <a:off x="0" y="0"/>
                      <a:ext cx="2320290" cy="8255"/>
                    </a:xfrm>
                    <a:prstGeom prst="rect">
                      <a:avLst/>
                    </a:prstGeom>
                    <a:noFill/>
                  </pic:spPr>
                </pic:pic>
              </a:graphicData>
            </a:graphic>
          </wp:anchor>
        </w:drawing>
      </w:r>
    </w:p>
    <w:p>
      <w:pPr>
        <w:spacing w:after="0" w:line="1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Peter E. Shumlin</w:t>
      </w:r>
    </w:p>
    <w:p>
      <w:pPr>
        <w:sectPr>
          <w:pgSz w:w="11900" w:h="16838" w:orient="portrait"/>
          <w:cols w:equalWidth="0" w:num="1">
            <w:col w:w="11220"/>
          </w:cols>
          <w:pgMar w:left="320" w:top="743" w:right="359" w:bottom="1440" w:gutter="0" w:footer="0" w:header="0"/>
        </w:sectPr>
      </w:pPr>
    </w:p>
    <w:bookmarkStart w:id="138" w:name="page139"/>
    <w:bookmarkEnd w:id="138"/>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206"/>
        <w:spacing w:after="0" w:line="486" w:lineRule="exact"/>
        <w:rPr>
          <w:sz w:val="20"/>
          <w:szCs w:val="20"/>
          <w:color w:val="auto"/>
        </w:rPr>
      </w:pPr>
      <w:r>
        <w:rPr>
          <w:rFonts w:ascii="Times New Roman" w:cs="Times New Roman" w:eastAsia="Times New Roman" w:hAnsi="Times New Roman"/>
          <w:sz w:val="21"/>
          <w:szCs w:val="21"/>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2022, hereby constitutes and appoints James Hagedorn, David C. Evans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on November 28, 2022.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/s/ JOHN R. VINES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22860</wp:posOffset>
            </wp:positionV>
            <wp:extent cx="23037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6">
                      <a:extLst>
                        <a:ext uri="{28A0092B-C50C-407E-A947-70E740481C1C}"/>
                      </a:extLst>
                    </a:blip>
                    <a:srcRect/>
                    <a:stretch>
                      <a:fillRect/>
                    </a:stretch>
                  </pic:blipFill>
                  <pic:spPr bwMode="auto">
                    <a:xfrm>
                      <a:off x="0" y="0"/>
                      <a:ext cx="2303780" cy="8255"/>
                    </a:xfrm>
                    <a:prstGeom prst="rect">
                      <a:avLst/>
                    </a:prstGeom>
                    <a:noFill/>
                  </pic:spPr>
                </pic:pic>
              </a:graphicData>
            </a:graphic>
          </wp:anchor>
        </w:drawing>
      </w:r>
    </w:p>
    <w:p>
      <w:pPr>
        <w:spacing w:after="0" w:line="10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1"/>
          <w:szCs w:val="21"/>
          <w:color w:val="auto"/>
        </w:rPr>
        <w:t>John R. Vines</w:t>
      </w:r>
    </w:p>
    <w:p>
      <w:pPr>
        <w:sectPr>
          <w:pgSz w:w="11900" w:h="16838" w:orient="portrait"/>
          <w:cols w:equalWidth="0" w:num="1">
            <w:col w:w="11220"/>
          </w:cols>
          <w:pgMar w:left="320" w:top="743" w:right="359" w:bottom="1440" w:gutter="0" w:footer="0" w:header="0"/>
        </w:sectPr>
      </w:pPr>
    </w:p>
    <w:bookmarkStart w:id="139" w:name="page140"/>
    <w:bookmarkEnd w:id="139"/>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206"/>
        <w:spacing w:after="0" w:line="486" w:lineRule="exact"/>
        <w:rPr>
          <w:sz w:val="20"/>
          <w:szCs w:val="20"/>
          <w:color w:val="auto"/>
        </w:rPr>
      </w:pPr>
      <w:r>
        <w:rPr>
          <w:rFonts w:ascii="Times New Roman" w:cs="Times New Roman" w:eastAsia="Times New Roman" w:hAnsi="Times New Roman"/>
          <w:sz w:val="21"/>
          <w:szCs w:val="21"/>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2022, hereby constitutes and appoints James Hagedorn, David C. Evans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on November 28, 2022.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/s/ GERALD VOLAS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22860</wp:posOffset>
            </wp:positionV>
            <wp:extent cx="23037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7">
                      <a:extLst>
                        <a:ext uri="{28A0092B-C50C-407E-A947-70E740481C1C}"/>
                      </a:extLst>
                    </a:blip>
                    <a:srcRect/>
                    <a:stretch>
                      <a:fillRect/>
                    </a:stretch>
                  </pic:blipFill>
                  <pic:spPr bwMode="auto">
                    <a:xfrm>
                      <a:off x="0" y="0"/>
                      <a:ext cx="2303780" cy="8255"/>
                    </a:xfrm>
                    <a:prstGeom prst="rect">
                      <a:avLst/>
                    </a:prstGeom>
                    <a:noFill/>
                  </pic:spPr>
                </pic:pic>
              </a:graphicData>
            </a:graphic>
          </wp:anchor>
        </w:drawing>
      </w:r>
    </w:p>
    <w:p>
      <w:pPr>
        <w:spacing w:after="0" w:line="10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1"/>
          <w:szCs w:val="21"/>
          <w:color w:val="auto"/>
        </w:rPr>
        <w:t>Gerald Volas</w:t>
      </w:r>
    </w:p>
    <w:p>
      <w:pPr>
        <w:sectPr>
          <w:pgSz w:w="11900" w:h="16838" w:orient="portrait"/>
          <w:cols w:equalWidth="0" w:num="1">
            <w:col w:w="11220"/>
          </w:cols>
          <w:pgMar w:left="320" w:top="743" w:right="35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Hagedorn, certify that:</w:t>
      </w:r>
    </w:p>
    <w:p>
      <w:pPr>
        <w:spacing w:after="0" w:line="156" w:lineRule="exact"/>
        <w:rPr>
          <w:sz w:val="20"/>
          <w:szCs w:val="20"/>
          <w:color w:val="auto"/>
        </w:rPr>
      </w:pPr>
    </w:p>
    <w:p>
      <w:pPr>
        <w:ind w:left="640" w:hanging="319"/>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Scotts Miracle-Gro Company for the fiscal year ended September 30, 2022;</w:t>
      </w:r>
    </w:p>
    <w:p>
      <w:pPr>
        <w:spacing w:after="0" w:line="239" w:lineRule="exact"/>
        <w:rPr>
          <w:rFonts w:ascii="Times New Roman" w:cs="Times New Roman" w:eastAsia="Times New Roman" w:hAnsi="Times New Roman"/>
          <w:sz w:val="18"/>
          <w:szCs w:val="18"/>
          <w:color w:val="auto"/>
        </w:rPr>
      </w:pPr>
    </w:p>
    <w:p>
      <w:pPr>
        <w:jc w:val="both"/>
        <w:ind w:left="640" w:right="420" w:hanging="319"/>
        <w:spacing w:after="0" w:line="256"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5" w:lineRule="exact"/>
        <w:rPr>
          <w:rFonts w:ascii="Times New Roman" w:cs="Times New Roman" w:eastAsia="Times New Roman" w:hAnsi="Times New Roman"/>
          <w:sz w:val="18"/>
          <w:szCs w:val="18"/>
          <w:color w:val="auto"/>
        </w:rPr>
      </w:pPr>
    </w:p>
    <w:p>
      <w:pPr>
        <w:ind w:left="640" w:right="380" w:hanging="319"/>
        <w:spacing w:after="0" w:line="268"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Times New Roman" w:cs="Times New Roman" w:eastAsia="Times New Roman" w:hAnsi="Times New Roman"/>
          <w:sz w:val="18"/>
          <w:szCs w:val="18"/>
          <w:color w:val="auto"/>
        </w:rPr>
      </w:pPr>
    </w:p>
    <w:p>
      <w:pPr>
        <w:ind w:left="640" w:hanging="319"/>
        <w:spacing w:after="0" w:line="256"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5" w:lineRule="exact"/>
        <w:rPr>
          <w:rFonts w:ascii="Times New Roman" w:cs="Times New Roman" w:eastAsia="Times New Roman" w:hAnsi="Times New Roman"/>
          <w:sz w:val="18"/>
          <w:szCs w:val="18"/>
          <w:color w:val="auto"/>
        </w:rPr>
      </w:pPr>
    </w:p>
    <w:p>
      <w:pPr>
        <w:ind w:left="1100" w:right="200" w:hanging="464"/>
        <w:spacing w:after="0" w:line="256" w:lineRule="auto"/>
        <w:tabs>
          <w:tab w:leader="none" w:pos="109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5" w:lineRule="exact"/>
        <w:rPr>
          <w:rFonts w:ascii="Times New Roman" w:cs="Times New Roman" w:eastAsia="Times New Roman" w:hAnsi="Times New Roman"/>
          <w:sz w:val="18"/>
          <w:szCs w:val="18"/>
          <w:color w:val="auto"/>
        </w:rPr>
      </w:pPr>
    </w:p>
    <w:p>
      <w:pPr>
        <w:ind w:left="1100" w:right="500" w:hanging="464"/>
        <w:spacing w:after="0" w:line="256" w:lineRule="auto"/>
        <w:tabs>
          <w:tab w:leader="none" w:pos="109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5" w:lineRule="exact"/>
        <w:rPr>
          <w:rFonts w:ascii="Times New Roman" w:cs="Times New Roman" w:eastAsia="Times New Roman" w:hAnsi="Times New Roman"/>
          <w:sz w:val="18"/>
          <w:szCs w:val="18"/>
          <w:color w:val="auto"/>
        </w:rPr>
      </w:pPr>
    </w:p>
    <w:p>
      <w:pPr>
        <w:jc w:val="both"/>
        <w:ind w:left="1100" w:right="660" w:hanging="464"/>
        <w:spacing w:after="0" w:line="331" w:lineRule="auto"/>
        <w:tabs>
          <w:tab w:leader="none" w:pos="1097"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Times New Roman" w:cs="Times New Roman" w:eastAsia="Times New Roman" w:hAnsi="Times New Roman"/>
          <w:sz w:val="16"/>
          <w:szCs w:val="16"/>
          <w:color w:val="auto"/>
        </w:rPr>
      </w:pPr>
    </w:p>
    <w:p>
      <w:pPr>
        <w:ind w:left="1100" w:right="200" w:hanging="464"/>
        <w:spacing w:after="0" w:line="256" w:lineRule="auto"/>
        <w:tabs>
          <w:tab w:leader="none" w:pos="109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5" w:lineRule="exact"/>
        <w:rPr>
          <w:rFonts w:ascii="Times New Roman" w:cs="Times New Roman" w:eastAsia="Times New Roman" w:hAnsi="Times New Roman"/>
          <w:sz w:val="18"/>
          <w:szCs w:val="18"/>
          <w:color w:val="auto"/>
        </w:rPr>
      </w:pPr>
    </w:p>
    <w:p>
      <w:pPr>
        <w:ind w:left="640" w:right="320" w:hanging="319"/>
        <w:spacing w:after="0" w:line="268" w:lineRule="auto"/>
        <w:tabs>
          <w:tab w:leader="none" w:pos="6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Times New Roman" w:cs="Times New Roman" w:eastAsia="Times New Roman" w:hAnsi="Times New Roman"/>
          <w:sz w:val="18"/>
          <w:szCs w:val="18"/>
          <w:color w:val="auto"/>
        </w:rPr>
      </w:pPr>
    </w:p>
    <w:p>
      <w:pPr>
        <w:ind w:left="1100" w:right="100" w:hanging="464"/>
        <w:spacing w:after="0" w:line="268" w:lineRule="auto"/>
        <w:tabs>
          <w:tab w:leader="none" w:pos="109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Times New Roman" w:cs="Times New Roman" w:eastAsia="Times New Roman" w:hAnsi="Times New Roman"/>
          <w:sz w:val="18"/>
          <w:szCs w:val="18"/>
          <w:color w:val="auto"/>
        </w:rPr>
      </w:pPr>
    </w:p>
    <w:p>
      <w:pPr>
        <w:ind w:left="1100" w:right="60" w:hanging="464"/>
        <w:spacing w:after="0" w:line="266" w:lineRule="auto"/>
        <w:tabs>
          <w:tab w:leader="none" w:pos="109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tbl>
      <w:tblPr>
        <w:tblLayout w:type="fixed"/>
        <w:tblInd w:w="112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28, 2022</w:t>
            </w:r>
          </w:p>
        </w:tc>
        <w:tc>
          <w:tcPr>
            <w:tcW w:w="55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By:    /s/ JAMES HAGEDORN</w:t>
            </w:r>
          </w:p>
        </w:tc>
      </w:tr>
      <w:tr>
        <w:trPr>
          <w:trHeight w:val="212"/>
        </w:trPr>
        <w:tc>
          <w:tcPr>
            <w:tcW w:w="3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Printed Name: James Hagedorn</w:t>
            </w:r>
          </w:p>
        </w:tc>
      </w:tr>
      <w:tr>
        <w:trPr>
          <w:trHeight w:val="176"/>
        </w:trPr>
        <w:tc>
          <w:tcPr>
            <w:tcW w:w="33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66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Title: Chief Executive Officer and Chairman of</w:t>
            </w:r>
          </w:p>
        </w:tc>
      </w:tr>
      <w:tr>
        <w:trPr>
          <w:trHeight w:val="228"/>
        </w:trPr>
        <w:tc>
          <w:tcPr>
            <w:tcW w:w="3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Board</w:t>
            </w:r>
          </w:p>
        </w:tc>
      </w:tr>
    </w:tbl>
    <w:p>
      <w:pPr>
        <w:sectPr>
          <w:pgSz w:w="11900" w:h="16838" w:orient="portrait"/>
          <w:cols w:equalWidth="0" w:num="1">
            <w:col w:w="11240"/>
          </w:cols>
          <w:pgMar w:left="320" w:top="868"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C. Evans, certify that:</w:t>
      </w:r>
    </w:p>
    <w:p>
      <w:pPr>
        <w:spacing w:after="0" w:line="156" w:lineRule="exact"/>
        <w:rPr>
          <w:sz w:val="20"/>
          <w:szCs w:val="20"/>
          <w:color w:val="auto"/>
        </w:rPr>
      </w:pPr>
    </w:p>
    <w:p>
      <w:pPr>
        <w:ind w:left="640" w:hanging="319"/>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Scotts Miracle-Gro Company for the fiscal year ended September 30, 2022;</w:t>
      </w:r>
    </w:p>
    <w:p>
      <w:pPr>
        <w:spacing w:after="0" w:line="239" w:lineRule="exact"/>
        <w:rPr>
          <w:rFonts w:ascii="Times New Roman" w:cs="Times New Roman" w:eastAsia="Times New Roman" w:hAnsi="Times New Roman"/>
          <w:sz w:val="18"/>
          <w:szCs w:val="18"/>
          <w:color w:val="auto"/>
        </w:rPr>
      </w:pPr>
    </w:p>
    <w:p>
      <w:pPr>
        <w:jc w:val="both"/>
        <w:ind w:left="640" w:right="420" w:hanging="319"/>
        <w:spacing w:after="0" w:line="256" w:lineRule="auto"/>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5" w:lineRule="exact"/>
        <w:rPr>
          <w:rFonts w:ascii="Times New Roman" w:cs="Times New Roman" w:eastAsia="Times New Roman" w:hAnsi="Times New Roman"/>
          <w:sz w:val="18"/>
          <w:szCs w:val="18"/>
          <w:color w:val="auto"/>
        </w:rPr>
      </w:pPr>
    </w:p>
    <w:p>
      <w:pPr>
        <w:ind w:left="640" w:right="380" w:hanging="319"/>
        <w:spacing w:after="0" w:line="268" w:lineRule="auto"/>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Times New Roman" w:cs="Times New Roman" w:eastAsia="Times New Roman" w:hAnsi="Times New Roman"/>
          <w:sz w:val="18"/>
          <w:szCs w:val="18"/>
          <w:color w:val="auto"/>
        </w:rPr>
      </w:pPr>
    </w:p>
    <w:p>
      <w:pPr>
        <w:ind w:left="640" w:hanging="319"/>
        <w:spacing w:after="0" w:line="256" w:lineRule="auto"/>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5" w:lineRule="exact"/>
        <w:rPr>
          <w:rFonts w:ascii="Times New Roman" w:cs="Times New Roman" w:eastAsia="Times New Roman" w:hAnsi="Times New Roman"/>
          <w:sz w:val="18"/>
          <w:szCs w:val="18"/>
          <w:color w:val="auto"/>
        </w:rPr>
      </w:pPr>
    </w:p>
    <w:p>
      <w:pPr>
        <w:ind w:left="1100" w:right="200" w:hanging="464"/>
        <w:spacing w:after="0" w:line="256" w:lineRule="auto"/>
        <w:tabs>
          <w:tab w:leader="none" w:pos="109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5" w:lineRule="exact"/>
        <w:rPr>
          <w:rFonts w:ascii="Times New Roman" w:cs="Times New Roman" w:eastAsia="Times New Roman" w:hAnsi="Times New Roman"/>
          <w:sz w:val="18"/>
          <w:szCs w:val="18"/>
          <w:color w:val="auto"/>
        </w:rPr>
      </w:pPr>
    </w:p>
    <w:p>
      <w:pPr>
        <w:ind w:left="1100" w:right="500" w:hanging="464"/>
        <w:spacing w:after="0" w:line="256" w:lineRule="auto"/>
        <w:tabs>
          <w:tab w:leader="none" w:pos="109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5" w:lineRule="exact"/>
        <w:rPr>
          <w:rFonts w:ascii="Times New Roman" w:cs="Times New Roman" w:eastAsia="Times New Roman" w:hAnsi="Times New Roman"/>
          <w:sz w:val="18"/>
          <w:szCs w:val="18"/>
          <w:color w:val="auto"/>
        </w:rPr>
      </w:pPr>
    </w:p>
    <w:p>
      <w:pPr>
        <w:jc w:val="both"/>
        <w:ind w:left="1100" w:right="660" w:hanging="464"/>
        <w:spacing w:after="0" w:line="331" w:lineRule="auto"/>
        <w:tabs>
          <w:tab w:leader="none" w:pos="1097"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Times New Roman" w:cs="Times New Roman" w:eastAsia="Times New Roman" w:hAnsi="Times New Roman"/>
          <w:sz w:val="16"/>
          <w:szCs w:val="16"/>
          <w:color w:val="auto"/>
        </w:rPr>
      </w:pPr>
    </w:p>
    <w:p>
      <w:pPr>
        <w:ind w:left="1100" w:right="200" w:hanging="464"/>
        <w:spacing w:after="0" w:line="256" w:lineRule="auto"/>
        <w:tabs>
          <w:tab w:leader="none" w:pos="109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5" w:lineRule="exact"/>
        <w:rPr>
          <w:rFonts w:ascii="Times New Roman" w:cs="Times New Roman" w:eastAsia="Times New Roman" w:hAnsi="Times New Roman"/>
          <w:sz w:val="18"/>
          <w:szCs w:val="18"/>
          <w:color w:val="auto"/>
        </w:rPr>
      </w:pPr>
    </w:p>
    <w:p>
      <w:pPr>
        <w:ind w:left="640" w:right="320" w:hanging="319"/>
        <w:spacing w:after="0" w:line="268" w:lineRule="auto"/>
        <w:tabs>
          <w:tab w:leader="none" w:pos="62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Times New Roman" w:cs="Times New Roman" w:eastAsia="Times New Roman" w:hAnsi="Times New Roman"/>
          <w:sz w:val="18"/>
          <w:szCs w:val="18"/>
          <w:color w:val="auto"/>
        </w:rPr>
      </w:pPr>
    </w:p>
    <w:p>
      <w:pPr>
        <w:ind w:left="1100" w:right="100" w:hanging="464"/>
        <w:spacing w:after="0" w:line="268" w:lineRule="auto"/>
        <w:tabs>
          <w:tab w:leader="none" w:pos="109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Times New Roman" w:cs="Times New Roman" w:eastAsia="Times New Roman" w:hAnsi="Times New Roman"/>
          <w:sz w:val="18"/>
          <w:szCs w:val="18"/>
          <w:color w:val="auto"/>
        </w:rPr>
      </w:pPr>
    </w:p>
    <w:p>
      <w:pPr>
        <w:ind w:left="1100" w:right="60" w:hanging="464"/>
        <w:spacing w:after="0" w:line="266" w:lineRule="auto"/>
        <w:tabs>
          <w:tab w:leader="none" w:pos="109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2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28, 2022</w:t>
            </w:r>
          </w:p>
        </w:tc>
        <w:tc>
          <w:tcPr>
            <w:tcW w:w="20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 DAVID C. EVANS</w:t>
            </w:r>
          </w:p>
        </w:tc>
      </w:tr>
      <w:tr>
        <w:trPr>
          <w:trHeight w:val="212"/>
        </w:trPr>
        <w:tc>
          <w:tcPr>
            <w:tcW w:w="34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Printed Name: David C. Evans</w:t>
            </w:r>
          </w:p>
        </w:tc>
      </w:tr>
      <w:tr>
        <w:trPr>
          <w:trHeight w:val="228"/>
        </w:trPr>
        <w:tc>
          <w:tcPr>
            <w:tcW w:w="34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 Interim Chief Financial Officer</w:t>
            </w:r>
          </w:p>
        </w:tc>
      </w:tr>
    </w:tbl>
    <w:p>
      <w:pPr>
        <w:sectPr>
          <w:pgSz w:w="11900" w:h="16838" w:orient="portrait"/>
          <w:cols w:equalWidth="0" w:num="1">
            <w:col w:w="11240"/>
          </w:cols>
          <w:pgMar w:left="320" w:top="868"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1350 CERTIFICATIONS*</w:t>
      </w:r>
    </w:p>
    <w:p>
      <w:pPr>
        <w:spacing w:after="0" w:line="24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In connection with the Annual Report on Form 10-K of The Scotts Miracle-Gro Company (the “Company”) for the fiscal year ended September 30, 2022 as filed with the Securities and Exchange Commission on the date hereof (the “Report”), the undersigned James Hagedorn, Chief Executive Officer and Chairman of the Board of the Company, and David C. Evans, Executive Vice President and Interim Chief Financial Officer of the Company, certify, pursuant to Section 1350 of Chapter 63 of Title 18 of the United States Code, as adopted pursuant to Section 906 of the Sarbanes-Oxley Act of 2002, that, to the best of their knowledge:</w:t>
      </w:r>
    </w:p>
    <w:p>
      <w:pPr>
        <w:spacing w:after="0" w:line="149" w:lineRule="exact"/>
        <w:rPr>
          <w:sz w:val="20"/>
          <w:szCs w:val="20"/>
          <w:color w:val="auto"/>
        </w:rPr>
      </w:pPr>
    </w:p>
    <w:p>
      <w:pPr>
        <w:ind w:left="320" w:hanging="315"/>
        <w:spacing w:after="0"/>
        <w:tabs>
          <w:tab w:leader="none" w:pos="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39" w:lineRule="exact"/>
        <w:rPr>
          <w:rFonts w:ascii="Times New Roman" w:cs="Times New Roman" w:eastAsia="Times New Roman" w:hAnsi="Times New Roman"/>
          <w:sz w:val="18"/>
          <w:szCs w:val="18"/>
          <w:color w:val="auto"/>
        </w:rPr>
      </w:pPr>
    </w:p>
    <w:p>
      <w:pPr>
        <w:ind w:left="640" w:right="580" w:hanging="635"/>
        <w:spacing w:after="0" w:line="266" w:lineRule="auto"/>
        <w:tabs>
          <w:tab w:leader="none" w:pos="32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consolidated financial condition and results of operations of the Company and its subsidiaries.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 JAMES HAGEDORN</w:t>
            </w:r>
          </w:p>
        </w:tc>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 DAVID C. EVANS</w:t>
            </w:r>
          </w:p>
        </w:tc>
      </w:tr>
      <w:tr>
        <w:trPr>
          <w:trHeight w:val="212"/>
        </w:trPr>
        <w:tc>
          <w:tcPr>
            <w:tcW w:w="512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Printed Name: James Hagedorn</w:t>
            </w:r>
          </w:p>
        </w:tc>
        <w:tc>
          <w:tcPr>
            <w:tcW w:w="320" w:type="dxa"/>
            <w:vAlign w:val="bottom"/>
          </w:tcPr>
          <w:p>
            <w:pPr>
              <w:spacing w:after="0"/>
              <w:rPr>
                <w:sz w:val="18"/>
                <w:szCs w:val="18"/>
                <w:color w:val="auto"/>
              </w:rPr>
            </w:pPr>
          </w:p>
        </w:tc>
        <w:tc>
          <w:tcPr>
            <w:tcW w:w="51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Printed Name: David C. Evans</w:t>
            </w:r>
          </w:p>
        </w:tc>
      </w:tr>
      <w:tr>
        <w:trPr>
          <w:trHeight w:val="228"/>
        </w:trPr>
        <w:tc>
          <w:tcPr>
            <w:tcW w:w="5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Title: Chief Executive Officer and Chairman of the Board</w:t>
            </w:r>
          </w:p>
        </w:tc>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Title: Interim Chief Financial Officer</w:t>
            </w:r>
          </w:p>
        </w:tc>
      </w:tr>
      <w:tr>
        <w:trPr>
          <w:trHeight w:val="421"/>
        </w:trPr>
        <w:tc>
          <w:tcPr>
            <w:tcW w:w="5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November 28, 2022</w:t>
            </w:r>
          </w:p>
        </w:tc>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November 28, 2022</w:t>
            </w:r>
          </w:p>
        </w:tc>
      </w:tr>
    </w:tbl>
    <w:p>
      <w:pPr>
        <w:spacing w:after="0" w:line="271" w:lineRule="exact"/>
        <w:rPr>
          <w:sz w:val="20"/>
          <w:szCs w:val="20"/>
          <w:color w:val="auto"/>
        </w:rPr>
      </w:pPr>
    </w:p>
    <w:p>
      <w:pPr>
        <w:ind w:left="680" w:right="120" w:hanging="657"/>
        <w:spacing w:after="0" w:line="214" w:lineRule="auto"/>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240"/>
      </w:cols>
      <w:pgMar w:left="320" w:top="8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1"/>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1)"/>
      <w:numFmt w:val="decimal"/>
      <w:start w:val="1"/>
    </w:lvl>
  </w:abstractNum>
  <w:abstractNum w:abstractNumId="9">
    <w:nsid w:val="3006C83E"/>
    <w:multiLevelType w:val="hybridMultilevel"/>
    <w:lvl w:ilvl="0">
      <w:lvlJc w:val="left"/>
      <w:lvlText w:val="(%1)"/>
      <w:numFmt w:val="decimal"/>
      <w:start w:val="2"/>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1)"/>
      <w:numFmt w:val="lowerLetter"/>
      <w:start w:val="1"/>
    </w:lvl>
  </w:abstractNum>
  <w:abstractNum w:abstractNumId="19">
    <w:nsid w:val="2463B9EA"/>
    <w:multiLevelType w:val="hybridMultilevel"/>
    <w:lvl w:ilvl="0">
      <w:lvlJc w:val="left"/>
      <w:lvlText w:val="(%1)"/>
      <w:numFmt w:val="lowerLetter"/>
      <w:start w:val="1"/>
    </w:lvl>
  </w:abstractNum>
  <w:abstractNum w:abstractNumId="20">
    <w:nsid w:val="5E884ADC"/>
    <w:multiLevelType w:val="hybridMultilevel"/>
    <w:lvl w:ilvl="0">
      <w:lvlJc w:val="left"/>
      <w:lvlText w:val="(%1)"/>
      <w:numFmt w:val="lowerLetter"/>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1)"/>
      <w:numFmt w:val="lowerRoman"/>
      <w:start w:val="3"/>
    </w:lvl>
  </w:abstractNum>
  <w:abstractNum w:abstractNumId="25">
    <w:nsid w:val="3855585C"/>
    <w:multiLevelType w:val="hybridMultilevel"/>
    <w:lvl w:ilvl="0">
      <w:lvlJc w:val="left"/>
      <w:lvlText w:val="(%1)"/>
      <w:numFmt w:val="lowerLetter"/>
      <w:start w:val="1"/>
    </w:lvl>
  </w:abstractNum>
  <w:abstractNum w:abstractNumId="26">
    <w:nsid w:val="70A64E2A"/>
    <w:multiLevelType w:val="hybridMultilevel"/>
    <w:lvl w:ilvl="0">
      <w:lvlJc w:val="left"/>
      <w:lvlText w:val="(%1)"/>
      <w:numFmt w:val="lowerLetter"/>
      <w:start w:val="2"/>
    </w:lvl>
  </w:abstractNum>
  <w:abstractNum w:abstractNumId="27">
    <w:nsid w:val="6A2342EC"/>
    <w:multiLevelType w:val="hybridMultilevel"/>
    <w:lvl w:ilvl="0">
      <w:lvlJc w:val="left"/>
      <w:lvlText w:val="(%1)"/>
      <w:numFmt w:val="lowerLetter"/>
      <w:start w:val="3"/>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1)"/>
      <w:numFmt w:val="lowerRoman"/>
      <w:start w:val="1"/>
    </w:lvl>
  </w:abstractNum>
  <w:abstractNum w:abstractNumId="32">
    <w:nsid w:val="57E4CCAF"/>
    <w:multiLevelType w:val="hybridMultilevel"/>
    <w:lvl w:ilvl="0">
      <w:lvlJc w:val="left"/>
      <w:lvlText w:val="(%1)"/>
      <w:numFmt w:val="lowerLetter"/>
      <w:start w:val="1"/>
    </w:lvl>
  </w:abstractNum>
  <w:abstractNum w:abstractNumId="33">
    <w:nsid w:val="7A6D8D3C"/>
    <w:multiLevelType w:val="hybridMultilevel"/>
    <w:lvl w:ilvl="0">
      <w:lvlJc w:val="left"/>
      <w:lvlText w:val="(%1)"/>
      <w:numFmt w:val="lowerLetter"/>
      <w:start w:val="1"/>
    </w:lvl>
  </w:abstractNum>
  <w:abstractNum w:abstractNumId="34">
    <w:nsid w:val="4B588F54"/>
    <w:multiLevelType w:val="hybridMultilevel"/>
    <w:lvl w:ilvl="0">
      <w:lvlJc w:val="left"/>
      <w:lvlText w:val="(%1)"/>
      <w:numFmt w:val="lowerLetter"/>
      <w:start w:val="1"/>
    </w:lvl>
  </w:abstractNum>
  <w:abstractNum w:abstractNumId="35">
    <w:nsid w:val="542289EC"/>
    <w:multiLevelType w:val="hybridMultilevel"/>
    <w:lvl w:ilvl="0">
      <w:lvlJc w:val="left"/>
      <w:lvlText w:val="%1"/>
      <w:numFmt w:val="decimal"/>
      <w:start w:val="21"/>
    </w:lvl>
  </w:abstractNum>
  <w:abstractNum w:abstractNumId="36">
    <w:nsid w:val="6DE91B18"/>
    <w:multiLevelType w:val="hybridMultilevel"/>
    <w:lvl w:ilvl="0">
      <w:lvlJc w:val="left"/>
      <w:lvlText w:val="%1"/>
      <w:numFmt w:val="decimal"/>
      <w:start w:val="32"/>
    </w:lvl>
  </w:abstractNum>
  <w:abstractNum w:abstractNumId="37">
    <w:nsid w:val="38437FDB"/>
    <w:multiLevelType w:val="hybridMultilevel"/>
    <w:lvl w:ilvl="0">
      <w:lvlJc w:val="left"/>
      <w:lvlText w:val="%1"/>
      <w:numFmt w:val="decimal"/>
      <w:start w:val="104"/>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1."/>
      <w:numFmt w:val="decimal"/>
      <w:start w:val="1"/>
    </w:lvl>
  </w:abstractNum>
  <w:abstractNum w:abstractNumId="40">
    <w:nsid w:val="684A481A"/>
    <w:multiLevelType w:val="hybridMultilevel"/>
    <w:lvl w:ilvl="0">
      <w:lvlJc w:val="left"/>
      <w:lvlText w:val="%1."/>
      <w:numFmt w:val="decimal"/>
      <w:start w:val="2"/>
    </w:lvl>
    <w:lvl w:ilvl="1">
      <w:lvlJc w:val="left"/>
      <w:lvlText w:val="(%2)"/>
      <w:numFmt w:val="lowerLetter"/>
      <w:start w:val="1"/>
    </w:lvl>
  </w:abstractNum>
  <w:abstractNum w:abstractNumId="41">
    <w:nsid w:val="579478F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2">
    <w:nsid w:val="749ABB4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3">
    <w:nsid w:val="3DC240FB"/>
    <w:multiLevelType w:val="hybridMultilevel"/>
    <w:lvl w:ilvl="0">
      <w:lvlJc w:val="left"/>
      <w:lvlText w:val="(%1)"/>
      <w:numFmt w:val="decimal"/>
      <w:start w:val="4"/>
    </w:lvl>
  </w:abstractNum>
  <w:abstractNum w:abstractNumId="44">
    <w:nsid w:val="1BA026FA"/>
    <w:multiLevelType w:val="hybridMultilevel"/>
    <w:lvl w:ilvl="0">
      <w:lvlJc w:val="left"/>
      <w:lvlText w:val="(%1)"/>
      <w:numFmt w:val="lowerRoman"/>
      <w:start w:val="1"/>
    </w:lvl>
  </w:abstractNum>
  <w:abstractNum w:abstractNumId="45">
    <w:nsid w:val="79A1DEAA"/>
    <w:multiLevelType w:val="hybridMultilevel"/>
    <w:lvl w:ilvl="0">
      <w:lvlJc w:val="left"/>
      <w:lvlText w:val="(%1)"/>
      <w:numFmt w:val="lowerLetter"/>
      <w:start w:val="1"/>
    </w:lvl>
  </w:abstractNum>
  <w:abstractNum w:abstractNumId="46">
    <w:nsid w:val="75C6C33A"/>
    <w:multiLevelType w:val="hybridMultilevel"/>
    <w:lvl w:ilvl="0">
      <w:lvlJc w:val="left"/>
      <w:lvlText w:val="(%1)"/>
      <w:numFmt w:val="lowerLetter"/>
      <w:start w:val="2"/>
    </w:lvl>
    <w:lvl w:ilvl="1">
      <w:lvlJc w:val="left"/>
      <w:lvlText w:val="(%2)"/>
      <w:numFmt w:val="lowerRoman"/>
      <w:start w:val="1"/>
    </w:lvl>
  </w:abstractNum>
  <w:abstractNum w:abstractNumId="47">
    <w:nsid w:val="12E685FB"/>
    <w:multiLevelType w:val="hybridMultilevel"/>
    <w:lvl w:ilvl="0">
      <w:lvlJc w:val="left"/>
      <w:lvlText w:val="(%1)"/>
      <w:numFmt w:val="lowerLetter"/>
      <w:start w:val="1"/>
    </w:lvl>
  </w:abstractNum>
  <w:abstractNum w:abstractNumId="48">
    <w:nsid w:val="70C6A529"/>
    <w:multiLevelType w:val="hybridMultilevel"/>
    <w:lvl w:ilvl="0">
      <w:lvlJc w:val="left"/>
      <w:lvlText w:val="(%1)"/>
      <w:numFmt w:val="lowerLetter"/>
      <w:start w:val="5"/>
    </w:lvl>
  </w:abstractNum>
  <w:abstractNum w:abstractNumId="49">
    <w:nsid w:val="520EEDD1"/>
    <w:multiLevelType w:val="hybridMultilevel"/>
    <w:lvl w:ilvl="0">
      <w:lvlJc w:val="left"/>
      <w:lvlText w:val="1"/>
      <w:numFmt w:val="bullet"/>
      <w:start w:val="1"/>
    </w:lvl>
  </w:abstractNum>
  <w:abstractNum w:abstractNumId="50">
    <w:nsid w:val="374A3FE6"/>
    <w:multiLevelType w:val="hybridMultilevel"/>
    <w:lvl w:ilvl="0">
      <w:lvlJc w:val="left"/>
      <w:lvlText w:val="2"/>
      <w:numFmt w:val="bullet"/>
      <w:start w:val="1"/>
    </w:lvl>
  </w:abstractNum>
  <w:abstractNum w:abstractNumId="51">
    <w:nsid w:val="4F4EF005"/>
    <w:multiLevelType w:val="hybridMultilevel"/>
    <w:lvl w:ilvl="0">
      <w:lvlJc w:val="left"/>
      <w:lvlText w:val="3"/>
      <w:numFmt w:val="bullet"/>
      <w:start w:val="1"/>
    </w:lvl>
  </w:abstractNum>
  <w:abstractNum w:abstractNumId="52">
    <w:nsid w:val="23F9C13C"/>
    <w:multiLevelType w:val="hybridMultilevel"/>
    <w:lvl w:ilvl="0">
      <w:lvlJc w:val="left"/>
      <w:lvlText w:val="4"/>
      <w:numFmt w:val="bullet"/>
      <w:start w:val="1"/>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55" Type="http://schemas.openxmlformats.org/officeDocument/2006/relationships/image" Target="media/image133.png"/><Relationship Id="rId156" Type="http://schemas.openxmlformats.org/officeDocument/2006/relationships/image" Target="media/image134.png"/><Relationship Id="rId157" Type="http://schemas.openxmlformats.org/officeDocument/2006/relationships/image" Target="media/image135.png"/><Relationship Id="rId171" Type="http://schemas.openxmlformats.org/officeDocument/2006/relationships/image" Target="media/image136.png"/><Relationship Id="rId172" Type="http://schemas.openxmlformats.org/officeDocument/2006/relationships/image" Target="media/image137.png"/><Relationship Id="rId173" Type="http://schemas.openxmlformats.org/officeDocument/2006/relationships/image" Target="media/image138.png"/><Relationship Id="rId192" Type="http://schemas.openxmlformats.org/officeDocument/2006/relationships/image" Target="media/image139.png"/><Relationship Id="rId193" Type="http://schemas.openxmlformats.org/officeDocument/2006/relationships/image" Target="media/image140.png"/><Relationship Id="rId204" Type="http://schemas.openxmlformats.org/officeDocument/2006/relationships/image" Target="media/image141.png"/><Relationship Id="rId205" Type="http://schemas.openxmlformats.org/officeDocument/2006/relationships/image" Target="media/image142.jpeg"/><Relationship Id="rId206" Type="http://schemas.openxmlformats.org/officeDocument/2006/relationships/image" Target="media/image143.png"/><Relationship Id="rId207" Type="http://schemas.openxmlformats.org/officeDocument/2006/relationships/image" Target="media/image144.png"/><Relationship Id="rId208" Type="http://schemas.openxmlformats.org/officeDocument/2006/relationships/image" Target="media/image145.png"/><Relationship Id="rId209" Type="http://schemas.openxmlformats.org/officeDocument/2006/relationships/image" Target="media/image146.png"/><Relationship Id="rId210" Type="http://schemas.openxmlformats.org/officeDocument/2006/relationships/image" Target="media/image147.png"/><Relationship Id="rId211" Type="http://schemas.openxmlformats.org/officeDocument/2006/relationships/image" Target="media/image148.png"/><Relationship Id="rId212" Type="http://schemas.openxmlformats.org/officeDocument/2006/relationships/image" Target="media/image149.png"/><Relationship Id="rId213" Type="http://schemas.openxmlformats.org/officeDocument/2006/relationships/image" Target="media/image150.png"/><Relationship Id="rId214" Type="http://schemas.openxmlformats.org/officeDocument/2006/relationships/image" Target="media/image151.png"/><Relationship Id="rId215" Type="http://schemas.openxmlformats.org/officeDocument/2006/relationships/image" Target="media/image152.png"/><Relationship Id="rId216" Type="http://schemas.openxmlformats.org/officeDocument/2006/relationships/image" Target="media/image153.png"/><Relationship Id="rId217" Type="http://schemas.openxmlformats.org/officeDocument/2006/relationships/image" Target="media/image154.png"/><Relationship Id="rId140" Type="http://schemas.openxmlformats.org/officeDocument/2006/relationships/hyperlink" Target="http://www.sec.gov/Archives/edgar/data/825542/000095015205002525/l12922aexv3w1.htm" TargetMode="External"/><Relationship Id="rId141" Type="http://schemas.openxmlformats.org/officeDocument/2006/relationships/hyperlink" Target="http://www.sec.gov/Archives/edgar/data/825542/000095015205002525/l12922aexv3w2.htm" TargetMode="External"/><Relationship Id="rId142" Type="http://schemas.openxmlformats.org/officeDocument/2006/relationships/hyperlink" Target="http://www.sec.gov/Archives/edgar/data/825542/000095015205002525/l12922aexv3w3.htm" TargetMode="External"/><Relationship Id="rId143" Type="http://schemas.openxmlformats.org/officeDocument/2006/relationships/hyperlink" Target="http://www.sec.gov/Archives/edgar/data/825542/000144398416000071/exhibit41smg2016-12x168xk.htm" TargetMode="External"/><Relationship Id="rId144" Type="http://schemas.openxmlformats.org/officeDocument/2006/relationships/hyperlink" Target="http://www.sec.gov/Archives/edgar/data/825542/000154638018000022/exhibit104smg6302018q3f18.htm" TargetMode="External"/><Relationship Id="rId145" Type="http://schemas.openxmlformats.org/officeDocument/2006/relationships/hyperlink" Target="http://www.sec.gov/Archives/edgar/data/825542/000154638020000019/exhibit42smg20200328.htm" TargetMode="External"/><Relationship Id="rId146" Type="http://schemas.openxmlformats.org/officeDocument/2006/relationships/hyperlink" Target="https://www.sec.gov/Archives/edgar/data/825542/000154638021000020/exhibit42smg20210403.htm" TargetMode="External"/><Relationship Id="rId147" Type="http://schemas.openxmlformats.org/officeDocument/2006/relationships/hyperlink" Target="http://www.sec.gov/Archives/edgar/data/0000825542/000154638021000030/exhibit41smg20210703.htm" TargetMode="External"/><Relationship Id="rId148" Type="http://schemas.openxmlformats.org/officeDocument/2006/relationships/hyperlink" Target="http://www.sec.gov/Archives/edgar/data/825542/000144398419000203/exhibit41smg2019-10x28.htm" TargetMode="External"/><Relationship Id="rId149" Type="http://schemas.openxmlformats.org/officeDocument/2006/relationships/hyperlink" Target="http://www.sec.gov/Archives/edgar/data/825542/000154638020000019/exhibit41smg20200328.htm" TargetMode="External"/><Relationship Id="rId150" Type="http://schemas.openxmlformats.org/officeDocument/2006/relationships/hyperlink" Target="http://www.sec.gov/Archives/edgar/data/0000825542/000154638021000020/exhibit43smg20210403.htm" TargetMode="External"/><Relationship Id="rId151" Type="http://schemas.openxmlformats.org/officeDocument/2006/relationships/hyperlink" Target="http://www.sec.gov/Archives/edgar/data/0000825542/000154638021000030/exhibit42smg20210703.htm" TargetMode="External"/><Relationship Id="rId152" Type="http://schemas.openxmlformats.org/officeDocument/2006/relationships/hyperlink" Target="http://www.sec.gov/Archives/edgar/data/0000825542/000144398421000157/exhibit41-smg2021x03x178xk.htm" TargetMode="External"/><Relationship Id="rId153" Type="http://schemas.openxmlformats.org/officeDocument/2006/relationships/hyperlink" Target="http://www.sec.gov/Archives/edgar/data/0000825542/000154638021000030/exhibit43smg20210703.htm" TargetMode="External"/><Relationship Id="rId154" Type="http://schemas.openxmlformats.org/officeDocument/2006/relationships/hyperlink" Target="http://www.sec.gov/Archives/edgar/data/0000825542/000144398421000268/exhibit41-smg2021x08x138xk.htm" TargetMode="External"/><Relationship Id="rId158" Type="http://schemas.openxmlformats.org/officeDocument/2006/relationships/hyperlink" Target="http://www.sec.gov/Archives/edgar/data/825542/000154638019000034/exhibit44smg930201910kfy19.htm" TargetMode="External"/><Relationship Id="rId159" Type="http://schemas.openxmlformats.org/officeDocument/2006/relationships/hyperlink" Target="http://www.sec.gov/Archives/edgar/data/825542/000144398422000125/exhibit101smg2022-04x148xk.htm" TargetMode="External"/><Relationship Id="rId160" Type="http://schemas.openxmlformats.org/officeDocument/2006/relationships/hyperlink" Target="http://www.sec.gov/Archives/edgar/data/825542/000144398422000167/exhibit101smg2022-06x088xk.htm" TargetMode="External"/><Relationship Id="rId161" Type="http://schemas.openxmlformats.org/officeDocument/2006/relationships/hyperlink" Target="http://www.sec.gov/Archives/edgar/data/825542/000144398422000125/exhibit102smg2022-04x148xk.htm" TargetMode="External"/><Relationship Id="rId162" Type="http://schemas.openxmlformats.org/officeDocument/2006/relationships/hyperlink" Target="http://www.sec.gov/Archives/edgar/data/825542/000144398413000006/smg2013-01x148xkannualmeet.htm" TargetMode="External"/><Relationship Id="rId163" Type="http://schemas.openxmlformats.org/officeDocument/2006/relationships/hyperlink" Target="http://www.sec.gov/Archives/edgar/data/825542/000154638015000015/exhibit107smg-328201510xq2.htm" TargetMode="External"/><Relationship Id="rId164" Type="http://schemas.openxmlformats.org/officeDocument/2006/relationships/hyperlink" Target="http://www.sec.gov/Archives/edgar/data/825542/000144398417000010/smg2017-01x308xkxexhibit101.htm" TargetMode="External"/><Relationship Id="rId165" Type="http://schemas.openxmlformats.org/officeDocument/2006/relationships/hyperlink" Target="http://www.sec.gov/Archives/edgar/data/825542/000144398417000010/smg2017-01x308xkxexhibit104.htm" TargetMode="External"/><Relationship Id="rId166" Type="http://schemas.openxmlformats.org/officeDocument/2006/relationships/hyperlink" Target="http://www.sec.gov/Archives/edgar/data/825542/000144398417000010/smg2017-01x308xkxexhibit105.htm" TargetMode="External"/><Relationship Id="rId167" Type="http://schemas.openxmlformats.org/officeDocument/2006/relationships/hyperlink" Target="http://www.sec.gov/Archives/edgar/data/825542/000154638018000030/exhibit103gsmg930201810kfy.htm" TargetMode="External"/><Relationship Id="rId168" Type="http://schemas.openxmlformats.org/officeDocument/2006/relationships/hyperlink" Target="http://www.sec.gov/Archives/edgar/data/825542/000154638018000030/exhibit103hismg930201810kf.htm" TargetMode="External"/><Relationship Id="rId169" Type="http://schemas.openxmlformats.org/officeDocument/2006/relationships/hyperlink" Target="http://www.sec.gov/Archives/edgar/data/825542/000154638020000045/exhibit103smg20200930.htm" TargetMode="External"/><Relationship Id="rId170" Type="http://schemas.openxmlformats.org/officeDocument/2006/relationships/hyperlink" Target="http://www.sec.gov/Archives/edgar/data/825542/000144398422000019/smg2022-01x278xkxex101ltip.htm" TargetMode="External"/><Relationship Id="rId174" Type="http://schemas.openxmlformats.org/officeDocument/2006/relationships/hyperlink" Target="http://www.sec.gov/Archives/edgar/data/825542/000154638022000007/exhibit102smg20220101.htm" TargetMode="External"/><Relationship Id="rId175" Type="http://schemas.openxmlformats.org/officeDocument/2006/relationships/hyperlink" Target="http://www.sec.gov/Archives/edgar/data/825542/000154638020000032/exhibit10smg20200627.htm" TargetMode="External"/><Relationship Id="rId176" Type="http://schemas.openxmlformats.org/officeDocument/2006/relationships/hyperlink" Target="http://www.sec.gov/Archives/edgar/data/825542/000095015206006818/l21737aexv10w1.htm" TargetMode="External"/><Relationship Id="rId177" Type="http://schemas.openxmlformats.org/officeDocument/2006/relationships/hyperlink" Target="http://www.sec.gov/Archives/edgar/data/825542/000154638015000006/exhibit102smg12271410qf15.htm" TargetMode="External"/><Relationship Id="rId178" Type="http://schemas.openxmlformats.org/officeDocument/2006/relationships/hyperlink" Target="http://www.sec.gov/Archives/edgar/data/825542/000144398413000030/smg2013-12x178kex102.htm" TargetMode="External"/><Relationship Id="rId179" Type="http://schemas.openxmlformats.org/officeDocument/2006/relationships/hyperlink" Target="http://www.sec.gov/Archives/edgar/data/825542/000144398413000030/smg2013-12x178kex101.htm" TargetMode="External"/><Relationship Id="rId180" Type="http://schemas.openxmlformats.org/officeDocument/2006/relationships/hyperlink" Target="http://www.sec.gov/Archives/edgar/data/825542/000154638021000020/exhibit103smg20210403.htm" TargetMode="External"/><Relationship Id="rId181" Type="http://schemas.openxmlformats.org/officeDocument/2006/relationships/hyperlink" Target="http://www.sec.gov/Archives/edgar/data/825542/000154638022000014/exhibit102smg20220402.htm" TargetMode="External"/><Relationship Id="rId182" Type="http://schemas.openxmlformats.org/officeDocument/2006/relationships/hyperlink" Target="http://www.sec.gov/Archives/edgar/data/825542/000154638017000016/exhibit109smg412017q2f17.htm" TargetMode="External"/><Relationship Id="rId183" Type="http://schemas.openxmlformats.org/officeDocument/2006/relationships/hyperlink" Target="http://www.sec.gov/Archives/edgar/data/825542/000154638017000016/exhibit1010smg412017q2f17.htm" TargetMode="External"/><Relationship Id="rId184" Type="http://schemas.openxmlformats.org/officeDocument/2006/relationships/hyperlink" Target="http://www.sec.gov/Archives/edgar/data/825542/000154638019000021/exhibit102smg2019-07x318xk.htm" TargetMode="External"/><Relationship Id="rId185" Type="http://schemas.openxmlformats.org/officeDocument/2006/relationships/hyperlink" Target="http://www.sec.gov/Archives/edgar/data/825542/000154638019000021/exhibit104smg2019-07x318xk.htm" TargetMode="External"/><Relationship Id="rId186" Type="http://schemas.openxmlformats.org/officeDocument/2006/relationships/hyperlink" Target="http://www.sec.gov/Archives/edgar/data/825542/000144398417000025/smg201704138kexhibit101.htm" TargetMode="External"/><Relationship Id="rId187" Type="http://schemas.openxmlformats.org/officeDocument/2006/relationships/hyperlink" Target="http://www.sec.gov/Archives/edgar/data/825542/000155278118000366/e18323_ex10-1.htm" TargetMode="External"/><Relationship Id="rId188" Type="http://schemas.openxmlformats.org/officeDocument/2006/relationships/hyperlink" Target="http://www.sec.gov/Archives/edgar/data/825542/000144398420000219/exhibit101-smg2020x08x.htm" TargetMode="External"/><Relationship Id="rId189" Type="http://schemas.openxmlformats.org/officeDocument/2006/relationships/hyperlink" Target="http://www.sec.gov/Archives/edgar/data/0000825542/000144398421000271/exhibit101-smg2021x08x208x.htm" TargetMode="External"/><Relationship Id="rId190" Type="http://schemas.openxmlformats.org/officeDocument/2006/relationships/hyperlink" Target="http://www.sec.gov/Archives/edgar/data/825542/000144398422000230/exhibit101-smg2022x08x238x.htm" TargetMode="External"/><Relationship Id="rId191" Type="http://schemas.openxmlformats.org/officeDocument/2006/relationships/hyperlink" Target="http://www.sec.gov/Archives/edgar/data/825542/000144398417000025/smg201704138kexhibit102.htm" TargetMode="External"/><Relationship Id="rId194" Type="http://schemas.openxmlformats.org/officeDocument/2006/relationships/hyperlink" Target="http://www.sec.gov/Archives/edgar/data/825542/000144398417000045/exhibit101smg2017-08x318xk.htm" TargetMode="External"/><Relationship Id="rId195" Type="http://schemas.openxmlformats.org/officeDocument/2006/relationships/hyperlink" Target="http://www.sec.gov/Archives/edgar/data/825542/000155278118000366/e18323_ex10-2.htm" TargetMode="External"/><Relationship Id="rId196" Type="http://schemas.openxmlformats.org/officeDocument/2006/relationships/hyperlink" Target="http://www.sec.gov/Archives/edgar/data/825542/000144398419000150/exhibit101smg2019-08x2.htm" TargetMode="External"/><Relationship Id="rId197" Type="http://schemas.openxmlformats.org/officeDocument/2006/relationships/hyperlink" Target="http://www.sec.gov/Archives/edgar/data/825542/000144398420000219/exhibit102-smg2020x08x.htm" TargetMode="External"/><Relationship Id="rId198" Type="http://schemas.openxmlformats.org/officeDocument/2006/relationships/hyperlink" Target="http://www.sec.gov/Archives/edgar/data/0000825542/000144398421000271/exhibit102-smg2021x08x208x.htm" TargetMode="External"/><Relationship Id="rId199" Type="http://schemas.openxmlformats.org/officeDocument/2006/relationships/hyperlink" Target="http://www.sec.gov/Archives/edgar/data/825542/000144398422000230/exhibit102-smg2022x08x238x.htm" TargetMode="External"/><Relationship Id="rId200" Type="http://schemas.openxmlformats.org/officeDocument/2006/relationships/hyperlink" Target="http://www.sec.gov/Archives/edgar/data/825542/000154638016000053/exhibit104smg422016q2f16.htm" TargetMode="External"/><Relationship Id="rId201" Type="http://schemas.openxmlformats.org/officeDocument/2006/relationships/hyperlink" Target="http://www.sec.gov/Archives/edgar/data/825542/000155278118000366/e18323_ex10-3.htm" TargetMode="External"/><Relationship Id="rId202" Type="http://schemas.openxmlformats.org/officeDocument/2006/relationships/hyperlink" Target="http://www.sec.gov/Archives/edgar/data/0000825542/000144398421000032/exhibit101-smg2021x01x288x.htm" TargetMode="External"/><Relationship Id="rId203" Type="http://schemas.openxmlformats.org/officeDocument/2006/relationships/hyperlink" Target="http://www.sec.gov/Archives/edgar/data/825542/000144398422000302/exhibit101-smg2022x10x048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2022-11-28T08:06:34Z</dcterms:created>
  <dcterms:modified xsi:type="dcterms:W3CDTF">2022-11-28T08:06:34Z</dcterms:modified>
</cp:coreProperties>
</file>