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0"/>
          <w:szCs w:val="20"/>
          <w:color w:val="auto"/>
        </w:rPr>
      </w:pPr>
    </w:p>
    <w:p>
      <w:pPr>
        <w:ind w:left="1380" w:right="3099" w:hanging="1372"/>
        <w:spacing w:after="0" w:line="277"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15(d) OF THE SECURITIES EXCHANGE ACT OF 1934</w:t>
      </w:r>
    </w:p>
    <w:p>
      <w:pPr>
        <w:spacing w:after="0" w:line="170" w:lineRule="exact"/>
        <w:rPr>
          <w:rFonts w:ascii="MS PGothic" w:cs="MS PGothic" w:eastAsia="MS PGothic" w:hAnsi="MS PGothic"/>
          <w:sz w:val="18"/>
          <w:szCs w:val="18"/>
          <w:color w:val="auto"/>
        </w:rPr>
      </w:pPr>
    </w:p>
    <w:p>
      <w:pPr>
        <w:ind w:left="1380"/>
        <w:spacing w:after="0"/>
        <w:rPr>
          <w:rFonts w:ascii="MS PGothic" w:cs="MS PGothic" w:eastAsia="MS PGothic" w:hAnsi="MS PGothic"/>
          <w:sz w:val="18"/>
          <w:szCs w:val="18"/>
          <w:color w:val="auto"/>
        </w:rPr>
      </w:pPr>
      <w:r>
        <w:rPr>
          <w:rFonts w:ascii="Arial" w:cs="Arial" w:eastAsia="Arial" w:hAnsi="Arial"/>
          <w:sz w:val="18"/>
          <w:szCs w:val="18"/>
          <w:color w:val="auto"/>
        </w:rPr>
        <w:t>For the fiscal year ended December 31, 2005</w:t>
      </w:r>
    </w:p>
    <w:p>
      <w:pPr>
        <w:spacing w:after="0" w:line="225" w:lineRule="exact"/>
        <w:rPr>
          <w:rFonts w:ascii="MS PGothic" w:cs="MS PGothic" w:eastAsia="MS PGothic" w:hAnsi="MS PGothic"/>
          <w:sz w:val="18"/>
          <w:szCs w:val="18"/>
          <w:color w:val="auto"/>
        </w:rPr>
      </w:pPr>
    </w:p>
    <w:p>
      <w:pPr>
        <w:ind w:left="13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0"/>
          <w:szCs w:val="20"/>
          <w:color w:val="auto"/>
        </w:rPr>
      </w:pPr>
    </w:p>
    <w:p>
      <w:pPr>
        <w:ind w:left="1380" w:right="3839" w:hanging="1372"/>
        <w:spacing w:after="0" w:line="277" w:lineRule="auto"/>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15(d) OF THE SECURITIES EXCHANGE ACT OF 1934</w:t>
      </w:r>
    </w:p>
    <w:p>
      <w:pPr>
        <w:spacing w:after="0" w:line="170"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For the transition period from ___ to 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Commission file number 033-47073</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Scotts Company LLC Retirement Savings Plan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(formerly known as The Scotts Company Retirement Savings Plan)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 Name of issuer of the securities held pursuant to the plan and the address of its principal executive office:</w:t>
      </w:r>
    </w:p>
    <w:p>
      <w:pPr>
        <w:spacing w:after="0" w:line="34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(public company successor to The Scotts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Marysville, Ohio 43041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REQUIRED INFORMATION</w:t>
      </w:r>
    </w:p>
    <w:p>
      <w:pPr>
        <w:spacing w:after="0" w:line="117"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following financial statements and supplemental schedule for The Scotts Company LLC Retirement Savings Plan (formerly known as The Scotts Company Retirement Savings Plan) are being filed herewith: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Audited Financial Statements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Statement of Net Assets Available for Benefits as of December 31, 2005 and 2004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Statement of Changes in Net Assets Available for Benefits for the Years Ended December 31, 2005 and 2004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Supplemental Schedule: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of Assets Held for Investment Purposes at End of Year, Schedule H, Part IV, Line 4i — December 31, 2005</w:t>
      </w:r>
    </w:p>
    <w:p>
      <w:pPr>
        <w:spacing w:after="0" w:line="225" w:lineRule="exact"/>
        <w:rPr>
          <w:sz w:val="20"/>
          <w:szCs w:val="20"/>
          <w:color w:val="auto"/>
        </w:rPr>
      </w:pPr>
    </w:p>
    <w:p>
      <w:pPr>
        <w:ind w:left="2080" w:right="20" w:hanging="519"/>
        <w:spacing w:after="0" w:line="277" w:lineRule="auto"/>
        <w:tabs>
          <w:tab w:leader="none" w:pos="2060" w:val="left"/>
        </w:tabs>
        <w:rPr>
          <w:sz w:val="20"/>
          <w:szCs w:val="20"/>
          <w:color w:val="auto"/>
        </w:rPr>
      </w:pPr>
      <w:r>
        <w:rPr>
          <w:rFonts w:ascii="Arial" w:cs="Arial" w:eastAsia="Arial" w:hAnsi="Arial"/>
          <w:sz w:val="18"/>
          <w:szCs w:val="18"/>
          <w:color w:val="auto"/>
        </w:rPr>
        <w:t>Note:</w:t>
        <w:tab/>
        <w:t>Other supplemental schedules required by Section 252.103-10 of the Department of Labor’s Rules and Regulations for Reporting and Disclosure under ERISA have been omitted because they are not applicable.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 is being filed herewith:</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4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9360" w:type="dxa"/>
            <w:vAlign w:val="bottom"/>
          </w:tcPr>
          <w:p>
            <w:pPr>
              <w:spacing w:after="0"/>
              <w:rPr>
                <w:sz w:val="14"/>
                <w:szCs w:val="14"/>
                <w:color w:val="auto"/>
              </w:rPr>
            </w:pPr>
          </w:p>
        </w:tc>
      </w:tr>
      <w:tr>
        <w:trPr>
          <w:trHeight w:val="426"/>
        </w:trPr>
        <w:tc>
          <w:tcPr>
            <w:tcW w:w="920" w:type="dxa"/>
            <w:vAlign w:val="bottom"/>
            <w:gridSpan w:val="2"/>
          </w:tcPr>
          <w:p>
            <w:pPr>
              <w:jc w:val="right"/>
              <w:ind w:right="108"/>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 - Meaden &amp; Moore, Ltd.</w:t>
            </w:r>
          </w:p>
        </w:tc>
      </w:tr>
      <w:tr>
        <w:trPr>
          <w:trHeight w:val="405"/>
        </w:trPr>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40" w:type="dxa"/>
            <w:vAlign w:val="bottom"/>
            <w:gridSpan w:val="2"/>
          </w:tcPr>
          <w:p>
            <w:pPr>
              <w:jc w:val="right"/>
              <w:ind w:right="5560"/>
              <w:spacing w:after="0"/>
              <w:rPr>
                <w:sz w:val="20"/>
                <w:szCs w:val="20"/>
                <w:color w:val="auto"/>
              </w:rPr>
            </w:pPr>
            <w:r>
              <w:rPr>
                <w:rFonts w:ascii="Arial" w:cs="Arial" w:eastAsia="Arial" w:hAnsi="Arial"/>
                <w:sz w:val="18"/>
                <w:szCs w:val="18"/>
                <w:color w:val="auto"/>
              </w:rPr>
              <w:t>- 2 -</w:t>
            </w:r>
          </w:p>
        </w:tc>
      </w:tr>
      <w:tr>
        <w:trPr>
          <w:trHeight w:val="226"/>
        </w:trPr>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9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SCOTTS COMPANY LLC RETIREMENT SAVINGS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PLAN (formerly known as The Scotts Company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Retirement Savings Plan)</w:t>
      </w:r>
    </w:p>
    <w:p>
      <w:pPr>
        <w:spacing w:after="0" w:line="211" w:lineRule="exact"/>
        <w:rPr>
          <w:sz w:val="20"/>
          <w:szCs w:val="20"/>
          <w:color w:val="auto"/>
        </w:rPr>
      </w:pPr>
    </w:p>
    <w:p>
      <w:pPr>
        <w:spacing w:after="0"/>
        <w:tabs>
          <w:tab w:leader="none" w:pos="5600" w:val="left"/>
          <w:tab w:leader="none" w:pos="6200" w:val="left"/>
        </w:tabs>
        <w:rPr>
          <w:sz w:val="20"/>
          <w:szCs w:val="20"/>
          <w:color w:val="auto"/>
        </w:rPr>
      </w:pPr>
      <w:r>
        <w:rPr>
          <w:rFonts w:ascii="Arial" w:cs="Arial" w:eastAsia="Arial" w:hAnsi="Arial"/>
          <w:sz w:val="18"/>
          <w:szCs w:val="18"/>
          <w:color w:val="auto"/>
        </w:rPr>
        <w:t>Date: June 27,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Printed Name: CHRISTOPHER L. NAGEL</w:t>
      </w:r>
    </w:p>
    <w:p>
      <w:pPr>
        <w:spacing w:after="0" w:line="225" w:lineRule="exact"/>
        <w:rPr>
          <w:sz w:val="20"/>
          <w:szCs w:val="20"/>
          <w:color w:val="auto"/>
        </w:rPr>
      </w:pPr>
    </w:p>
    <w:p>
      <w:pPr>
        <w:ind w:left="5620"/>
        <w:spacing w:after="0"/>
        <w:tabs>
          <w:tab w:leader="none" w:pos="6200" w:val="left"/>
        </w:tabs>
        <w:rPr>
          <w:sz w:val="20"/>
          <w:szCs w:val="20"/>
          <w:color w:val="auto"/>
        </w:rPr>
      </w:pPr>
      <w:r>
        <w:rPr>
          <w:rFonts w:ascii="Arial" w:cs="Arial" w:eastAsia="Arial" w:hAnsi="Arial"/>
          <w:sz w:val="18"/>
          <w:szCs w:val="18"/>
          <w:color w:val="auto"/>
        </w:rPr>
        <w:t>Title:</w:t>
        <w:tab/>
        <w:t>Executive Vice President and Chief</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Financial Officer of The Scotts</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Company LLC and Member of the</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Administrative Committee for The</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Scotts Company LLC Retirement</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Savings Plan</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SCOTTS COMPANY LLC RETIREMENT SAVINGS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(formerly known as The Scotts Company Retirement Savings Plan)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720" w:type="dxa"/>
            <w:vAlign w:val="bottom"/>
            <w:gridSpan w:val="10"/>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Report of Independent Registered Public Accounting Firm</w:t>
              </w:r>
            </w:hyperlink>
          </w:p>
        </w:tc>
        <w:tc>
          <w:tcPr>
            <w:tcW w:w="700" w:type="dxa"/>
            <w:vAlign w:val="bottom"/>
            <w:gridSpan w:val="2"/>
          </w:tcPr>
          <w:p>
            <w:pPr>
              <w:ind w:left="1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0720" w:type="dxa"/>
            <w:vAlign w:val="bottom"/>
            <w:gridSpan w:val="10"/>
            <w:vMerge w:val="continue"/>
          </w:tcPr>
          <w:p>
            <w:pPr>
              <w:spacing w:after="0"/>
              <w:rPr>
                <w:sz w:val="14"/>
                <w:szCs w:val="14"/>
                <w:color w:val="auto"/>
              </w:rPr>
            </w:pPr>
          </w:p>
        </w:tc>
        <w:tc>
          <w:tcPr>
            <w:tcW w:w="5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6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w w:val="93"/>
              </w:rPr>
              <w:t>Financial Statements:</w:t>
            </w:r>
          </w:p>
        </w:tc>
        <w:tc>
          <w:tcPr>
            <w:tcW w:w="7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Statement of Net Assets Available for Benefits</w:t>
              </w:r>
            </w:hyperlink>
          </w:p>
        </w:tc>
        <w:tc>
          <w:tcPr>
            <w:tcW w:w="7140" w:type="dxa"/>
            <w:vAlign w:val="bottom"/>
            <w:gridSpan w:val="4"/>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Statement of Changes in Net Assets Available for Benefits</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Financial Statements</w:t>
              </w:r>
            </w:hyperlink>
          </w:p>
        </w:tc>
        <w:tc>
          <w:tcPr>
            <w:tcW w:w="630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8 - 14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720" w:type="dxa"/>
            <w:vAlign w:val="bottom"/>
            <w:gridSpan w:val="10"/>
          </w:tcPr>
          <w:p>
            <w:pPr>
              <w:spacing w:after="0"/>
              <w:rPr>
                <w:sz w:val="20"/>
                <w:szCs w:val="20"/>
                <w:color w:val="auto"/>
              </w:rPr>
            </w:pPr>
            <w:r>
              <w:rPr>
                <w:rFonts w:ascii="Arial" w:cs="Arial" w:eastAsia="Arial" w:hAnsi="Arial"/>
                <w:sz w:val="18"/>
                <w:szCs w:val="18"/>
                <w:color w:val="auto"/>
              </w:rPr>
              <w:t>Supplemental Schedule: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Schedule of Assets Held for Investment Purposes at End of Year, Schedule H, Part IV, Line 4i — December 31, 2005</w:t>
              </w:r>
            </w:hyperlink>
          </w:p>
        </w:tc>
        <w:tc>
          <w:tcPr>
            <w:tcW w:w="20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NOTE:</w:t>
            </w:r>
          </w:p>
        </w:tc>
        <w:tc>
          <w:tcPr>
            <w:tcW w:w="9780" w:type="dxa"/>
            <w:vAlign w:val="bottom"/>
            <w:gridSpan w:val="8"/>
          </w:tcPr>
          <w:p>
            <w:pPr>
              <w:ind w:left="80"/>
              <w:spacing w:after="0"/>
              <w:rPr>
                <w:sz w:val="20"/>
                <w:szCs w:val="20"/>
                <w:color w:val="auto"/>
              </w:rPr>
            </w:pPr>
            <w:r>
              <w:rPr>
                <w:rFonts w:ascii="Arial" w:cs="Arial" w:eastAsia="Arial" w:hAnsi="Arial"/>
                <w:sz w:val="18"/>
                <w:szCs w:val="18"/>
                <w:color w:val="auto"/>
                <w:w w:val="91"/>
              </w:rPr>
              <w:t>Other supplemental schedules required by Section 252.103-10 of the Department of Labor’s Rules and Regulations for Reporting and</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1580" w:type="dxa"/>
            <w:vAlign w:val="bottom"/>
            <w:gridSpan w:val="3"/>
            <w:vMerge w:val="restart"/>
          </w:tcPr>
          <w:p>
            <w:pPr>
              <w:spacing w:after="0"/>
              <w:rPr>
                <w:sz w:val="20"/>
                <w:szCs w:val="20"/>
                <w:color w:val="auto"/>
              </w:rPr>
            </w:pPr>
            <w:r>
              <w:rPr>
                <w:rFonts w:ascii="Arial" w:cs="Arial" w:eastAsia="Arial" w:hAnsi="Arial"/>
                <w:sz w:val="18"/>
                <w:szCs w:val="18"/>
                <w:color w:val="0000EE"/>
              </w:rPr>
              <w:t>Exhibit 23.1</w:t>
            </w:r>
          </w:p>
        </w:tc>
        <w:tc>
          <w:tcPr>
            <w:tcW w:w="9080" w:type="dxa"/>
            <w:vAlign w:val="bottom"/>
            <w:gridSpan w:val="6"/>
          </w:tcPr>
          <w:p>
            <w:pPr>
              <w:ind w:left="80"/>
              <w:spacing w:after="0"/>
              <w:rPr>
                <w:sz w:val="20"/>
                <w:szCs w:val="20"/>
                <w:color w:val="auto"/>
              </w:rPr>
            </w:pPr>
            <w:r>
              <w:rPr>
                <w:rFonts w:ascii="Arial" w:cs="Arial" w:eastAsia="Arial" w:hAnsi="Arial"/>
                <w:sz w:val="18"/>
                <w:szCs w:val="18"/>
                <w:color w:val="auto"/>
              </w:rPr>
              <w:t>Disclosure and ERISA have been omitted because they are not applicable.</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4"/>
        </w:trPr>
        <w:tc>
          <w:tcPr>
            <w:tcW w:w="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020" w:type="dxa"/>
            <w:vAlign w:val="bottom"/>
            <w:gridSpan w:val="5"/>
          </w:tcPr>
          <w:p>
            <w:pPr>
              <w:jc w:val="right"/>
              <w:ind w:right="2800"/>
              <w:spacing w:after="0"/>
              <w:rPr>
                <w:sz w:val="20"/>
                <w:szCs w:val="20"/>
                <w:color w:val="auto"/>
              </w:rPr>
            </w:pPr>
            <w:r>
              <w:rPr>
                <w:rFonts w:ascii="Arial" w:cs="Arial" w:eastAsia="Arial" w:hAnsi="Arial"/>
                <w:sz w:val="18"/>
                <w:szCs w:val="18"/>
                <w:color w:val="auto"/>
              </w:rPr>
              <w:t>- 4 -</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Administrator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0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have audited the accompanying Statement of Net Assets Available for Benefits of THE SCOTTS COMPANY LLC RETIREMENT SAVINGS PLAN (formerly known as The Scotts Company Retirement Savings Plan) and the related Statement of Changes in Net Assets Available for Benefits for the years ended December 31, 2005 and 2004. These financial statements are the responsibility of the Plan’s management. Our responsibility is to express an opinion on these financial statements based on our audit.</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8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net assets available for benefits of The Scotts Company LLC Retirement Savings Plan (formerly known as The Scotts Company Retirement Savings Plan) as of December 31, 2005 and 2004 and the changes in its net assets available for benefits for the years then ended, in conformity with accounting principles generally accepted in the United States of America.</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was performed for the purpose of forming an opinion on the financial statements taken as a whole. The accompanying supplemental schedule of assets (held for investment purposes at end of year) as of December 31, 2005, is presented for the purpose of additional analysis and is not a required part of the financial statements but is supplemental information required by the Department of Labor’s Rules and Regulations for Reporting and Disclosure under the Employee Retirement Income Security Act of 1974. The suppplemental schedule is the responsibility of the Plan’s management. The supplemental information has been subjected to the auditing procedures applied in our audit of the financial statements and, in our opinion, is fairly stated in all material respects in relation to the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MEADEN &amp; MOORE,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May 18,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STATEMENT OF NET ASSETS AVAILABLE FOR BENEFITS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Retirement Savings Plan (formerly known as The Scotts Company Retirement Savings Plan)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4"/>
                <w:szCs w:val="14"/>
                <w:color w:val="auto"/>
              </w:rPr>
              <w:t>December 31</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953,912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811,228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Employer contribution receivable</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305,639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 receivable</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237,689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receivable</w:t>
            </w:r>
          </w:p>
        </w:tc>
        <w:tc>
          <w:tcPr>
            <w:tcW w:w="3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127,923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671,251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CRM Small Cap Value Fund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2,309,992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Dodge and Cox Stock Fund</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11,428,442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8,555,313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EuroPacific Growth Fund-Class A</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9,270,707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Fidelity Blue Chip Fund</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21,956,209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25,069,881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Contrafund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19,167,892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15,655,108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Fidelity Freedom Income Fund</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807,191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833,449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Freedom 2000 Fund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1,223,988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Fidelity Freedom 2010 Fund</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4,626,298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5,483,073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Freedom 2020 Fund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7,965,984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Fidelity Freedom 2030 Fund</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4,686,028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4,470,502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Freedom 2040 Fund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709,986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Fidelity Low Price Stock Fund</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6,191,564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6,453,964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Fidelity Managed Income Portfolio</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23,110,375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22,105,985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Fidelity Puritan Fund</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22,736,223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26,888,749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Managers Special Equity Fund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13,415,950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13,570,085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PIMCO Total Return Fund</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5,449,207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5,402,096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Spartan U.S. Equity Index Fund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18,744,516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20,369,611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The Scotts Miracle-Gro Company Common Shares</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13,850,226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11,055,423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Loans</w:t>
            </w:r>
          </w:p>
        </w:tc>
        <w:tc>
          <w:tcPr>
            <w:tcW w:w="3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4,756,653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Total Investments</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192,407,431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187,664,492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194,032,594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188,479,132</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Assets Available for Benefits</w:t>
            </w:r>
          </w:p>
        </w:tc>
        <w:tc>
          <w:tcPr>
            <w:tcW w:w="4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194,032,594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188,479,132</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40" w:type="dxa"/>
            <w:vAlign w:val="bottom"/>
            <w:gridSpan w:val="2"/>
            <w:vMerge w:val="continue"/>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900" w:type="dxa"/>
            <w:vAlign w:val="bottom"/>
          </w:tcPr>
          <w:p>
            <w:pPr>
              <w:jc w:val="right"/>
              <w:ind w:right="2690"/>
              <w:spacing w:after="0"/>
              <w:rPr>
                <w:sz w:val="20"/>
                <w:szCs w:val="20"/>
                <w:color w:val="auto"/>
              </w:rPr>
            </w:pPr>
            <w:r>
              <w:rPr>
                <w:rFonts w:ascii="Arial" w:cs="Arial" w:eastAsia="Arial" w:hAnsi="Arial"/>
                <w:sz w:val="18"/>
                <w:szCs w:val="18"/>
                <w:color w:val="auto"/>
              </w:rPr>
              <w:t>- 6 -</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Retirement Savings Plan (formerly known as The Scotts Company Retirement Savings Plan)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ind w:left="50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10,525,261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10,519,245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Participant</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10,266,612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10,231,940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Rollovers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877,808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476,431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21,669,681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21,227,616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participant loans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231,534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Interest income and dividends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6,128,670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4,450,701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appreciation of investments</w:t>
            </w:r>
          </w:p>
        </w:tc>
        <w:tc>
          <w:tcPr>
            <w:tcW w:w="4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7,806,994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13,124,409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00" w:type="dxa"/>
            <w:vAlign w:val="bottom"/>
          </w:tcPr>
          <w:p>
            <w:pPr>
              <w:ind w:left="600"/>
              <w:spacing w:after="0"/>
              <w:rPr>
                <w:sz w:val="20"/>
                <w:szCs w:val="20"/>
                <w:color w:val="auto"/>
              </w:rPr>
            </w:pPr>
            <w:r>
              <w:rPr>
                <w:rFonts w:ascii="Arial" w:cs="Arial" w:eastAsia="Arial" w:hAnsi="Arial"/>
                <w:sz w:val="18"/>
                <w:szCs w:val="18"/>
                <w:color w:val="auto"/>
              </w:rPr>
              <w:t>Total Additions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35,836,879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39,021,824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33,448,728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14,381,897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40,205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00" w:type="dxa"/>
            <w:vAlign w:val="bottom"/>
          </w:tcPr>
          <w:p>
            <w:pPr>
              <w:ind w:left="600"/>
              <w:spacing w:after="0"/>
              <w:rPr>
                <w:sz w:val="20"/>
                <w:szCs w:val="20"/>
                <w:color w:val="auto"/>
              </w:rPr>
            </w:pPr>
            <w:r>
              <w:rPr>
                <w:rFonts w:ascii="Arial" w:cs="Arial" w:eastAsia="Arial" w:hAnsi="Arial"/>
                <w:sz w:val="18"/>
                <w:szCs w:val="18"/>
                <w:color w:val="auto"/>
              </w:rPr>
              <w:t>Total Deductions</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33,488,933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14,415,851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Increase before Plan Transfer</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2,347,946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24,605,973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00" w:type="dxa"/>
            <w:vAlign w:val="bottom"/>
          </w:tcPr>
          <w:p>
            <w:pPr>
              <w:ind w:left="600"/>
              <w:spacing w:after="0"/>
              <w:rPr>
                <w:sz w:val="20"/>
                <w:szCs w:val="20"/>
                <w:color w:val="auto"/>
              </w:rPr>
            </w:pPr>
            <w:r>
              <w:rPr>
                <w:rFonts w:ascii="Arial" w:cs="Arial" w:eastAsia="Arial" w:hAnsi="Arial"/>
                <w:sz w:val="18"/>
                <w:szCs w:val="18"/>
                <w:color w:val="auto"/>
              </w:rPr>
              <w:t>Plan Transfer</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3,205,516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188,479,132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163,873,159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194,032,594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188,479,132</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2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320" w:type="dxa"/>
            <w:vAlign w:val="bottom"/>
          </w:tcPr>
          <w:p>
            <w:pPr>
              <w:jc w:val="right"/>
              <w:ind w:right="2690"/>
              <w:spacing w:after="0"/>
              <w:rPr>
                <w:sz w:val="20"/>
                <w:szCs w:val="20"/>
                <w:color w:val="auto"/>
              </w:rPr>
            </w:pPr>
            <w:r>
              <w:rPr>
                <w:rFonts w:ascii="Arial" w:cs="Arial" w:eastAsia="Arial" w:hAnsi="Arial"/>
                <w:sz w:val="18"/>
                <w:szCs w:val="18"/>
                <w:color w:val="auto"/>
              </w:rPr>
              <w:t>- 7 -</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Retirement Savings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(formerly known as The Scotts Company Retirement Savings Plan)</w:t>
      </w:r>
    </w:p>
    <w:p>
      <w:pPr>
        <w:spacing w:after="0" w:line="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w:t>
      </w:r>
    </w:p>
    <w:p>
      <w:pPr>
        <w:spacing w:after="0" w:line="121" w:lineRule="exact"/>
        <w:rPr>
          <w:rFonts w:ascii="Arial" w:cs="Arial" w:eastAsia="Arial" w:hAnsi="Arial"/>
          <w:sz w:val="18"/>
          <w:szCs w:val="18"/>
          <w:b w:val="1"/>
          <w:bCs w:val="1"/>
          <w:color w:val="auto"/>
        </w:rPr>
      </w:pPr>
    </w:p>
    <w:p>
      <w:pPr>
        <w:ind w:left="460" w:right="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Scotts Company LLC Retirement Savings Plan (the “Plan”) provides only general information. Participants should refer to the Plan document for a complete description of the Plan’s provisions, such as eligibility, vesting, allocation and funding.</w:t>
      </w:r>
    </w:p>
    <w:p>
      <w:pPr>
        <w:spacing w:after="0" w:line="38"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March 18, 2005 (the “Effective Time”), The Scotts Company (“Scotts”) consummated the restructuring of Scotts’ corporate structure into a holding company structure by merging Scotts into a newly-created, wholly-owned, second-tier Ohio limited liability company subsidiary, The Scotts Company LLC (“Scotts LLC”), pursuant to an Agreement and Plan of Merger, dated as of December 13, 2004, by and among Scotts, Scotts LLC and The Scotts Miracle-Gro Company (“Scotts Miracle-Gro”). This merger is referred to as the “Restructuring Merger.”</w:t>
      </w:r>
    </w:p>
    <w:p>
      <w:pPr>
        <w:spacing w:after="0" w:line="63" w:lineRule="exact"/>
        <w:rPr>
          <w:rFonts w:ascii="Arial" w:cs="Arial" w:eastAsia="Arial" w:hAnsi="Arial"/>
          <w:sz w:val="18"/>
          <w:szCs w:val="18"/>
          <w:b w:val="1"/>
          <w:bCs w:val="1"/>
          <w:color w:val="auto"/>
        </w:rPr>
      </w:pPr>
    </w:p>
    <w:p>
      <w:pPr>
        <w:ind w:left="460" w:right="2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Upon consummation of the Restructuring Merger, each of Scotts’ common shares, without par value (the “Scotts Common Shares”), issued and outstanding immediately prior to the Effective Time was automatically converted into one fully paid and nonassessable common share, without par value, of Scotts Miracle-Gro (the “Scotts Miracle-Gro Common Shares”). Also, the entire class of Scotts Miracle-Gro Common Shares become registered under Section 12(b) of the Securities Exchange Act of 1934, as amended (the “Exchange Act”), in accordance with Rule 12g-3 under the Exchange Act. As a result of the Restructuring Merger, Scotts Miracle-Gro is the new parent holding company and the public company successor to Scotts. Scotts LLC is the successor to Scotts and is a direct, wholly-owned subsidiary of Scotts Miracle-Gro.</w:t>
      </w:r>
    </w:p>
    <w:p>
      <w:pPr>
        <w:spacing w:after="0" w:line="70" w:lineRule="exact"/>
        <w:rPr>
          <w:rFonts w:ascii="Arial" w:cs="Arial" w:eastAsia="Arial" w:hAnsi="Arial"/>
          <w:sz w:val="18"/>
          <w:szCs w:val="18"/>
          <w:b w:val="1"/>
          <w:bCs w:val="1"/>
          <w:color w:val="auto"/>
        </w:rPr>
      </w:pPr>
    </w:p>
    <w:p>
      <w:pPr>
        <w:ind w:left="46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As of the Effective Time, Scotts maintained The Scotts Company Retirement Savings Plan (the “Retirement Savings Plan”). As of the Effective Time, Scotts LLC assumed the obligations of Scotts under the Retirement Savings Plan. The Scotts Common Shares attributable to the accounts of participants under the Retirement Savings Plan relating to common share units immediately prior to the Effective Time were, by virtue of the Restructuring Merger, converted into the same number of Scotts Miracle-Gro Common Shares and those Scotts Miracle-Gro Common shares are attributable to the accounts of those participants upon the same terms and subject to the same conditions as were in effect at the Effective Time.</w:t>
      </w:r>
    </w:p>
    <w:p>
      <w:pPr>
        <w:spacing w:after="0" w:line="131" w:lineRule="exact"/>
        <w:rPr>
          <w:rFonts w:ascii="Arial" w:cs="Arial" w:eastAsia="Arial" w:hAnsi="Arial"/>
          <w:sz w:val="18"/>
          <w:szCs w:val="18"/>
          <w:b w:val="1"/>
          <w:bCs w:val="1"/>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Retirement Savings Plan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(formerly known as The Scotts Company Retirement Savings Plan)</w:t>
      </w:r>
    </w:p>
    <w:p>
      <w:pPr>
        <w:spacing w:after="0" w:line="9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 Continued</w:t>
      </w:r>
    </w:p>
    <w:p>
      <w:pPr>
        <w:spacing w:after="0" w:line="12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All provisions of the Retirement Savings Plan remain the same following the Restructuring Merger, except that the Retirement Savings Plan has been amended to change the name of the Retirement Savings Plan from “The Scotts Company Retirement Savings Plan” to “The Scotts Company LLC Retirement Savings Plan” and to revise certain definitions and other provisions of the Retirement Savings Plan to reflect the assumption of the Retirement Savings Plan by Scotts LLC and the ability to invest in Scotts Miracle-Gro Common Shares instead of Scotts Common Shares under the Retirement Savings Plan. From and after the Effective Time, all amounts contributed to the Retirement Savings Plan’s “Scotts Miracle-Gro Stock Fund” will be invested in securities of Scotts Miracle-Gro.</w:t>
      </w:r>
    </w:p>
    <w:p>
      <w:pPr>
        <w:spacing w:after="0" w:line="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w:t>
      </w:r>
    </w:p>
    <w:p>
      <w:pPr>
        <w:spacing w:after="0" w:line="117" w:lineRule="exact"/>
        <w:rPr>
          <w:rFonts w:ascii="Arial" w:cs="Arial" w:eastAsia="Arial" w:hAnsi="Arial"/>
          <w:sz w:val="18"/>
          <w:szCs w:val="18"/>
          <w:b w:val="1"/>
          <w:bCs w:val="1"/>
          <w:color w:val="auto"/>
        </w:rPr>
      </w:pPr>
    </w:p>
    <w:p>
      <w:pPr>
        <w:ind w:left="460" w:right="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Plan is a defined contribution plan covering all eligible employees of Scotts LLC and its affiliates (collectively, the “Company”) who meet the eligibility requirements. It is subject to the provisions of the Employee Retirement Income Security Act of 1974 (ERISA).</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Eligibility:</w:t>
      </w:r>
    </w:p>
    <w:p>
      <w:pPr>
        <w:spacing w:after="0" w:line="117" w:lineRule="exact"/>
        <w:rPr>
          <w:rFonts w:ascii="Arial" w:cs="Arial" w:eastAsia="Arial" w:hAnsi="Arial"/>
          <w:sz w:val="18"/>
          <w:szCs w:val="18"/>
          <w:b w:val="1"/>
          <w:bCs w:val="1"/>
          <w:color w:val="auto"/>
        </w:rPr>
      </w:pPr>
    </w:p>
    <w:p>
      <w:pPr>
        <w:ind w:left="4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Regular domestic employees of the Company are eligible to participate in the Plan on the first day of the month immediately following their date of employment. Regular employees of E.G. Systems, Inc. doing business as Scotts LawnService®, a subsidiary of the Company, are eligible to receive base retirement contributions on the first day of the month after completing one year of eligibility service and are eligible to make contributions and receive matching contributions on the first day of the month after completing 60 days of service. Effective January 1, 2003, temporary employees are not eligible to participate in the Plan.</w:t>
      </w:r>
    </w:p>
    <w:p>
      <w:pPr>
        <w:spacing w:after="0" w:line="8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Contributions:</w:t>
      </w:r>
    </w:p>
    <w:p>
      <w:pPr>
        <w:spacing w:after="0" w:line="117" w:lineRule="exact"/>
        <w:rPr>
          <w:rFonts w:ascii="Arial" w:cs="Arial" w:eastAsia="Arial" w:hAnsi="Arial"/>
          <w:sz w:val="18"/>
          <w:szCs w:val="18"/>
          <w:b w:val="1"/>
          <w:bCs w:val="1"/>
          <w:color w:val="auto"/>
        </w:rPr>
      </w:pPr>
    </w:p>
    <w:p>
      <w:pPr>
        <w:ind w:left="4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Plan provides for a participant to make pre-tax contributions up to 75% of eligible wages, not to exceed the annual Internal Revenue Service (“IRS”) maximum deferral amount.</w:t>
      </w:r>
    </w:p>
    <w:p>
      <w:pPr>
        <w:spacing w:after="0" w:line="143" w:lineRule="exact"/>
        <w:rPr>
          <w:rFonts w:ascii="Arial" w:cs="Arial" w:eastAsia="Arial" w:hAnsi="Arial"/>
          <w:sz w:val="18"/>
          <w:szCs w:val="18"/>
          <w:b w:val="1"/>
          <w:bCs w:val="1"/>
          <w:color w:val="auto"/>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Retirement Savings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(formerly known as The Scotts Company Retirement Savings Plan)</w:t>
      </w:r>
    </w:p>
    <w:p>
      <w:pPr>
        <w:spacing w:after="0" w:line="99" w:lineRule="exact"/>
        <w:rPr>
          <w:sz w:val="20"/>
          <w:szCs w:val="20"/>
          <w:color w:val="auto"/>
        </w:rPr>
      </w:pPr>
    </w:p>
    <w:p>
      <w:pPr>
        <w:ind w:left="460" w:right="8560" w:hanging="452"/>
        <w:spacing w:after="0" w:line="425"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Description of Plan, Continued </w:t>
      </w:r>
      <w:r>
        <w:rPr>
          <w:rFonts w:ascii="Arial" w:cs="Arial" w:eastAsia="Arial" w:hAnsi="Arial"/>
          <w:sz w:val="16"/>
          <w:szCs w:val="16"/>
          <w:b w:val="1"/>
          <w:bCs w:val="1"/>
          <w:i w:val="1"/>
          <w:iCs w:val="1"/>
          <w:color w:val="auto"/>
        </w:rPr>
        <w:t>Employer Contributions:</w:t>
      </w:r>
    </w:p>
    <w:p>
      <w:pPr>
        <w:ind w:left="4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Plan provides a base retirement contribution for all eligible employees. Generally, eligible employees receive an allocation equal to 2% of monthly compensation. This percentage increases to 4% when employees’ year-to-date compensation exceeds 50% of the social security taxable wage base. The Company also matches participant pre-tax contributions dollar for dollar for the first 3% of pay and matches $0.50 on the dollar for the next 2% of participant pre-tax contributions.</w:t>
      </w:r>
    </w:p>
    <w:p>
      <w:pPr>
        <w:spacing w:after="0" w:line="78" w:lineRule="exact"/>
        <w:rPr>
          <w:rFonts w:ascii="Arial" w:cs="Arial" w:eastAsia="Arial" w:hAnsi="Arial"/>
          <w:sz w:val="16"/>
          <w:szCs w:val="16"/>
          <w:b w:val="1"/>
          <w:bCs w:val="1"/>
          <w:color w:val="auto"/>
        </w:rPr>
      </w:pPr>
    </w:p>
    <w:p>
      <w:pPr>
        <w:ind w:left="460" w:right="4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Contributions are subject to limitations on annual additions and other limitations imposed by the Internal Revenue Code of 1986, as amended (the “Internal Revenue Code”), as defined in the Plan agreement.</w:t>
      </w:r>
    </w:p>
    <w:p>
      <w:pPr>
        <w:spacing w:after="0" w:line="6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Participants’ Accounts:</w:t>
      </w:r>
    </w:p>
    <w:p>
      <w:pPr>
        <w:spacing w:after="0" w:line="117" w:lineRule="exact"/>
        <w:rPr>
          <w:rFonts w:ascii="Arial" w:cs="Arial" w:eastAsia="Arial" w:hAnsi="Arial"/>
          <w:sz w:val="16"/>
          <w:szCs w:val="16"/>
          <w:b w:val="1"/>
          <w:bCs w:val="1"/>
          <w:color w:val="auto"/>
        </w:rPr>
      </w:pPr>
    </w:p>
    <w:p>
      <w:pPr>
        <w:ind w:left="460" w:right="1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401(k) Accounts — Each participant’s account is credited with the participant’s elective contributions, employer matching contributions, earnings and losses thereon.</w:t>
      </w:r>
    </w:p>
    <w:p>
      <w:pPr>
        <w:spacing w:after="0" w:line="6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Rollover contributions from other plans are also accepted, providing certain specified conditions are met.</w:t>
      </w:r>
    </w:p>
    <w:p>
      <w:pPr>
        <w:spacing w:after="0" w:line="117"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Vesting:</w:t>
      </w:r>
    </w:p>
    <w:p>
      <w:pPr>
        <w:spacing w:after="0" w:line="117" w:lineRule="exact"/>
        <w:rPr>
          <w:rFonts w:ascii="Arial" w:cs="Arial" w:eastAsia="Arial" w:hAnsi="Arial"/>
          <w:sz w:val="16"/>
          <w:szCs w:val="16"/>
          <w:b w:val="1"/>
          <w:bCs w:val="1"/>
          <w:color w:val="auto"/>
        </w:rPr>
      </w:pPr>
    </w:p>
    <w:p>
      <w:pPr>
        <w:ind w:left="460" w:right="72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All participants are immediately vested in their contributions plus actual earnings thereon. Matching contributions made by the Company vest immediately. However, base contributions made by the Company vest after three years of service or immediately upon death or disability.</w:t>
      </w:r>
    </w:p>
    <w:p>
      <w:pPr>
        <w:spacing w:after="0" w:line="96" w:lineRule="exact"/>
        <w:rPr>
          <w:rFonts w:ascii="Arial" w:cs="Arial" w:eastAsia="Arial" w:hAnsi="Arial"/>
          <w:sz w:val="16"/>
          <w:szCs w:val="16"/>
          <w:b w:val="1"/>
          <w:b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Retirement Savings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(formerly known as The Scotts Company Retirement Savings Plan)</w:t>
      </w:r>
    </w:p>
    <w:p>
      <w:pPr>
        <w:spacing w:after="0" w:line="99" w:lineRule="exact"/>
        <w:rPr>
          <w:sz w:val="20"/>
          <w:szCs w:val="20"/>
          <w:color w:val="auto"/>
        </w:rPr>
      </w:pPr>
    </w:p>
    <w:p>
      <w:pPr>
        <w:ind w:left="460" w:right="8560" w:hanging="452"/>
        <w:spacing w:after="0" w:line="378" w:lineRule="auto"/>
        <w:tabs>
          <w:tab w:leader="none" w:pos="44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Plan, Continued </w:t>
      </w:r>
      <w:r>
        <w:rPr>
          <w:rFonts w:ascii="Arial" w:cs="Arial" w:eastAsia="Arial" w:hAnsi="Arial"/>
          <w:sz w:val="18"/>
          <w:szCs w:val="18"/>
          <w:b w:val="1"/>
          <w:bCs w:val="1"/>
          <w:i w:val="1"/>
          <w:iCs w:val="1"/>
          <w:color w:val="auto"/>
        </w:rPr>
        <w:t>Forfeitures:</w:t>
      </w:r>
    </w:p>
    <w:p>
      <w:pPr>
        <w:ind w:left="4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nonvested portions of participant account balances are forfeitable and used to reduce employer contributions to the Plan. Plan forfeitures used totaled $10,717 and $179,711 for the years ended December 31, 2005 and 2004, respectively.</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Participants’ Loans: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Loans are available to participants from their individual accounts subject to the terms of the Plan.</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Plan Provisions:</w:t>
      </w:r>
    </w:p>
    <w:p>
      <w:pPr>
        <w:spacing w:after="0" w:line="117" w:lineRule="exact"/>
        <w:rPr>
          <w:rFonts w:ascii="Arial" w:cs="Arial" w:eastAsia="Arial" w:hAnsi="Arial"/>
          <w:sz w:val="18"/>
          <w:szCs w:val="18"/>
          <w:b w:val="1"/>
          <w:bCs w:val="1"/>
          <w:color w:val="auto"/>
        </w:rPr>
      </w:pPr>
    </w:p>
    <w:p>
      <w:pPr>
        <w:ind w:left="4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Normal retirement age is 65; however, a participant may elect early retirement on or after age 55 and completing five years of vested service. The Plan also provides for in-service withdrawals for active employees under certain circumstances.</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of Benefits:</w:t>
      </w:r>
    </w:p>
    <w:p>
      <w:pPr>
        <w:spacing w:after="0" w:line="117" w:lineRule="exact"/>
        <w:rPr>
          <w:rFonts w:ascii="Arial" w:cs="Arial" w:eastAsia="Arial" w:hAnsi="Arial"/>
          <w:sz w:val="18"/>
          <w:szCs w:val="18"/>
          <w:b w:val="1"/>
          <w:bCs w:val="1"/>
          <w:color w:val="auto"/>
        </w:rPr>
      </w:pPr>
    </w:p>
    <w:p>
      <w:pPr>
        <w:ind w:left="46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Participant is eligible to receive benefit payments upon termination, retirement, death or disability equal to the vested balance of the participant’s account as of the business day the trustee processes the distribution.</w:t>
      </w:r>
    </w:p>
    <w:p>
      <w:pPr>
        <w:spacing w:after="0" w:line="6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Hardship Withdrawals: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Hardship withdrawals are permitted in accordance with IRS guidelines.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Options: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Upon enrollment in the Plan and thereafter, a participant may direct his or her contributions in any or all of the investment options under the Plan.</w:t>
      </w:r>
    </w:p>
    <w:p>
      <w:pPr>
        <w:spacing w:after="0" w:line="125" w:lineRule="exact"/>
        <w:rPr>
          <w:sz w:val="20"/>
          <w:szCs w:val="20"/>
          <w:color w:val="auto"/>
        </w:rPr>
      </w:pPr>
    </w:p>
    <w:p>
      <w:pPr>
        <w:ind w:left="460" w:right="7560" w:hanging="452"/>
        <w:spacing w:after="0" w:line="378" w:lineRule="auto"/>
        <w:tabs>
          <w:tab w:leader="none" w:pos="44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Accounting:</w:t>
      </w: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financial statements of the Plan have been prepared on the accrual basis of accounting in accordance with generally accepted accounting principles.</w:t>
      </w:r>
    </w:p>
    <w:p>
      <w:pPr>
        <w:spacing w:after="0" w:line="221" w:lineRule="exact"/>
        <w:rPr>
          <w:rFonts w:ascii="Arial" w:cs="Arial" w:eastAsia="Arial" w:hAnsi="Arial"/>
          <w:sz w:val="18"/>
          <w:szCs w:val="18"/>
          <w:b w:val="1"/>
          <w:bCs w:val="1"/>
          <w:color w:val="auto"/>
        </w:rPr>
      </w:pPr>
    </w:p>
    <w:p>
      <w:pPr>
        <w:ind w:left="5620" w:hanging="98"/>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Retirement Savings Plan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(formerly known as The Scotts Company Retirement Savings Plan)</w:t>
      </w:r>
    </w:p>
    <w:p>
      <w:pPr>
        <w:spacing w:after="0" w:line="99" w:lineRule="exact"/>
        <w:rPr>
          <w:sz w:val="20"/>
          <w:szCs w:val="20"/>
          <w:color w:val="auto"/>
        </w:rPr>
      </w:pPr>
    </w:p>
    <w:p>
      <w:pPr>
        <w:ind w:left="460" w:right="6540" w:hanging="452"/>
        <w:spacing w:after="0" w:line="378" w:lineRule="auto"/>
        <w:tabs>
          <w:tab w:leader="none" w:pos="44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Investments:</w:t>
      </w:r>
    </w:p>
    <w:p>
      <w:pPr>
        <w:ind w:left="460" w:right="400"/>
        <w:spacing w:after="0" w:line="397" w:lineRule="auto"/>
        <w:rPr>
          <w:rFonts w:ascii="Arial" w:cs="Arial" w:eastAsia="Arial" w:hAnsi="Arial"/>
          <w:sz w:val="18"/>
          <w:szCs w:val="18"/>
          <w:b w:val="1"/>
          <w:bCs w:val="1"/>
          <w:color w:val="auto"/>
        </w:rPr>
      </w:pPr>
      <w:r>
        <w:rPr>
          <w:rFonts w:ascii="Arial" w:cs="Arial" w:eastAsia="Arial" w:hAnsi="Arial"/>
          <w:sz w:val="17"/>
          <w:szCs w:val="17"/>
          <w:color w:val="auto"/>
        </w:rPr>
        <w:t>Excluding participant loans, investments are stated at quoted market prices. Participants’ loans are valued at cost, which approximates fair value. Cash equivalents include short-term investments with original term to maturity of 90 days or less. Cost approximates fair value.</w:t>
      </w:r>
    </w:p>
    <w:p>
      <w:pPr>
        <w:spacing w:after="0" w:line="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 presents in the statement of changes in net assets available for benefits the net appreciation (depreciation) in the fair value of its investments, which consists of the realized gains or losses and the unrealized appreciation (depreciation) on those investments. Gains and losses on sales of investments are based on the average cost method.</w:t>
      </w:r>
    </w:p>
    <w:p>
      <w:pPr>
        <w:spacing w:after="0" w:line="7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117"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7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Payments of Benefits: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Benefits are recorded when paid.</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Administrative Fees: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Company pays for all administrative fees except those that are participant specific, such as loan establishment and maintenance fees.</w:t>
      </w:r>
    </w:p>
    <w:p>
      <w:pPr>
        <w:spacing w:after="0" w:line="12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Risks and Uncertainties:</w:t>
      </w:r>
    </w:p>
    <w:p>
      <w:pPr>
        <w:spacing w:after="0" w:line="117" w:lineRule="exact"/>
        <w:rPr>
          <w:rFonts w:ascii="Arial" w:cs="Arial" w:eastAsia="Arial" w:hAnsi="Arial"/>
          <w:sz w:val="18"/>
          <w:szCs w:val="18"/>
          <w:b w:val="1"/>
          <w:bCs w:val="1"/>
          <w:color w:val="auto"/>
        </w:rPr>
      </w:pPr>
    </w:p>
    <w:p>
      <w:pPr>
        <w:jc w:val="both"/>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159" w:lineRule="exact"/>
        <w:rPr>
          <w:rFonts w:ascii="Arial" w:cs="Arial" w:eastAsia="Arial" w:hAnsi="Arial"/>
          <w:sz w:val="18"/>
          <w:szCs w:val="18"/>
          <w:b w:val="1"/>
          <w:bCs w:val="1"/>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Retirement Savings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known as The Scotts Company Retirement Savings Plan)</w:t>
      </w:r>
    </w:p>
    <w:p>
      <w:pPr>
        <w:spacing w:after="0" w:line="9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are the fair values of the investments which individually represent 5% or more of net assets available for benefits as of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1580" w:type="dxa"/>
            <w:vAlign w:val="bottom"/>
            <w:gridSpan w:val="2"/>
          </w:tcPr>
          <w:p>
            <w:pPr>
              <w:jc w:val="center"/>
              <w:ind w:left="472"/>
              <w:spacing w:after="0"/>
              <w:rPr>
                <w:sz w:val="20"/>
                <w:szCs w:val="20"/>
                <w:color w:val="auto"/>
              </w:rPr>
            </w:pPr>
            <w:r>
              <w:rPr>
                <w:rFonts w:ascii="Arial" w:cs="Arial" w:eastAsia="Arial" w:hAnsi="Arial"/>
                <w:sz w:val="14"/>
                <w:szCs w:val="14"/>
                <w:color w:val="auto"/>
                <w:w w:val="96"/>
              </w:rPr>
              <w:t>2004</w:t>
            </w:r>
          </w:p>
        </w:tc>
      </w:tr>
      <w:tr>
        <w:trPr>
          <w:trHeight w:val="210"/>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Dodge and Cox Stock Fund</w:t>
            </w:r>
          </w:p>
        </w:tc>
        <w:tc>
          <w:tcPr>
            <w:tcW w:w="10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9"/>
              </w:rPr>
              <w:t>$11,428,442</w:t>
            </w:r>
          </w:p>
        </w:tc>
        <w:tc>
          <w:tcPr>
            <w:tcW w:w="5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Fidelity Blue Chip Fund</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21,956,209</w:t>
            </w:r>
          </w:p>
        </w:tc>
        <w:tc>
          <w:tcPr>
            <w:tcW w:w="158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25,069,881</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Contrafund</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19,167,892</w:t>
            </w:r>
          </w:p>
        </w:tc>
        <w:tc>
          <w:tcPr>
            <w:tcW w:w="158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0"/>
              </w:rPr>
              <w:t>15,655,108</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Fidelity Managed Income Portfolio</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23,110,375</w:t>
            </w:r>
          </w:p>
        </w:tc>
        <w:tc>
          <w:tcPr>
            <w:tcW w:w="158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22,105,985</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Puritan Fund</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22,736,223</w:t>
            </w:r>
          </w:p>
        </w:tc>
        <w:tc>
          <w:tcPr>
            <w:tcW w:w="158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0"/>
              </w:rPr>
              <w:t>26,888,749</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Managers Special Equity Fund</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13,415,950</w:t>
            </w:r>
          </w:p>
        </w:tc>
        <w:tc>
          <w:tcPr>
            <w:tcW w:w="158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13,570,085</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U.S. Equity Index Fund</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18,744,516</w:t>
            </w:r>
          </w:p>
        </w:tc>
        <w:tc>
          <w:tcPr>
            <w:tcW w:w="158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0"/>
              </w:rPr>
              <w:t>20,369,611</w:t>
            </w:r>
          </w:p>
        </w:tc>
      </w:tr>
      <w:tr>
        <w:trPr>
          <w:trHeight w:val="234"/>
        </w:trPr>
        <w:tc>
          <w:tcPr>
            <w:tcW w:w="8820" w:type="dxa"/>
            <w:vAlign w:val="bottom"/>
            <w:gridSpan w:val="2"/>
          </w:tcPr>
          <w:p>
            <w:pPr>
              <w:spacing w:after="0"/>
              <w:rPr>
                <w:sz w:val="20"/>
                <w:szCs w:val="20"/>
                <w:color w:val="auto"/>
              </w:rPr>
            </w:pPr>
            <w:r>
              <w:rPr>
                <w:rFonts w:ascii="Arial" w:cs="Arial" w:eastAsia="Arial" w:hAnsi="Arial"/>
                <w:sz w:val="18"/>
                <w:szCs w:val="18"/>
                <w:color w:val="auto"/>
              </w:rPr>
              <w:t>The Scotts Miracle-Gro Company Common Shares</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w w:val="99"/>
              </w:rPr>
              <w:t>13,850,226</w:t>
            </w:r>
          </w:p>
        </w:tc>
        <w:tc>
          <w:tcPr>
            <w:tcW w:w="1580" w:type="dxa"/>
            <w:vAlign w:val="bottom"/>
            <w:gridSpan w:val="2"/>
          </w:tcPr>
          <w:p>
            <w:pPr>
              <w:jc w:val="center"/>
              <w:ind w:left="472"/>
              <w:spacing w:after="0"/>
              <w:rPr>
                <w:sz w:val="20"/>
                <w:szCs w:val="20"/>
                <w:color w:val="auto"/>
              </w:rPr>
            </w:pPr>
            <w:r>
              <w:rPr>
                <w:rFonts w:ascii="Arial" w:cs="Arial" w:eastAsia="Arial" w:hAnsi="Arial"/>
                <w:sz w:val="18"/>
                <w:szCs w:val="18"/>
                <w:color w:val="auto"/>
                <w:w w:val="90"/>
              </w:rPr>
              <w:t>11,055,423</w:t>
            </w:r>
          </w:p>
        </w:tc>
      </w:tr>
      <w:tr>
        <w:trPr>
          <w:trHeight w:val="306"/>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8540" w:type="dxa"/>
            <w:vAlign w:val="bottom"/>
          </w:tcPr>
          <w:p>
            <w:pPr>
              <w:ind w:left="180"/>
              <w:spacing w:after="0"/>
              <w:rPr>
                <w:sz w:val="20"/>
                <w:szCs w:val="20"/>
                <w:color w:val="auto"/>
              </w:rPr>
            </w:pPr>
            <w:r>
              <w:rPr>
                <w:rFonts w:ascii="Arial" w:cs="Arial" w:eastAsia="Arial" w:hAnsi="Arial"/>
                <w:sz w:val="18"/>
                <w:szCs w:val="18"/>
                <w:b w:val="1"/>
                <w:bCs w:val="1"/>
                <w:color w:val="auto"/>
              </w:rPr>
              <w:t>Tax Status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94"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The Plan obtained a determination letter dated September 24, 2003, in which the IRS stated that the Plan, as amended through February 4, 2002, was in compliance with the applicable requirements of the Internal Revenue Code. The Plan administrator, the Company and the Plan’s legal counsel believe that the Plan is designed and has been operated in compliance with the applicable requirements of the Internal Revenue Code.</w:t>
      </w:r>
    </w:p>
    <w:p>
      <w:pPr>
        <w:spacing w:after="0" w:line="3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21" w:lineRule="exact"/>
        <w:rPr>
          <w:rFonts w:ascii="Arial" w:cs="Arial" w:eastAsia="Arial" w:hAnsi="Arial"/>
          <w:sz w:val="18"/>
          <w:szCs w:val="18"/>
          <w:b w:val="1"/>
          <w:bCs w:val="1"/>
          <w:color w:val="auto"/>
        </w:rPr>
      </w:pPr>
    </w:p>
    <w:p>
      <w:pPr>
        <w:ind w:left="460" w:right="4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Although it has not expressed any intent to do so, the Company has the right under the Plan to terminate the Plan or its contributions subject to the provisions of ERISA. In the event the Plan is terminated, participants will become fully vested in their accounts.</w:t>
      </w:r>
    </w:p>
    <w:p>
      <w:pPr>
        <w:spacing w:after="0" w:line="119" w:lineRule="exact"/>
        <w:rPr>
          <w:rFonts w:ascii="Arial" w:cs="Arial" w:eastAsia="Arial" w:hAnsi="Arial"/>
          <w:sz w:val="18"/>
          <w:szCs w:val="18"/>
          <w:b w:val="1"/>
          <w:bCs w:val="1"/>
          <w:color w:val="auto"/>
        </w:rPr>
      </w:pPr>
    </w:p>
    <w:p>
      <w:pPr>
        <w:ind w:left="5620" w:hanging="101"/>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Retirement Savings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known as The Scotts Company Retirement Savings Plan)</w:t>
      </w:r>
    </w:p>
    <w:p>
      <w:pPr>
        <w:spacing w:after="0" w:line="9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benefits paid to participants per the financial statements to the Form 5500: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0" w:type="dxa"/>
            <w:vAlign w:val="bottom"/>
            <w:gridSpan w:val="4"/>
          </w:tcPr>
          <w:p>
            <w:pPr>
              <w:jc w:val="right"/>
              <w:ind w:right="62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 to participants per the financial statements</w:t>
            </w:r>
          </w:p>
        </w:tc>
        <w:tc>
          <w:tcPr>
            <w:tcW w:w="34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$33,448,728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$14,381,897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Amounts allocated to withdrawing participants at December 31, 2003</w:t>
            </w:r>
          </w:p>
        </w:tc>
        <w:tc>
          <w:tcPr>
            <w:tcW w:w="19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(224,485)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 to participants per the Form 5500</w:t>
            </w:r>
          </w:p>
        </w:tc>
        <w:tc>
          <w:tcPr>
            <w:tcW w:w="34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33,448,728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14,157,412</w:t>
            </w: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w:t>
            </w:r>
          </w:p>
        </w:tc>
        <w:tc>
          <w:tcPr>
            <w:tcW w:w="66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Party-in-Interest Transactions</w:t>
            </w:r>
          </w:p>
        </w:tc>
        <w:tc>
          <w:tcPr>
            <w:tcW w:w="1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80" w:type="dxa"/>
            <w:vAlign w:val="bottom"/>
            <w:gridSpan w:val="2"/>
            <w:vMerge w:val="continue"/>
          </w:tcPr>
          <w:p>
            <w:pPr>
              <w:spacing w:after="0"/>
              <w:rPr>
                <w:sz w:val="24"/>
                <w:szCs w:val="24"/>
                <w:color w:val="auto"/>
              </w:rPr>
            </w:pPr>
          </w:p>
        </w:tc>
        <w:tc>
          <w:tcPr>
            <w:tcW w:w="664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520"/>
        <w:spacing w:after="0" w:line="342" w:lineRule="auto"/>
        <w:rPr>
          <w:sz w:val="20"/>
          <w:szCs w:val="20"/>
          <w:color w:val="auto"/>
        </w:rPr>
      </w:pPr>
      <w:r>
        <w:rPr>
          <w:rFonts w:ascii="Arial" w:cs="Arial" w:eastAsia="Arial" w:hAnsi="Arial"/>
          <w:sz w:val="16"/>
          <w:szCs w:val="16"/>
          <w:color w:val="auto"/>
        </w:rPr>
        <w:t>Certain Plan investments are shares of mutual funds managed by Fidelity Trust Company, the Trustee as defined by the Plan, and therefore, these transactions qualify as party-in-interest. Usual and customary fees were paid by the mutual fund for the investment management services.</w:t>
      </w:r>
    </w:p>
    <w:p>
      <w:pPr>
        <w:spacing w:after="0" w:line="2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into the Plan</w:t>
      </w:r>
    </w:p>
    <w:p>
      <w:pPr>
        <w:spacing w:after="0" w:line="134"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December 30, 2005, the Rod McLellan Company (“RMC”) 401(k) Plan transferred its net assets into The Scotts Company LLC Retirement Savings Plan in the amount of $3,205,516. Prior to the merger, the RMC 401(k) Plan covered eligible employees of the Rod McLellan Company. The transferred net assets have been recognized in the accounts of The Scotts Company LLC Retirement Savings Plan as of December 31, 2005, at their balances as previously carried in the accounts of the RMC 401(k) Plan. Also, the Plan was amended so that the participants of the RMC 401(k) Plan could immediately participate in the Plan.</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134"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December 2005, the FASB issued FASB Staff Position AAG-INV-A. The new pronouncement requires fully benefit-responsive investment contracts be valued at fair value instead of contract value. The pronouncement will be effective for the year ended December 31, 2006. The effect of this pronouncement on these financial statements has not been determined.</w:t>
      </w:r>
    </w:p>
    <w:p>
      <w:pPr>
        <w:spacing w:after="0" w:line="154" w:lineRule="exact"/>
        <w:rPr>
          <w:rFonts w:ascii="Arial" w:cs="Arial" w:eastAsia="Arial" w:hAnsi="Arial"/>
          <w:sz w:val="18"/>
          <w:szCs w:val="18"/>
          <w:b w:val="1"/>
          <w:bCs w:val="1"/>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ASSETS HELD FOR INVESTMENT PURPOSES AT END OF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5500, Schedule H, Part IV, Line 4i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Retirement Savings Plan (formerly known as The Scotts Company Retirement Savings Plan)</w:t>
      </w:r>
    </w:p>
    <w:p>
      <w:pPr>
        <w:spacing w:after="0" w:line="10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EIN 31-1414921</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Plan Number 001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5"/>
              </w:rPr>
              <w:t>(b) Identity of Issue,</w:t>
            </w:r>
          </w:p>
        </w:tc>
        <w:tc>
          <w:tcPr>
            <w:tcW w:w="32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5"/>
              </w:rPr>
              <w:t>(c) Description of Investment Including</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(e)</w:t>
            </w:r>
          </w:p>
        </w:tc>
      </w:tr>
      <w:tr>
        <w:trPr>
          <w:trHeight w:val="149"/>
        </w:trPr>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20" w:type="dxa"/>
            <w:vAlign w:val="bottom"/>
          </w:tcPr>
          <w:p>
            <w:pPr>
              <w:jc w:val="center"/>
              <w:spacing w:after="0" w:line="149" w:lineRule="exact"/>
              <w:rPr>
                <w:sz w:val="20"/>
                <w:szCs w:val="20"/>
                <w:color w:val="auto"/>
              </w:rPr>
            </w:pPr>
            <w:r>
              <w:rPr>
                <w:rFonts w:ascii="Arial" w:cs="Arial" w:eastAsia="Arial" w:hAnsi="Arial"/>
                <w:sz w:val="14"/>
                <w:szCs w:val="14"/>
                <w:color w:val="auto"/>
                <w:w w:val="92"/>
              </w:rPr>
              <w:t>Borrower, Lessor,</w:t>
            </w:r>
          </w:p>
        </w:tc>
        <w:tc>
          <w:tcPr>
            <w:tcW w:w="320" w:type="dxa"/>
            <w:vAlign w:val="bottom"/>
          </w:tcPr>
          <w:p>
            <w:pPr>
              <w:spacing w:after="0"/>
              <w:rPr>
                <w:sz w:val="12"/>
                <w:szCs w:val="12"/>
                <w:color w:val="auto"/>
              </w:rPr>
            </w:pPr>
          </w:p>
        </w:tc>
        <w:tc>
          <w:tcPr>
            <w:tcW w:w="3420" w:type="dxa"/>
            <w:vAlign w:val="bottom"/>
          </w:tcPr>
          <w:p>
            <w:pPr>
              <w:jc w:val="center"/>
              <w:spacing w:after="0" w:line="149" w:lineRule="exact"/>
              <w:rPr>
                <w:sz w:val="20"/>
                <w:szCs w:val="20"/>
                <w:color w:val="auto"/>
              </w:rPr>
            </w:pPr>
            <w:r>
              <w:rPr>
                <w:rFonts w:ascii="Arial" w:cs="Arial" w:eastAsia="Arial" w:hAnsi="Arial"/>
                <w:sz w:val="14"/>
                <w:szCs w:val="14"/>
                <w:color w:val="auto"/>
                <w:w w:val="94"/>
              </w:rPr>
              <w:t>Maturity Date, Rate of Interest,</w:t>
            </w:r>
          </w:p>
        </w:tc>
        <w:tc>
          <w:tcPr>
            <w:tcW w:w="300" w:type="dxa"/>
            <w:vAlign w:val="bottom"/>
          </w:tcPr>
          <w:p>
            <w:pPr>
              <w:spacing w:after="0"/>
              <w:rPr>
                <w:sz w:val="12"/>
                <w:szCs w:val="12"/>
                <w:color w:val="auto"/>
              </w:rPr>
            </w:pP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93"/>
              </w:rPr>
              <w:t>(d)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Current</w:t>
            </w:r>
          </w:p>
        </w:tc>
      </w:tr>
      <w:tr>
        <w:trPr>
          <w:trHeight w:val="167"/>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320" w:type="dxa"/>
            <w:vAlign w:val="bottom"/>
          </w:tcPr>
          <w:p>
            <w:pPr>
              <w:spacing w:after="0"/>
              <w:rPr>
                <w:sz w:val="14"/>
                <w:szCs w:val="1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or Similar Party</w:t>
            </w:r>
          </w:p>
        </w:tc>
        <w:tc>
          <w:tcPr>
            <w:tcW w:w="32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Collateral, Par or Maturity Value</w:t>
            </w:r>
          </w:p>
        </w:tc>
        <w:tc>
          <w:tcPr>
            <w:tcW w:w="30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Cost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9"/>
              </w:rPr>
              <w:t>Value</w:t>
            </w:r>
          </w:p>
        </w:tc>
      </w:tr>
      <w:tr>
        <w:trPr>
          <w:trHeight w:val="210"/>
        </w:trPr>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CRM Small Cap Value Fund</w:t>
            </w: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5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2,309,992</w:t>
            </w:r>
          </w:p>
        </w:tc>
        <w:tc>
          <w:tcPr>
            <w:tcW w:w="32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Dodge and Cox Stock Fund</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11,428,442</w:t>
            </w:r>
          </w:p>
        </w:tc>
      </w:tr>
      <w:tr>
        <w:trPr>
          <w:trHeight w:val="216"/>
        </w:trPr>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EuroPacific Growth Fund-Class A</w:t>
            </w: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9,270,707</w:t>
            </w:r>
          </w:p>
        </w:tc>
        <w:tc>
          <w:tcPr>
            <w:tcW w:w="320" w:type="dxa"/>
            <w:vAlign w:val="bottom"/>
            <w:shd w:val="clear" w:color="auto" w:fill="CCEEFF"/>
          </w:tcPr>
          <w:p>
            <w:pPr>
              <w:spacing w:after="0"/>
              <w:rPr>
                <w:sz w:val="18"/>
                <w:szCs w:val="18"/>
                <w:color w:val="auto"/>
              </w:rPr>
            </w:pP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Fidelity Blue Chip Fund</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21,956,209</w:t>
            </w:r>
          </w:p>
        </w:tc>
      </w:tr>
      <w:tr>
        <w:trPr>
          <w:trHeight w:val="216"/>
        </w:trPr>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Fidelity Contrafund</w:t>
            </w: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19,167,892</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Fidelity Freedom Income Fund</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807,191</w:t>
            </w:r>
          </w:p>
        </w:tc>
        <w:tc>
          <w:tcPr>
            <w:tcW w:w="320" w:type="dxa"/>
            <w:vAlign w:val="bottom"/>
          </w:tcPr>
          <w:p>
            <w:pPr>
              <w:spacing w:after="0"/>
              <w:rPr>
                <w:sz w:val="18"/>
                <w:szCs w:val="18"/>
                <w:color w:val="auto"/>
              </w:rPr>
            </w:pPr>
          </w:p>
        </w:tc>
      </w:tr>
      <w:tr>
        <w:trPr>
          <w:trHeight w:val="216"/>
        </w:trPr>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Fidelity Freedom 2000 Fund</w:t>
            </w: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1,223,988</w:t>
            </w:r>
          </w:p>
        </w:tc>
        <w:tc>
          <w:tcPr>
            <w:tcW w:w="320" w:type="dxa"/>
            <w:vAlign w:val="bottom"/>
            <w:shd w:val="clear" w:color="auto" w:fill="CCEEFF"/>
          </w:tcPr>
          <w:p>
            <w:pPr>
              <w:spacing w:after="0"/>
              <w:rPr>
                <w:sz w:val="18"/>
                <w:szCs w:val="18"/>
                <w:color w:val="auto"/>
              </w:rPr>
            </w:pP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Fidelity Freedom 2010 Fund</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4,626,298</w:t>
            </w:r>
          </w:p>
        </w:tc>
        <w:tc>
          <w:tcPr>
            <w:tcW w:w="320" w:type="dxa"/>
            <w:vAlign w:val="bottom"/>
          </w:tcPr>
          <w:p>
            <w:pPr>
              <w:spacing w:after="0"/>
              <w:rPr>
                <w:sz w:val="18"/>
                <w:szCs w:val="18"/>
                <w:color w:val="auto"/>
              </w:rPr>
            </w:pPr>
          </w:p>
        </w:tc>
      </w:tr>
      <w:tr>
        <w:trPr>
          <w:trHeight w:val="216"/>
        </w:trPr>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Fidelity Freedom 2020 Fund</w:t>
            </w: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7,965,984</w:t>
            </w:r>
          </w:p>
        </w:tc>
        <w:tc>
          <w:tcPr>
            <w:tcW w:w="320" w:type="dxa"/>
            <w:vAlign w:val="bottom"/>
            <w:shd w:val="clear" w:color="auto" w:fill="CCEEFF"/>
          </w:tcPr>
          <w:p>
            <w:pPr>
              <w:spacing w:after="0"/>
              <w:rPr>
                <w:sz w:val="18"/>
                <w:szCs w:val="18"/>
                <w:color w:val="auto"/>
              </w:rPr>
            </w:pP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Fidelity Freedom 2030 Fund</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4,686,028</w:t>
            </w:r>
          </w:p>
        </w:tc>
        <w:tc>
          <w:tcPr>
            <w:tcW w:w="320" w:type="dxa"/>
            <w:vAlign w:val="bottom"/>
          </w:tcPr>
          <w:p>
            <w:pPr>
              <w:spacing w:after="0"/>
              <w:rPr>
                <w:sz w:val="18"/>
                <w:szCs w:val="18"/>
                <w:color w:val="auto"/>
              </w:rPr>
            </w:pPr>
          </w:p>
        </w:tc>
      </w:tr>
      <w:tr>
        <w:trPr>
          <w:trHeight w:val="216"/>
        </w:trPr>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Fidelity Freedom 2040 Fund</w:t>
            </w: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709,986</w:t>
            </w:r>
          </w:p>
        </w:tc>
        <w:tc>
          <w:tcPr>
            <w:tcW w:w="320" w:type="dxa"/>
            <w:vAlign w:val="bottom"/>
            <w:shd w:val="clear" w:color="auto" w:fill="CCEEFF"/>
          </w:tcPr>
          <w:p>
            <w:pPr>
              <w:spacing w:after="0"/>
              <w:rPr>
                <w:sz w:val="18"/>
                <w:szCs w:val="18"/>
                <w:color w:val="auto"/>
              </w:rPr>
            </w:pP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Fidelity Low Price Stock Fund</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6,191,564</w:t>
            </w:r>
          </w:p>
        </w:tc>
        <w:tc>
          <w:tcPr>
            <w:tcW w:w="320" w:type="dxa"/>
            <w:vAlign w:val="bottom"/>
          </w:tcPr>
          <w:p>
            <w:pPr>
              <w:spacing w:after="0"/>
              <w:rPr>
                <w:sz w:val="18"/>
                <w:szCs w:val="18"/>
                <w:color w:val="auto"/>
              </w:rPr>
            </w:pPr>
          </w:p>
        </w:tc>
      </w:tr>
      <w:tr>
        <w:trPr>
          <w:trHeight w:val="216"/>
        </w:trPr>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Fidelity Managed Income Portfolio</w:t>
            </w: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Collective Trust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23,110,375</w:t>
            </w:r>
          </w:p>
        </w:tc>
      </w:tr>
      <w:tr>
        <w:trPr>
          <w:trHeight w:val="216"/>
        </w:trPr>
        <w:tc>
          <w:tcPr>
            <w:tcW w:w="6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Fidelity Puritan Fund</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22,736,223</w:t>
            </w:r>
          </w:p>
        </w:tc>
      </w:tr>
      <w:tr>
        <w:trPr>
          <w:trHeight w:val="216"/>
        </w:trPr>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Managers Special Equity Fund</w:t>
            </w: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13,415,950</w:t>
            </w:r>
          </w:p>
        </w:tc>
      </w:t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PIMCO Total Return Fund</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5,449,207</w:t>
            </w:r>
          </w:p>
        </w:tc>
        <w:tc>
          <w:tcPr>
            <w:tcW w:w="32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Spartan U.S. Equity Index Fund</w:t>
            </w: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Registered Investment Company</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18,744,516</w:t>
            </w:r>
          </w:p>
        </w:tc>
      </w:tr>
      <w:tr>
        <w:trPr>
          <w:trHeight w:val="216"/>
        </w:trPr>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The Scotts Miracle-Gro Company Common Shares</w:t>
            </w:r>
          </w:p>
        </w:tc>
        <w:tc>
          <w:tcPr>
            <w:tcW w:w="3740" w:type="dxa"/>
            <w:vAlign w:val="bottom"/>
            <w:gridSpan w:val="2"/>
          </w:tcPr>
          <w:p>
            <w:pPr>
              <w:ind w:left="320"/>
              <w:spacing w:after="0"/>
              <w:rPr>
                <w:sz w:val="20"/>
                <w:szCs w:val="20"/>
                <w:color w:val="auto"/>
              </w:rPr>
            </w:pPr>
            <w:r>
              <w:rPr>
                <w:rFonts w:ascii="Arial" w:cs="Arial" w:eastAsia="Arial" w:hAnsi="Arial"/>
                <w:sz w:val="18"/>
                <w:szCs w:val="18"/>
                <w:color w:val="auto"/>
              </w:rPr>
              <w:t>Employer Securities</w:t>
            </w:r>
          </w:p>
        </w:tc>
        <w:tc>
          <w:tcPr>
            <w:tcW w:w="3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13,850,226</w:t>
            </w:r>
          </w:p>
        </w:tc>
      </w:tr>
      <w:tr>
        <w:trPr>
          <w:trHeight w:val="202"/>
        </w:trPr>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Participant Loans</w:t>
            </w:r>
          </w:p>
        </w:tc>
        <w:tc>
          <w:tcPr>
            <w:tcW w:w="37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Notes receivable (interest at rates ranging from</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4,756,653</w:t>
            </w:r>
          </w:p>
        </w:tc>
        <w:tc>
          <w:tcPr>
            <w:tcW w:w="320" w:type="dxa"/>
            <w:vAlign w:val="bottom"/>
            <w:shd w:val="clear" w:color="auto" w:fill="CCEEFF"/>
          </w:tcPr>
          <w:p>
            <w:pPr>
              <w:spacing w:after="0"/>
              <w:rPr>
                <w:sz w:val="17"/>
                <w:szCs w:val="17"/>
                <w:color w:val="auto"/>
              </w:rPr>
            </w:pPr>
          </w:p>
        </w:tc>
      </w:tr>
      <w:tr>
        <w:trPr>
          <w:trHeight w:val="230"/>
        </w:trPr>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3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5.0% to 10.5% due through January 12, 2009)</w:t>
            </w: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r>
      <w:tr>
        <w:trPr>
          <w:trHeight w:val="223"/>
        </w:trPr>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192,407,431</w:t>
            </w:r>
          </w:p>
        </w:tc>
        <w:tc>
          <w:tcPr>
            <w:tcW w:w="32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ind w:left="940" w:hanging="66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Party-in-interest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40" w:type="dxa"/>
            <w:vAlign w:val="bottom"/>
            <w:gridSpan w:val="2"/>
          </w:tcPr>
          <w:p>
            <w:pPr>
              <w:jc w:val="center"/>
              <w:ind w:left="1292"/>
              <w:spacing w:after="0"/>
              <w:rPr>
                <w:sz w:val="20"/>
                <w:szCs w:val="20"/>
                <w:color w:val="auto"/>
              </w:rPr>
            </w:pPr>
            <w:r>
              <w:rPr>
                <w:rFonts w:ascii="Arial" w:cs="Arial" w:eastAsia="Arial" w:hAnsi="Arial"/>
                <w:sz w:val="18"/>
                <w:szCs w:val="18"/>
                <w:b w:val="1"/>
                <w:bCs w:val="1"/>
                <w:color w:val="auto"/>
                <w:w w:val="97"/>
              </w:rPr>
              <w:t>THE SCOTTS COMPANY LLC</w:t>
            </w: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40" w:type="dxa"/>
            <w:vAlign w:val="bottom"/>
            <w:gridSpan w:val="2"/>
          </w:tcPr>
          <w:p>
            <w:pPr>
              <w:jc w:val="center"/>
              <w:ind w:left="1312"/>
              <w:spacing w:after="0"/>
              <w:rPr>
                <w:sz w:val="20"/>
                <w:szCs w:val="20"/>
                <w:color w:val="auto"/>
              </w:rPr>
            </w:pPr>
            <w:r>
              <w:rPr>
                <w:rFonts w:ascii="Arial" w:cs="Arial" w:eastAsia="Arial" w:hAnsi="Arial"/>
                <w:sz w:val="18"/>
                <w:szCs w:val="18"/>
                <w:b w:val="1"/>
                <w:bCs w:val="1"/>
                <w:color w:val="auto"/>
                <w:w w:val="92"/>
              </w:rPr>
              <w:t>RETIREMENT SAVINGS PLAN (formerly known as The Scotts Company</w:t>
            </w:r>
          </w:p>
        </w:tc>
      </w:tr>
      <w:tr>
        <w:trPr>
          <w:trHeight w:val="228"/>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40" w:type="dxa"/>
            <w:vAlign w:val="bottom"/>
            <w:gridSpan w:val="2"/>
          </w:tcPr>
          <w:p>
            <w:pPr>
              <w:jc w:val="center"/>
              <w:ind w:left="1292"/>
              <w:spacing w:after="0"/>
              <w:rPr>
                <w:sz w:val="20"/>
                <w:szCs w:val="20"/>
                <w:color w:val="auto"/>
              </w:rPr>
            </w:pPr>
            <w:r>
              <w:rPr>
                <w:rFonts w:ascii="Arial" w:cs="Arial" w:eastAsia="Arial" w:hAnsi="Arial"/>
                <w:sz w:val="18"/>
                <w:szCs w:val="18"/>
                <w:b w:val="1"/>
                <w:bCs w:val="1"/>
                <w:color w:val="auto"/>
                <w:w w:val="87"/>
              </w:rPr>
              <w:t>Retirement Savings Plan)</w:t>
            </w:r>
          </w:p>
        </w:tc>
      </w:tr>
      <w:tr>
        <w:trPr>
          <w:trHeight w:val="420"/>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40" w:type="dxa"/>
            <w:vAlign w:val="bottom"/>
            <w:gridSpan w:val="2"/>
          </w:tcPr>
          <w:p>
            <w:pPr>
              <w:jc w:val="center"/>
              <w:ind w:left="1292"/>
              <w:spacing w:after="0"/>
              <w:rPr>
                <w:sz w:val="20"/>
                <w:szCs w:val="20"/>
                <w:color w:val="auto"/>
              </w:rPr>
            </w:pPr>
            <w:r>
              <w:rPr>
                <w:rFonts w:ascii="Arial" w:cs="Arial" w:eastAsia="Arial" w:hAnsi="Arial"/>
                <w:sz w:val="18"/>
                <w:szCs w:val="18"/>
                <w:b w:val="1"/>
                <w:bCs w:val="1"/>
                <w:color w:val="auto"/>
                <w:w w:val="97"/>
              </w:rPr>
              <w:t>ANNUAL REPORT ON FORM 11-K</w:t>
            </w:r>
          </w:p>
        </w:tc>
      </w:tr>
      <w:tr>
        <w:trPr>
          <w:trHeight w:val="228"/>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40" w:type="dxa"/>
            <w:vAlign w:val="bottom"/>
            <w:gridSpan w:val="2"/>
          </w:tcPr>
          <w:p>
            <w:pPr>
              <w:jc w:val="center"/>
              <w:ind w:left="1292"/>
              <w:spacing w:after="0"/>
              <w:rPr>
                <w:sz w:val="20"/>
                <w:szCs w:val="20"/>
                <w:color w:val="auto"/>
              </w:rPr>
            </w:pPr>
            <w:r>
              <w:rPr>
                <w:rFonts w:ascii="Arial" w:cs="Arial" w:eastAsia="Arial" w:hAnsi="Arial"/>
                <w:sz w:val="18"/>
                <w:szCs w:val="18"/>
                <w:b w:val="1"/>
                <w:bCs w:val="1"/>
                <w:color w:val="auto"/>
                <w:w w:val="96"/>
              </w:rPr>
              <w:t>FOR FISCAL YEAR ENDED DECEMBER 31, 2005</w:t>
            </w:r>
          </w:p>
        </w:tc>
      </w:tr>
      <w:tr>
        <w:trPr>
          <w:trHeight w:val="432"/>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40" w:type="dxa"/>
            <w:vAlign w:val="bottom"/>
            <w:gridSpan w:val="2"/>
          </w:tcPr>
          <w:p>
            <w:pPr>
              <w:jc w:val="center"/>
              <w:ind w:left="1312"/>
              <w:spacing w:after="0"/>
              <w:rPr>
                <w:sz w:val="20"/>
                <w:szCs w:val="20"/>
                <w:color w:val="auto"/>
              </w:rPr>
            </w:pPr>
            <w:r>
              <w:rPr>
                <w:rFonts w:ascii="Arial" w:cs="Arial" w:eastAsia="Arial" w:hAnsi="Arial"/>
                <w:sz w:val="18"/>
                <w:szCs w:val="18"/>
                <w:b w:val="1"/>
                <w:bCs w:val="1"/>
                <w:color w:val="auto"/>
              </w:rPr>
              <w:t>INDEX TO EXHIBITS</w:t>
            </w:r>
          </w:p>
        </w:tc>
      </w:tr>
      <w:tr>
        <w:trPr>
          <w:trHeight w:val="623"/>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7620" w:type="dxa"/>
            <w:vAlign w:val="bottom"/>
            <w:gridSpan w:val="3"/>
          </w:tcPr>
          <w:p>
            <w:pPr>
              <w:ind w:left="5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c>
          <w:tcPr>
            <w:tcW w:w="2480" w:type="dxa"/>
            <w:vAlign w:val="bottom"/>
          </w:tcPr>
          <w:p>
            <w:pPr>
              <w:spacing w:after="0"/>
              <w:rPr>
                <w:sz w:val="8"/>
                <w:szCs w:val="8"/>
                <w:color w:val="auto"/>
              </w:rPr>
            </w:pPr>
          </w:p>
        </w:tc>
      </w:tr>
      <w:tr>
        <w:trPr>
          <w:trHeight w:val="309"/>
        </w:trPr>
        <w:tc>
          <w:tcPr>
            <w:tcW w:w="920" w:type="dxa"/>
            <w:vAlign w:val="bottom"/>
          </w:tcPr>
          <w:p>
            <w:pPr>
              <w:jc w:val="right"/>
              <w:ind w:right="222"/>
              <w:spacing w:after="0"/>
              <w:rPr>
                <w:sz w:val="20"/>
                <w:szCs w:val="20"/>
                <w:color w:val="auto"/>
              </w:rPr>
            </w:pPr>
            <w:r>
              <w:rPr>
                <w:rFonts w:ascii="Arial" w:cs="Arial" w:eastAsia="Arial" w:hAnsi="Arial"/>
                <w:sz w:val="18"/>
                <w:szCs w:val="18"/>
                <w:color w:val="auto"/>
              </w:rPr>
              <w:t>23.1</w:t>
            </w:r>
          </w:p>
        </w:tc>
        <w:tc>
          <w:tcPr>
            <w:tcW w:w="7620" w:type="dxa"/>
            <w:vAlign w:val="bottom"/>
            <w:gridSpan w:val="3"/>
          </w:tcPr>
          <w:p>
            <w:pPr>
              <w:ind w:left="580"/>
              <w:spacing w:after="0"/>
              <w:rPr>
                <w:sz w:val="20"/>
                <w:szCs w:val="20"/>
                <w:color w:val="auto"/>
              </w:rPr>
            </w:pPr>
            <w:r>
              <w:rPr>
                <w:rFonts w:ascii="Arial" w:cs="Arial" w:eastAsia="Arial" w:hAnsi="Arial"/>
                <w:sz w:val="18"/>
                <w:szCs w:val="18"/>
                <w:color w:val="auto"/>
              </w:rPr>
              <w:t>Consent of Independent Registered Public Accounting Firm -</w:t>
            </w:r>
          </w:p>
        </w:tc>
      </w:tr>
      <w:tr>
        <w:trPr>
          <w:trHeight w:val="222"/>
        </w:trPr>
        <w:tc>
          <w:tcPr>
            <w:tcW w:w="920" w:type="dxa"/>
            <w:vAlign w:val="bottom"/>
          </w:tcPr>
          <w:p>
            <w:pPr>
              <w:spacing w:after="0"/>
              <w:rPr>
                <w:sz w:val="19"/>
                <w:szCs w:val="19"/>
                <w:color w:val="auto"/>
              </w:rPr>
            </w:pPr>
          </w:p>
        </w:tc>
        <w:tc>
          <w:tcPr>
            <w:tcW w:w="7620" w:type="dxa"/>
            <w:vAlign w:val="bottom"/>
            <w:gridSpan w:val="3"/>
          </w:tcPr>
          <w:p>
            <w:pPr>
              <w:ind w:left="580"/>
              <w:spacing w:after="0"/>
              <w:rPr>
                <w:sz w:val="20"/>
                <w:szCs w:val="20"/>
                <w:color w:val="auto"/>
              </w:rPr>
            </w:pPr>
            <w:r>
              <w:rPr>
                <w:rFonts w:ascii="Arial" w:cs="Arial" w:eastAsia="Arial" w:hAnsi="Arial"/>
                <w:sz w:val="18"/>
                <w:szCs w:val="18"/>
                <w:color w:val="auto"/>
              </w:rPr>
              <w:t>Meaden &amp; Moore, Ltd.</w:t>
            </w:r>
          </w:p>
        </w:tc>
      </w:tr>
      <w:tr>
        <w:trPr>
          <w:trHeight w:val="407"/>
        </w:trPr>
        <w:tc>
          <w:tcPr>
            <w:tcW w:w="920" w:type="dxa"/>
            <w:vAlign w:val="bottom"/>
          </w:tcPr>
          <w:p>
            <w:pPr>
              <w:spacing w:after="0"/>
              <w:rPr>
                <w:sz w:val="24"/>
                <w:szCs w:val="24"/>
                <w:color w:val="auto"/>
              </w:rPr>
            </w:pPr>
          </w:p>
        </w:tc>
        <w:tc>
          <w:tcPr>
            <w:tcW w:w="5140" w:type="dxa"/>
            <w:vAlign w:val="bottom"/>
            <w:gridSpan w:val="2"/>
          </w:tcPr>
          <w:p>
            <w:pPr>
              <w:jc w:val="center"/>
              <w:ind w:left="4357"/>
              <w:spacing w:after="0"/>
              <w:rPr>
                <w:sz w:val="20"/>
                <w:szCs w:val="20"/>
                <w:color w:val="auto"/>
              </w:rPr>
            </w:pPr>
            <w:r>
              <w:rPr>
                <w:rFonts w:ascii="Arial" w:cs="Arial" w:eastAsia="Arial" w:hAnsi="Arial"/>
                <w:sz w:val="18"/>
                <w:szCs w:val="18"/>
                <w:color w:val="auto"/>
                <w:w w:val="90"/>
              </w:rPr>
              <w:t>- 16 -</w:t>
            </w:r>
          </w:p>
        </w:tc>
        <w:tc>
          <w:tcPr>
            <w:tcW w:w="2480" w:type="dxa"/>
            <w:vAlign w:val="bottom"/>
          </w:tcPr>
          <w:p>
            <w:pPr>
              <w:spacing w:after="0"/>
              <w:rPr>
                <w:sz w:val="24"/>
                <w:szCs w:val="24"/>
                <w:color w:val="auto"/>
              </w:rPr>
            </w:pPr>
          </w:p>
        </w:tc>
      </w:tr>
    </w:tbl>
    <w:p>
      <w:pPr>
        <w:sectPr>
          <w:pgSz w:w="11900" w:h="16838" w:orient="portrait"/>
          <w:cols w:equalWidth="0" w:num="1">
            <w:col w:w="10219"/>
          </w:cols>
          <w:pgMar w:left="240" w:top="419"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033-47073) of The Scotts Miracle-Gro Company of our report dated May 18, 2006 relating to the financial statements of The Scotts Company LLC Retirement Savings Plan (formerly known as The Scotts Company Retirement Savings Plan), which appears in this Form 11-K.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Meaden &amp; Moore,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27, 2006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bullet"/>
      <w:start w:val="1"/>
    </w:lvl>
    <w:lvl w:ilvl="1">
      <w:lvlJc w:val="left"/>
      <w:lvlText w:val="-"/>
      <w:numFmt w:val="bullet"/>
      <w:start w:val="1"/>
    </w:lvl>
  </w:abstractNum>
  <w:abstractNum w:abstractNumId="3">
    <w:nsid w:val="5BD062C2"/>
    <w:multiLevelType w:val="hybridMultilevel"/>
    <w:lvl w:ilvl="0">
      <w:lvlJc w:val="left"/>
      <w:lvlText w:val="1"/>
      <w:numFmt w:val="bullet"/>
      <w:start w:val="1"/>
    </w:lvl>
    <w:lvl w:ilvl="1">
      <w:lvlJc w:val="left"/>
      <w:lvlText w:val="-"/>
      <w:numFmt w:val="bullet"/>
      <w:start w:val="1"/>
    </w:lvl>
  </w:abstractNum>
  <w:abstractNum w:abstractNumId="4">
    <w:nsid w:val="12200854"/>
    <w:multiLevelType w:val="hybridMultilevel"/>
    <w:lvl w:ilvl="0">
      <w:lvlJc w:val="left"/>
      <w:lvlText w:val="1"/>
      <w:numFmt w:val="bullet"/>
      <w:start w:val="1"/>
    </w:lvl>
    <w:lvl w:ilvl="1">
      <w:lvlJc w:val="left"/>
      <w:lvlText w:val="-"/>
      <w:numFmt w:val="bullet"/>
      <w:start w:val="1"/>
    </w:lvl>
  </w:abstractNum>
  <w:abstractNum w:abstractNumId="5">
    <w:nsid w:val="4DB127F8"/>
    <w:multiLevelType w:val="hybridMultilevel"/>
    <w:lvl w:ilvl="0">
      <w:lvlJc w:val="left"/>
      <w:lvlText w:val="1"/>
      <w:numFmt w:val="bullet"/>
      <w:start w:val="1"/>
    </w:lvl>
  </w:abstractNum>
  <w:abstractNum w:abstractNumId="6">
    <w:nsid w:val="216231B"/>
    <w:multiLevelType w:val="hybridMultilevel"/>
    <w:lvl w:ilvl="0">
      <w:lvlJc w:val="left"/>
      <w:lvlText w:val="2"/>
      <w:numFmt w:val="bullet"/>
      <w:start w:val="1"/>
    </w:lvl>
    <w:lvl w:ilvl="1">
      <w:lvlJc w:val="left"/>
      <w:lvlText w:val="-"/>
      <w:numFmt w:val="bullet"/>
      <w:start w:val="1"/>
    </w:lvl>
  </w:abstractNum>
  <w:abstractNum w:abstractNumId="7">
    <w:nsid w:val="1F16E9E8"/>
    <w:multiLevelType w:val="hybridMultilevel"/>
    <w:lvl w:ilvl="0">
      <w:lvlJc w:val="left"/>
      <w:lvlText w:val="2"/>
      <w:numFmt w:val="bullet"/>
      <w:start w:val="1"/>
    </w:lvl>
    <w:lvl w:ilvl="1">
      <w:lvlJc w:val="left"/>
      <w:lvlText w:val="-"/>
      <w:numFmt w:val="bullet"/>
      <w:start w:val="1"/>
    </w:lvl>
  </w:abstractNum>
  <w:abstractNum w:abstractNumId="8">
    <w:nsid w:val="1190CDE7"/>
    <w:multiLevelType w:val="hybridMultilevel"/>
    <w:lvl w:ilvl="0">
      <w:lvlJc w:val="left"/>
      <w:lvlText w:val="3"/>
      <w:numFmt w:val="bullet"/>
      <w:start w:val="1"/>
    </w:lvl>
  </w:abstractNum>
  <w:abstractNum w:abstractNumId="9">
    <w:nsid w:val="66EF438D"/>
    <w:multiLevelType w:val="hybridMultilevel"/>
    <w:lvl w:ilvl="0">
      <w:lvlJc w:val="left"/>
      <w:lvlText w:val="5"/>
      <w:numFmt w:val="bullet"/>
      <w:start w:val="1"/>
    </w:lvl>
    <w:lvl w:ilvl="1">
      <w:lvlJc w:val="left"/>
      <w:lvlText w:val="-"/>
      <w:numFmt w:val="bullet"/>
      <w:start w:val="1"/>
    </w:lvl>
  </w:abstractNum>
  <w:abstractNum w:abstractNumId="10">
    <w:nsid w:val="140E0F76"/>
    <w:multiLevelType w:val="hybridMultilevel"/>
    <w:lvl w:ilvl="0">
      <w:lvlJc w:val="left"/>
      <w:lvlText w:val="6"/>
      <w:numFmt w:val="bullet"/>
      <w:start w:val="1"/>
    </w:lvl>
  </w:abstractNum>
  <w:abstractNum w:abstractNumId="11">
    <w:nsid w:val="3352255A"/>
    <w:multiLevelType w:val="hybridMultilevel"/>
    <w:lvl w:ilvl="0">
      <w:lvlJc w:val="left"/>
      <w:lvlText w:val="8"/>
      <w:numFmt w:val="bullet"/>
      <w:start w:val="1"/>
    </w:lvl>
  </w:abstractNum>
  <w:abstractNum w:abstractNumId="12">
    <w:nsid w:val="109CF92E"/>
    <w:multiLevelType w:val="hybridMultilevel"/>
    <w:lvl w:ilvl="0">
      <w:lvlJc w:val="left"/>
      <w:lvlText w:val="9"/>
      <w:numFmt w:val="bullet"/>
      <w:start w:val="1"/>
    </w:lvl>
    <w:lvl w:ilvl="1">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2019-12-20T06:24:06Z</dcterms:created>
  <dcterms:modified xsi:type="dcterms:W3CDTF">2019-12-20T06:24:06Z</dcterms:modified>
</cp:coreProperties>
</file>