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6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3"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810186106</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244" w:right="1440" w:bottom="0" w:gutter="0" w:footer="0" w:header="0"/>
        </w:sectPr>
      </w:pP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1,097,300</w:t>
            </w:r>
          </w:p>
        </w:tc>
      </w:tr>
      <w:tr>
        <w:trPr>
          <w:trHeight w:val="405"/>
        </w:trPr>
        <w:tc>
          <w:tcPr>
            <w:tcW w:w="1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6"/>
              </w:rPr>
              <w:t>NUMBER OF</w:t>
            </w: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20" w:type="dxa"/>
            <w:vAlign w:val="bottom"/>
          </w:tcPr>
          <w:p>
            <w:pPr>
              <w:spacing w:after="0"/>
              <w:rPr>
                <w:sz w:val="17"/>
                <w:szCs w:val="17"/>
                <w:color w:val="auto"/>
              </w:rPr>
            </w:pP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Y OWNED BY</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1,305,300</w:t>
            </w:r>
          </w:p>
        </w:tc>
      </w:tr>
    </w:tbl>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SHARED DISPOSITIVE POWER</w:t>
      </w:r>
    </w:p>
    <w:p>
      <w:pPr>
        <w:ind w:left="1480"/>
        <w:spacing w:after="0" w:line="238" w:lineRule="auto"/>
        <w:rPr>
          <w:sz w:val="20"/>
          <w:szCs w:val="20"/>
          <w:color w:val="auto"/>
        </w:rPr>
      </w:pPr>
      <w:r>
        <w:rPr>
          <w:rFonts w:ascii="Courier New" w:cs="Courier New" w:eastAsia="Courier New" w:hAnsi="Courier New"/>
          <w:sz w:val="18"/>
          <w:szCs w:val="18"/>
          <w:color w:val="auto"/>
        </w:rPr>
        <w:t>8</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spacing w:after="0" w:line="202"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1,305,300</w:t>
      </w:r>
      <w:r>
        <w:rPr>
          <w:sz w:val="20"/>
          <w:szCs w:val="20"/>
          <w:color w:val="auto"/>
        </w:rPr>
        <w:tab/>
      </w:r>
      <w:r>
        <w:rPr>
          <w:rFonts w:ascii="Courier New" w:cs="Courier New" w:eastAsia="Courier New" w:hAnsi="Courier New"/>
          <w:sz w:val="18"/>
          <w:szCs w:val="18"/>
          <w:color w:val="auto"/>
        </w:rPr>
        <w:t>Beneficial ownership disclaimed pursuant to Rule 13d-4</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4739" w:hanging="427"/>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6.9%</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339" w:right="1440" w:bottom="1440" w:gutter="0" w:footer="0" w:header="0"/>
        </w:sectPr>
      </w:pPr>
    </w:p>
    <w:bookmarkStart w:id="2" w:name="page3"/>
    <w:bookmarkEnd w:id="2"/>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Guardian Trust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95-2553868</w:t>
      </w:r>
    </w:p>
    <w:p>
      <w:pPr>
        <w:spacing w:after="0" w:line="202" w:lineRule="exact"/>
        <w:rPr>
          <w:sz w:val="20"/>
          <w:szCs w:val="20"/>
          <w:color w:val="auto"/>
        </w:rPr>
      </w:pPr>
    </w:p>
    <w:p>
      <w:pPr>
        <w:ind w:left="540" w:hanging="427"/>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4</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California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1,034,000</w:t>
            </w:r>
          </w:p>
        </w:tc>
      </w:tr>
      <w:tr>
        <w:trPr>
          <w:trHeight w:val="405"/>
        </w:trPr>
        <w:tc>
          <w:tcPr>
            <w:tcW w:w="1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6"/>
              </w:rPr>
              <w:t>NUMBER OF</w:t>
            </w: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20" w:type="dxa"/>
            <w:vAlign w:val="bottom"/>
          </w:tcPr>
          <w:p>
            <w:pPr>
              <w:spacing w:after="0"/>
              <w:rPr>
                <w:sz w:val="17"/>
                <w:szCs w:val="17"/>
                <w:color w:val="auto"/>
              </w:rPr>
            </w:pP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Y OWNED BY</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1,242,000</w:t>
            </w:r>
          </w:p>
        </w:tc>
      </w:tr>
    </w:tbl>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SHARED DISPOSITIVE POWER</w:t>
      </w:r>
    </w:p>
    <w:p>
      <w:pPr>
        <w:ind w:left="1480"/>
        <w:spacing w:after="0" w:line="238" w:lineRule="auto"/>
        <w:rPr>
          <w:sz w:val="20"/>
          <w:szCs w:val="20"/>
          <w:color w:val="auto"/>
        </w:rPr>
      </w:pPr>
      <w:r>
        <w:rPr>
          <w:rFonts w:ascii="Courier New" w:cs="Courier New" w:eastAsia="Courier New" w:hAnsi="Courier New"/>
          <w:sz w:val="18"/>
          <w:szCs w:val="18"/>
          <w:color w:val="auto"/>
        </w:rPr>
        <w:t>8</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spacing w:after="0" w:line="202"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1,242,000</w:t>
      </w:r>
      <w:r>
        <w:rPr>
          <w:sz w:val="20"/>
          <w:szCs w:val="20"/>
          <w:color w:val="auto"/>
        </w:rPr>
        <w:tab/>
      </w:r>
      <w:r>
        <w:rPr>
          <w:rFonts w:ascii="Courier New" w:cs="Courier New" w:eastAsia="Courier New" w:hAnsi="Courier New"/>
          <w:sz w:val="18"/>
          <w:szCs w:val="18"/>
          <w:color w:val="auto"/>
        </w:rPr>
        <w:t>Beneficial ownership disclaimed pursuant to Rule 13d-4</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4739" w:hanging="427"/>
        <w:spacing w:after="0" w:line="470"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6.5%</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BK</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1122" w:right="1440" w:bottom="1440"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14111 Scottslawn Road</w:t>
      </w:r>
    </w:p>
    <w:p>
      <w:pPr>
        <w:ind w:left="740"/>
        <w:spacing w:after="0"/>
        <w:rPr>
          <w:sz w:val="20"/>
          <w:szCs w:val="20"/>
          <w:color w:val="auto"/>
        </w:rPr>
      </w:pPr>
      <w:r>
        <w:rPr>
          <w:rFonts w:ascii="Courier New" w:cs="Courier New" w:eastAsia="Courier New" w:hAnsi="Courier New"/>
          <w:sz w:val="18"/>
          <w:szCs w:val="18"/>
          <w:color w:val="auto"/>
        </w:rPr>
        <w:t>Marysville, OH 43041</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The Capital Group Companies, Inc., Capital Guardian Trust Company</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810186106</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1" w:lineRule="exact"/>
        <w:rPr>
          <w:sz w:val="20"/>
          <w:szCs w:val="20"/>
          <w:color w:val="auto"/>
        </w:rPr>
      </w:pPr>
    </w:p>
    <w:p>
      <w:pPr>
        <w:ind w:left="1380" w:hanging="635"/>
        <w:spacing w:after="0"/>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w:t>
      </w:r>
    </w:p>
    <w:p>
      <w:pPr>
        <w:spacing w:after="0" w:line="4" w:lineRule="exact"/>
        <w:rPr>
          <w:sz w:val="20"/>
          <w:szCs w:val="20"/>
          <w:color w:val="auto"/>
        </w:rPr>
      </w:pPr>
    </w:p>
    <w:p>
      <w:pPr>
        <w:ind w:left="1280" w:right="2939" w:hanging="535"/>
        <w:spacing w:after="0" w:line="235" w:lineRule="auto"/>
        <w:tabs>
          <w:tab w:leader="none" w:pos="14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619"/>
        <w:spacing w:after="0" w:line="238" w:lineRule="auto"/>
        <w:rPr>
          <w:sz w:val="20"/>
          <w:szCs w:val="20"/>
          <w:color w:val="auto"/>
        </w:rPr>
      </w:pPr>
      <w:r>
        <w:rPr>
          <w:rFonts w:ascii="Courier New" w:cs="Courier New" w:eastAsia="Courier New" w:hAnsi="Courier New"/>
          <w:sz w:val="18"/>
          <w:szCs w:val="18"/>
          <w:color w:val="auto"/>
        </w:rPr>
        <w:t>The Capital Group Companies,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The Capital Group Companies, Inc. does not have investment power or voting power over any of the securities reported herein; however, The Capital Group Companies, Inc., may be deemed to "beneficially own" such securities by virtue of Rule 13d-3 under the Act.</w:t>
      </w:r>
    </w:p>
    <w:p>
      <w:pPr>
        <w:spacing w:after="0" w:line="208"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Guardian Trust Company, a bank as defined in Section 3(a)6 of the Act and a wholly owned subsidiary of The Capital Group Companies, Inc., is the beneficial owner of 1,242,000 shares or 6.5% of the 18,981,000 shares of Class A Common Stock believed to be outstanding as a result of its serving as the investment manager of various institutional accounts.</w:t>
      </w:r>
    </w:p>
    <w:p>
      <w:pPr>
        <w:sectPr>
          <w:pgSz w:w="11900" w:h="16838" w:orient="portrait"/>
          <w:cols w:equalWidth="0" w:num="1">
            <w:col w:w="10219"/>
          </w:cols>
          <w:pgMar w:left="240" w:top="717" w:right="1440" w:bottom="1440" w:gutter="0" w:footer="0" w:header="0"/>
        </w:sectPr>
      </w:pPr>
    </w:p>
    <w:bookmarkStart w:id="4" w:name="page5"/>
    <w:bookmarkEnd w:id="4"/>
    <w:p>
      <w:pPr>
        <w:ind w:left="740" w:right="2739"/>
        <w:spacing w:after="0" w:line="237" w:lineRule="auto"/>
        <w:rPr>
          <w:sz w:val="20"/>
          <w:szCs w:val="20"/>
          <w:color w:val="auto"/>
        </w:rPr>
      </w:pPr>
      <w:r>
        <w:rPr>
          <w:rFonts w:ascii="Courier New" w:cs="Courier New" w:eastAsia="Courier New" w:hAnsi="Courier New"/>
          <w:sz w:val="18"/>
          <w:szCs w:val="18"/>
          <w:color w:val="auto"/>
        </w:rPr>
        <w:t>The remaining shares reported as being beneficially owned by The Capital Group Companies, Inc. are beneficially owned by other subsidiaries of The Capital Group Companies, Inc. listed under item 7, none of which by itself owns 5% or more of the outstanding securities.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ind w:left="1060" w:right="2619" w:hanging="315"/>
        <w:spacing w:after="0" w:line="236"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08" w:lineRule="exact"/>
        <w:rPr>
          <w:rFonts w:ascii="Courier New" w:cs="Courier New" w:eastAsia="Courier New" w:hAnsi="Courier New"/>
          <w:sz w:val="18"/>
          <w:szCs w:val="18"/>
          <w:color w:val="auto"/>
        </w:rPr>
      </w:pPr>
    </w:p>
    <w:p>
      <w:pPr>
        <w:ind w:left="1060" w:right="2739" w:hanging="315"/>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International Research and Management, Inc. dba Capital International, Inc. is an Investment Adviser registered under Section 203 of the Investment Adviser Act of 1940 and is a wholly owned subsidiary of Capital Group International, Inc. which is a wholly owned subsidiary of The Capital Group Companies, Inc.</w:t>
      </w:r>
    </w:p>
    <w:p>
      <w:pPr>
        <w:spacing w:after="0" w:line="209" w:lineRule="exact"/>
        <w:rPr>
          <w:rFonts w:ascii="Courier New" w:cs="Courier New" w:eastAsia="Courier New" w:hAnsi="Courier New"/>
          <w:sz w:val="18"/>
          <w:szCs w:val="18"/>
          <w:color w:val="auto"/>
        </w:rPr>
      </w:pPr>
    </w:p>
    <w:p>
      <w:pPr>
        <w:ind w:left="1060" w:right="2619" w:hanging="315"/>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Capital Group International, Inc. which is a wholly owned subsidiary of The Capital Group Companies, Inc.</w:t>
      </w:r>
    </w:p>
    <w:p>
      <w:pPr>
        <w:spacing w:after="0" w:line="213" w:lineRule="exact"/>
        <w:rPr>
          <w:rFonts w:ascii="Courier New" w:cs="Courier New" w:eastAsia="Courier New" w:hAnsi="Courier New"/>
          <w:sz w:val="18"/>
          <w:szCs w:val="18"/>
          <w:color w:val="auto"/>
        </w:rPr>
      </w:pPr>
    </w:p>
    <w:p>
      <w:pPr>
        <w:ind w:left="1060" w:right="2739" w:hanging="315"/>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International S.A. (CISA)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CISA is a wholly owned subsidiary of Capital Group International, Inc. which is a wholly owned subsidiary of The Capital Group Companies, Inc.</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1128"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12, 1997</w:t>
      </w:r>
    </w:p>
    <w:p>
      <w:pPr>
        <w:spacing w:after="0" w:line="201"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Signatu</w:t>
      </w:r>
      <w:r>
        <w:rPr>
          <w:sz w:val="20"/>
          <w:szCs w:val="20"/>
          <w:color w:val="auto"/>
        </w:rPr>
        <w:tab/>
      </w:r>
      <w:r>
        <w:rPr>
          <w:rFonts w:ascii="Courier New" w:cs="Courier New" w:eastAsia="Courier New" w:hAnsi="Courier New"/>
          <w:sz w:val="16"/>
          <w:szCs w:val="16"/>
          <w:color w:val="auto"/>
        </w:rPr>
        <w:t>*Larry P. Clemmensen</w:t>
      </w:r>
    </w:p>
    <w:p>
      <w:pPr>
        <w:ind w:left="540"/>
        <w:spacing w:after="0" w:line="238" w:lineRule="auto"/>
        <w:rPr>
          <w:sz w:val="20"/>
          <w:szCs w:val="20"/>
          <w:color w:val="auto"/>
        </w:rPr>
      </w:pPr>
      <w:r>
        <w:rPr>
          <w:rFonts w:ascii="Courier New" w:cs="Courier New" w:eastAsia="Courier New" w:hAnsi="Courier New"/>
          <w:sz w:val="18"/>
          <w:szCs w:val="18"/>
          <w:color w:val="auto"/>
        </w:rPr>
        <w:t>re:</w:t>
      </w:r>
    </w:p>
    <w:p>
      <w:pPr>
        <w:spacing w:after="0" w:line="202"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Name/Ti</w:t>
      </w:r>
      <w:r>
        <w:rPr>
          <w:sz w:val="20"/>
          <w:szCs w:val="20"/>
          <w:color w:val="auto"/>
        </w:rPr>
        <w:tab/>
      </w:r>
      <w:r>
        <w:rPr>
          <w:rFonts w:ascii="Courier New" w:cs="Courier New" w:eastAsia="Courier New" w:hAnsi="Courier New"/>
          <w:sz w:val="16"/>
          <w:szCs w:val="16"/>
          <w:color w:val="auto"/>
        </w:rPr>
        <w:t>Larry P. Clemmensen, President</w:t>
      </w:r>
    </w:p>
    <w:p>
      <w:pPr>
        <w:ind w:left="540"/>
        <w:spacing w:after="0" w:line="238" w:lineRule="auto"/>
        <w:rPr>
          <w:sz w:val="20"/>
          <w:szCs w:val="20"/>
          <w:color w:val="auto"/>
        </w:rPr>
      </w:pPr>
      <w:r>
        <w:rPr>
          <w:rFonts w:ascii="Courier New" w:cs="Courier New" w:eastAsia="Courier New" w:hAnsi="Courier New"/>
          <w:sz w:val="18"/>
          <w:szCs w:val="18"/>
          <w:color w:val="auto"/>
        </w:rPr>
        <w:t>tle:</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12, 1997</w:t>
      </w:r>
    </w:p>
    <w:p>
      <w:pPr>
        <w:spacing w:after="0" w:line="201"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Signatu</w:t>
      </w:r>
      <w:r>
        <w:rPr>
          <w:sz w:val="20"/>
          <w:szCs w:val="20"/>
          <w:color w:val="auto"/>
        </w:rPr>
        <w:tab/>
      </w:r>
      <w:r>
        <w:rPr>
          <w:rFonts w:ascii="Courier New" w:cs="Courier New" w:eastAsia="Courier New" w:hAnsi="Courier New"/>
          <w:sz w:val="16"/>
          <w:szCs w:val="16"/>
          <w:color w:val="auto"/>
        </w:rPr>
        <w:t>*David I. Fisher</w:t>
      </w:r>
    </w:p>
    <w:p>
      <w:pPr>
        <w:ind w:left="540"/>
        <w:spacing w:after="0" w:line="238" w:lineRule="auto"/>
        <w:rPr>
          <w:sz w:val="20"/>
          <w:szCs w:val="20"/>
          <w:color w:val="auto"/>
        </w:rPr>
      </w:pPr>
      <w:r>
        <w:rPr>
          <w:rFonts w:ascii="Courier New" w:cs="Courier New" w:eastAsia="Courier New" w:hAnsi="Courier New"/>
          <w:sz w:val="18"/>
          <w:szCs w:val="18"/>
          <w:color w:val="auto"/>
        </w:rPr>
        <w:t>re:</w:t>
      </w:r>
    </w:p>
    <w:p>
      <w:pPr>
        <w:spacing w:after="0" w:line="202"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Name/Ti</w:t>
      </w:r>
      <w:r>
        <w:rPr>
          <w:sz w:val="20"/>
          <w:szCs w:val="20"/>
          <w:color w:val="auto"/>
        </w:rPr>
        <w:tab/>
      </w:r>
      <w:r>
        <w:rPr>
          <w:rFonts w:ascii="Courier New" w:cs="Courier New" w:eastAsia="Courier New" w:hAnsi="Courier New"/>
          <w:sz w:val="16"/>
          <w:szCs w:val="16"/>
          <w:color w:val="auto"/>
        </w:rPr>
        <w:t>David I. Fisher, Vice Chairman</w:t>
      </w:r>
    </w:p>
    <w:p>
      <w:pPr>
        <w:ind w:left="540"/>
        <w:spacing w:after="0" w:line="238" w:lineRule="auto"/>
        <w:rPr>
          <w:sz w:val="20"/>
          <w:szCs w:val="20"/>
          <w:color w:val="auto"/>
        </w:rPr>
      </w:pPr>
      <w:r>
        <w:rPr>
          <w:rFonts w:ascii="Courier New" w:cs="Courier New" w:eastAsia="Courier New" w:hAnsi="Courier New"/>
          <w:sz w:val="18"/>
          <w:szCs w:val="18"/>
          <w:color w:val="auto"/>
        </w:rPr>
        <w:t>tle:</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Capital Guardian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James P. Ryan</w:t>
      </w:r>
    </w:p>
    <w:p>
      <w:pPr>
        <w:ind w:left="126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260" w:right="2619"/>
        <w:spacing w:after="0" w:line="237" w:lineRule="auto"/>
        <w:rPr>
          <w:sz w:val="20"/>
          <w:szCs w:val="20"/>
          <w:color w:val="auto"/>
        </w:rPr>
      </w:pPr>
      <w:r>
        <w:rPr>
          <w:rFonts w:ascii="Courier New" w:cs="Courier New" w:eastAsia="Courier New" w:hAnsi="Courier New"/>
          <w:sz w:val="18"/>
          <w:szCs w:val="18"/>
          <w:color w:val="auto"/>
        </w:rPr>
        <w:t>Signed pursuant to a Power of Attorney dated February 11, 1997 included as an Exhibit to Schedule 13G filed with the Securities and Exchange Commission by The Capital Group Companies, Inc. on February 12, 1997 with respect to AAR Corporation.</w:t>
      </w:r>
    </w:p>
    <w:p>
      <w:pPr>
        <w:sectPr>
          <w:pgSz w:w="11900" w:h="16838" w:orient="portrait"/>
          <w:cols w:equalWidth="0" w:num="1">
            <w:col w:w="9899"/>
          </w:cols>
          <w:pgMar w:left="560" w:top="1122" w:right="1440" w:bottom="1440" w:gutter="0" w:footer="0" w:header="0"/>
        </w:sectPr>
      </w:pPr>
    </w:p>
    <w:bookmarkStart w:id="6" w:name="page7"/>
    <w:bookmarkEnd w:id="6"/>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Los Angeles, CA</w:t>
      </w:r>
    </w:p>
    <w:p>
      <w:pPr>
        <w:jc w:val="center"/>
        <w:ind w:right="2739"/>
        <w:spacing w:after="0" w:line="238" w:lineRule="auto"/>
        <w:rPr>
          <w:sz w:val="20"/>
          <w:szCs w:val="20"/>
          <w:color w:val="auto"/>
        </w:rPr>
      </w:pPr>
      <w:r>
        <w:rPr>
          <w:rFonts w:ascii="Courier New" w:cs="Courier New" w:eastAsia="Courier New" w:hAnsi="Courier New"/>
          <w:sz w:val="18"/>
          <w:szCs w:val="18"/>
          <w:color w:val="auto"/>
        </w:rPr>
        <w:t>February 12, 1997</w:t>
      </w:r>
    </w:p>
    <w:p>
      <w:pPr>
        <w:spacing w:after="0" w:line="207" w:lineRule="exact"/>
        <w:rPr>
          <w:sz w:val="20"/>
          <w:szCs w:val="20"/>
          <w:color w:val="auto"/>
        </w:rPr>
      </w:pPr>
    </w:p>
    <w:p>
      <w:pPr>
        <w:ind w:right="2619" w:firstLine="211"/>
        <w:spacing w:after="0" w:line="237" w:lineRule="auto"/>
        <w:rPr>
          <w:sz w:val="20"/>
          <w:szCs w:val="20"/>
          <w:color w:val="auto"/>
        </w:rPr>
      </w:pPr>
      <w:r>
        <w:rPr>
          <w:rFonts w:ascii="Courier New" w:cs="Courier New" w:eastAsia="Courier New" w:hAnsi="Courier New"/>
          <w:sz w:val="18"/>
          <w:szCs w:val="18"/>
          <w:color w:val="auto"/>
        </w:rPr>
        <w:t>The Capital Group Companies, Inc. ("CGC") and Capital Guardian Trust Company ("CGTC") hereby agree to file a joint statement on Schedule 13G under the Securities Exchange Act of 1934 (the "Act") in connection with their beneficial ownership of Class A Common Stock issued by The Scotts Company.</w:t>
      </w:r>
    </w:p>
    <w:p>
      <w:pPr>
        <w:spacing w:after="0" w:line="209" w:lineRule="exact"/>
        <w:rPr>
          <w:sz w:val="20"/>
          <w:szCs w:val="20"/>
          <w:color w:val="auto"/>
        </w:rPr>
      </w:pPr>
    </w:p>
    <w:p>
      <w:pPr>
        <w:ind w:right="3039" w:firstLine="211"/>
        <w:spacing w:after="0" w:line="235" w:lineRule="auto"/>
        <w:rPr>
          <w:sz w:val="20"/>
          <w:szCs w:val="20"/>
          <w:color w:val="auto"/>
        </w:rPr>
      </w:pPr>
      <w:r>
        <w:rPr>
          <w:rFonts w:ascii="Courier New" w:cs="Courier New" w:eastAsia="Courier New" w:hAnsi="Courier New"/>
          <w:sz w:val="18"/>
          <w:szCs w:val="18"/>
          <w:color w:val="auto"/>
        </w:rPr>
        <w:t>CGC and CGTC state that they are each entitled to individually use Schedule 13G pursuant to Rule 13d-1(c) of the Act.</w:t>
      </w:r>
    </w:p>
    <w:p>
      <w:pPr>
        <w:spacing w:after="0" w:line="208"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CGC and CGTC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1" w:lineRule="exact"/>
        <w:rPr>
          <w:sz w:val="20"/>
          <w:szCs w:val="20"/>
          <w:color w:val="auto"/>
        </w:rPr>
      </w:pPr>
    </w:p>
    <w:p>
      <w:pPr>
        <w:ind w:left="2740"/>
        <w:spacing w:after="0"/>
        <w:tabs>
          <w:tab w:leader="none" w:pos="3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*Larry P. Clemmensen</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Larry P. Clemmensen, President</w:t>
      </w:r>
    </w:p>
    <w:p>
      <w:pPr>
        <w:ind w:left="3280"/>
        <w:spacing w:after="0" w:line="238" w:lineRule="auto"/>
        <w:rPr>
          <w:sz w:val="20"/>
          <w:szCs w:val="20"/>
          <w:color w:val="auto"/>
        </w:rPr>
      </w:pPr>
      <w:r>
        <w:rPr>
          <w:rFonts w:ascii="Courier New" w:cs="Courier New" w:eastAsia="Courier New" w:hAnsi="Courier New"/>
          <w:sz w:val="18"/>
          <w:szCs w:val="18"/>
          <w:color w:val="auto"/>
        </w:rPr>
        <w:t>The Capital Group Companies,</w:t>
      </w:r>
    </w:p>
    <w:p>
      <w:pPr>
        <w:ind w:left="328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CAPITAL GUARDIAN TRUST COMPANY</w:t>
      </w:r>
    </w:p>
    <w:p>
      <w:pPr>
        <w:spacing w:after="0" w:line="201" w:lineRule="exact"/>
        <w:rPr>
          <w:sz w:val="20"/>
          <w:szCs w:val="20"/>
          <w:color w:val="auto"/>
        </w:rPr>
      </w:pPr>
    </w:p>
    <w:p>
      <w:pPr>
        <w:ind w:left="2740"/>
        <w:spacing w:after="0"/>
        <w:tabs>
          <w:tab w:leader="none" w:pos="3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*David I. Fisher</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David I. Fisher, Vice Chairman</w:t>
      </w:r>
    </w:p>
    <w:p>
      <w:pPr>
        <w:ind w:left="3280"/>
        <w:spacing w:after="0" w:line="238" w:lineRule="auto"/>
        <w:rPr>
          <w:sz w:val="20"/>
          <w:szCs w:val="20"/>
          <w:color w:val="auto"/>
        </w:rPr>
      </w:pPr>
      <w:r>
        <w:rPr>
          <w:rFonts w:ascii="Courier New" w:cs="Courier New" w:eastAsia="Courier New" w:hAnsi="Courier New"/>
          <w:sz w:val="18"/>
          <w:szCs w:val="18"/>
          <w:color w:val="auto"/>
        </w:rPr>
        <w:t>Capital Guardian Trust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P. Ryan</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939"/>
        <w:spacing w:after="0" w:line="275" w:lineRule="auto"/>
        <w:rPr>
          <w:sz w:val="20"/>
          <w:szCs w:val="20"/>
          <w:color w:val="auto"/>
        </w:rPr>
      </w:pPr>
      <w:r>
        <w:rPr>
          <w:rFonts w:ascii="Courier New" w:cs="Courier New" w:eastAsia="Courier New" w:hAnsi="Courier New"/>
          <w:sz w:val="16"/>
          <w:szCs w:val="16"/>
          <w:color w:val="auto"/>
        </w:rPr>
        <w:t>Signed pursuant to a Power of Attorney dated February 11, 1997 included as an Exhibit to Schedule 13G filed with the Securities and Exchange Commission by The Capital Group Companies, Inc. on February 12, 1997 with respect to AAR Corporation.</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1"/>
      <w:numFmt w:val="decimal"/>
      <w:start w:val="1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1"/>
      <w:numFmt w:val="decimal"/>
      <w:start w:val="1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2019-12-12T08:11:17Z</dcterms:created>
  <dcterms:modified xsi:type="dcterms:W3CDTF">2019-12-12T08:11:17Z</dcterms:modified>
</cp:coreProperties>
</file>