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2024</w:t>
      </w:r>
    </w:p>
    <w:p>
      <w:pPr>
        <w:spacing w:after="0" w:line="11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pacing w:after="0" w:line="24" w:lineRule="exact"/>
        <w:rPr>
          <w:sz w:val="24"/>
          <w:szCs w:val="24"/>
          <w:color w:val="auto"/>
        </w:rPr>
      </w:pPr>
    </w:p>
    <w:tbl>
      <w:tblPr>
        <w:tblLayout w:type="fixed"/>
        <w:tblInd w:w="1260" w:type="dxa"/>
        <w:tblCellMar>
          <w:top w:w="0" w:type="dxa"/>
          <w:left w:w="0" w:type="dxa"/>
          <w:bottom w:w="0" w:type="dxa"/>
          <w:right w:w="0" w:type="dxa"/>
        </w:tblCellMar>
      </w:tblPr>
      <w:tr>
        <w:trPr>
          <w:trHeight w:val="226"/>
        </w:trPr>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7"/>
                <w:szCs w:val="17"/>
                <w:b w:val="1"/>
                <w:bCs w:val="1"/>
                <w:color w:val="auto"/>
              </w:rPr>
              <w:t>Ohio</w:t>
            </w:r>
          </w:p>
        </w:tc>
        <w:tc>
          <w:tcPr>
            <w:tcW w:w="3860" w:type="dxa"/>
            <w:vAlign w:val="bottom"/>
          </w:tcPr>
          <w:p>
            <w:pPr>
              <w:jc w:val="center"/>
              <w:ind w:left="2644"/>
              <w:spacing w:after="0"/>
              <w:rPr>
                <w:sz w:val="20"/>
                <w:szCs w:val="20"/>
                <w:color w:val="auto"/>
              </w:rPr>
            </w:pPr>
            <w:r>
              <w:rPr>
                <w:rFonts w:ascii="Times New Roman" w:cs="Times New Roman" w:eastAsia="Times New Roman" w:hAnsi="Times New Roman"/>
                <w:sz w:val="17"/>
                <w:szCs w:val="17"/>
                <w:b w:val="1"/>
                <w:bCs w:val="1"/>
                <w:color w:val="auto"/>
                <w:w w:val="99"/>
              </w:rPr>
              <w:t>31-1414921</w:t>
            </w:r>
          </w:p>
        </w:tc>
      </w:tr>
      <w:tr>
        <w:trPr>
          <w:trHeight w:val="153"/>
        </w:trPr>
        <w:tc>
          <w:tcPr>
            <w:tcW w:w="4600" w:type="dxa"/>
            <w:vAlign w:val="bottom"/>
          </w:tcPr>
          <w:p>
            <w:pPr>
              <w:jc w:val="center"/>
              <w:ind w:right="2644"/>
              <w:spacing w:after="0" w:line="15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left="2624"/>
              <w:spacing w:after="0" w:line="15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left="26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14111 Scottslawn Road, Marysville, Ohio 43041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(937</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color w:val="auto"/>
        </w:rPr>
        <w:t xml:space="preserve"> 644-0011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44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6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1960"/>
              <w:spacing w:after="0"/>
              <w:rPr>
                <w:sz w:val="20"/>
                <w:szCs w:val="20"/>
                <w:color w:val="auto"/>
              </w:rPr>
            </w:pPr>
            <w:r>
              <w:rPr>
                <w:rFonts w:ascii="Times New Roman" w:cs="Times New Roman" w:eastAsia="Times New Roman" w:hAnsi="Times New Roman"/>
                <w:sz w:val="17"/>
                <w:szCs w:val="17"/>
                <w:color w:val="auto"/>
              </w:rPr>
              <w:t>Common Shares, $0.01 stated value</w:t>
            </w:r>
          </w:p>
        </w:tc>
        <w:tc>
          <w:tcPr>
            <w:tcW w:w="31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7"/>
              </w:rPr>
              <w:t>SMG</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NYSE</w:t>
            </w:r>
          </w:p>
        </w:tc>
      </w:tr>
    </w:tbl>
    <w:p>
      <w:pPr>
        <w:spacing w:after="0" w:line="15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242" w:lineRule="exact"/>
        <w:tabs>
          <w:tab w:leader="none" w:pos="720" w:val="left"/>
          <w:tab w:leader="none" w:pos="1440" w:val="left"/>
        </w:tabs>
        <w:rPr>
          <w:sz w:val="20"/>
          <w:szCs w:val="20"/>
          <w:color w:val="auto"/>
        </w:rPr>
      </w:pPr>
      <w:r>
        <w:rPr>
          <w:rFonts w:ascii="Times New Roman" w:cs="Times New Roman" w:eastAsia="Times New Roman" w:hAnsi="Times New Roman"/>
          <w:sz w:val="17"/>
          <w:szCs w:val="17"/>
          <w:color w:val="auto"/>
        </w:rPr>
        <w:t>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90" w:lineRule="exact"/>
        <w:rPr>
          <w:sz w:val="24"/>
          <w:szCs w:val="24"/>
          <w:color w:val="auto"/>
        </w:rPr>
      </w:pPr>
    </w:p>
    <w:p>
      <w:pPr>
        <w:jc w:val="both"/>
        <w:spacing w:after="0" w:line="26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7"/>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57"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080"/>
        <w:spacing w:after="0" w:line="3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Times New Roman" w:cs="Times New Roman" w:eastAsia="Times New Roman" w:hAnsi="Times New Roman"/>
          <w:sz w:val="35"/>
          <w:szCs w:val="35"/>
          <w:color w:val="auto"/>
          <w:vertAlign w:val="superscript"/>
        </w:rPr>
        <w:t>Yes</w:t>
      </w:r>
      <w:r>
        <w:rPr>
          <w:rFonts w:ascii="Times New Roman" w:cs="Times New Roman" w:eastAsia="Times New Roman" w:hAnsi="Times New Roman"/>
          <w:sz w:val="17"/>
          <w:szCs w:val="17"/>
          <w:color w:val="auto"/>
        </w:rPr>
        <w:t xml:space="preserve">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5"/>
          <w:szCs w:val="35"/>
          <w:color w:val="auto"/>
          <w:vertAlign w:val="superscript"/>
        </w:rPr>
        <w:t>No</w:t>
      </w:r>
      <w:r>
        <w:rPr>
          <w:rFonts w:ascii="Times New Roman" w:cs="Times New Roman" w:eastAsia="Times New Roman" w:hAnsi="Times New Roman"/>
          <w:sz w:val="17"/>
          <w:szCs w:val="17"/>
          <w:color w:val="auto"/>
        </w:rPr>
        <w:t xml:space="preserve">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7"/>
          <w:szCs w:val="17"/>
          <w:color w:val="auto"/>
        </w:rPr>
        <w:t xml:space="preserve"> As of January 31, 2025, there were 57,472,700 Common Shares outstanding.</w:t>
      </w:r>
    </w:p>
    <w:p>
      <w:pPr>
        <w:sectPr>
          <w:pgSz w:w="11900" w:h="16838" w:orient="portrait"/>
          <w:cols w:equalWidth="0" w:num="1">
            <w:col w:w="11240"/>
          </w:cols>
          <w:pgMar w:left="320" w:top="790" w:right="339" w:bottom="1440" w:gutter="0" w:footer="0" w:header="0"/>
        </w:sectPr>
      </w:pP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 Three months ended December 28, 2024 and December 30, 2023</w:t>
            </w:r>
          </w:p>
        </w:tc>
        <w:tc>
          <w:tcPr>
            <w:tcW w:w="22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 Three months ended December 28, 2024 and</w:t>
            </w:r>
          </w:p>
        </w:tc>
        <w:tc>
          <w:tcPr>
            <w:tcW w:w="220" w:type="dxa"/>
            <w:vAlign w:val="bottom"/>
          </w:tcPr>
          <w:p>
            <w:pPr>
              <w:spacing w:after="0"/>
              <w:rPr>
                <w:sz w:val="19"/>
                <w:szCs w:val="19"/>
                <w:color w:val="auto"/>
              </w:rPr>
            </w:pPr>
          </w:p>
        </w:tc>
        <w:tc>
          <w:tcPr>
            <w:tcW w:w="10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top w:val="single" w:sz="8" w:color="0000FF"/>
            </w:tcBorders>
            <w:gridSpan w:val="4"/>
          </w:tcPr>
          <w:p>
            <w:pPr>
              <w:spacing w:after="0" w:line="136" w:lineRule="exact"/>
              <w:rPr>
                <w:sz w:val="20"/>
                <w:szCs w:val="20"/>
                <w:color w:val="auto"/>
              </w:rPr>
            </w:pPr>
            <w:r>
              <w:rPr>
                <w:rFonts w:ascii="Times New Roman" w:cs="Times New Roman" w:eastAsia="Times New Roman" w:hAnsi="Times New Roman"/>
                <w:sz w:val="15"/>
                <w:szCs w:val="15"/>
                <w:color w:val="0000FF"/>
              </w:rPr>
              <w:t>December 30, 2023</w:t>
            </w:r>
          </w:p>
        </w:tc>
        <w:tc>
          <w:tcPr>
            <w:tcW w:w="600" w:type="dxa"/>
            <w:vAlign w:val="bottom"/>
            <w:tcBorders>
              <w:top w:val="single" w:sz="8" w:color="0000FF"/>
            </w:tcBorders>
          </w:tcPr>
          <w:p>
            <w:pPr>
              <w:spacing w:after="0"/>
              <w:rPr>
                <w:sz w:val="11"/>
                <w:szCs w:val="11"/>
                <w:color w:val="auto"/>
              </w:rPr>
            </w:pPr>
          </w:p>
        </w:tc>
        <w:tc>
          <w:tcPr>
            <w:tcW w:w="1980" w:type="dxa"/>
            <w:vAlign w:val="bottom"/>
            <w:tcBorders>
              <w:top w:val="single" w:sz="8" w:color="0000FF"/>
            </w:tcBorders>
            <w:gridSpan w:val="2"/>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178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2140" w:type="dxa"/>
            <w:vAlign w:val="bottom"/>
            <w:gridSpan w:val="3"/>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December 28, 2024 and December 30, 2023</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 December 28, 2024, December 30, 2023 and September 30, 2024</w:t>
            </w:r>
          </w:p>
        </w:tc>
        <w:tc>
          <w:tcPr>
            <w:tcW w:w="22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40" w:type="dxa"/>
            <w:vAlign w:val="bottom"/>
            <w:gridSpan w:val="2"/>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3"/>
          </w:tcPr>
          <w:p>
            <w:pPr>
              <w:spacing w:after="0"/>
              <w:rPr>
                <w:sz w:val="18"/>
                <w:szCs w:val="18"/>
                <w:color w:val="auto"/>
              </w:rPr>
            </w:pPr>
          </w:p>
        </w:tc>
        <w:tc>
          <w:tcPr>
            <w:tcW w:w="2720" w:type="dxa"/>
            <w:vAlign w:val="bottom"/>
            <w:gridSpan w:val="3"/>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Controls and Procedures</w:t>
            </w:r>
          </w:p>
        </w:tc>
        <w:tc>
          <w:tcPr>
            <w:tcW w:w="2580" w:type="dxa"/>
            <w:vAlign w:val="bottom"/>
            <w:gridSpan w:val="3"/>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gridSpan w:val="2"/>
          </w:tcPr>
          <w:p>
            <w:pPr>
              <w:spacing w:after="0"/>
              <w:rPr>
                <w:sz w:val="18"/>
                <w:szCs w:val="18"/>
                <w:color w:val="auto"/>
              </w:rPr>
            </w:pPr>
          </w:p>
        </w:tc>
        <w:tc>
          <w:tcPr>
            <w:tcW w:w="486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Mine Safety Disclosures</w:t>
            </w:r>
          </w:p>
        </w:tc>
        <w:tc>
          <w:tcPr>
            <w:tcW w:w="600" w:type="dxa"/>
            <w:vAlign w:val="bottom"/>
          </w:tcPr>
          <w:p>
            <w:pPr>
              <w:spacing w:after="0"/>
              <w:rPr>
                <w:sz w:val="18"/>
                <w:szCs w:val="18"/>
                <w:color w:val="auto"/>
              </w:rPr>
            </w:pPr>
          </w:p>
        </w:tc>
        <w:tc>
          <w:tcPr>
            <w:tcW w:w="684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8"/>
                <w:szCs w:val="18"/>
                <w:color w:val="auto"/>
              </w:rPr>
            </w:pPr>
          </w:p>
        </w:tc>
        <w:tc>
          <w:tcPr>
            <w:tcW w:w="786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Index to Exhibits</w:t>
            </w:r>
          </w:p>
        </w:tc>
        <w:tc>
          <w:tcPr>
            <w:tcW w:w="8860" w:type="dxa"/>
            <w:vAlign w:val="bottom"/>
            <w:gridSpan w:val="14"/>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1"/>
        </w:trPr>
        <w:tc>
          <w:tcPr>
            <w:tcW w:w="81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8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 potential common shares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28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Reclassification of net unrealized gain on derivative instruments to net loss, net of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securities, net of tax</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Pension and other post-retirement benefit adjustments,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1"/>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non-current items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1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237"/>
        </w:trPr>
        <w:tc>
          <w:tcPr>
            <w:tcW w:w="8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investing,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14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6"/>
        </w:trPr>
        <w:tc>
          <w:tcPr>
            <w:tcW w:w="8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 term loans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 term loans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financing,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1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52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$11.5, $15.9 and $9.6, respectively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175"/>
        </w:trPr>
        <w:tc>
          <w:tcPr>
            <w:tcW w:w="6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$815.2, $760.5 and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$805.4, respectively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8140" w:type="dxa"/>
            <w:vAlign w:val="bottom"/>
            <w:gridSpan w:val="4"/>
          </w:tcPr>
          <w:p>
            <w:pPr>
              <w:ind w:left="40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3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76"/>
        </w:trPr>
        <w:tc>
          <w:tcPr>
            <w:tcW w:w="6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shares and capital in excess of $0.01 stated value per share; shares</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of 57.5, 56.7 and 57.1, respectively</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at cost; 10.7, 11.5 and 11.0 shares, respectively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r>
      <w:tr>
        <w:trPr>
          <w:trHeight w:val="23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(deficit)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North America consumer lawn and garden business is highly seasonal, with more than 75% of its annual net sales occurring in the second and third fiscal quarters. The Company’s Hawthorne segment is also impacted by seasonal sales patterns for certain product categories due to the timing of growing patterns in North America during the second and third fiscal quarters, and the timing of certain controlled agricultural lighting project sales during the third and fourth fiscal quarters.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for the three months ended December 28, 2024 and December 30, 2023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December 28, 2024 (this “Form 10-Q”) should be read in conjunction with Scotts Miracle-Gro’s Annual Report on Form 10-K for the fiscal year ended September 30, 2024 (the “2024 Annual Report”), which includes a complete set of footnote disclosures, including the Company’s significant accounting policies.</w:t>
      </w:r>
    </w:p>
    <w:p>
      <w:pPr>
        <w:spacing w:after="0" w:line="1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Balance Sheet at September 30, 2024 has been derived from the Company’s audited Consolidated Balance Sheet at that date, but does not include all of the information and footnotes required by GAAP for complete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w:t>
      </w:r>
    </w:p>
    <w:p>
      <w:pPr>
        <w:spacing w:after="0" w:line="14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27, 2023, the Company entered into the Master Receivables Purchase Agreement, under which the Company could sell up to $600.0 of available and eligible outstanding customer accounts receivable generated by sales to four specified customers. On September 1, 2024, the Company amended the Master Receivables Purchase Agreement to permit the Company to sell up to $750.0 of available and eligible outstanding customer accounts receivable generated by sales to five specified customers. The agreement is uncommitted and expires on September 1, 2025.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The Company records the discount on sales in the “Other expense, net” line in the Condensed Consolidated Statements of Operations. At December 28, 2024, December 30, 2023, and September 30, 2024, net receivables derecognized were $236.7, $140.1 and $186.6, respectively. During the three months ended December 28, 2024 and December 30, 2023, proceeds from the sale of receivables under the Master Receivables Purchase Agreement totaled $274.0 and $199.6, respectively, and the total discount recorded on sales was $3.3 and $2.2, respectively.</w:t>
      </w:r>
    </w:p>
    <w:p>
      <w:pPr>
        <w:spacing w:after="0" w:line="200" w:lineRule="exact"/>
        <w:rPr>
          <w:sz w:val="20"/>
          <w:szCs w:val="20"/>
          <w:color w:val="auto"/>
        </w:rPr>
      </w:pPr>
    </w:p>
    <w:p>
      <w:pPr>
        <w:spacing w:after="0" w:line="33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7" w:name="page8"/>
    <w:bookmarkEnd w:id="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Supplier Finance Program</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$27.1, $30.8, and $12.5 at December 28, 2024, December 30, 2023 and September 30, 2024, respectively, and are recorded within accounts payable in the Condensed Consolidated Balance Sheets. The associated payments were $73.6 and $69.8 for the three months ended December 28, 2024 and December 30, 2023, respectively, and are classified as operating activities in the Condensed Consolidated Statements of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$3.6 and $8.6 during the three months ended December 28, 2024 and December 30, 2023, respectively, representing unpaid liabilities to acquire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59"/>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220" w:type="dxa"/>
            <w:vAlign w:val="bottom"/>
          </w:tcPr>
          <w:p>
            <w:pPr>
              <w:spacing w:after="0"/>
              <w:rPr>
                <w:sz w:val="20"/>
                <w:szCs w:val="20"/>
                <w:color w:val="auto"/>
              </w:rPr>
            </w:pPr>
          </w:p>
        </w:tc>
        <w:tc>
          <w:tcPr>
            <w:tcW w:w="12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2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30, 2023, the Company acquired an additional equity interest in Bonnie Plants, LLC for $21.4, which was classified as an investing activity in the Condensed Consolidated Statements of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fiscal years beginning after December 15, 2023, and interim periods within fiscal years beginning after December 15, 2024, with early adoption permitted. The Company is currently evaluating the impact that the adoption of this guidance will have on the Company’s disclosures.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spacing w:after="0" w:line="10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fiscal years beginning after December 15, 2026, and interim periods within fiscal years beginning after December 15, 2027. The Company is currently evaluating the impact that the adoption of this guidance will have on the Company’s disclosures.</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 w:name="page9"/>
    <w:bookmarkEnd w:id="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IN UNCONSOLIDATED AFFILIATES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Bonnie Plants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holds a 50% equity interest in Bonnie Plants, LLC, a joint venture with Alabama Farmers Cooperative, Inc.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Condensed Consolidated Statements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recorded equity in loss of unconsolidated affiliates associated with Bonnie Plants, LLC of $9.9 and $22.5 during the three months ended December 28, 2024 and December 30, 2023, respectively. The Company recorded a pre-tax impairment charge associated with its investment in Bonnie Plants, LLC of $10.4 in the “Equity in loss of unconsolidated affiliates” line in the Condensed Consolidated Statements of Operations during the three months ended December 30, 2023.</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Cansortium</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December 19, 2024, Cansortium Inc. (“Cansortium”) (CSE: TIUM.U) (OTCQB: CNTMF), a vertically-integrated, multi-state cannabis company operating under the FLUENT™ brand, acquired all of the issued and outstanding common shares of RIV Capital Inc. (“RIV Capital”) in exchange for Cansortium shares (the “Transaction”). In connection with the Transaction, Cansortium and The Hawthorne Collective, Inc. (“THC”), a wholly-owned subsidiary of the Company, entered into an exchange and protection agreement on December 18, 2024, pursuant to which THC exchanged its existing convertible debt investment in RIV Capital for 153.1 million non-voting exchangeable shares of Cansortium. These exchangeable shares are convertible, at THC’s discretion, into approximately 23% of the common shares of Cansortium on a pro forma basis as of the closing of the Transaction. The exchange and protection agreement prohibits THC from converting the exchangeable shares into common shares above a defined 19.99% threshold unless and until Cansortium has received the shareholder approval required by the Canadian Stock Exchange. THC and Cansortium also entered into an investor rights agreement which allows THC to nominate up to two members to the Cansortium board of directors, and provides THC with certain participation rights in order to maintain its pro rata investment position in Cansortium in connection with any offering of Cansortium shares.</w:t>
      </w:r>
    </w:p>
    <w:p>
      <w:pPr>
        <w:spacing w:after="0" w:line="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convertible debt investment in RIV Capital, which was previously recorded in the “Other assets” line in the Condensed Consolidated Balance Sheets, had a carrying value of $17.7 on December 18, 2024. The exchange of the RIV Capital convertible debt investment for non-voting exchangeable shares of Cansortium, a non-cash investing and financing activity, resulted in a loss of $7.0 that was recorded in the “Impairment, restructuring and other” line in the Condensed Consolidated Statements of Operations.</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Company’s interest in Cansortium had an initial fair value of $10.7 and is recorded in the “Investment in unconsolidated affiliates” line in the Condensed Consolidated Balance Sheets. The estimated fair value of the non-voting exchangeable shares of Cansortium was determined based upon the quoted market price of Cansortium common shares as of the date of the exchange and represents a Level 2 nonrecurring fair value measurement. The Company’s interest is accounted for using the equity method of accounting, with the Company’s proportionate share of Cansortium earnings subsequent to December 18, 2024 reflected in the Condensed Consolidated Statements of Operations on a one quarter lag.</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 w:name="page10"/>
    <w:bookmarkEnd w:id="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IMPAIRMENT, RESTRUCTURING AND OTHER</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exchange of convertible debt investment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activities during the three months ended December 28,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57"/>
        </w:trPr>
        <w:tc>
          <w:tcPr>
            <w:tcW w:w="9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accrued at September 30, 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62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at December 28, 2024</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9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28, 2024, restructuring accruals include $7.7 that is classified as long-term.</w:t>
      </w:r>
    </w:p>
    <w:p>
      <w:pPr>
        <w:spacing w:after="0" w:line="10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28, 2024, the Company recorded executive severance charges of $9.5 in the “Impairment, restructuring and other” line in the Condensed Consolidated Statements of Operations.</w:t>
      </w:r>
    </w:p>
    <w:p>
      <w:pPr>
        <w:spacing w:after="0" w:line="2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28, 2024, the Company recorded a non-cash loss of $7.0 in the “Impairment, restructuring and other” line in the Condensed Consolidated Statements of Operations related to the exchange of its convertible debt investment in RIV Capital for non-voting exchangeable shares of Cansortium. Refer to “NOTE 2. INVESTMENT IN UNCONSOLIDATED AFFILIATES” for further details.</w:t>
      </w:r>
    </w:p>
    <w:p>
      <w:pPr>
        <w:spacing w:after="0" w:line="5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The Company also accelerated the reduction of certain Hawthorne inventory, primarily lighting, growing environments and hardware products, to reduce on hand inventory to align with the reduced network capacity. During the three months ended December 28, 2024, the Company incurred costs of $1.4 in its U.S. Consumer segment and $3.7 in its Hawthorne segment associated with this restructuring initiative in the “Cost of sales—impairment, restructuring and other” line in the Condensed Consolidated Statements of Operations. During the three months ended December 30, 2023, the Company recorded recoveries of $3.7 associated with this restructuring initiative, primarily related to the sale of certain previously-reserved inventory at amounts in excess of estimated net realizable value, partially offset by employee termination benefits and facility closure costs. The Company incurred costs of $2.0 in its U.S. Consumer segment and recorded recoveries of $7.7 in its Hawthorne segment in the “Cost of sales—impairment, restructuring and other” line in the Condensed Consolidated Statements of Operations during the three months ended December 30, 2023. The Company recorded recoveries of $0.8 in its U.S. Consumer segment and incurred costs of $0.3 in its Hawthorne segment and $2.4 at Corporate in the “Impairment, restructuring and other” line in the Condensed Consolidated Statements of Operations during the three months ended December 30, 2023. Costs incurred since the inception of this restructuring initiative through December 28, 2024 were $300.9 for the Hawthorne segment, $59.8 for the U.S. Consumer segment, $2.9 for the Other segment and $25.1 for Corporate.</w:t>
      </w:r>
    </w:p>
    <w:p>
      <w:pPr>
        <w:spacing w:after="0" w:line="7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30, 2023, the Company recorded a gain of $12.1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pacing w:after="0" w:line="200" w:lineRule="exact"/>
        <w:rPr>
          <w:sz w:val="20"/>
          <w:szCs w:val="20"/>
          <w:color w:val="auto"/>
        </w:rPr>
      </w:pPr>
    </w:p>
    <w:p>
      <w:pPr>
        <w:spacing w:after="0" w:line="31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 for each of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MARKETING AGREEMENT</w:t>
      </w:r>
    </w:p>
    <w:p>
      <w:pPr>
        <w:spacing w:after="0" w:line="148" w:lineRule="exact"/>
        <w:rPr>
          <w:sz w:val="20"/>
          <w:szCs w:val="20"/>
          <w:color w:val="auto"/>
        </w:rPr>
      </w:pPr>
    </w:p>
    <w:p>
      <w:pPr>
        <w:jc w:val="both"/>
        <w:ind w:firstLine="405"/>
        <w:spacing w:after="0" w:line="226" w:lineRule="auto"/>
        <w:rPr>
          <w:sz w:val="20"/>
          <w:szCs w:val="20"/>
          <w:color w:val="auto"/>
        </w:rPr>
      </w:pPr>
      <w:r>
        <w:rPr>
          <w:rFonts w:ascii="Times New Roman" w:cs="Times New Roman" w:eastAsia="Times New Roman" w:hAnsi="Times New Roman"/>
          <w:sz w:val="18"/>
          <w:szCs w:val="18"/>
          <w:color w:val="auto"/>
        </w:rPr>
        <w:t>The Scotts Company LLC (“Scotts LLC”) is the exclusive agent of Monsanto Company, a subsidiary of Bayer AG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subject to reduction pursuant to the Third Restated Agreement for any program year in which the Program EBIT does not equal or exceed $36.0.</w:t>
      </w:r>
    </w:p>
    <w:p>
      <w:pPr>
        <w:spacing w:after="0" w:line="1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Unless Monsanto terminates the Third Restated Agreement due to an event of default by the Company, termination rights under the Third Restated Agreement include the following:</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Third Restated Agreement upon the insolvency or bankruptcy of Monsanto;</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3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Termination”); and</w:t>
      </w:r>
    </w:p>
    <w:p>
      <w:pPr>
        <w:spacing w:after="0" w:line="13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the Third Restated Agreement if Program EBIT falls below $50.0 and, in such case, no termination fee would be payable to either party.</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elements of the net commission and reimbursements earned under the Third Restated Agreement and included in the “Net sales” line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53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commission</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 expenses</w:t>
            </w: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commission</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3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debt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the Company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w:t>
      </w:r>
    </w:p>
    <w:p>
      <w:pPr>
        <w:spacing w:after="0" w:line="200" w:lineRule="exact"/>
        <w:rPr>
          <w:sz w:val="20"/>
          <w:szCs w:val="20"/>
          <w:color w:val="auto"/>
        </w:rPr>
      </w:pPr>
    </w:p>
    <w:p>
      <w:pPr>
        <w:spacing w:after="0" w:line="3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July 31, 2023, the Company entered into Amendment No. 2 to the Sixth A&amp;R Credit Agreement (“Amendment No. 2”).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1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28, 2024, the Company had letters of credit outstanding in the aggregate principal amount of $83.1, and had $691.3 of borrowing availability under the Sixth A&amp;R Credit Agreement. The weighted average interest rates on average borrowings under the credit facilities, excluding the impact of interest rate swaps, were 8.5% and 9.1% for the three months ended December 28, 2024 and December 30, 2023, respectively.</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5.50 for the first quarter of fiscal 2025, (ii) 5.25 for the second quarter of fiscal 2025, (iii) 5.00 for the third quarter of fiscal 2025, (iv) 4.75 for the fourth quarter of fiscal 2025 and (v) 4.50 for the first quarter of fiscal 2026 and thereafter. The Company’s leverage ratio was 4.52 at December 28, 2024.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1.00. The Company’s fixed charge coverage ratio was 1.38 for the twelve months ended December 28, 2024.</w:t>
      </w:r>
    </w:p>
    <w:p>
      <w:pPr>
        <w:spacing w:after="0" w:line="8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December 28, 2024,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December 28, 2024, the Company’s indebtedness under the Sixth A&amp;R Credit Agreement and Senior Notes was $2,688.1. The Company does not have sufficient cash on hand or available liquidity that can be utilized to repay these outstanding amounts in the event of default.</w:t>
      </w:r>
    </w:p>
    <w:p>
      <w:pPr>
        <w:spacing w:after="0" w:line="8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 (collectively, the “Senior Notes”).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3.95 for the twelve months ended December 28,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December 28, 2024, December 30, 2023 and September 30, 2024 had a maximum total U.S. dollar equivalent notional amount of $450.0, $700.0 and $450.0, respectively. The notional amount, effective date, expiration date and rate of each of the swap agreements outstanding at December 28, 2024 are shown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40" w:type="dxa"/>
            <w:vAlign w:val="bottom"/>
          </w:tcPr>
          <w:p>
            <w:pPr>
              <w:spacing w:after="0"/>
              <w:rPr>
                <w:sz w:val="13"/>
                <w:szCs w:val="13"/>
                <w:color w:val="auto"/>
              </w:rPr>
            </w:pP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40" w:type="dxa"/>
            <w:vAlign w:val="bottom"/>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96"/>
        </w:trPr>
        <w:tc>
          <w:tcPr>
            <w:tcW w:w="240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40" w:type="dxa"/>
            <w:vAlign w:val="bottom"/>
          </w:tcPr>
          <w:p>
            <w:pPr>
              <w:spacing w:after="0"/>
              <w:rPr>
                <w:sz w:val="17"/>
                <w:szCs w:val="17"/>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40" w:type="dxa"/>
            <w:vAlign w:val="bottom"/>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9"/>
        </w:trPr>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0"/>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175"/>
        </w:trPr>
        <w:tc>
          <w:tcPr>
            <w:tcW w:w="2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340" w:type="dxa"/>
            <w:vAlign w:val="bottom"/>
            <w:vMerge w:val="continue"/>
          </w:tcPr>
          <w:p>
            <w:pPr>
              <w:spacing w:after="0"/>
              <w:rPr>
                <w:sz w:val="15"/>
                <w:szCs w:val="15"/>
                <w:color w:val="auto"/>
              </w:rPr>
            </w:pP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11/20/2023</w:t>
            </w:r>
          </w:p>
        </w:tc>
        <w:tc>
          <w:tcPr>
            <w:tcW w:w="340" w:type="dxa"/>
            <w:vAlign w:val="bottom"/>
          </w:tcPr>
          <w:p>
            <w:pPr>
              <w:spacing w:after="0"/>
              <w:rPr>
                <w:sz w:val="15"/>
                <w:szCs w:val="15"/>
                <w:color w:val="auto"/>
              </w:rPr>
            </w:pPr>
          </w:p>
        </w:tc>
        <w:tc>
          <w:tcPr>
            <w:tcW w:w="2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3/22/2027</w:t>
            </w:r>
          </w:p>
        </w:tc>
        <w:tc>
          <w:tcPr>
            <w:tcW w:w="360" w:type="dxa"/>
            <w:vAlign w:val="bottom"/>
          </w:tcPr>
          <w:p>
            <w:pPr>
              <w:spacing w:after="0"/>
              <w:rPr>
                <w:sz w:val="15"/>
                <w:szCs w:val="15"/>
                <w:color w:val="auto"/>
              </w:rPr>
            </w:pPr>
          </w:p>
        </w:tc>
        <w:tc>
          <w:tcPr>
            <w:tcW w:w="2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84"/>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3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c>
          <w:tcPr>
            <w:tcW w:w="36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the Company’s debt, including the impact of interest rate swaps, were 5.5% and 6.0% for the three months ended December 28, 2024 and December 30, 2023, respectively.</w:t>
      </w:r>
    </w:p>
    <w:p>
      <w:pPr>
        <w:spacing w:after="0" w:line="200" w:lineRule="exact"/>
        <w:rPr>
          <w:sz w:val="20"/>
          <w:szCs w:val="20"/>
          <w:color w:val="auto"/>
        </w:rPr>
      </w:pPr>
    </w:p>
    <w:p>
      <w:pPr>
        <w:spacing w:after="0" w:line="2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720" w:type="dxa"/>
            <w:vAlign w:val="bottom"/>
            <w:gridSpan w:val="10"/>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860" w:type="dxa"/>
            <w:vAlign w:val="bottom"/>
            <w:gridSpan w:val="14"/>
          </w:tcPr>
          <w:p>
            <w:pPr>
              <w:jc w:val="center"/>
              <w:ind w:left="129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6"/>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1"/>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EQUITY (DEFICIT)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80" w:type="dxa"/>
            <w:vAlign w:val="bottom"/>
            <w:gridSpan w:val="11"/>
          </w:tcPr>
          <w:p>
            <w:pPr>
              <w:ind w:left="420"/>
              <w:spacing w:after="0"/>
              <w:rPr>
                <w:sz w:val="20"/>
                <w:szCs w:val="20"/>
                <w:color w:val="auto"/>
              </w:rPr>
            </w:pPr>
            <w:r>
              <w:rPr>
                <w:rFonts w:ascii="Times New Roman" w:cs="Times New Roman" w:eastAsia="Times New Roman" w:hAnsi="Times New Roman"/>
                <w:sz w:val="18"/>
                <w:szCs w:val="18"/>
                <w:color w:val="auto"/>
              </w:rPr>
              <w:t>The following tables provide a summary of the changes in equity (deficit) for each of the periods indicated:</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 and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30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Excess of Stated</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1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36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 and</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30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Excess of Stated</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95"/>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1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37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720" w:type="dxa"/>
            <w:vAlign w:val="bottom"/>
            <w:gridSpan w:val="10"/>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880" w:type="dxa"/>
            <w:vAlign w:val="bottom"/>
            <w:gridSpan w:val="15"/>
          </w:tcPr>
          <w:p>
            <w:pPr>
              <w:jc w:val="center"/>
              <w:ind w:left="127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80" w:type="dxa"/>
            <w:vAlign w:val="bottom"/>
            <w:gridSpan w:val="15"/>
          </w:tcPr>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(“AOCL”) by component were as follows for each of the periods indicated: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 Gain</w:t>
            </w: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6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60" w:type="dxa"/>
            <w:vAlign w:val="bottom"/>
          </w:tcPr>
          <w:p>
            <w:pPr>
              <w:spacing w:after="0"/>
              <w:rPr>
                <w:sz w:val="12"/>
                <w:szCs w:val="12"/>
                <w:color w:val="auto"/>
              </w:rPr>
            </w:pPr>
          </w:p>
        </w:tc>
        <w:tc>
          <w:tcPr>
            <w:tcW w:w="1200" w:type="dxa"/>
            <w:vAlign w:val="bottom"/>
          </w:tcPr>
          <w:p>
            <w:pPr>
              <w:jc w:val="right"/>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On Securities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Benefit Adjustments</w:t>
            </w:r>
          </w:p>
        </w:tc>
        <w:tc>
          <w:tcPr>
            <w:tcW w:w="160" w:type="dxa"/>
            <w:vAlign w:val="bottom"/>
          </w:tcPr>
          <w:p>
            <w:pPr>
              <w:spacing w:after="0"/>
              <w:rPr>
                <w:sz w:val="17"/>
                <w:szCs w:val="17"/>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184"/>
        </w:trPr>
        <w:tc>
          <w:tcPr>
            <w:tcW w:w="370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28, 2024</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84"/>
        </w:trPr>
        <w:tc>
          <w:tcPr>
            <w:tcW w:w="370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Subsequent to December 28, 2024, the Company awarded performance-based award units, stock options and deferred stock units representing 0.2 million Common Shares to associates and members of the Board of Directors with an estimated grant date fair value of $13.4.</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tax benefit recognized</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5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option activity was as follows: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160" w:type="dxa"/>
            <w:vAlign w:val="bottom"/>
          </w:tcPr>
          <w:p>
            <w:pPr>
              <w:spacing w:after="0"/>
              <w:rPr>
                <w:sz w:val="14"/>
                <w:szCs w:val="14"/>
                <w:color w:val="auto"/>
              </w:rPr>
            </w:pPr>
          </w:p>
        </w:tc>
        <w:tc>
          <w:tcPr>
            <w:tcW w:w="14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7.5 years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28,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7.6 years</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3"/>
            <w:vMerge w:val="restart"/>
          </w:tcPr>
          <w:p>
            <w:pPr>
              <w:ind w:left="780"/>
              <w:spacing w:after="0"/>
              <w:rPr>
                <w:sz w:val="20"/>
                <w:szCs w:val="20"/>
                <w:color w:val="auto"/>
              </w:rPr>
            </w:pPr>
            <w:r>
              <w:rPr>
                <w:rFonts w:ascii="Times New Roman" w:cs="Times New Roman" w:eastAsia="Times New Roman" w:hAnsi="Times New Roman"/>
                <w:sz w:val="18"/>
                <w:szCs w:val="18"/>
                <w:color w:val="auto"/>
              </w:rPr>
              <w:t>3.0 years</w:t>
            </w: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9"/>
        </w:trPr>
        <w:tc>
          <w:tcPr>
            <w:tcW w:w="5160" w:type="dxa"/>
            <w:vAlign w:val="bottom"/>
          </w:tcPr>
          <w:p>
            <w:pPr>
              <w:spacing w:after="0"/>
              <w:rPr>
                <w:sz w:val="24"/>
                <w:szCs w:val="24"/>
                <w:color w:val="auto"/>
              </w:rPr>
            </w:pPr>
          </w:p>
        </w:tc>
        <w:tc>
          <w:tcPr>
            <w:tcW w:w="144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weighted-average fair value per share of each option granted during the three months ended December 28, 2024 and December 30, 2023 was $22.26 and $15.16, respectively. The total intrinsic value of options exercised during the three months ended December 28, 2024 was not material. There were no options exercised during the three months ended December 30, 2023. As of December 28, 2024, there was $10.6 of total unrecognized pre-tax compensation cost, net of estimated forfeitures, related to nonvested stock options that is expected to be recognized over a weighted-average period of 2.0 years. Cash received from the exercise of stock options, including amounts received from employee purchases under the employee stock purchase plan, was $0.7 and $0.5 for the three months ended December 28, 2024 and December 30, 2023, respectively.</w:t>
      </w:r>
    </w:p>
    <w:p>
      <w:pPr>
        <w:spacing w:after="0" w:line="5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in the estimation of fair value for awards granted during the three months ended December 28, 2024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rPr>
              <w:t>39.6 %</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41"/>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1"/>
        </w:trPr>
        <w:tc>
          <w:tcPr>
            <w:tcW w:w="9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0"/>
        </w:trPr>
        <w:tc>
          <w:tcPr>
            <w:tcW w:w="7180" w:type="dxa"/>
            <w:vAlign w:val="bottom"/>
          </w:tcPr>
          <w:p>
            <w:pPr>
              <w:spacing w:after="0"/>
              <w:rPr>
                <w:sz w:val="24"/>
                <w:szCs w:val="24"/>
                <w:color w:val="auto"/>
              </w:rPr>
            </w:pPr>
          </w:p>
        </w:tc>
        <w:tc>
          <w:tcPr>
            <w:tcW w:w="198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Wtd. Avg. Grant Date</w:t>
            </w:r>
          </w:p>
        </w:tc>
      </w:tr>
      <w:tr>
        <w:trPr>
          <w:trHeight w:val="196"/>
        </w:trPr>
        <w:tc>
          <w:tcPr>
            <w:tcW w:w="718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8"/>
              </w:rPr>
              <w:t>68.54</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center"/>
              <w:ind w:left="1113"/>
              <w:spacing w:after="0"/>
              <w:rPr>
                <w:sz w:val="20"/>
                <w:szCs w:val="20"/>
                <w:color w:val="auto"/>
              </w:rPr>
            </w:pPr>
            <w:r>
              <w:rPr>
                <w:rFonts w:ascii="Times New Roman" w:cs="Times New Roman" w:eastAsia="Times New Roman" w:hAnsi="Times New Roman"/>
                <w:sz w:val="18"/>
                <w:szCs w:val="18"/>
                <w:color w:val="auto"/>
                <w:w w:val="98"/>
              </w:rPr>
              <w:t>75.36</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8"/>
              </w:rPr>
              <w:t>63.62</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center"/>
              <w:ind w:left="1113"/>
              <w:spacing w:after="0"/>
              <w:rPr>
                <w:sz w:val="20"/>
                <w:szCs w:val="20"/>
                <w:color w:val="auto"/>
              </w:rPr>
            </w:pPr>
            <w:r>
              <w:rPr>
                <w:rFonts w:ascii="Times New Roman" w:cs="Times New Roman" w:eastAsia="Times New Roman" w:hAnsi="Times New Roman"/>
                <w:sz w:val="18"/>
                <w:szCs w:val="18"/>
                <w:color w:val="auto"/>
                <w:w w:val="98"/>
              </w:rPr>
              <w:t>68.38</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28, 2024</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8"/>
              </w:rPr>
              <w:t>77.23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share-based awards granted during the three months ended December 28, 2024 and December 30, 2023 was $75.36 and $48.79 per share, respectively. As of December 28, 2024, there was $7.6 of total unrecognized pre-tax compensation cost, net of estimated forfeitures, related to nonvested restricted share-based awards that is expected to be recognized over a weighted-average period of 1.8 years. The total fair value of restricted share-based awards vested during the three months ended December 28, 2024 was $43.0.</w:t>
      </w:r>
    </w:p>
    <w:p>
      <w:pPr>
        <w:spacing w:after="0" w:line="1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fiscal 2024, the Company granted short-term equity incentive compensation awards to certain associates in the form of restricted share-based award units in lieu of cash-based annual incentive awards. During the three months ended December 28, 2024, these fiscal 2024 awards representing 0.3 million Common Shares were granted and vested on the incentive payout date. The number of restricted share-based award units that the Company ultimately issued to participating associates was based on the incentive payout amount determined for each employee that was then converted into a variable number of restricted share-based award units based on the fair value of the Common Shares on the grant date.</w:t>
      </w:r>
    </w:p>
    <w:p>
      <w:pPr>
        <w:spacing w:after="0" w:line="10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fiscal 2025, the Company is granting short-term equity incentive compensation awards to certain associates in the form of restricted share-based award units in lieu of cash-based annual incentive awards. The program is structured so the fiscal 2025 incentive grant, if any, will be made on or near the incentive payout date, subject to certain performance conditions and a service requirement. The number of restricted share-based award units that are ultimately issued to participating associates will be determined based on the incentive payout amount determined for each associate converted into a variable number of restricted share-based award units based on the fair value of the Common Shares on the grant date. The awards are classified as liability awards and, as of December 28, 2024, the Company had accrued $3.9 in the “Other current liabilities” line in the Condensed Consolidated Balance Sheets associated with these awards. As of December 28, 2024, there was $17.0 of total unrecognized pre-tax compensation cost related to these nonvested restricted share-based awards that is expected to be recognized over the remainder of fiscal 2025. The units associated with these awards are excluded from the table above.</w:t>
      </w:r>
    </w:p>
    <w:p>
      <w:pPr>
        <w:spacing w:after="0" w:line="200" w:lineRule="exact"/>
        <w:rPr>
          <w:sz w:val="20"/>
          <w:szCs w:val="20"/>
          <w:color w:val="auto"/>
        </w:rPr>
      </w:pPr>
    </w:p>
    <w:p>
      <w:pPr>
        <w:spacing w:after="0" w:line="32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5660" w:type="dxa"/>
            <w:vAlign w:val="bottom"/>
            <w:gridSpan w:val="2"/>
          </w:tcPr>
          <w:p>
            <w:pPr>
              <w:jc w:val="center"/>
              <w:ind w:right="1339"/>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2"/>
        </w:trPr>
        <w:tc>
          <w:tcPr>
            <w:tcW w:w="9480" w:type="dxa"/>
            <w:vAlign w:val="bottom"/>
            <w:gridSpan w:val="5"/>
          </w:tcPr>
          <w:p>
            <w:pPr>
              <w:jc w:val="center"/>
              <w:ind w:left="1671"/>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tc>
        <w:tc>
          <w:tcPr>
            <w:tcW w:w="17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5660" w:type="dxa"/>
            <w:vAlign w:val="bottom"/>
            <w:gridSpan w:val="2"/>
          </w:tcPr>
          <w:p>
            <w:pPr>
              <w:jc w:val="center"/>
              <w:ind w:right="1359"/>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69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tc>
        <w:tc>
          <w:tcPr>
            <w:tcW w:w="36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97"/>
        </w:trPr>
        <w:tc>
          <w:tcPr>
            <w:tcW w:w="91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9"/>
        </w:trPr>
        <w:tc>
          <w:tcPr>
            <w:tcW w:w="35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9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Wtd. Avg. Grant Date</w:t>
            </w:r>
          </w:p>
        </w:tc>
      </w:tr>
      <w:tr>
        <w:trPr>
          <w:trHeight w:val="195"/>
        </w:trPr>
        <w:tc>
          <w:tcPr>
            <w:tcW w:w="350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368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8"/>
                <w:szCs w:val="18"/>
                <w:color w:val="auto"/>
                <w:w w:val="99"/>
              </w:rPr>
              <w:t>409,430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660" w:type="dxa"/>
            <w:vAlign w:val="bottom"/>
            <w:gridSpan w:val="2"/>
          </w:tcPr>
          <w:p>
            <w:pPr>
              <w:jc w:val="center"/>
              <w:ind w:left="4813"/>
              <w:spacing w:after="0"/>
              <w:rPr>
                <w:sz w:val="20"/>
                <w:szCs w:val="20"/>
                <w:color w:val="auto"/>
              </w:rPr>
            </w:pPr>
            <w:r>
              <w:rPr>
                <w:rFonts w:ascii="Times New Roman" w:cs="Times New Roman" w:eastAsia="Times New Roman" w:hAnsi="Times New Roman"/>
                <w:sz w:val="18"/>
                <w:szCs w:val="18"/>
                <w:color w:val="auto"/>
              </w:rPr>
              <w:t>(101,680)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w:t>
            </w: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28, 2024</w:t>
            </w:r>
          </w:p>
        </w:tc>
        <w:tc>
          <w:tcPr>
            <w:tcW w:w="368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center"/>
              <w:ind w:left="1159"/>
              <w:spacing w:after="0"/>
              <w:rPr>
                <w:sz w:val="20"/>
                <w:szCs w:val="20"/>
                <w:color w:val="auto"/>
              </w:rPr>
            </w:pPr>
            <w:r>
              <w:rPr>
                <w:rFonts w:ascii="Times New Roman" w:cs="Times New Roman" w:eastAsia="Times New Roman" w:hAnsi="Times New Roman"/>
                <w:sz w:val="18"/>
                <w:szCs w:val="18"/>
                <w:color w:val="auto"/>
                <w:w w:val="99"/>
              </w:rPr>
              <w:t>307,750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performance-based award units granted during the three months ended December 30, 2023 was $44.86 per share. As of December 28, 2024, there was $4.9 of total unrecognized pre-tax compensation cost, net of estimated forfeitures, related to nonvested performance-based award units that is expected to be recognized over a weighted-average period of 1.9 years. The total fair value of performance-based award units vested during the three months ended December 30, 2023 was $10.6.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net loss per common share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 potential common shares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 net loss per common share: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outstanding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net loss per common share calculation for the three months ended December 28, 2024 and December 30, 2023 were 57.3 million and 56.7 million, respectively, which excluded potential Common Shares of 1.5 million and 0.5 million, respectively, because the effect of their inclusion would be anti-dilutive as the Company incurred a net loss for the three months ended December 28, 2024 and December 30,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tax rates for the three months ended December 28, 2024 and December 30, 2023 were 27.5% and 29.5%,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w:t>
      </w:r>
    </w:p>
    <w:p>
      <w:pPr>
        <w:spacing w:after="0" w:line="5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2021. There are currently no ongoing audits with respect to the U.S. federal jurisdiction. With respect to the foreign jurisdictions, a Canadian audit covering fiscal years 2020 through 2021 is in process. The Company is currently under examination by certain U.S. state and local tax authorities covering various periods from fiscal years 2018 through 2023. In addition to the aforementioned audits, certain other tax deficiency notices and refund claims for previous years remain unresolved.</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CONTINGENCIES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28, 2024, the Company had recorded liabilities of $2.6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condensed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These lawsuits, which will likely be consolidated together with any subsequently filed lawsuits alleging similar facts, assert claims under Section 10(b), Rule 10b-5 and Section 20(a) of the Securities Exchange Act against the Company and certain of its current and former officers based on alleged misstatements about the Company’s inventories, sales and business prospects. The actions seek, among other things, unspecified monetary damages, reasonable costs and expenses and equitable/injunctive or other relief as deemed appropriate by the Court. The Company believes that the claims asserted are without merit and intends to vigorously defend the actions.</w:t>
      </w:r>
    </w:p>
    <w:p>
      <w:pPr>
        <w:spacing w:after="0" w:line="12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breaches of fiduciary duties and unjust enrichment, as well as abuse of control, gross mismanagement, and waste of corporate assets. The federal lawsuits also assert claims under the Securities Exchange Act. The actions seek a judgment in favor of the Company for unspecified damages, disgorgement, interest, and costs and expenses, including attorneys’ and experts’ fees.</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including the initiation and defense of proceedings to protect intellectual property rights, advertising claims, securities matters and employment disputes. These claims individually and in the aggregate are not expected to have a material adverse effect on the Company’s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INSTRUMENTS AND HEDGING ACTIVITIES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$161.2, $112.5 and $148.4 at December 28, 2024, December 30, 2023 and September 30, 2024, respectively. Contracts outstanding at December 28, 2024 will mature over the next fiscal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December 28, 2024, December 30, 2023 and September 30, 2024 had a maximum total U.S. dollar equivalent notional amount of $450.0, $700.0 and $450.0, respectively. Refer to “NOTE 6. DEBT” for the terms of the swap agreements outstanding at December 28, 2024. Included in the AOCL balance at December 28, 2024 was a gain of $5.4 related to interest rate swap agreements that is expected to be reclassified to earnings during the next twelve months, consistent with the timing of the underlying hedged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December 28, 2024 was a gain of $1.0 related to commodity hedges that is expected to be reclassified to earnings during the next twelve months, consistent with the timing of the underlying hedged transactions.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9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080" w:type="dxa"/>
            <w:vAlign w:val="bottom"/>
            <w:gridSpan w:val="2"/>
            <w:vMerge w:val="continue"/>
          </w:tcPr>
          <w:p>
            <w:pPr>
              <w:spacing w:after="0"/>
              <w:rPr>
                <w:sz w:val="16"/>
                <w:szCs w:val="16"/>
                <w:color w:val="auto"/>
              </w:rPr>
            </w:pPr>
          </w:p>
        </w:tc>
        <w:tc>
          <w:tcPr>
            <w:tcW w:w="198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 tons</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Diesel</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3,066,000 gallons</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2,226,000 gallons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1,092,000 gallons</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Heating Oil</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1,302,000 gallons</w:t>
            </w:r>
          </w:p>
        </w:tc>
        <w:tc>
          <w:tcPr>
            <w:tcW w:w="2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1,008,000 gallons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 gallons</w:t>
            </w:r>
          </w:p>
        </w:tc>
        <w:tc>
          <w:tcPr>
            <w:tcW w:w="0" w:type="dxa"/>
            <w:vAlign w:val="bottom"/>
          </w:tcPr>
          <w:p>
            <w:pPr>
              <w:spacing w:after="0"/>
              <w:rPr>
                <w:sz w:val="1"/>
                <w:szCs w:val="1"/>
                <w:color w:val="auto"/>
              </w:rPr>
            </w:pPr>
          </w:p>
        </w:tc>
      </w:tr>
      <w:tr>
        <w:trPr>
          <w:trHeight w:val="8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which represent Level 2 fair value measurements,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1"/>
                <w:szCs w:val="11"/>
                <w:color w:val="auto"/>
              </w:rPr>
            </w:pPr>
          </w:p>
        </w:tc>
        <w:tc>
          <w:tcPr>
            <w:tcW w:w="13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1280" w:type="dxa"/>
            <w:vAlign w:val="bottom"/>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500" w:type="dxa"/>
            <w:vAlign w:val="bottom"/>
            <w:gridSpan w:val="2"/>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 of derivative instruments on AOCL, net of tax, and the Condensed Consolidated Statements of Operations for each of the periods presented was as follows:</w:t>
      </w:r>
    </w:p>
    <w:p>
      <w:pPr>
        <w:spacing w:after="0" w:line="12"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Amount of Gain / (Loss)</w:t>
      </w: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Recognized in AOCL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22225</wp:posOffset>
            </wp:positionV>
            <wp:extent cx="19716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7"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33655</wp:posOffset>
            </wp:positionV>
            <wp:extent cx="1971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3960" w:type="dxa"/>
            <w:vAlign w:val="bottom"/>
          </w:tcPr>
          <w:p>
            <w:pPr>
              <w:jc w:val="center"/>
              <w:ind w:left="228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2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39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 w:type="dxa"/>
            <w:vAlign w:val="bottom"/>
            <w:tcBorders>
              <w:top w:val="single" w:sz="8" w:color="auto"/>
            </w:tcBorders>
            <w:shd w:val="clear" w:color="auto" w:fill="CCEEFF"/>
          </w:tcPr>
          <w:p>
            <w:pPr>
              <w:spacing w:after="0"/>
              <w:rPr>
                <w:sz w:val="20"/>
                <w:szCs w:val="20"/>
                <w:color w:val="auto"/>
              </w:rPr>
            </w:pPr>
          </w:p>
        </w:tc>
        <w:tc>
          <w:tcPr>
            <w:tcW w:w="22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96"/>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8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0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AOCL into</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5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2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10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96"/>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816"/>
              <w:spacing w:after="0"/>
              <w:rPr>
                <w:sz w:val="20"/>
                <w:szCs w:val="20"/>
                <w:color w:val="auto"/>
              </w:rPr>
            </w:pPr>
            <w:r>
              <w:rPr>
                <w:rFonts w:ascii="Times New Roman" w:cs="Times New Roman" w:eastAsia="Times New Roman" w:hAnsi="Times New Roman"/>
                <w:sz w:val="18"/>
                <w:szCs w:val="18"/>
                <w:color w:val="auto"/>
                <w:w w:val="97"/>
              </w:rPr>
              <w:t>1.5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5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2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10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center"/>
              <w:ind w:left="796"/>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5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gridSpan w:val="2"/>
            <w:vMerge w:val="restart"/>
          </w:tcPr>
          <w:p>
            <w:pPr>
              <w:jc w:val="right"/>
              <w:ind w:right="20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68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assets and liabilities for which disclosure of fair value is required: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3"/>
                <w:szCs w:val="13"/>
                <w:color w:val="auto"/>
              </w:rPr>
            </w:pPr>
          </w:p>
        </w:tc>
        <w:tc>
          <w:tcPr>
            <w:tcW w:w="20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3"/>
                <w:szCs w:val="13"/>
                <w:color w:val="auto"/>
              </w:rPr>
            </w:pPr>
          </w:p>
        </w:tc>
        <w:tc>
          <w:tcPr>
            <w:tcW w:w="19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36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7"/>
                <w:szCs w:val="17"/>
                <w:color w:val="auto"/>
              </w:rPr>
            </w:pPr>
          </w:p>
        </w:tc>
      </w:tr>
      <w:tr>
        <w:trPr>
          <w:trHeight w:val="162"/>
        </w:trPr>
        <w:tc>
          <w:tcPr>
            <w:tcW w:w="362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36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76"/>
        </w:trPr>
        <w:tc>
          <w:tcPr>
            <w:tcW w:w="3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Investment securities in non-qualified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retirement plan assets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0"/>
        </w:trPr>
        <w:tc>
          <w:tcPr>
            <w:tcW w:w="3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facilities – revolving loans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balance of Level 3 convertible debt investments carried at fair value are presented below. There were no transfers into or out of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2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(losses) included in net earnings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 unrealized losses included in OCI</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for non-voting exchangeable shares of Cansortium</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18, 2024, the Company exchanged its convertible debt investment in RIV Capital for non-voting exchangeable shares of Cansortium.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INVESTMENT IN UNCONSOLIDATED AFFILIATES” for further details.</w:t>
      </w:r>
    </w:p>
    <w:p>
      <w:pPr>
        <w:spacing w:after="0" w:line="15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amortized cost basis of convertible debt investments was $44.4, $225.9 and $62.1 at December 28, 2024, December 30, 2023 and September 30, 2024, respectively. At December 28, 2024, December 30, 2023 and September 30, 2024, gross unrealized losses on convertible debt investments were $16.4, $140.9 and $16.4, respectively, and there were no gross unrealized gains. These investments have been in a continuous unrealized loss position for greater than 12 months as of December 28, 2024. The allowance for expected credit losses was $1.9, $101.3 and $1.9 at December 28, 2024, December 30, 2023 and September 30, 2024, respectively. At December 28, 2024, the weighted-average period until scheduled maturity of the Company’s convertible debt investments was 4.7 years.</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December 28, 2024, the Company had entered into operating leases that were yet to commence with a combined total expected lease liability of $28.4. From time to time, the Company will sublease portions of its facilities, resulting in sublease income. Sublease income and the related cash flows were not material to the condensed consolidated financial statements for the three months ended December 28, 2024 and December 30, 2023.</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December 28, 2024, the Company’s residual value guarantee would have approximated $6.3.</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Components of lease cost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5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60" w:hanging="652"/>
        <w:spacing w:after="0" w:line="282"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amortization of right-of-use assets of $17.2 and $18.2 for the three months ended December 28, 2024 and December 30, 2023, respectively. Short-term lease expense is excluded from operating lease cost and is not material.</w:t>
      </w:r>
    </w:p>
    <w:p>
      <w:pPr>
        <w:spacing w:after="0" w:line="200" w:lineRule="exact"/>
        <w:rPr>
          <w:sz w:val="20"/>
          <w:szCs w:val="20"/>
          <w:color w:val="auto"/>
        </w:rPr>
      </w:pPr>
    </w:p>
    <w:p>
      <w:pPr>
        <w:spacing w:after="0" w:line="2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6"/>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1"/>
                <w:szCs w:val="11"/>
                <w:color w:val="auto"/>
              </w:rPr>
            </w:pPr>
          </w:p>
        </w:tc>
        <w:tc>
          <w:tcPr>
            <w:tcW w:w="130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8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4"/>
        </w:trPr>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468"/>
        </w:trPr>
        <w:tc>
          <w:tcPr>
            <w:tcW w:w="81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the Company’s leases were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4"/>
                <w:szCs w:val="14"/>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8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6"/>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8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459"/>
        </w:trPr>
        <w:tc>
          <w:tcPr>
            <w:tcW w:w="974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leases as of December 28, 2024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7"/>
                <w:szCs w:val="17"/>
                <w:color w:val="auto"/>
              </w:rPr>
            </w:pPr>
          </w:p>
        </w:tc>
        <w:tc>
          <w:tcPr>
            <w:tcW w:w="14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8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(remainder of the year)</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7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reportable business segments.</w:t>
      </w:r>
    </w:p>
    <w:p>
      <w:pPr>
        <w:spacing w:after="0" w:line="1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2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48"/>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Profit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Growing media and mulch</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gardening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Lighting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Nutrients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Growing environment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hardware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spacing w:after="0" w:line="68"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This MD&amp;A should be read in conjunction with “Management’s Discussion and Analysis of Financial Condition and Results of Operations” included in Scotts Miracle-Gro’s Annual Report on Form 10-K for the fiscal year ended September 30, 2024 (the “2024 Annual Report”) and our condensed consolidated financial statements included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48" w:lineRule="exact"/>
        <w:rPr>
          <w:sz w:val="20"/>
          <w:szCs w:val="20"/>
          <w:color w:val="auto"/>
        </w:rPr>
      </w:pPr>
    </w:p>
    <w:p>
      <w:pPr>
        <w:jc w:val="both"/>
        <w:ind w:firstLine="445"/>
        <w:spacing w:after="0" w:line="223"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76"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Through our Hawthorne segment, we are a leading provider of nutrients, lighting and other materials used for indoor and hydroponic gardening in North America. Our Signature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p>
      <w:pPr>
        <w:jc w:val="center"/>
        <w:ind w:left="6180"/>
        <w:spacing w:after="0" w:line="230" w:lineRule="auto"/>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3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28, 2024, our Hawthorne segment continued to experience decreased sales volume. This was partially attributable to an oversupply of cannabis, which has led to a prolonged period of lower cannabis wholesale prices and reduced indoor and outdoor cannabis cultivation. The oversupply has been driven by increased licensing activity across the U.S. and significant capital investment in the cannabis production marketplace over the past several years, as well as inconsistent enforcement of regulations.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spacing w:after="0" w:line="52" w:lineRule="exact"/>
        <w:rPr>
          <w:sz w:val="20"/>
          <w:szCs w:val="20"/>
          <w:color w:val="auto"/>
        </w:rPr>
      </w:pPr>
    </w:p>
    <w:p>
      <w:pPr>
        <w:jc w:val="both"/>
        <w:ind w:firstLine="405"/>
        <w:spacing w:after="0" w:line="224" w:lineRule="auto"/>
        <w:rPr>
          <w:sz w:val="20"/>
          <w:szCs w:val="20"/>
          <w:color w:val="auto"/>
        </w:rPr>
      </w:pPr>
      <w:r>
        <w:rPr>
          <w:rFonts w:ascii="Times New Roman" w:cs="Times New Roman" w:eastAsia="Times New Roman" w:hAnsi="Times New Roman"/>
          <w:sz w:val="18"/>
          <w:szCs w:val="18"/>
          <w:color w:val="auto"/>
        </w:rPr>
        <w:t>During fiscal 2024, our Hawthorne segment discontinued distribution of other companies’ products in order to shift its focus solely to marketing, innovating and supporting its portfolio of Signature brands, including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expect the discontinuation of sales of other companies’ products will result in lower sales volume when compared to historical periods, but will enable continued optimization of Hawthorne’s operations and improvement of its profitability.</w:t>
      </w:r>
    </w:p>
    <w:p>
      <w:pPr>
        <w:spacing w:after="0" w:line="7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continue to monitor the impacts of macroeconomic conditions, including elevated interest rates and the impact of inflationary pressures on input costs and consumer behavior; as well as geopolitical uncertainty, including the duration and resolution of ongoing conflicts, potential escalation of tensions and global supply chain disruptions. The impact that these events and conditions will have on our operational and financial performance will depend on future developments, which are difficult to predict. For more information about factors that could impact our business, refer to “ITEM 1A. RISK FACTORS” in the 2024 Annual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 for the three months ended December 28,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Sales</w:t>
            </w:r>
          </w:p>
        </w:tc>
      </w:tr>
      <w:tr>
        <w:trPr>
          <w:trHeight w:val="228"/>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5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for the three months ended December 28, 2024 were $416.8, an increase of 1.6% from net sales of $410.4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2023. Factors contributing to the change in net sales are outlined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4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800" w:type="dxa"/>
            <w:vAlign w:val="bottom"/>
          </w:tcPr>
          <w:p>
            <w:pPr>
              <w:spacing w:after="0"/>
              <w:rPr>
                <w:sz w:val="17"/>
                <w:szCs w:val="17"/>
                <w:color w:val="auto"/>
              </w:rPr>
            </w:pPr>
          </w:p>
        </w:tc>
        <w:tc>
          <w:tcPr>
            <w:tcW w:w="2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3"/>
        </w:trPr>
        <w:tc>
          <w:tcPr>
            <w:tcW w:w="88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4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2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net sales for the three months ended December 28, 2024 as compared to the three months ended December 30, 2023 was primarily driven by:</w:t>
      </w:r>
    </w:p>
    <w:p>
      <w:pPr>
        <w:spacing w:after="0" w:line="54" w:lineRule="exact"/>
        <w:rPr>
          <w:sz w:val="20"/>
          <w:szCs w:val="20"/>
          <w:color w:val="auto"/>
        </w:rPr>
      </w:pPr>
    </w:p>
    <w:p>
      <w:pPr>
        <w:jc w:val="both"/>
        <w:ind w:left="98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of 10.5%, comprised of the net impact of higher volume in our U.S. Consumer segment driven by soils, controls and plant food products, partially offset by lower volume in our Hawthorne segment driven by lighting, growing environment, growing media and hardware products; and</w:t>
      </w:r>
    </w:p>
    <w:p>
      <w:pPr>
        <w:spacing w:after="0" w:line="6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sales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62" w:lineRule="exact"/>
        <w:rPr>
          <w:rFonts w:ascii="Times New Roman" w:cs="Times New Roman" w:eastAsia="Times New Roman" w:hAnsi="Times New Roman"/>
          <w:sz w:val="18"/>
          <w:szCs w:val="18"/>
          <w:color w:val="auto"/>
        </w:rPr>
      </w:pPr>
    </w:p>
    <w:p>
      <w:pPr>
        <w:jc w:val="both"/>
        <w:ind w:left="980" w:hanging="324"/>
        <w:spacing w:after="0" w:line="235"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other decreases of 7.9% included within “volume and mix” related to nonrecurring fiscal 2024 sales of bulk raw materials and AeroGarden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our U.S. Consumer segment and the discontinuation of sales of other companies’ products in our Hawthorne segment; and</w:t>
      </w:r>
    </w:p>
    <w:p>
      <w:pPr>
        <w:spacing w:after="0" w:line="9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pricing, primarily driven by additional investments in consumer activation activities in our U.S. Consumer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140" w:type="dxa"/>
            <w:vAlign w:val="bottom"/>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 changes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57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cost of sales for the three months ended December 28, 2024 as compared to the three months ended December 30, 2023 was primarily driven by:</w:t>
      </w:r>
    </w:p>
    <w:p>
      <w:pPr>
        <w:spacing w:after="0" w:line="5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Hawthorne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sales volume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 and</w:t>
      </w:r>
    </w:p>
    <w:p>
      <w:pPr>
        <w:spacing w:after="0" w:line="1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a percentage of net sales, our gross margin rate was 22.7% and 15.2% for the three months ended December 28, 2024 and December 30, 2023, respectively. Factors contributing to the change in gross margin rate are outlined in the following table: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4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800" w:type="dxa"/>
            <w:vAlign w:val="bottom"/>
          </w:tcPr>
          <w:p>
            <w:pPr>
              <w:spacing w:after="0"/>
              <w:rPr>
                <w:sz w:val="17"/>
                <w:szCs w:val="17"/>
                <w:color w:val="auto"/>
              </w:rPr>
            </w:pPr>
          </w:p>
        </w:tc>
        <w:tc>
          <w:tcPr>
            <w:tcW w:w="24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3"/>
        </w:trPr>
        <w:tc>
          <w:tcPr>
            <w:tcW w:w="88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2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800" w:type="dxa"/>
            <w:vAlign w:val="bottom"/>
            <w:shd w:val="clear" w:color="auto" w:fill="CCEEFF"/>
          </w:tcPr>
          <w:p>
            <w:pPr>
              <w:spacing w:after="0"/>
              <w:rPr>
                <w:sz w:val="19"/>
                <w:szCs w:val="19"/>
                <w:color w:val="auto"/>
              </w:rPr>
            </w:pPr>
          </w:p>
        </w:tc>
        <w:tc>
          <w:tcPr>
            <w:tcW w:w="2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gross margin rate</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gross margin rate for the three months ended December 28, 2024 as compared to the three months ended December 30, 2023 was primarily driven by:</w:t>
      </w:r>
    </w:p>
    <w:p>
      <w:pPr>
        <w:spacing w:after="0" w:line="54"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associated with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leverage of fixed costs, included within “volume, mix and other,” driven by higher sales volume in our U.S. Consumer segment;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pricing, primarily driven by additional investments in consumer activation activities in our U.S. Consumer segment;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50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2"/>
        </w:trPr>
        <w:tc>
          <w:tcPr>
            <w:tcW w:w="3640" w:type="dxa"/>
            <w:vAlign w:val="bottom"/>
          </w:tcPr>
          <w:p>
            <w:pPr>
              <w:spacing w:after="0"/>
              <w:rPr>
                <w:sz w:val="18"/>
                <w:szCs w:val="18"/>
                <w:color w:val="auto"/>
              </w:rPr>
            </w:pPr>
          </w:p>
        </w:tc>
        <w:tc>
          <w:tcPr>
            <w:tcW w:w="5020" w:type="dxa"/>
            <w:vAlign w:val="bottom"/>
            <w:gridSpan w:val="2"/>
          </w:tcPr>
          <w:p>
            <w:pPr>
              <w:jc w:val="right"/>
              <w:ind w:right="149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789"/>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86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1"/>
        </w:trPr>
        <w:tc>
          <w:tcPr>
            <w:tcW w:w="36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36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36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14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364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4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48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3"/>
        </w:trPr>
        <w:tc>
          <w:tcPr>
            <w:tcW w:w="36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1"/>
        </w:trPr>
        <w:tc>
          <w:tcPr>
            <w:tcW w:w="36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SG&amp;A increased $10.0, or 8.7%, during the three months ended December 28, 2024 compared to the three months ended December 30, 2023. Other SG&amp;A increased $11.9, or 16.5%, driven by higher short-term variable cash incentive compensation expense and other associate-related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14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exchange of convertible debt investment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28, 2024, we recorded executive severance charges of $9.5 in the “Impairment, restructuring and other” line in the Condensed Consolidated Statements of Operations.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28, 2024, we recorded a non-cash loss of $7.0 in the “Impairment, restructuring and other” line in the Condensed Consolidated Statements of Operations related to the exchange of our convertible debt investment in RIV Capital for non-voting exchangeable shares of Cansortium.</w:t>
      </w:r>
    </w:p>
    <w:p>
      <w:pPr>
        <w:spacing w:after="0" w:line="200" w:lineRule="exact"/>
        <w:rPr>
          <w:sz w:val="20"/>
          <w:szCs w:val="20"/>
          <w:color w:val="auto"/>
        </w:rPr>
      </w:pPr>
    </w:p>
    <w:p>
      <w:pPr>
        <w:spacing w:after="0" w:line="31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6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We also accelerated the reduction of certain Hawthorne inventory, primarily lighting, growing environments and hardware products, to reduce on hand inventory to align with the reduced network capacity. During the three months ended December 28, 2024, we incurred costs of $1.4 in our U.S. Consumer segment and $3.7 in our Hawthorne segment associated with this restructuring initiative in the “Cost of sales— impairment, restructuring and other” line in the Condensed Consolidated Statements of Operations. During the three months ended December 30, 2023, we recorded recoveries of $3.7 associated with this restructuring initiative, primarily related to the sale of certain previously-reserved inventory at amounts in excess of estimated net realizable value, partially offset by employee termination benefits and facility closure costs. We incurred costs of $2.0 in our U.S. Consumer segment and recorded recoveries of $7.7 in our Hawthorne segment in the “Cost of sales—impairment, restructuring and other” line in the Condensed Consolidated Statements of Operations during the three months ended December 30, 2023. We recorded recoveries of $0.8 in our U.S. Consumer segment and incurred costs of $0.3 in our Hawthorne segment and $2.4 at Corporate in the “Impairment, restructuring and other” line in the Condensed Consolidated Statements of Operations during the three months ended December 30, 2023. Costs incurred since the inception of this restructuring initiative through December 28, 2024 were $300.9 for our Hawthorne segment, $59.8 for our U.S. Consumer segment, $2.9 for our Other segment and $25.1 for Corporate.</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30, 2023, we recorded a gain of $12.1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expense is comprised of activities such as the discount on sales of accounts receivable under the Master Receivables Purchase Agreement, royalty income from the licensing of certain of our brand names and foreign exchange transaction gains and losses. Other expense was $4.5 and $1.8 for the three months ended December 28, 2024 and December 30, 2023, respectively. The increase in expense during the three months ended December 28, 2024 was primarily due to higher sales of accounts receivable under the Master Receivables Purchase Agreement.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Loss from operations was $51.0 for the three months ended December 28, 2024, an increase of 7.8% compared to $47.3 for the three months ended December 30, 2023. The increase was primarily driven by higher impairment, restructuring and other charges, higher SG&amp;A and higher other expense, partially offset by higher net sales and an increase in gross margin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 of Unconsolidated Affiliates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Equity in loss of unconsolidated affiliates associated with Bonnie Plants, LLC was $9.9 and $22.5 during the three months ended December 28, 2024 and December 30, 2023, respectively. We anticipated a net loss for Bonnie Plants, LLC in the first quarter due to the seasonal nature of its business, in which sales are heavily weighted to the spring and summer selling periods. During the three months ended December 30, 2023, equity in loss of unconsolidated affiliates also included a pre-tax impairment charge of $10.4 associated with our investment in Bonnie Plants, LLC.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Interest expense was $33.7 for the three months ended December 28, 2024, a decrease of 21.3% compared to $42.8 for the three months ended December 30, 2023. The decrease was driven by lower average borrowings of $390.1 and a decrease in our weighted average interest rate, net of the impact of interest rate swaps, of 50 basis points. The decrease in average borrowings was driven by our focus on using available cash flow to reduce our debt as well as higher sales of accounts receivable under the amended Master Receivables Purchase Agreement. The decrease in our weighted average interest rate was primarily driven by lower borrowing rates under the Sixth A&amp;R Credit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months ended December 28, 2024 and December 30, 2023 were 27.5% and 29.5%,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2" w:name="page33"/>
    <w:bookmarkEnd w:id="3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loss was $69.5, or $1.21 per diluted share, for the three months ended December 28, 2024 compared to $80.5, or $1.42 per diluted share, for the three months ended December 30, 2023. The decrease was driven by higher net sales, an increase in gross margin rate, lower equity in loss of unconsolidated affiliates and lower interest expense, partially offset by higher impairment, restructuring and other charges, higher SG&amp;A, higher other expense and lower income tax benefit.</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net loss per common share calculation for the three months ended December 28, 2024 and December 30, 2023 were 57.3 million and 56.7 million, respectively, which excluded potential Common Shares of 1.5 million and 0.5 million, respectively, because the effect of their inclusion would be anti-dilutive as we incurred a net loss for the three months ended December 28, 2024 and December 30, 2023. The increase in diluted average Common Shares was primarily the result of the exercise and issuance of share-based compensation awards.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140" w:type="dxa"/>
            <w:vAlign w:val="bottom"/>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Segment Profit (Loss) as well as a reconciliation to loss before income taxes, the most directly comparable GAAP measure: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140" w:type="dxa"/>
            <w:vAlign w:val="bottom"/>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Segment Profit (Loss) (Non-GAAP)</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before income taxes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162"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8"/>
          <w:szCs w:val="18"/>
          <w:color w:val="auto"/>
        </w:rPr>
        <w:t>U.S. Consumer segment net sales were $340.9 in the first quarter of fiscal 2025, an increase of 11.2% from first quarter of fiscal 2024 net sales of $306.7. The increase was driven by higher sales volume of 17.9%, partially offset by a decrease of 5.9% due to nonrecurring fiscal 2024 sales of bulk raw materials and AeroGarden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and decreased pricing of 0.8% due to additional investments in consumer activation activities. The increase in sales volume was driven by soils, controls and plant food products.</w:t>
      </w:r>
    </w:p>
    <w:p>
      <w:pPr>
        <w:spacing w:after="0" w:line="200" w:lineRule="exact"/>
        <w:rPr>
          <w:sz w:val="20"/>
          <w:szCs w:val="20"/>
          <w:color w:val="auto"/>
        </w:rPr>
      </w:pPr>
    </w:p>
    <w:p>
      <w:pPr>
        <w:spacing w:after="0" w:line="33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U.S. Consumer Segment Profit was $10.0 in the first quarter of fiscal 2025, an increase from first quarter of fiscal 2024 Segment Loss of $15.5. The increase was due to higher net sales and a higher gross margin rate, partially offset by higher SG&amp;A, and higher other expense driven by the discount on sales of accounts receivable.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Hawthorne segment net sales were $52.1 in the first quarter of fiscal 2025, a decrease of 35.0% from first quarter of fiscal 2024 net sales of $80.1. The decrease was driven by the discontinuation of sales of other companies’ products of 17.4%, lower sales volume of 16.2% and decreased pricing of 1.4%. The decrease in sales volume was driven by lighting, growing environment, growing media and hardware products.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Hawthorne Segment Profit was $1.7 in the first quarter of fiscal 2025, an increase from first quarter of fiscal 2024 Segment Loss of $9.7. The increase was driven by a higher gross margin rate and lower SG&amp;A, partially offset by lower net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segment net sales were $23.8 in the first quarter of fiscal 2025, an increase of 0.8% from the first quarter of fiscal 2024 net sales of $23.6. The increase was driven by higher sales volume of 3.8% and increased pricing of 0.4%, partially offset by unfavorable foreign exchange rates of 3.4%.</w:t>
      </w:r>
    </w:p>
    <w:p>
      <w:pPr>
        <w:spacing w:after="0" w:line="9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Other Segment Loss was $3.1 in the first quarter of fiscal 2025, a decrease from first quarter of fiscal 2024 Segment Loss of $5.0. The decrease was driven by a higher gross margin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Corporate expenses were $34.8 in the first quarter of fiscal 2025, an increase of 33.8% from first quarter of fiscal 2024 expenses of $26.0. The increase was driven by higher short-term variable incentive compensation expense and other associate-related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cash activities: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8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totaled $445.3 for the three months ended December 28, 2024, an increase of $102.1 compared to $343.2 for the three months ended December 30, 2023. This increase was driven by higher inventory production, the timing of accounts receivable sales, higher short-term variable cash incentive compensation payments and higher SG&amp;A, partially offset by higher gross margin and lower interest payments. Accounts receivable sale timing is driven by the fact that the Master Receivable Purchasing Agreement was first entered into during the three months ended December 30,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totaled $23.3 for the three months ended December 28, 2024, a decrease of $29.9 compared to $53.2 for the three months ended December 30, 2023. Cash used for investments in property, plant and equipment during the first three months of fiscal 2025 and 2024 was $29.3 and $37.9, respectively, driven by the timing of spending on capital projects. During the three months ended December 30, 2023, we acquired an additional equity interest in Bonnie Plants, LLC for $21.4. During the three months ended December 28, 2024 and December 30, 2023, we had other investing cash inflows of $6.0 and $6.1, respectively, primarily associated with currency forward contracts.</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totaled $407.7 for the three months ended December 28, 2024 compared to $374.2 for the three months ended December 30, 2023. During the three months ended December 28, 2024, we had net borrowings on our debt instruments of $464.8 due to our seasonal working capital build. We also paid dividends of $39.2 and repurchased Common Shares for $15.6 (which represents cash paid to tax authorities to satisfy statutory income tax withholding obligations related to share-based compensation). During the three months ended December 30, 2023, we had net borrowings on our debt instruments of $410.2, paid dividends of $37.4 and repurchased Common Shares for $3.1 (which represents cash paid to tax authorities to satisfy statutory income tax withholding obligations related to share-based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Sales</w:t>
      </w:r>
    </w:p>
    <w:p>
      <w:pPr>
        <w:spacing w:after="0" w:line="16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27, 2023, we entered into the Master Receivables Purchase Agreement, under which we could sell up to $600.0 of available and eligible outstanding customer accounts receivable generated by sales to four specified customers. On September 1, 2024, we amended the Master Receivables Purchase Agreement to permit us to sell up to $750.0 of available and eligible outstanding customer accounts receivable generated by sales to five specified customers. The agreement is uncommitted and expires on September 1, 2025. Transactions under the Master Receivables Purchase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Condensed Consolidated Statements of Cash Flows. We record the discount on sales in the “Other expense, net” line in the Condensed Consolidated Statements of Operations. At December 28, 2024, December 30, 2023 and September 30, 2024, net receivables derecognized were $236.7, $140.1 and $186.6, respectively. During the three months ended December 28, 2024 and December 30, 2023, proceeds from the sale of receivables under the Master Receivables Purchase Agreement totaled $274.0 and $199.6, respectively, and the total discount recorded on sales was $3.3 and $2.2,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$27.1, $30.8 and $12.5 at December 28, 2024, December 30, 2023 and September 30, 2024, respectively, and are recorded within accounts payable in the Condensed Consolidated Balance Sheets. The associated payments were $73.6 and $69.8 for the three months ended December 28, 2024 and December 30, 2023, respectively, and are classified as operating activities in the Condensed Consolidated Statements of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$9.8, $10.4 and $71.6 as of December 28, 2024, December 30, 2023 and September 30, 2024, respectively, included $6.1, $4.0 and $15.9, respectively, held by controlled foreign corporations. As of December 28, 2024, we maintain our assertion of indefinite reinvestment of the earnings of all material foreign subsidiaries.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31, 2023, we entered into Amendment No. 2 to the Sixth A&amp;R Credit Agreement. Amendment No. 2 (i) reduces the revolving loan commitments by $250.0; (ii) increases the maximum permitted leverage ratio for the quarterly leverage covenant during the Leverage Adjustment Period;</w:t>
      </w:r>
    </w:p>
    <w:p>
      <w:pPr>
        <w:jc w:val="both"/>
        <w:ind w:firstLine="8"/>
        <w:spacing w:after="0" w:line="251" w:lineRule="auto"/>
        <w:tabs>
          <w:tab w:leader="none" w:pos="3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1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28, 2024, we had letters of credit outstanding in the aggregate principal amount of $83.1, and had $691.3 of borrowing availability under the Sixth A&amp;R Credit Agreement. The weighted average interest rates on average borrowings under the credit facilities, excluding the impact of interest rate swaps, were 8.5% and 9.1% for the three months ended December 28, 2024 and December 30, 2023, respectively.</w:t>
      </w:r>
    </w:p>
    <w:p>
      <w:pPr>
        <w:spacing w:after="0" w:line="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our leverage ratio determined as of the end of each of our fiscal quarters calculated as average total indebtedness, divided by our Adjusted EBITDA. Pursuant to Amendment No. 2, the maximum permitted leverage ratio is (i) 5.50 for the first quarter of fiscal 2025, (ii) 5.25 for the second quarter of fiscal 2025, (iii) 5.00 for the third quarter of fiscal 2025, (iv) 4.75 for the fourth quarter of fiscal 2025 and (v) 4.50 for the first quarter of fiscal 2026 and thereafter. Our leverage ratio was 4.52 at December 28, 2024.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1.00. Our fixed charge coverage ratio was 1.38 for the twelve months ended December 28, 2024.</w:t>
      </w:r>
    </w:p>
    <w:p>
      <w:pPr>
        <w:spacing w:after="0" w:line="8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December 28, 2024,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December 28, 2024, our indebtedness under the Sixth A&amp;R Credit Agreement and Senior Notes was $2,688.1. We do not have sufficient cash on hand or available liquidity that can be utilized to repay these outstanding amounts in the event of default.</w:t>
      </w:r>
    </w:p>
    <w:p>
      <w:pPr>
        <w:spacing w:after="0" w:line="200" w:lineRule="exact"/>
        <w:rPr>
          <w:sz w:val="20"/>
          <w:szCs w:val="20"/>
          <w:color w:val="auto"/>
        </w:rPr>
      </w:pPr>
    </w:p>
    <w:p>
      <w:pPr>
        <w:spacing w:after="0" w:line="32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8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3.95 for the twelve months ended December 28, 2024.</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December 28, 2024, December 30, 2023 and September 30, 2024 had a maximum total U.S. dollar equivalent notional amount of $450.0, $700.0 and $450.0, respectively. The notional amount, effective date, expiration date and rate of each of the swap agreements outstanding at December 28, 2024 are shown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60" w:type="dxa"/>
            <w:vAlign w:val="bottom"/>
          </w:tcPr>
          <w:p>
            <w:pPr>
              <w:spacing w:after="0"/>
              <w:rPr>
                <w:sz w:val="13"/>
                <w:szCs w:val="13"/>
                <w:color w:val="auto"/>
              </w:rPr>
            </w:pP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40" w:type="dxa"/>
            <w:vAlign w:val="bottom"/>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196"/>
        </w:trPr>
        <w:tc>
          <w:tcPr>
            <w:tcW w:w="238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60" w:type="dxa"/>
            <w:vAlign w:val="bottom"/>
          </w:tcPr>
          <w:p>
            <w:pPr>
              <w:spacing w:after="0"/>
              <w:rPr>
                <w:sz w:val="17"/>
                <w:szCs w:val="17"/>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40" w:type="dxa"/>
            <w:vAlign w:val="bottom"/>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9"/>
        </w:trPr>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30"/>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175"/>
        </w:trPr>
        <w:tc>
          <w:tcPr>
            <w:tcW w:w="23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360" w:type="dxa"/>
            <w:vAlign w:val="bottom"/>
            <w:vMerge w:val="continue"/>
          </w:tcPr>
          <w:p>
            <w:pPr>
              <w:spacing w:after="0"/>
              <w:rPr>
                <w:sz w:val="15"/>
                <w:szCs w:val="15"/>
                <w:color w:val="auto"/>
              </w:rPr>
            </w:pP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11/20/2023</w:t>
            </w:r>
          </w:p>
        </w:tc>
        <w:tc>
          <w:tcPr>
            <w:tcW w:w="340" w:type="dxa"/>
            <w:vAlign w:val="bottom"/>
          </w:tcPr>
          <w:p>
            <w:pPr>
              <w:spacing w:after="0"/>
              <w:rPr>
                <w:sz w:val="15"/>
                <w:szCs w:val="15"/>
                <w:color w:val="auto"/>
              </w:rPr>
            </w:pPr>
          </w:p>
        </w:tc>
        <w:tc>
          <w:tcPr>
            <w:tcW w:w="2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3/22/2027</w:t>
            </w:r>
          </w:p>
        </w:tc>
        <w:tc>
          <w:tcPr>
            <w:tcW w:w="360" w:type="dxa"/>
            <w:vAlign w:val="bottom"/>
          </w:tcPr>
          <w:p>
            <w:pPr>
              <w:spacing w:after="0"/>
              <w:rPr>
                <w:sz w:val="15"/>
                <w:szCs w:val="15"/>
                <w:color w:val="auto"/>
              </w:rPr>
            </w:pPr>
          </w:p>
        </w:tc>
        <w:tc>
          <w:tcPr>
            <w:tcW w:w="2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84"/>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34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c>
          <w:tcPr>
            <w:tcW w:w="36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34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Availability and Use of Cash</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2024 Annual Report, under “ITEM 1A. RISK FACTORS — Risks Related to Our M&amp;A, Lending and Financing Activities — Our indebtedness could limit our flexibility and adversely affect our financial condition.”</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Disclosures About Guarantors and Issuers of Guaranteed Securities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8" w:name="page39"/>
    <w:bookmarkEnd w:id="3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8"/>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2"/>
                <w:szCs w:val="12"/>
                <w:color w:val="auto"/>
              </w:rPr>
            </w:pPr>
          </w:p>
        </w:tc>
        <w:tc>
          <w:tcPr>
            <w:tcW w:w="1520" w:type="dxa"/>
            <w:vAlign w:val="bottom"/>
          </w:tcPr>
          <w:p>
            <w:pPr>
              <w:jc w:val="right"/>
              <w:ind w:right="376"/>
              <w:spacing w:after="0" w:line="148"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7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r>
      <w:tr>
        <w:trPr>
          <w:trHeight w:val="229"/>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r>
    </w:tbl>
    <w:p>
      <w:pPr>
        <w:spacing w:after="0" w:line="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$61.6 and $49.5,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5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1"/>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3"/>
                <w:szCs w:val="13"/>
                <w:color w:val="auto"/>
              </w:rPr>
            </w:pPr>
          </w:p>
        </w:tc>
        <w:tc>
          <w:tcPr>
            <w:tcW w:w="15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76"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income (expense) from Non-Guarantor subsidiaries of $(0.4) and $12.5,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2024 Annual Report, under “ITEM 1. BUSINESS — Regulatory Considerations” and “ITEM 3.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200" w:lineRule="exact"/>
        <w:rPr>
          <w:sz w:val="20"/>
          <w:szCs w:val="20"/>
          <w:color w:val="auto"/>
        </w:rPr>
      </w:pPr>
    </w:p>
    <w:p>
      <w:pPr>
        <w:spacing w:after="0" w:line="31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9" w:name="page40"/>
    <w:bookmarkEnd w:id="3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of Scotts Miracle-Gro reviews our critical accounting estimates on an ongoing basis, including those related to revenue recognition and promotional allowances, income taxes and goodwill and indefinite-lived intangible assets. Our critical accounting estimates have not changed materially from those disclosed in the 2024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Market risks have not changed materially from those disclosed in the 2024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Scotts Miracle-Gro Company (the “Registrant”) maintains “disclosure controls and procedures,” as such term is defined under Securities Exchange Act Rule 13a-15(e), that are designed to ensure that information required to be disclosed in the Registrant’s Securities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the principal financial officer of the Registrant, the Registrant’s management has evaluated the effectiveness of the Registrant’s disclosure controls and procedures (as defined in Rule 13a-15(e) under the Securities Exchange Act of 1934), as of the end of the fiscal quarter covered by this Form 10-Q. Based upon that evaluation, the Registrant’s principal executive officer and principal financial officer have concluded that the Registrant’s disclosure controls and procedures were effective as of December 28,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 changes in the Registrant’s internal control over financial reporting (as defined in Rule 13a-15(f) under the Securities Exchange Act of 1934) occurred during the Registrant’s fiscal quarter ended December 28, 2024 that have materially affected, or are reasonably likely to materially affect, the Registrant’s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Reference is made to the legal proceedings that have been previously disclosed in Part I, Item 3 of the 2024 Annual Report. There have been no material developments to the pending legal proceedings set forth therein.</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risk factors, as of December 28, 2024, have not materially changed from those described in Part I, Item 1A of the 2024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This Form 10-Q, including the exhibits hereto and the information incorporated by reference herein, contains “forward-looking statements” within the meaning of Section 27A of the Securities Act of 1933, as amended, and Section 21E of the Securities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200" w:lineRule="exact"/>
        <w:rPr>
          <w:sz w:val="20"/>
          <w:szCs w:val="20"/>
          <w:color w:val="auto"/>
        </w:rPr>
      </w:pPr>
    </w:p>
    <w:p>
      <w:pPr>
        <w:spacing w:after="0" w:line="33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Form 10-Q are predictions only and actual results could differ materially from management’s expectations due to a variety of factors, including those described in “ITEM 1A. RISK FACTORS” in the 2024 Annual Report. All forward-looking statements attributable to us or persons working on our behalf are expressly qualified in their entirety by such risk factors and other cautionary statements that we make from time to time in our other SEC filings and public communications.</w:t>
      </w:r>
    </w:p>
    <w:p>
      <w:pPr>
        <w:spacing w:after="0" w:line="4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to only the payment of (i) regularly scheduled cash dividends to holders of its Common Shares in an aggregate amount not to exceed $225.0 million per fiscal year and (ii) other dividends, distributions or restricted payments in an aggregate amount not to exceed $25.0 million.</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10b-18(a)(3) under the Securities Exchange Act) of Scotts Miracle-Gro for each of the three fiscal months in the quarter ended December 28,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Common Shares</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0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6"/>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4060" w:type="dxa"/>
            <w:vAlign w:val="bottom"/>
            <w:vMerge w:val="continue"/>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Share (2)</w:t>
            </w: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0" w:type="dxa"/>
            <w:vAlign w:val="bottom"/>
          </w:tcPr>
          <w:p>
            <w:pPr>
              <w:spacing w:after="0"/>
              <w:rPr>
                <w:sz w:val="1"/>
                <w:szCs w:val="1"/>
                <w:color w:val="auto"/>
              </w:rPr>
            </w:pPr>
          </w:p>
        </w:tc>
      </w:tr>
      <w:tr>
        <w:trPr>
          <w:trHeight w:val="21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through October 26,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27, 2024 through November 23,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24, 2024 through December 28,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20" w:hanging="328"/>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first quarter of fiscal 2025 were purchased in open market transactions. The Common Shares purchased during the quarter consisted of 3,535 Common Shares purchased by the trustee of the rabbi trust established by the Company as permitted pursuant to the terms of The Scotts Company LLC Executive Retirement Plan.</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The Company does not have an active repurchase program.</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no director or officer (as defined under Rule 16a-1 of the Securities Exchange Act) adopted or terminated any Rule 10b5-1 trading arrangement or non Rule 10b5-1 trading arrangement (in each case, as defined in Item 408).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Index to Exhibits at page 43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79"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color w:val="auto"/>
        </w:rPr>
        <w:t>FOR THE QUARTERLY PERIOD ENDED DECEMBER 28, 2024</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360" w:type="dxa"/>
            <w:vAlign w:val="bottom"/>
            <w:gridSpan w:val="6"/>
          </w:tcPr>
          <w:p>
            <w:pPr>
              <w:ind w:left="840"/>
              <w:spacing w:after="0"/>
              <w:rPr>
                <w:sz w:val="20"/>
                <w:szCs w:val="20"/>
                <w:color w:val="auto"/>
              </w:rPr>
            </w:pPr>
            <w:r>
              <w:rPr>
                <w:rFonts w:ascii="Times New Roman" w:cs="Times New Roman" w:eastAsia="Times New Roman" w:hAnsi="Times New Roman"/>
                <w:sz w:val="18"/>
                <w:szCs w:val="18"/>
                <w:color w:val="auto"/>
              </w:rPr>
              <w:t>INDEX TO EXHIBITS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21"/>
                <w:szCs w:val="21"/>
                <w:color w:val="auto"/>
              </w:rPr>
            </w:pPr>
          </w:p>
        </w:tc>
        <w:tc>
          <w:tcPr>
            <w:tcW w:w="6080" w:type="dxa"/>
            <w:vAlign w:val="bottom"/>
            <w:gridSpan w:val="7"/>
          </w:tcPr>
          <w:p>
            <w:pPr>
              <w:ind w:left="2560"/>
              <w:spacing w:after="0"/>
              <w:rPr>
                <w:sz w:val="20"/>
                <w:szCs w:val="20"/>
                <w:color w:val="auto"/>
              </w:rPr>
            </w:pPr>
            <w:r>
              <w:rPr>
                <w:rFonts w:ascii="Times New Roman" w:cs="Times New Roman" w:eastAsia="Times New Roman" w:hAnsi="Times New Roman"/>
                <w:sz w:val="18"/>
                <w:szCs w:val="18"/>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183"/>
        </w:trPr>
        <w:tc>
          <w:tcPr>
            <w:tcW w:w="10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60" w:type="dxa"/>
            <w:vAlign w:val="bottom"/>
            <w:tcBorders>
              <w:top w:val="single" w:sz="8" w:color="auto"/>
            </w:tcBorders>
            <w:gridSpan w:val="6"/>
          </w:tcPr>
          <w:p>
            <w:pPr>
              <w:spacing w:after="0" w:line="182"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of Fiscal Year 2024 Incentive RSU Award Agreement</w:t>
              </w:r>
            </w:hyperlink>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November 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line="20" w:lineRule="exact"/>
              <w:rPr>
                <w:sz w:val="1"/>
                <w:szCs w:val="1"/>
                <w:color w:val="auto"/>
              </w:rPr>
            </w:pPr>
          </w:p>
        </w:tc>
      </w:tr>
      <w:tr>
        <w:trPr>
          <w:trHeight w:val="214"/>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Separation Agreement and Release of All Claims by and between The Scotts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80" w:type="dxa"/>
            <w:vAlign w:val="bottom"/>
            <w:gridSpan w:val="7"/>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Company LLC and Matthew E. Garth</w:t>
            </w:r>
          </w:p>
        </w:tc>
        <w:tc>
          <w:tcPr>
            <w:tcW w:w="56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Certifications (Principal Executive Officer)</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Certifications (Principal Financial Officer)</w:t>
            </w:r>
          </w:p>
        </w:tc>
        <w:tc>
          <w:tcPr>
            <w:tcW w:w="40" w:type="dxa"/>
            <w:vAlign w:val="bottom"/>
            <w:tcBorders>
              <w:top w:val="single" w:sz="8" w:color="0000FF"/>
            </w:tcBorders>
          </w:tcPr>
          <w:p>
            <w:pPr>
              <w:spacing w:after="0"/>
              <w:rPr>
                <w:sz w:val="18"/>
                <w:szCs w:val="18"/>
                <w:color w:val="auto"/>
              </w:rPr>
            </w:pPr>
          </w:p>
        </w:tc>
        <w:tc>
          <w:tcPr>
            <w:tcW w:w="108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20" w:right="3120" w:hanging="1181"/>
        <w:spacing w:after="0" w:line="237" w:lineRule="auto"/>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(Principal Executive Officer and Principal Financial Officer)</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ind w:left="1220" w:right="3300" w:hanging="1181"/>
        <w:spacing w:after="0" w:line="234"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Filed</w:t>
      </w:r>
    </w:p>
    <w:p>
      <w:pPr>
        <w:jc w:val="center"/>
        <w:spacing w:after="0"/>
        <w:rPr>
          <w:sz w:val="20"/>
          <w:szCs w:val="20"/>
          <w:color w:val="auto"/>
        </w:rPr>
      </w:pPr>
      <w:r>
        <w:rPr>
          <w:rFonts w:ascii="Times New Roman" w:cs="Times New Roman" w:eastAsia="Times New Roman" w:hAnsi="Times New Roman"/>
          <w:sz w:val="18"/>
          <w:szCs w:val="18"/>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13335</wp:posOffset>
            </wp:positionV>
            <wp:extent cx="643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00" w:space="280"/>
            <w:col w:w="680"/>
          </w:cols>
          <w:pgMar w:left="320" w:top="121"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50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SCHEIWER</w:t>
            </w:r>
          </w:p>
        </w:tc>
      </w:tr>
      <w:tr>
        <w:trPr>
          <w:trHeight w:val="218"/>
        </w:trPr>
        <w:tc>
          <w:tcPr>
            <w:tcW w:w="57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Mark J. Scheiwer</w:t>
            </w:r>
          </w:p>
        </w:tc>
      </w:tr>
      <w:tr>
        <w:trPr>
          <w:trHeight w:val="234"/>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Financial Officer &amp;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828040</wp:posOffset>
            </wp:positionV>
            <wp:extent cx="1268730"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687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5"/>
          <w:szCs w:val="25"/>
          <w:color w:val="auto"/>
        </w:rPr>
        <w:t>SEPARATION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AND RELEASE OF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327660</wp:posOffset>
            </wp:positionV>
            <wp:extent cx="6532245" cy="368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532245" cy="36893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NOTICE: READ BEFORE YOU SIGN!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This agreement contains a RELEASE. We advise that you consult an ATTORNEY.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SEPARATION AGREEMENT AND RELEASE OF ALL CLAIMS (“Agreement”) is made and entered into by and between Matthew E. Garth (“Employee”) and The Scotts Company LLC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Employee’s last day of employment with Company shall be December 31, 2024 (the “Termination Date”);</w:t>
      </w:r>
    </w:p>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Employee is covered as a Tier 1Participant under the Company’s Executive Severance Plan, and the Company wishes to provide Severance Benefits, as provided herein, which are non-negotiable and are no less than the benefits Employee may otherwise be entitled to receive under the Executive Severance Plan in the event of an involuntary termination without Cause;</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exchange for and in consideration of the promises and covenants contained herein, along with other good and valuable consideration, the receipt of which is expressly acknowledged hereby, the parties agree as follows:</w:t>
      </w:r>
    </w:p>
    <w:p>
      <w:pPr>
        <w:spacing w:after="0" w:line="198" w:lineRule="exact"/>
        <w:rPr>
          <w:sz w:val="20"/>
          <w:szCs w:val="20"/>
          <w:color w:val="auto"/>
        </w:rPr>
      </w:pPr>
    </w:p>
    <w:p>
      <w:pPr>
        <w:jc w:val="both"/>
        <w:ind w:firstLine="656"/>
        <w:spacing w:after="0" w:line="249"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The parties agree that Employee has been separated from service for a reason covered by the Company’s Executive Severance Plan (and that receipt of this Agreement shall serve as a “Notice of Termination” as described therein) and, thus, Employee is entitled to the benefits that would otherwise be available under the Executive Severance Plan (and no other severance benefits) provided Employee satisfies the conditions of this Agreement, and then is only entitled to such benefits upon the Effective Date of this Agreement. The terms of the Executive Severance Plan are hereby incorporated by reference and any inconsistency between the terms of the Executive Severance Plan and this Agreement will be resolved in favor of the terms of the Executive Severance Plan. The Company agrees to provide Employee with the following (collectively, the “Severance Benefits”):</w:t>
      </w:r>
    </w:p>
    <w:p>
      <w:pPr>
        <w:spacing w:after="0" w:line="208" w:lineRule="exact"/>
        <w:rPr>
          <w:rFonts w:ascii="Times New Roman" w:cs="Times New Roman" w:eastAsia="Times New Roman" w:hAnsi="Times New Roman"/>
          <w:sz w:val="22"/>
          <w:szCs w:val="22"/>
          <w:color w:val="auto"/>
        </w:rPr>
      </w:pPr>
    </w:p>
    <w:p>
      <w:pPr>
        <w:ind w:left="1960" w:hanging="656"/>
        <w:spacing w:after="0" w:line="256" w:lineRule="auto"/>
        <w:tabs>
          <w:tab w:leader="none" w:pos="186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Pay equal to a continuation of salary, at Employee’s regular base pay as of the Termination Date and as described under the Executive Severance Plan (the “Severance Pay”), payable in accordance with standard Company payroll procedures for 24 months (the “Severance Period”). The Severance Pay shall be subject to withholding and</w:t>
      </w:r>
    </w:p>
    <w:p>
      <w:pPr>
        <w:sectPr>
          <w:pgSz w:w="11900" w:h="16838" w:orient="portrait"/>
          <w:cols w:equalWidth="0" w:num="1">
            <w:col w:w="11240"/>
          </w:cols>
          <w:pgMar w:left="320" w:top="122" w:right="339" w:bottom="1440" w:gutter="0" w:footer="0" w:header="0"/>
        </w:sectPr>
      </w:pPr>
    </w:p>
    <w:bookmarkStart w:id="45" w:name="page46"/>
    <w:bookmarkEnd w:id="45"/>
    <w:p>
      <w:pPr>
        <w:jc w:val="both"/>
        <w:ind w:left="840"/>
        <w:spacing w:after="0" w:line="250" w:lineRule="auto"/>
        <w:rPr>
          <w:sz w:val="20"/>
          <w:szCs w:val="20"/>
          <w:color w:val="auto"/>
        </w:rPr>
      </w:pPr>
      <w:r>
        <w:rPr>
          <w:rFonts w:ascii="Times New Roman" w:cs="Times New Roman" w:eastAsia="Times New Roman" w:hAnsi="Times New Roman"/>
          <w:sz w:val="22"/>
          <w:szCs w:val="22"/>
          <w:color w:val="auto"/>
        </w:rPr>
        <w:t xml:space="preserve">deductions required by federal, state, and local taxing authorities with each installment. The Severance Pay shall begin to be paid on the first payroll date following the Effective Date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 that if this Agreement would allow the Effective Date to occur in either of two calendar years, then the first payment of the Severance Pay shall be made on the first payroll date that occurs in the second calendar year and that is after the Effective Date of this Agreement</w:t>
      </w:r>
      <w:r>
        <w:rPr>
          <w:rFonts w:ascii="Times New Roman" w:cs="Times New Roman" w:eastAsia="Times New Roman" w:hAnsi="Times New Roman"/>
          <w:sz w:val="22"/>
          <w:szCs w:val="22"/>
          <w:color w:val="auto"/>
        </w:rPr>
        <w:t>. For purposes of clarity, the first payment of Severance Pay will include a catch-up of any Severance Payments that would otherwise have been scheduled for payment prior to the Effective Date of this Agreement</w:t>
      </w:r>
      <w:r>
        <w:rPr>
          <w:rFonts w:ascii="Times New Roman" w:cs="Times New Roman" w:eastAsia="Times New Roman" w:hAnsi="Times New Roman"/>
          <w:sz w:val="22"/>
          <w:szCs w:val="22"/>
          <w:u w:val="single" w:color="auto"/>
          <w:color w:val="auto"/>
        </w:rPr>
        <w:t>.</w:t>
      </w:r>
    </w:p>
    <w:p>
      <w:pPr>
        <w:spacing w:after="0" w:line="207" w:lineRule="exact"/>
        <w:rPr>
          <w:sz w:val="20"/>
          <w:szCs w:val="20"/>
          <w:color w:val="auto"/>
        </w:rPr>
      </w:pPr>
    </w:p>
    <w:p>
      <w:pPr>
        <w:jc w:val="both"/>
        <w:ind w:left="840" w:hanging="656"/>
        <w:spacing w:after="0" w:line="263" w:lineRule="auto"/>
        <w:tabs>
          <w:tab w:leader="none" w:pos="84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lieu of outplacement services, Employee will receive a lump sum payment of $30,000 (gross) (the “Miscellaneous Payment”), which shall be paid on the later of the first payroll date following the Effective Date of this Agreement or January 24, 2025.</w:t>
      </w:r>
    </w:p>
    <w:p>
      <w:pPr>
        <w:spacing w:after="0" w:line="194" w:lineRule="exact"/>
        <w:rPr>
          <w:rFonts w:ascii="Times New Roman" w:cs="Times New Roman" w:eastAsia="Times New Roman" w:hAnsi="Times New Roman"/>
          <w:sz w:val="22"/>
          <w:szCs w:val="22"/>
          <w:color w:val="auto"/>
        </w:rPr>
      </w:pPr>
    </w:p>
    <w:p>
      <w:pPr>
        <w:ind w:left="840" w:hanging="656"/>
        <w:spacing w:after="0" w:line="249" w:lineRule="auto"/>
        <w:tabs>
          <w:tab w:leader="none" w:pos="7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be eligible to elect COBRA continuation benefits as to medical, dental and vision insurance benefits, and participation in the Employee Assistance Program as provided by applicable law, and the applicable plan. At the time payment is made pursuant to paragraph 1A, the Company shall also pay Employee an amount equal to the excess of the COBRA premium charged by the Company to terminated employees minus the premium Employee paid as an active employee for the benefits for which Employee was actively participating on the Termination Date, all calculated at the rates in effect at the Termination Date (a “Benefits Offset Payment”). This Benefits Offset Payment will be made for each month starting with the month following the Termination Date for the remainder of the Severance Period. This payment shall be subject to any applicable withholding and deductions required by federal, state, and local taxing authorities.</w:t>
      </w:r>
    </w:p>
    <w:p>
      <w:pPr>
        <w:spacing w:after="0" w:line="210" w:lineRule="exact"/>
        <w:rPr>
          <w:rFonts w:ascii="Times New Roman" w:cs="Times New Roman" w:eastAsia="Times New Roman" w:hAnsi="Times New Roman"/>
          <w:sz w:val="22"/>
          <w:szCs w:val="22"/>
          <w:color w:val="auto"/>
        </w:rPr>
      </w:pPr>
    </w:p>
    <w:p>
      <w:pPr>
        <w:ind w:left="840" w:hanging="656"/>
        <w:spacing w:after="0" w:line="247" w:lineRule="auto"/>
        <w:tabs>
          <w:tab w:leader="none" w:pos="73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will be eligible to receive a Bonus Amount equal to two times the Employees’ cash-based Target Annual Bonus Opportunity (base salary multiplied by incentive target percentage) for fiscal year ending September 30, 2025. The Bonus Amount shall be paid in two equal installments. The first installment shall be paid on the first payroll date following the first-year anniversary of the Termination Date provided that Employee has continued to comply with both his covenants and obligations under this Agreement and any other postemployment obligations that he may have including any obligations under the noncompetition, nonsolicitation and confidentiality agreement that he signed, until the date of payment. The second installment shall be paid on the first payroll date following the second-year anniversary of the Termination Date provided that Employee has continued to comply with both his covenants and obligations under this Agreement and any other postemployment obligations that he may</w:t>
      </w:r>
    </w:p>
    <w:p>
      <w:pPr>
        <w:sectPr>
          <w:pgSz w:w="11900" w:h="16838" w:orient="portrait"/>
          <w:cols w:equalWidth="0" w:num="1">
            <w:col w:w="10120"/>
          </w:cols>
          <w:pgMar w:left="1440" w:top="1422" w:right="339" w:bottom="1440" w:gutter="0" w:footer="0" w:header="0"/>
        </w:sectPr>
      </w:pPr>
    </w:p>
    <w:bookmarkStart w:id="46" w:name="page47"/>
    <w:bookmarkEnd w:id="46"/>
    <w:p>
      <w:pPr>
        <w:jc w:val="both"/>
        <w:ind w:left="840"/>
        <w:spacing w:after="0" w:line="253" w:lineRule="auto"/>
        <w:rPr>
          <w:sz w:val="20"/>
          <w:szCs w:val="20"/>
          <w:color w:val="auto"/>
        </w:rPr>
      </w:pPr>
      <w:r>
        <w:rPr>
          <w:rFonts w:ascii="Times New Roman" w:cs="Times New Roman" w:eastAsia="Times New Roman" w:hAnsi="Times New Roman"/>
          <w:sz w:val="22"/>
          <w:szCs w:val="22"/>
          <w:color w:val="auto"/>
        </w:rPr>
        <w:t>have including any obligations under the noncompetition, nonsolicitation and confidentiality agreement that he signed, until the date of payment. This payment shall be subject to any applicable withholding and deductions required by federal, state, and local taxing authorities. For purposes of clarity, based on the Termination Date, Employee is not eligible to receive an incentive payment determined pursuant to the Company’s Executive Incentive Plan for the fiscal year ending September 30, 2025.</w:t>
      </w:r>
    </w:p>
    <w:p>
      <w:pPr>
        <w:spacing w:after="0" w:line="206" w:lineRule="exact"/>
        <w:rPr>
          <w:sz w:val="20"/>
          <w:szCs w:val="20"/>
          <w:color w:val="auto"/>
        </w:rPr>
      </w:pPr>
    </w:p>
    <w:p>
      <w:pPr>
        <w:ind w:left="840" w:hanging="656"/>
        <w:spacing w:after="0" w:line="249" w:lineRule="auto"/>
        <w:tabs>
          <w:tab w:leader="none" w:pos="72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Employee’s execution of this Agreement, the unvested Stock Options granted to Employee on February 3, 2023, November 16, 2023, and February16, 2024, will vest on a prorated basis, calculated based on the number of days of active service between the respective grant date and the Termination Date over 1097 days. The resulting number of vested Stock Options will become exercisable on the Termination Date and will expire on the second anniversary of the Termination Date. With the exception of the change in vesting and the change in the expiration date of the Stock Options specified in this Section 1(E), the Stock Option grants referenced in this Section 1(E) remain subject to all terms and conditions of the applicable Award Agreements.</w:t>
      </w:r>
    </w:p>
    <w:p>
      <w:pPr>
        <w:spacing w:after="0" w:line="208" w:lineRule="exact"/>
        <w:rPr>
          <w:rFonts w:ascii="Times New Roman" w:cs="Times New Roman" w:eastAsia="Times New Roman" w:hAnsi="Times New Roman"/>
          <w:sz w:val="22"/>
          <w:szCs w:val="22"/>
          <w:color w:val="auto"/>
        </w:rPr>
      </w:pPr>
    </w:p>
    <w:p>
      <w:pPr>
        <w:ind w:left="840" w:hanging="656"/>
        <w:spacing w:after="0" w:line="248" w:lineRule="auto"/>
        <w:tabs>
          <w:tab w:leader="none" w:pos="6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Employee’s execution of this Agreement, the unvested Performance Units (and their related dividend equivalents) granted to Employee on February 3, 2023 (the “2023 Performance Units”), will vest on a prorated basis as of the Normal Vesting Date, calculated based on the number of days of active service between the grant date and the Termination Date over 1097 days. For purposes of clarity the Company confirms that the performance criteria for the 2023 Performance Units have been satisfied as of the Termination Date. With the exception of the change in vesting specified in this Section 1(F), the 2023 Performance Units remain subject to all terms and conditions of the applicable Award Agreement. Also in exchange for Employee’s execution of this Agreement, the Performance Units (and their related dividend equivalents) granted to Employee on February 16, 2024 (the “2024 Performance Units”), will vest and settle on a prorated basis as of the Normal Vesting Date (to the extent the underlying performance criteria specified in the applicable Award Agreement are satisfied), calculated based on the number of days of active service between the grant date and the Termination Date over 1097 days. With the exception of the change in vesting specified in this Section 1(F), the 2024 Performance Units remain subject to all terms and conditions of the applicable Award Agreement.</w:t>
      </w:r>
    </w:p>
    <w:p>
      <w:pPr>
        <w:spacing w:after="0" w:line="214" w:lineRule="exact"/>
        <w:rPr>
          <w:rFonts w:ascii="Times New Roman" w:cs="Times New Roman" w:eastAsia="Times New Roman" w:hAnsi="Times New Roman"/>
          <w:sz w:val="22"/>
          <w:szCs w:val="22"/>
          <w:color w:val="auto"/>
        </w:rPr>
      </w:pPr>
    </w:p>
    <w:p>
      <w:pPr>
        <w:ind w:left="840" w:hanging="656"/>
        <w:spacing w:after="0" w:line="295" w:lineRule="auto"/>
        <w:tabs>
          <w:tab w:leader="none" w:pos="7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clarity, the unvested Restricted Stock Units (and their related dividend equivalents) granted to Employee on December 1, 2022, will become one hundred percent (100%) vested and will settle in</w:t>
      </w:r>
    </w:p>
    <w:p>
      <w:pPr>
        <w:sectPr>
          <w:pgSz w:w="11900" w:h="16838" w:orient="portrait"/>
          <w:cols w:equalWidth="0" w:num="1">
            <w:col w:w="10120"/>
          </w:cols>
          <w:pgMar w:left="1440" w:top="1422" w:right="339" w:bottom="1440" w:gutter="0" w:footer="0" w:header="0"/>
        </w:sectPr>
      </w:pPr>
    </w:p>
    <w:bookmarkStart w:id="47" w:name="page48"/>
    <w:bookmarkEnd w:id="47"/>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accordance with the terms of the applicable Award Agreement to the extent not previously settled. The provisions in this Section 1(G) are not subject to Employee signing the Release and the applicable Award Agreement stands on its own.</w:t>
      </w:r>
    </w:p>
    <w:p>
      <w:pPr>
        <w:spacing w:after="0" w:line="213" w:lineRule="exact"/>
        <w:rPr>
          <w:sz w:val="20"/>
          <w:szCs w:val="20"/>
          <w:color w:val="auto"/>
        </w:rPr>
      </w:pPr>
    </w:p>
    <w:p>
      <w:pPr>
        <w:ind w:left="1960" w:hanging="656"/>
        <w:spacing w:after="0" w:line="271" w:lineRule="auto"/>
        <w:tabs>
          <w:tab w:leader="none" w:pos="19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the unvested Stock Options granted to Employee on November 8, 2024, will be cancelled as of the Termination Date.</w:t>
      </w:r>
    </w:p>
    <w:p>
      <w:pPr>
        <w:spacing w:after="0" w:line="184" w:lineRule="exact"/>
        <w:rPr>
          <w:rFonts w:ascii="Times New Roman" w:cs="Times New Roman" w:eastAsia="Times New Roman" w:hAnsi="Times New Roman"/>
          <w:sz w:val="22"/>
          <w:szCs w:val="22"/>
          <w:color w:val="auto"/>
        </w:rPr>
      </w:pPr>
    </w:p>
    <w:p>
      <w:pPr>
        <w:ind w:left="1960" w:hanging="656"/>
        <w:spacing w:after="0" w:line="256" w:lineRule="auto"/>
        <w:tabs>
          <w:tab w:leader="none" w:pos="175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clarity, the Company confirms that Employee will have no obligation to repay any portion of the relocation benefits paid by Company in connection with Employee’s relocation to the central Ohio area, whether or not such expenses are otherwise subject to a Relocation Payback Agreement that was previously signed by Employee.</w:t>
      </w:r>
    </w:p>
    <w:p>
      <w:pPr>
        <w:spacing w:after="0" w:line="20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Severance Benefits described herein shall be the only amounts paid by or on behalf of Company, and no interest on this amount shall be paid. Employee acknowledges and agrees that the benefits described above are no less than the benefits payable to Employee pursuant to the Executive Severance Plan and that he is not entitled to any other benefits under the Executive Severance Plan or any other plan or agreement, unless otherwise specified in this Agreement. Employee otherwise acknowledges hereby the receipt of all wages and other compensation or benefits to which Employee is entitled as a result of Employee’s employment with Company through the Termination Date. In the event that Employee accepts re-employment with Scotts or any of its affiliates or accepts employment with any of Scotts’ strategic or joint venture partners during the Severance Period, Scotts’ obligation to continue paying or providing the Separation Benefits provided pursuant to Sections 1(A) through 1(F), as applicable, will cease as of the date such employment or re-employment begins. For purposes of clarity, the preceding sentence does not preclude Employee from continuing or accepting a board appointment with either a current or future affiliate, strategic or joint venture partner of Scotts.</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Employee acknowledges and agrees that Company is under no obligation to pay Employee any Severance Benefits until Employee has agreed to be bound by a separate confidentiality, noncompetition, and nonsolicitation agreement, similar arrangement, and any other post-employment obligations under any Company policy with such obligations (“Post-Employment Obligations”). Company and Employee acknowledge that Employee entered into an Employee Confidentiality, Noncompetition, Nonsolicitation Agreement dated April 12, 2023, which satisfies the condition set forth in the preceding sentence. In addition, Employee acknowledges and agrees all Severance Benefits, except for an amount equal to one (1) salary continuation payment, paid must be repaid, and the payment of any future Severance Benefits, if any, will cease, in the event that the Company, after a reasonable inquiry, determines that Employee has breached any Post-Employment Obligations owed to the Company, and Employee has been provided notice of the breach and a reasonable opportunity to cure.</w:t>
      </w:r>
    </w:p>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Finally, Employee acknowledges and agrees that any and all business expenses must be properly submitted for reimbursement with all required supporting documentation before payment of any Severance Benefits will commence. Employee acknowledges and agrees that</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22"/>
          <w:szCs w:val="22"/>
          <w:color w:val="auto"/>
        </w:rPr>
        <w:t>any amounts that remain due on Employee’s Corporate American Express card account that the Company deems for any reason to be personal expenses, including but not limited to insufficient supporting documentation or because such amounts are otherwise non-reimbursable under the Company’s Corporate Travel and Business Expense policy, must be paid in full before payment of any Severance Benefits will commence.</w:t>
      </w:r>
    </w:p>
    <w:p>
      <w:pPr>
        <w:spacing w:after="0" w:line="203" w:lineRule="exact"/>
        <w:rPr>
          <w:sz w:val="20"/>
          <w:szCs w:val="20"/>
          <w:color w:val="auto"/>
        </w:rPr>
      </w:pPr>
    </w:p>
    <w:p>
      <w:pPr>
        <w:jc w:val="both"/>
        <w:ind w:firstLine="656"/>
        <w:spacing w:after="0" w:line="260" w:lineRule="auto"/>
        <w:tabs>
          <w:tab w:leader="none" w:pos="129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w:t>
      </w:r>
      <w:r>
        <w:rPr>
          <w:rFonts w:ascii="Times New Roman" w:cs="Times New Roman" w:eastAsia="Times New Roman" w:hAnsi="Times New Roman"/>
          <w:sz w:val="21"/>
          <w:szCs w:val="21"/>
          <w:color w:val="auto"/>
        </w:rPr>
        <w:t>. Employee, on behalf of Employee and Employee’s spouse, personal representatives, administrators, minor children, heirs, assigns, wards, agents, and all other persons claiming by or through Employee, does hereby forever release and discharge Company and its respective officers, directors, shareholders, agents, employees, affiliates, subsidiaries, divisions, predecessors, successors, and assigns (the “Released Parties”) from any and all charges, claims, demands, judgments, causes of action, damages, expenses, costs, and liabilities of any kind whatsoever. Employee expressly acknowledges that the claims released by this paragraph include all rights and claims relating to Employee’s employment with Company and the termination thereof, including without limitation any claims Employee may have under the Age Discrimination in Employment Act, as amended by the Older Worker Benefit Protection Act, Title VII of the Civil Rights Act of 1964, as amended, the Equal Pay Act, the Americans with Disabilities Act, the Employee Retirement Income Security Act, the Worker Adjustment Retraining and Notification (WARN) Act, Ohio Revised Code Chapter 4112, Family and Medical Leave Act and any other federal, state, or local laws or regulations governing employment relationships. This release specifically and without limitation includes a release and waiver of any claims for employment discrimination, wrongful discharge, breach of contract, or promissory estoppel, and extends to all claims of every nature and kind, whether known or unknown, suspected or unsuspected, presently existing or resulting from or attributable to any act or omission of the Released Parties occurring prior to the execution of this Agreement. This release does not apply to any claim or rights or claims that may arise after the Effective Date of this Agreement. This release does not apply to any claims for unemployment compensation, workers compensation benefits, or vested benefits under ERISA.</w:t>
      </w:r>
    </w:p>
    <w:p>
      <w:pPr>
        <w:spacing w:after="0" w:line="201"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Participate in Charge.</w:t>
      </w:r>
      <w:r>
        <w:rPr>
          <w:rFonts w:ascii="Times New Roman" w:cs="Times New Roman" w:eastAsia="Times New Roman" w:hAnsi="Times New Roman"/>
          <w:sz w:val="22"/>
          <w:szCs w:val="22"/>
          <w:color w:val="auto"/>
        </w:rPr>
        <w:t xml:space="preserve"> Nothing in this Agreement shall be construed to mean that Employee may not file a charge with a governmental agency, or participate in any investigation of a charge conducted by any governmental agency. Employee nevertheless understands and agrees that because of the waiver and release, he freely provides by signing this Agreement, he cannot obtain any monetary relief or recovery from the Released Parties in any proceeding.</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Knowing and Voluntary Act</w:t>
      </w:r>
      <w:r>
        <w:rPr>
          <w:rFonts w:ascii="Times New Roman" w:cs="Times New Roman" w:eastAsia="Times New Roman" w:hAnsi="Times New Roman"/>
          <w:sz w:val="22"/>
          <w:szCs w:val="22"/>
          <w:color w:val="auto"/>
        </w:rPr>
        <w:t>. Employee acknowledges and agrees that the release set forth above is a general release. Employee, having been encouraged to and having had the opportunity to be advised by counsel, expressly waives all claims for damages which exist as of this date, but of which Employee does not now know or suspect to exist, whether through ignorance, oversight, error, negligence, or otherwise, and which, if known would materially affect Employee’s decision to enter into this Agreement. Employee further agrees that Employee accepts the Severance Benefits as a complete compromise of matters involving disputed issues of law and fact and assumes the risk that the facts and law may be other than Employee believes. Employee further acknowledges and agrees that all the terms of this Agreement shall be in all</w:t>
      </w:r>
    </w:p>
    <w:p>
      <w:pPr>
        <w:sectPr>
          <w:pgSz w:w="11900" w:h="16838" w:orient="portrait"/>
          <w:cols w:equalWidth="0" w:num="1">
            <w:col w:w="11240"/>
          </w:cols>
          <w:pgMar w:left="320" w:top="1422" w:right="339" w:bottom="1440" w:gutter="0" w:footer="0" w:header="0"/>
        </w:sectPr>
      </w:pPr>
    </w:p>
    <w:bookmarkStart w:id="49" w:name="page50"/>
    <w:bookmarkEnd w:id="49"/>
    <w:p>
      <w:pPr>
        <w:spacing w:after="0" w:line="271" w:lineRule="auto"/>
        <w:rPr>
          <w:sz w:val="20"/>
          <w:szCs w:val="20"/>
          <w:color w:val="auto"/>
        </w:rPr>
      </w:pPr>
      <w:r>
        <w:rPr>
          <w:rFonts w:ascii="Times New Roman" w:cs="Times New Roman" w:eastAsia="Times New Roman" w:hAnsi="Times New Roman"/>
          <w:sz w:val="22"/>
          <w:szCs w:val="22"/>
          <w:color w:val="auto"/>
        </w:rPr>
        <w:t>respects effective and not subject to termination or rescission by reason of any such differences in the facts or law, and that Employee provides this release voluntarily and with full knowledge and understanding of the terms hereof.</w:t>
      </w:r>
    </w:p>
    <w:p>
      <w:pPr>
        <w:spacing w:after="0" w:line="181" w:lineRule="exact"/>
        <w:rPr>
          <w:sz w:val="20"/>
          <w:szCs w:val="20"/>
          <w:color w:val="auto"/>
        </w:rPr>
      </w:pPr>
    </w:p>
    <w:p>
      <w:pPr>
        <w:jc w:val="both"/>
        <w:ind w:firstLine="656"/>
        <w:spacing w:after="0" w:line="263" w:lineRule="auto"/>
        <w:tabs>
          <w:tab w:leader="none" w:pos="129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Revocation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Employee specifically acknowledges and understands that this Agreement is intended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release and discharge any claims of Employee under the Age Discrimination in Employment Act, as amended by the Older Worker Benefit Protection Act (OWBPA). Under the OWBPA, Employee has 45 calendar days in which to consider this Agreement. However, pursuant to paragraph 19, below, Employee may sign this Agreement at any time up to and including 60 days after the Termination Date. Employee will have 7 calendar days in which to revoke Employee’s acceptance after signing this Agreement. </w:t>
      </w:r>
      <w:r>
        <w:rPr>
          <w:rFonts w:ascii="Times New Roman" w:cs="Times New Roman" w:eastAsia="Times New Roman" w:hAnsi="Times New Roman"/>
          <w:sz w:val="21"/>
          <w:szCs w:val="21"/>
          <w:color w:val="auto"/>
        </w:rPr>
        <w:t>To revoke, Employee must deliver written notice of revocation to Company’s Human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Resources Department at 14111 Scottslawn Rd; Marysville, Ohio 43041. This Agreement will not be effective or enforceable unless it is signed in accordance with Paragraph 19 and is not revoked before the revocation period has expired. The Effective Date is the day after the last day of the revocation period following Employee’s execution of this Agreement.</w:t>
      </w:r>
    </w:p>
    <w:p>
      <w:pPr>
        <w:spacing w:after="0" w:line="200"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agrees that Employee will not make any statement to any third party that Employee could reasonably foresee would cause harm to the personal or professional reputation of the Released Parties. The Company will instruct its CEO, Senior Executive Staff, Human Resource Executives, and all direct reports of the COO and CFO not to make any statement to any third party that could reasonably be foreseen to cause harm to the personal or professional reputation of Employee. Nothing in this section limits any person's ability to provide truthful testimony or information to any court or government agency.</w:t>
      </w:r>
    </w:p>
    <w:p>
      <w:pPr>
        <w:spacing w:after="0" w:line="208"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 of Liability</w:t>
      </w:r>
      <w:r>
        <w:rPr>
          <w:rFonts w:ascii="Times New Roman" w:cs="Times New Roman" w:eastAsia="Times New Roman" w:hAnsi="Times New Roman"/>
          <w:sz w:val="22"/>
          <w:szCs w:val="22"/>
          <w:color w:val="auto"/>
        </w:rPr>
        <w:t>. Neither this Agreement, nor any term contained herein, may be construed as, or may be used as, an admission on the part of either party of any fault, wrongdoing, or liability whatsoever.</w:t>
      </w:r>
    </w:p>
    <w:p>
      <w:pPr>
        <w:spacing w:after="0" w:line="19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Survivorship</w:t>
      </w:r>
      <w:r>
        <w:rPr>
          <w:rFonts w:ascii="Times New Roman" w:cs="Times New Roman" w:eastAsia="Times New Roman" w:hAnsi="Times New Roman"/>
          <w:sz w:val="22"/>
          <w:szCs w:val="22"/>
          <w:color w:val="auto"/>
        </w:rPr>
        <w:t>. Should Employee die or become totally disabled following the Termination Date but before the payments due Employee under Paragraph 1 above have been made, any remaining payments shall be made to Employee (or Employee’s designated beneficiary, as applicable).</w:t>
      </w:r>
    </w:p>
    <w:p>
      <w:pPr>
        <w:spacing w:after="0" w:line="19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Employee either agrees to return, or that he has already returned, or will return, all Company property remaining in Employee’s possession or control, including without limitation any and all equipment, documents, credit cards, hardware, software, source code, data, keys or access cards, files, or records.</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This Agreement is and shall remain confidential. Employee agrees not to, at any time, disclose the terms of this Agreement, in whole or in part, including the existence and amount of the Severance Benefits, to any individual or entity without the prior written consent of Company or unless required by law. Employee may, however, disclose the terms of this Agreement to Employee’s attorney, tax advisor, and immediate family, provided that any such persons agree in advance to be bound by this confidentiality provision. Employee</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22"/>
          <w:szCs w:val="22"/>
          <w:color w:val="auto"/>
        </w:rPr>
        <w:t>further acknowledges and agrees that any confidentiality, nondisclosure, noncompetition, and nonsolicitation obligations to Company under any prior agreement, are not being released hereby and will specifically survive the termination of Employee’s employment and this Agreement. Employee expressly agrees to keep and maintain Company confidential information confidential, and not to use or disclose such information, directly or indirectly, without the prior written consent of Company or unless required by law. Employee agrees that the provisions of this paragraph are material terms of this Agreement.</w:t>
      </w:r>
    </w:p>
    <w:p>
      <w:pPr>
        <w:spacing w:after="0" w:line="206" w:lineRule="exact"/>
        <w:rPr>
          <w:sz w:val="20"/>
          <w:szCs w:val="20"/>
          <w:color w:val="auto"/>
        </w:rPr>
      </w:pPr>
    </w:p>
    <w:p>
      <w:pPr>
        <w:jc w:val="both"/>
        <w:ind w:firstLine="656"/>
        <w:spacing w:after="0" w:line="248" w:lineRule="auto"/>
        <w:tabs>
          <w:tab w:leader="none" w:pos="128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with Litigation</w:t>
      </w:r>
      <w:r>
        <w:rPr>
          <w:rFonts w:ascii="Times New Roman" w:cs="Times New Roman" w:eastAsia="Times New Roman" w:hAnsi="Times New Roman"/>
          <w:sz w:val="22"/>
          <w:szCs w:val="22"/>
          <w:color w:val="auto"/>
        </w:rPr>
        <w:t>. Employee will cooperate fully with Company in its defense of any lawsuit filed over matters that occurred during the tenure of Employee’s employment with Company, and Employee agrees to provide full and accurate information with respect to same. Employee further agrees not to assist any party in maintaining any lawsuit against any of the Released Parties, including without limitation any pending or future litigation in which Employee, other Company personnel, or Company entities are named as parties, and will not provide any information to anyone concerning any of the Released Parties, unless compelled to do so by valid subpoena or other court order, and in such case only after first notifying Company sufficiently in advance of such subpoena or court order to reasonably allow Company an opportunity to object to same. In the event that Employee's cooperation is necessary under this paragraph, Employee and the Company shall agree on a reasonable rate for Employee's time and reimbursement of reasonable expenses in providing that cooperation.</w:t>
      </w:r>
    </w:p>
    <w:p>
      <w:pPr>
        <w:spacing w:after="0" w:line="225"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 with Governmental Investigations.</w:t>
      </w:r>
      <w:r>
        <w:rPr>
          <w:rFonts w:ascii="Times New Roman" w:cs="Times New Roman" w:eastAsia="Times New Roman" w:hAnsi="Times New Roman"/>
          <w:sz w:val="21"/>
          <w:szCs w:val="21"/>
          <w:color w:val="auto"/>
        </w:rPr>
        <w:t xml:space="preserve"> Employee will cooperate fully with Company in any investigation, audit, or inquiry conducted by or on behalf of any federal, state, or local governmental agencies regarding the Company, including, but not limited to, providing truthful information to the Company and making himself available to the Company upon reasonable notice for purposes of being interviewed or otherwise providing assistance to the Company. Employee further agrees to notify the Company through the Director of Litigation, at 14111 Scottslawn Road, Marysville, Ohio 43041 should he be contacted by a governmental agency regarding a governmental investigation, audit or inquiry regarding the Company. In the event that Employee's cooperation is necessary under this paragraph, Employee and the Company shall agree on a reasonable rate for Employee's time and reimbursement of reasonable expenses in providing that cooperation.</w:t>
      </w:r>
    </w:p>
    <w:p>
      <w:pPr>
        <w:spacing w:after="0" w:line="199"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in any other agreement, contract or arrangement with the Company or its subsidiaries or affiliates, or in any policy, procedure or practice of the Company or its subsidiaries or affiliates (collectively, the “Arrangements”)): (a) nothing in the Arrangements or otherwise limits Employee’s right to any monetary award offered by a government-administered whistleblower award program for providing information directly to a government agency (including the Securities and Exchange Commission pursuant to Section 21F of the Securities Exchange Act of 1934, as amended, the Dodd-Frank Wall Street Reform and Consumer Protection Act or The Sarbanes-Oxley Act of 2002); and (b) nothing in the Arrangements or otherwise prevents Employee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22"/>
          <w:szCs w:val="22"/>
          <w:color w:val="auto"/>
        </w:rPr>
        <w:t>violations (for purpose of clarification, Employee is not prohibited from providing information (including documents) voluntarily to the Securities and Exchange Commission pursuant to Section 21F of the Securities Exchange Act of 1934, as amended). The Company nonetheless asserts and does not waive its attorney-client privilege over any information appropriately protected by privilege. The terms of this paragraph are referred to as the “Protected Rights,” and the terms of this Agreement are subject to the Protected Rights.</w:t>
      </w:r>
    </w:p>
    <w:p>
      <w:pPr>
        <w:spacing w:after="0" w:line="206" w:lineRule="exact"/>
        <w:rPr>
          <w:sz w:val="20"/>
          <w:szCs w:val="20"/>
          <w:color w:val="auto"/>
        </w:rPr>
      </w:pPr>
    </w:p>
    <w:p>
      <w:pPr>
        <w:ind w:firstLine="656"/>
        <w:spacing w:after="0" w:line="271"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construction and interpretation of this Agreement shall be governed by the laws of the State of Ohio.</w:t>
      </w:r>
    </w:p>
    <w:p>
      <w:pPr>
        <w:spacing w:after="0" w:line="184"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in Parts</w:t>
      </w:r>
      <w:r>
        <w:rPr>
          <w:rFonts w:ascii="Times New Roman" w:cs="Times New Roman" w:eastAsia="Times New Roman" w:hAnsi="Times New Roman"/>
          <w:sz w:val="22"/>
          <w:szCs w:val="22"/>
          <w:color w:val="auto"/>
        </w:rPr>
        <w:t>. This Agreement may be executed in multiple counterparts, each of which shall constitute an original, and all of which shall constitute a single Agreement.</w:t>
      </w:r>
    </w:p>
    <w:p>
      <w:pPr>
        <w:spacing w:after="0" w:line="17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 of Terms</w:t>
      </w:r>
      <w:r>
        <w:rPr>
          <w:rFonts w:ascii="Times New Roman" w:cs="Times New Roman" w:eastAsia="Times New Roman" w:hAnsi="Times New Roman"/>
          <w:sz w:val="22"/>
          <w:szCs w:val="22"/>
          <w:color w:val="auto"/>
        </w:rPr>
        <w:t>. Failure to insist upon strict compliance with any of the terms, covenants, or conditions of this Agreement shall not be deemed a waiver of any such term, covenant, or condition, nor shall any failure at any one time or more times be deemed a waiver or relinquishment at any other time or times of any right under this Agreement.</w:t>
      </w:r>
    </w:p>
    <w:p>
      <w:pPr>
        <w:spacing w:after="0" w:line="199" w:lineRule="exact"/>
        <w:rPr>
          <w:rFonts w:ascii="Times New Roman" w:cs="Times New Roman" w:eastAsia="Times New Roman" w:hAnsi="Times New Roman"/>
          <w:sz w:val="22"/>
          <w:szCs w:val="22"/>
          <w:color w:val="auto"/>
        </w:rPr>
      </w:pPr>
    </w:p>
    <w:p>
      <w:pPr>
        <w:ind w:right="20" w:firstLine="656"/>
        <w:spacing w:after="0" w:line="255"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No modification or amendment of this Agreement shall be effective unless the modification or amendment is in a writing duly executed by all the parties hereto.</w:t>
      </w:r>
    </w:p>
    <w:p>
      <w:pPr>
        <w:spacing w:after="0" w:line="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Company may assign, in whole or in part, its rights and obligations under this Agreement, and the rights of Company hereunder shall inure to the benefit of, and the obligations of Company hereunder shall be binding upon, its successors and assigns. Employee’s rights and obligations hereunder may not be assigned.</w:t>
      </w:r>
    </w:p>
    <w:p>
      <w:pPr>
        <w:spacing w:after="0" w:line="20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otherwise set forth herein, this Agreement sets forth the entire Agreement between Company and Employee and supersedes and replaces any and all prior or contemporaneous representations or agreements, whether oral or written, relating to the subject matter hereof.</w:t>
      </w:r>
    </w:p>
    <w:p>
      <w:pPr>
        <w:spacing w:after="0" w:line="194"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Acceptance</w:t>
      </w:r>
      <w:r>
        <w:rPr>
          <w:rFonts w:ascii="Times New Roman" w:cs="Times New Roman" w:eastAsia="Times New Roman" w:hAnsi="Times New Roman"/>
          <w:sz w:val="22"/>
          <w:szCs w:val="22"/>
          <w:color w:val="auto"/>
        </w:rPr>
        <w:t>. To accept, Employee must sign the Agreement. Once Employee has accepted the Agreement, Employee shall deliver a signed and dated copy hereof to The Scotts Company Attn: Human Resources Department / Compensation, 14111 Scottslawn Road, Marysville, Ohio 43041. This Agreement cannot be accepted until after the Termination Date and will not be effective if signed by Employee prior to the Termination Date. Employee has 60 days following the Termination Date to accept this Agreement, after which time it shall be withdrawn. Employee’s failure to deliver Agreement in a timely manner will excuse Company from timely payment.</w:t>
      </w:r>
    </w:p>
    <w:p>
      <w:pPr>
        <w:spacing w:after="0" w:line="208"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ode Section 409A Compliance</w:t>
      </w:r>
      <w:r>
        <w:rPr>
          <w:rFonts w:ascii="Times New Roman" w:cs="Times New Roman" w:eastAsia="Times New Roman" w:hAnsi="Times New Roman"/>
          <w:sz w:val="22"/>
          <w:szCs w:val="22"/>
          <w:color w:val="auto"/>
        </w:rPr>
        <w:t>. It is Company’s intent that amounts paid under this Agreement generally shall not constitute “deferred compensation” as that term is defined under Section 409A of the Internal Revenue Code of 1986, as amended (“Code Section 409A”), and the regulations promulgated thereunder, because the amounts paid under this Agreement are</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22"/>
          <w:szCs w:val="22"/>
          <w:color w:val="auto"/>
        </w:rPr>
        <w:t>structured to comply with either the “short-term deferral” exception or other applicable exceptions to Code Section 409A. To the extent that any individual payments under this Agreement do not qualify for an exception and are determined to be “deferred compensation” within the meaning of Code Section 409A and compliance with an applicable term of this Agreement would cause or would result in a violation of Code Section 409A, then such provision shall be interpreted or reformed in the manner necessary to achieve compliance with Code Section 409A. Accordingly, the “Termination Date” is the date that Employee incurred a “separation from service” under Code Section 409A, and thus all payments under this Agreement are being made upon Employee’s separation from service. In no event may Employee, directly or indirectly, designate the calendar year of a payment and where payment may occur in one year or the next, it shall be made in the second year. Each payment under this Agreement, including each salary continuation payment of Severance Pay, Bonus Amount, Miscellaneous Payment, and each Benefits Offset Payment, shall be treated as a separate identified payment for purposes of Code Section 409A.</w:t>
      </w:r>
    </w:p>
    <w:p>
      <w:pPr>
        <w:spacing w:after="0" w:line="210"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21"/>
          <w:szCs w:val="21"/>
          <w:color w:val="auto"/>
        </w:rPr>
        <w:t>Employee is a specified employee (as defined in Treasury Regulation Section 1.409A-1(i)). Company and Employee agree that all payments under this Agreement that are scheduled to be paid within six months after Employee’s Termination Date qualify for an exception to Code Section 409A, and all other payments are made at a time and in a form that complies with Code Section 409A. Employee acknowledges that Company does not make any representations or is providing tax advice to Employee, and that Employee has had the opportunity to consult with his own tax and financial counsel with respect to this Agreement.</w:t>
      </w:r>
    </w:p>
    <w:p>
      <w:pPr>
        <w:spacing w:after="0" w:line="200" w:lineRule="exact"/>
        <w:rPr>
          <w:sz w:val="20"/>
          <w:szCs w:val="20"/>
          <w:color w:val="auto"/>
        </w:rPr>
      </w:pPr>
    </w:p>
    <w:p>
      <w:pPr>
        <w:spacing w:after="0" w:line="23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 each of the undersigned, having received all the advice deemed necessary, and having carefully read and understood this agreement, does hereby sign and accept this Agreement as of the date set forth below.</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11/25/2024</w:t>
            </w:r>
          </w:p>
        </w:tc>
        <w:tc>
          <w:tcPr>
            <w:tcW w:w="860" w:type="dxa"/>
            <w:vAlign w:val="bottom"/>
          </w:tcPr>
          <w:p>
            <w:pPr>
              <w:spacing w:after="0"/>
              <w:rPr>
                <w:sz w:val="24"/>
                <w:szCs w:val="24"/>
                <w:color w:val="auto"/>
              </w:rPr>
            </w:pPr>
          </w:p>
        </w:tc>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MATTHEW E. GARTH</w:t>
            </w:r>
          </w:p>
        </w:tc>
      </w:tr>
      <w:tr>
        <w:trPr>
          <w:trHeight w:val="295"/>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5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Matthew E. Garth</w:t>
            </w:r>
          </w:p>
        </w:tc>
      </w:tr>
      <w:tr>
        <w:trPr>
          <w:trHeight w:val="931"/>
        </w:trPr>
        <w:tc>
          <w:tcPr>
            <w:tcW w:w="4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11/25/2024</w:t>
            </w:r>
          </w:p>
        </w:tc>
        <w:tc>
          <w:tcPr>
            <w:tcW w:w="86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SCOTTS COMPANY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1546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7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36830</wp:posOffset>
            </wp:positionV>
            <wp:extent cx="3429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Its: Chairman, CEO &amp; President</w:t>
      </w:r>
    </w:p>
    <w:p>
      <w:pPr>
        <w:sectPr>
          <w:pgSz w:w="11900" w:h="16838" w:orient="portrait"/>
          <w:cols w:equalWidth="0" w:num="1">
            <w:col w:w="11240"/>
          </w:cols>
          <w:pgMar w:left="320" w:top="142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6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December 28, 2024;</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56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18"/>
        </w:trPr>
        <w:tc>
          <w:tcPr>
            <w:tcW w:w="3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Printed Name: James Hagedorn</w:t>
            </w:r>
          </w:p>
        </w:tc>
      </w:tr>
      <w:tr>
        <w:trPr>
          <w:trHeight w:val="180"/>
        </w:trPr>
        <w:tc>
          <w:tcPr>
            <w:tcW w:w="3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Title: Chairman of the Board &amp; Chief Executive</w:t>
            </w:r>
          </w:p>
        </w:tc>
      </w:tr>
      <w:tr>
        <w:trPr>
          <w:trHeight w:val="234"/>
        </w:trPr>
        <w:tc>
          <w:tcPr>
            <w:tcW w:w="3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J. Scheiwer, certify that:</w:t>
      </w:r>
    </w:p>
    <w:p>
      <w:pPr>
        <w:spacing w:after="0" w:line="16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December 28, 2024;</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20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MARK J. SCHEIWER</w:t>
            </w:r>
          </w:p>
        </w:tc>
      </w:tr>
      <w:tr>
        <w:trPr>
          <w:trHeight w:val="218"/>
        </w:trPr>
        <w:tc>
          <w:tcPr>
            <w:tcW w:w="3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Printed Name: Mark J. Scheiwer</w:t>
            </w:r>
          </w:p>
        </w:tc>
      </w:t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Interim Chief Financial Officer &amp; Chief Accounting Officer</w:t>
            </w:r>
          </w:p>
        </w:tc>
      </w:tr>
    </w:tbl>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Scotts Miracle-Gro Company (the “Company”) for the fiscal quarter ended December 28, 2024 as filed with the Securities and Exchange Commission on the date hereof (the “Report”), the undersigned James Hagedorn, Chairman of the Board &amp; Chief Executive Officer of the Company, and Mark J. Scheiwer, Interim Chief Financial Officer &amp; Chief Accounting Officer of the Company, certify, pursuant to Section 1350 of Chapter 63 of Title 18 of the United States Code, as adopted pursuant to Section 906 of the Sarbanes-Oxley Act of 2002, that, to the best of their knowledge:</w:t>
      </w:r>
    </w:p>
    <w:p>
      <w:pPr>
        <w:spacing w:after="0" w:line="14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 JAMES HAGEDORN</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MARK J. SCHEIWER</w:t>
            </w:r>
          </w:p>
        </w:tc>
      </w:tr>
      <w:tr>
        <w:trPr>
          <w:trHeight w:val="218"/>
        </w:trPr>
        <w:tc>
          <w:tcPr>
            <w:tcW w:w="5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340" w:type="dxa"/>
            <w:vAlign w:val="bottom"/>
          </w:tcPr>
          <w:p>
            <w:pPr>
              <w:spacing w:after="0"/>
              <w:rPr>
                <w:sz w:val="18"/>
                <w:szCs w:val="18"/>
                <w:color w:val="auto"/>
              </w:rPr>
            </w:pPr>
          </w:p>
        </w:tc>
        <w:tc>
          <w:tcPr>
            <w:tcW w:w="5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Printed Name: Mark J. Scheiwer</w:t>
            </w:r>
          </w:p>
        </w:tc>
      </w:t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Chairman of the Board &amp; Chief Executive Officer</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Title: Interim Chief Financial Officer &amp; Chief Accounting Officer</w:t>
            </w:r>
          </w:p>
        </w:tc>
      </w:tr>
      <w:tr>
        <w:trPr>
          <w:trHeight w:val="432"/>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5, 2025</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5, 2025</w:t>
            </w:r>
          </w:p>
        </w:tc>
      </w:tr>
    </w:tbl>
    <w:p>
      <w:pPr>
        <w:spacing w:after="0" w:line="292" w:lineRule="exact"/>
        <w:rPr>
          <w:sz w:val="20"/>
          <w:szCs w:val="20"/>
          <w:color w:val="auto"/>
        </w:rPr>
      </w:pPr>
    </w:p>
    <w:p>
      <w:pPr>
        <w:ind w:left="680" w:right="40" w:hanging="654"/>
        <w:spacing w:after="0" w:line="25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Roman"/>
      <w:start w:val="3"/>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2"/>
    </w:lvl>
  </w:abstractNum>
  <w:abstractNum w:abstractNumId="15">
    <w:nsid w:val="721DA317"/>
    <w:multiLevelType w:val="hybridMultilevel"/>
    <w:lvl w:ilvl="0">
      <w:lvlJc w:val="left"/>
      <w:lvlText w:val="%1"/>
      <w:numFmt w:val="decimal"/>
      <w:start w:val="104"/>
    </w:lvl>
  </w:abstractNum>
  <w:abstractNum w:abstractNumId="16">
    <w:nsid w:val="2443A858"/>
    <w:multiLevelType w:val="hybridMultilevel"/>
    <w:lvl w:ilvl="0">
      <w:lvlJc w:val="left"/>
      <w:lvlText w:val="%1."/>
      <w:numFmt w:val="decimal"/>
      <w:start w:val="1"/>
    </w:lvl>
    <w:lvl w:ilvl="1">
      <w:lvlJc w:val="left"/>
      <w:lvlText w:val="(%2)"/>
      <w:numFmt w:val="upperLetter"/>
      <w:start w:val="1"/>
    </w:lvl>
  </w:abstractNum>
  <w:abstractNum w:abstractNumId="17">
    <w:nsid w:val="2D1D5AE9"/>
    <w:multiLevelType w:val="hybridMultilevel"/>
    <w:lvl w:ilvl="0">
      <w:lvlJc w:val="left"/>
      <w:lvlText w:val="(%1)"/>
      <w:numFmt w:val="upperLetter"/>
      <w:start w:val="2"/>
    </w:lvl>
  </w:abstractNum>
  <w:abstractNum w:abstractNumId="18">
    <w:nsid w:val="6763845E"/>
    <w:multiLevelType w:val="hybridMultilevel"/>
    <w:lvl w:ilvl="0">
      <w:lvlJc w:val="left"/>
      <w:lvlText w:val="(%1)"/>
      <w:numFmt w:val="upperLetter"/>
      <w:start w:val="5"/>
    </w:lvl>
  </w:abstractNum>
  <w:abstractNum w:abstractNumId="19">
    <w:nsid w:val="75A2A8D4"/>
    <w:multiLevelType w:val="hybridMultilevel"/>
    <w:lvl w:ilvl="0">
      <w:lvlJc w:val="left"/>
      <w:lvlText w:val="(%1)"/>
      <w:numFmt w:val="upperLetter"/>
      <w:start w:val="8"/>
    </w:lvl>
  </w:abstractNum>
  <w:abstractNum w:abstractNumId="20">
    <w:nsid w:val="8EDBDAB"/>
    <w:multiLevelType w:val="hybridMultilevel"/>
    <w:lvl w:ilvl="0">
      <w:lvlJc w:val="left"/>
      <w:lvlText w:val="%1."/>
      <w:numFmt w:val="decimal"/>
      <w:start w:val="2"/>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decimal"/>
      <w:start w:val="11"/>
    </w:lvl>
  </w:abstractNum>
  <w:abstractNum w:abstractNumId="23">
    <w:nsid w:val="B03E0C6"/>
    <w:multiLevelType w:val="hybridMultilevel"/>
    <w:lvl w:ilvl="0">
      <w:lvlJc w:val="left"/>
      <w:lvlText w:val="%1."/>
      <w:numFmt w:val="decimal"/>
      <w:start w:val="1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0" Type="http://schemas.openxmlformats.org/officeDocument/2006/relationships/hyperlink" Target="https://www.sec.gov/Archives/edgar/data/825542/000144398424000242/smg2024-11x058xkx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2025-02-05T15:25:28Z</dcterms:created>
  <dcterms:modified xsi:type="dcterms:W3CDTF">2025-02-05T15:25:28Z</dcterms:modified>
</cp:coreProperties>
</file>