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UNITED STATES 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FORM 8-A/A</w:t>
      </w:r>
    </w:p>
    <w:p>
      <w:pPr>
        <w:ind w:left="3380"/>
        <w:spacing w:after="0" w:line="238" w:lineRule="auto"/>
        <w:rPr>
          <w:sz w:val="20"/>
          <w:szCs w:val="20"/>
          <w:color w:val="auto"/>
        </w:rPr>
      </w:pPr>
      <w:r>
        <w:rPr>
          <w:rFonts w:ascii="Courier New" w:cs="Courier New" w:eastAsia="Courier New" w:hAnsi="Courier New"/>
          <w:sz w:val="18"/>
          <w:szCs w:val="18"/>
          <w:color w:val="auto"/>
        </w:rPr>
        <w:t>(AMENDMENT NO. 1)</w:t>
      </w:r>
    </w:p>
    <w:p>
      <w:pPr>
        <w:spacing w:after="0" w:line="200" w:lineRule="exact"/>
        <w:rPr>
          <w:sz w:val="24"/>
          <w:szCs w:val="24"/>
          <w:color w:val="auto"/>
        </w:rPr>
      </w:pPr>
    </w:p>
    <w:p>
      <w:pPr>
        <w:spacing w:after="0" w:line="210" w:lineRule="exact"/>
        <w:rPr>
          <w:sz w:val="24"/>
          <w:szCs w:val="24"/>
          <w:color w:val="auto"/>
        </w:rPr>
      </w:pPr>
    </w:p>
    <w:p>
      <w:pPr>
        <w:ind w:left="1060" w:right="2739"/>
        <w:spacing w:after="0" w:line="290" w:lineRule="auto"/>
        <w:rPr>
          <w:sz w:val="20"/>
          <w:szCs w:val="20"/>
          <w:color w:val="auto"/>
        </w:rPr>
      </w:pPr>
      <w:r>
        <w:rPr>
          <w:rFonts w:ascii="Courier New" w:cs="Courier New" w:eastAsia="Courier New" w:hAnsi="Courier New"/>
          <w:sz w:val="16"/>
          <w:szCs w:val="16"/>
          <w:color w:val="auto"/>
        </w:rPr>
        <w:t>FOR REGISTRATION OF CERTAIN CLASSES OF SECURITIES PURSUANT TO SECTION 12(b) OR (g) OF THE SECURITIES EXCHANGE ACT OF 1934</w:t>
      </w:r>
    </w:p>
    <w:p>
      <w:pPr>
        <w:spacing w:after="0" w:line="16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THE SCOTTS COMPANY</w:t>
      </w:r>
    </w:p>
    <w:p>
      <w:pPr>
        <w:jc w:val="center"/>
        <w:ind w:right="1779"/>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38" w:orient="portrait"/>
          <w:cols w:equalWidth="0" w:num="1">
            <w:col w:w="10219"/>
          </w:cols>
          <w:pgMar w:left="240" w:top="852" w:right="1440" w:bottom="1440" w:gutter="0" w:footer="0" w:header="0"/>
        </w:sectPr>
      </w:pPr>
    </w:p>
    <w:p>
      <w:pPr>
        <w:spacing w:after="0" w:line="200" w:lineRule="exact"/>
        <w:rPr>
          <w:sz w:val="24"/>
          <w:szCs w:val="24"/>
          <w:color w:val="auto"/>
        </w:rPr>
      </w:pPr>
    </w:p>
    <w:p>
      <w:pPr>
        <w:spacing w:after="0" w:line="204" w:lineRule="exact"/>
        <w:rPr>
          <w:sz w:val="24"/>
          <w:szCs w:val="24"/>
          <w:color w:val="auto"/>
        </w:rPr>
      </w:pPr>
    </w:p>
    <w:p>
      <w:pPr>
        <w:ind w:left="1580"/>
        <w:spacing w:after="0"/>
        <w:rPr>
          <w:sz w:val="20"/>
          <w:szCs w:val="20"/>
          <w:color w:val="auto"/>
        </w:rPr>
      </w:pPr>
      <w:r>
        <w:rPr>
          <w:rFonts w:ascii="Courier New" w:cs="Courier New" w:eastAsia="Courier New" w:hAnsi="Courier New"/>
          <w:sz w:val="18"/>
          <w:szCs w:val="18"/>
          <w:color w:val="auto"/>
        </w:rPr>
        <w:t>Ohio</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(State of incorporation or organization)</w:t>
      </w:r>
    </w:p>
    <w:p>
      <w:pPr>
        <w:spacing w:after="0" w:line="20" w:lineRule="exact"/>
        <w:rPr>
          <w:sz w:val="24"/>
          <w:szCs w:val="24"/>
          <w:color w:val="auto"/>
        </w:rPr>
      </w:pPr>
      <w:r>
        <w:rPr>
          <w:sz w:val="24"/>
          <w:szCs w:val="24"/>
          <w:color w:val="auto"/>
        </w:rPr>
        <w:br w:type="column"/>
      </w:r>
    </w:p>
    <w:p>
      <w:pPr>
        <w:spacing w:after="0" w:line="38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31-1414921</w:t>
      </w:r>
    </w:p>
    <w:p>
      <w:pPr>
        <w:spacing w:after="0" w:line="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6"/>
          <w:szCs w:val="16"/>
          <w:color w:val="auto"/>
        </w:rPr>
        <w:t>(I.R.S. Employer Identification No.)</w:t>
      </w:r>
    </w:p>
    <w:p>
      <w:pPr>
        <w:spacing w:after="0" w:line="200" w:lineRule="exact"/>
        <w:rPr>
          <w:sz w:val="24"/>
          <w:szCs w:val="24"/>
          <w:color w:val="auto"/>
        </w:rPr>
      </w:pPr>
    </w:p>
    <w:p>
      <w:pPr>
        <w:sectPr>
          <w:pgSz w:w="11900" w:h="16838" w:orient="portrait"/>
          <w:cols w:equalWidth="0" w:num="2">
            <w:col w:w="4220" w:space="420"/>
            <w:col w:w="5579"/>
          </w:cols>
          <w:pgMar w:left="240" w:top="852" w:right="1440" w:bottom="1440" w:gutter="0" w:footer="0" w:header="0"/>
          <w:type w:val="continuous"/>
        </w:sectPr>
      </w:pPr>
    </w:p>
    <w:p>
      <w:pPr>
        <w:spacing w:after="0" w:line="226" w:lineRule="exact"/>
        <w:rPr>
          <w:sz w:val="24"/>
          <w:szCs w:val="24"/>
          <w:color w:val="auto"/>
        </w:rPr>
      </w:pPr>
    </w:p>
    <w:p>
      <w:pPr>
        <w:ind w:right="2340"/>
        <w:spacing w:after="0" w:line="290" w:lineRule="auto"/>
        <w:rPr>
          <w:sz w:val="20"/>
          <w:szCs w:val="20"/>
          <w:color w:val="auto"/>
        </w:rPr>
      </w:pPr>
      <w:r>
        <w:rPr>
          <w:rFonts w:ascii="Courier New" w:cs="Courier New" w:eastAsia="Courier New" w:hAnsi="Courier New"/>
          <w:sz w:val="16"/>
          <w:szCs w:val="16"/>
          <w:color w:val="auto"/>
        </w:rPr>
        <w:t>14111 Scottslawn Road, Marysville, Ohio (Address of principal executive offices)</w:t>
      </w:r>
    </w:p>
    <w:p>
      <w:pPr>
        <w:spacing w:after="0" w:line="20" w:lineRule="exact"/>
        <w:rPr>
          <w:sz w:val="24"/>
          <w:szCs w:val="24"/>
          <w:color w:val="auto"/>
        </w:rPr>
      </w:pPr>
      <w:r>
        <w:rPr>
          <w:sz w:val="24"/>
          <w:szCs w:val="24"/>
          <w:color w:val="auto"/>
        </w:rPr>
        <w:br w:type="column"/>
      </w:r>
    </w:p>
    <w:p>
      <w:pPr>
        <w:spacing w:after="0" w:line="201" w:lineRule="exact"/>
        <w:rPr>
          <w:sz w:val="24"/>
          <w:szCs w:val="24"/>
          <w:color w:val="auto"/>
        </w:rPr>
      </w:pPr>
    </w:p>
    <w:p>
      <w:pPr>
        <w:ind w:left="200"/>
        <w:spacing w:after="0"/>
        <w:rPr>
          <w:sz w:val="20"/>
          <w:szCs w:val="20"/>
          <w:color w:val="auto"/>
        </w:rPr>
      </w:pPr>
      <w:r>
        <w:rPr>
          <w:rFonts w:ascii="Courier New" w:cs="Courier New" w:eastAsia="Courier New" w:hAnsi="Courier New"/>
          <w:sz w:val="18"/>
          <w:szCs w:val="18"/>
          <w:color w:val="auto"/>
        </w:rPr>
        <w:t>43041</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(ZIP Code)</w:t>
      </w:r>
    </w:p>
    <w:p>
      <w:pPr>
        <w:spacing w:after="0" w:line="254" w:lineRule="exact"/>
        <w:rPr>
          <w:sz w:val="24"/>
          <w:szCs w:val="24"/>
          <w:color w:val="auto"/>
        </w:rPr>
      </w:pPr>
    </w:p>
    <w:p>
      <w:pPr>
        <w:sectPr>
          <w:pgSz w:w="11900" w:h="16838" w:orient="portrait"/>
          <w:cols w:equalWidth="0" w:num="2">
            <w:col w:w="6560" w:space="720"/>
            <w:col w:w="2939"/>
          </w:cols>
          <w:pgMar w:left="240" w:top="852" w:right="1440" w:bottom="1440" w:gutter="0" w:footer="0" w:header="0"/>
          <w:type w:val="continuous"/>
        </w:sectPr>
      </w:pPr>
    </w:p>
    <w:p>
      <w:pPr>
        <w:spacing w:after="0" w:line="172" w:lineRule="exact"/>
        <w:rPr>
          <w:sz w:val="24"/>
          <w:szCs w:val="24"/>
          <w:color w:val="auto"/>
        </w:rPr>
      </w:pPr>
    </w:p>
    <w:p>
      <w:pPr>
        <w:ind w:left="860"/>
        <w:spacing w:after="0"/>
        <w:rPr>
          <w:sz w:val="20"/>
          <w:szCs w:val="20"/>
          <w:color w:val="auto"/>
        </w:rPr>
      </w:pPr>
      <w:r>
        <w:rPr>
          <w:rFonts w:ascii="Courier New" w:cs="Courier New" w:eastAsia="Courier New" w:hAnsi="Courier New"/>
          <w:sz w:val="16"/>
          <w:szCs w:val="16"/>
          <w:color w:val="auto"/>
        </w:rPr>
        <w:t>SECURITIES TO BE REGISTERED PURSUANT TO SECTION 12(b) OF THE ACT:</w:t>
      </w:r>
    </w:p>
    <w:p>
      <w:pPr>
        <w:sectPr>
          <w:pgSz w:w="11900" w:h="16838" w:orient="portrait"/>
          <w:cols w:equalWidth="0" w:num="1">
            <w:col w:w="10219"/>
          </w:cols>
          <w:pgMar w:left="240" w:top="852" w:right="1440" w:bottom="1440" w:gutter="0" w:footer="0" w:header="0"/>
          <w:type w:val="continuous"/>
        </w:sectPr>
      </w:pPr>
    </w:p>
    <w:p>
      <w:pPr>
        <w:spacing w:after="0" w:line="200" w:lineRule="exact"/>
        <w:rPr>
          <w:sz w:val="24"/>
          <w:szCs w:val="24"/>
          <w:color w:val="auto"/>
        </w:rPr>
      </w:pPr>
    </w:p>
    <w:p>
      <w:pPr>
        <w:spacing w:after="0" w:line="22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TITLE OF EACH CLASS REGISTERED</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Common Shares,</w:t>
      </w:r>
    </w:p>
    <w:p>
      <w:pPr>
        <w:ind w:left="540"/>
        <w:spacing w:after="0" w:line="238" w:lineRule="auto"/>
        <w:rPr>
          <w:sz w:val="20"/>
          <w:szCs w:val="20"/>
          <w:color w:val="auto"/>
        </w:rPr>
      </w:pPr>
      <w:r>
        <w:rPr>
          <w:rFonts w:ascii="Courier New" w:cs="Courier New" w:eastAsia="Courier New" w:hAnsi="Courier New"/>
          <w:sz w:val="18"/>
          <w:szCs w:val="18"/>
          <w:color w:val="auto"/>
        </w:rPr>
        <w:t>without par value</w:t>
      </w:r>
    </w:p>
    <w:p>
      <w:pPr>
        <w:spacing w:after="0" w:line="20" w:lineRule="exact"/>
        <w:rPr>
          <w:sz w:val="24"/>
          <w:szCs w:val="24"/>
          <w:color w:val="auto"/>
        </w:rPr>
      </w:pPr>
      <w:r>
        <w:rPr>
          <w:sz w:val="24"/>
          <w:szCs w:val="24"/>
          <w:color w:val="auto"/>
        </w:rPr>
        <w:br w:type="column"/>
      </w:r>
    </w:p>
    <w:p>
      <w:pPr>
        <w:spacing w:after="0" w:line="198"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NAME OF EACH EXCHANGE ON WHICH</w:t>
      </w:r>
    </w:p>
    <w:p>
      <w:pPr>
        <w:ind w:left="320"/>
        <w:spacing w:after="0" w:line="238" w:lineRule="auto"/>
        <w:rPr>
          <w:sz w:val="20"/>
          <w:szCs w:val="20"/>
          <w:color w:val="auto"/>
        </w:rPr>
      </w:pPr>
      <w:r>
        <w:rPr>
          <w:rFonts w:ascii="Courier New" w:cs="Courier New" w:eastAsia="Courier New" w:hAnsi="Courier New"/>
          <w:sz w:val="18"/>
          <w:szCs w:val="18"/>
          <w:color w:val="auto"/>
        </w:rPr>
        <w:t>EACH CLASS IS REGISTERED</w:t>
      </w:r>
    </w:p>
    <w:p>
      <w:pPr>
        <w:spacing w:after="0" w:line="5" w:lineRule="exact"/>
        <w:rPr>
          <w:sz w:val="24"/>
          <w:szCs w:val="24"/>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New York Stock Exchange</w:t>
      </w:r>
    </w:p>
    <w:p>
      <w:pPr>
        <w:spacing w:after="0" w:line="402" w:lineRule="exact"/>
        <w:rPr>
          <w:sz w:val="24"/>
          <w:szCs w:val="24"/>
          <w:color w:val="auto"/>
        </w:rPr>
      </w:pPr>
    </w:p>
    <w:p>
      <w:pPr>
        <w:sectPr>
          <w:pgSz w:w="11900" w:h="16838" w:orient="portrait"/>
          <w:cols w:equalWidth="0" w:num="2">
            <w:col w:w="4440" w:space="720"/>
            <w:col w:w="5059"/>
          </w:cols>
          <w:pgMar w:left="240" w:top="852" w:right="1440" w:bottom="1440" w:gutter="0" w:footer="0" w:header="0"/>
          <w:type w:val="continuous"/>
        </w:sectPr>
      </w:pPr>
    </w:p>
    <w:p>
      <w:pPr>
        <w:spacing w:after="0" w:line="7" w:lineRule="exact"/>
        <w:rPr>
          <w:sz w:val="24"/>
          <w:szCs w:val="24"/>
          <w:color w:val="auto"/>
        </w:rPr>
      </w:pPr>
    </w:p>
    <w:p>
      <w:pPr>
        <w:jc w:val="both"/>
        <w:ind w:right="2419" w:firstLine="948"/>
        <w:spacing w:after="0" w:line="279" w:lineRule="auto"/>
        <w:rPr>
          <w:sz w:val="20"/>
          <w:szCs w:val="20"/>
          <w:color w:val="auto"/>
        </w:rPr>
      </w:pPr>
      <w:r>
        <w:rPr>
          <w:rFonts w:ascii="Courier New" w:cs="Courier New" w:eastAsia="Courier New" w:hAnsi="Courier New"/>
          <w:sz w:val="16"/>
          <w:szCs w:val="16"/>
          <w:color w:val="auto"/>
        </w:rPr>
        <w:t>If this Form relates to the registration of a class of securities pursuant to Section 12(b) of the Exchange Act and is effective pursuant to General Instruction A.(c), check the following box. [ ]</w:t>
      </w:r>
    </w:p>
    <w:p>
      <w:pPr>
        <w:spacing w:after="0" w:line="178" w:lineRule="exact"/>
        <w:rPr>
          <w:sz w:val="24"/>
          <w:szCs w:val="24"/>
          <w:color w:val="auto"/>
        </w:rPr>
      </w:pPr>
    </w:p>
    <w:p>
      <w:pPr>
        <w:jc w:val="both"/>
        <w:ind w:right="2419" w:firstLine="948"/>
        <w:spacing w:after="0" w:line="279" w:lineRule="auto"/>
        <w:rPr>
          <w:sz w:val="20"/>
          <w:szCs w:val="20"/>
          <w:color w:val="auto"/>
        </w:rPr>
      </w:pPr>
      <w:r>
        <w:rPr>
          <w:rFonts w:ascii="Courier New" w:cs="Courier New" w:eastAsia="Courier New" w:hAnsi="Courier New"/>
          <w:sz w:val="16"/>
          <w:szCs w:val="16"/>
          <w:color w:val="auto"/>
        </w:rPr>
        <w:t>If this Form relates to the registration of a class of securities pursuant to Section 12(g) of the Exchange Act and is effective pursuant to General Instruction A.(d), check the following box. [ ]</w:t>
      </w:r>
    </w:p>
    <w:p>
      <w:pPr>
        <w:spacing w:after="0" w:line="178"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6"/>
          <w:szCs w:val="16"/>
          <w:color w:val="auto"/>
        </w:rPr>
        <w:t>Securities Act registration statement file number to which this form relates:</w:t>
      </w:r>
    </w:p>
    <w:p>
      <w:pPr>
        <w:spacing w:after="0" w:line="218"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Securities to be registered pursuant to Section 12(g) of the Act:</w:t>
      </w:r>
    </w:p>
    <w:p>
      <w:pPr>
        <w:spacing w:after="0" w:line="201"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None</w:t>
      </w:r>
    </w:p>
    <w:p>
      <w:pPr>
        <w:jc w:val="center"/>
        <w:ind w:right="1759"/>
        <w:spacing w:after="0" w:line="238" w:lineRule="auto"/>
        <w:rPr>
          <w:sz w:val="20"/>
          <w:szCs w:val="20"/>
          <w:color w:val="auto"/>
        </w:rPr>
      </w:pPr>
      <w:r>
        <w:rPr>
          <w:rFonts w:ascii="Courier New" w:cs="Courier New" w:eastAsia="Courier New" w:hAnsi="Courier New"/>
          <w:sz w:val="18"/>
          <w:szCs w:val="18"/>
          <w:color w:val="auto"/>
        </w:rPr>
        <w:t>(Title of Class)</w:t>
      </w:r>
    </w:p>
    <w:p>
      <w:pPr>
        <w:sectPr>
          <w:pgSz w:w="11900" w:h="16838" w:orient="portrait"/>
          <w:cols w:equalWidth="0" w:num="1">
            <w:col w:w="10219"/>
          </w:cols>
          <w:pgMar w:left="240" w:top="852" w:right="1440" w:bottom="1440" w:gutter="0" w:footer="0" w:header="0"/>
          <w:type w:val="continuous"/>
        </w:sectPr>
      </w:pPr>
    </w:p>
    <w:bookmarkStart w:id="1" w:name="page2"/>
    <w:bookmarkEnd w:id="1"/>
    <w:p>
      <w:pPr>
        <w:ind w:left="960"/>
        <w:spacing w:after="0"/>
        <w:rPr>
          <w:sz w:val="20"/>
          <w:szCs w:val="20"/>
          <w:color w:val="auto"/>
        </w:rPr>
      </w:pPr>
      <w:r>
        <w:rPr>
          <w:rFonts w:ascii="Courier New" w:cs="Courier New" w:eastAsia="Courier New" w:hAnsi="Courier New"/>
          <w:sz w:val="18"/>
          <w:szCs w:val="18"/>
          <w:color w:val="auto"/>
        </w:rPr>
        <w:t>ITEM 1. DESCRIPTION OF REGISTRANT'S SECURITIES TO BE REGISTERED</w:t>
      </w:r>
    </w:p>
    <w:p>
      <w:pPr>
        <w:spacing w:after="0" w:line="207"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The common shares, without par value, of The Scotts Company (the "Registrant") are described in the section captioned "Description of Capital Stock" in the Registrant's Registration Statement on Form S-3 (Registration No. 333-98239), originally filed with the Securities and Exchange Commission (the "SEC") on August 16, 2002 and supplemented by the Prospectus Supplement (Registration No. 333-98239) filed by the Registrant with the SEC on September 13, 2002. That description is incorporated herein by reference.</w:t>
      </w:r>
    </w:p>
    <w:p>
      <w:pPr>
        <w:spacing w:after="0" w:line="205"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ITEM 2. EXHIBITS.</w:t>
      </w:r>
    </w:p>
    <w:p>
      <w:pPr>
        <w:sectPr>
          <w:pgSz w:w="11900" w:h="16838" w:orient="portrait"/>
          <w:cols w:equalWidth="0" w:num="1">
            <w:col w:w="10219"/>
          </w:cols>
          <w:pgMar w:left="240" w:top="1325" w:right="1440" w:bottom="1440" w:gutter="0" w:footer="0" w:header="0"/>
        </w:sectPr>
      </w:pPr>
    </w:p>
    <w:p>
      <w:pPr>
        <w:spacing w:after="0" w:line="200" w:lineRule="exact"/>
        <w:rPr>
          <w:sz w:val="20"/>
          <w:szCs w:val="20"/>
          <w:color w:val="auto"/>
        </w:rPr>
      </w:pPr>
    </w:p>
    <w:p>
      <w:pPr>
        <w:spacing w:after="0" w:line="209" w:lineRule="exact"/>
        <w:rPr>
          <w:sz w:val="20"/>
          <w:szCs w:val="20"/>
          <w:color w:val="auto"/>
        </w:rPr>
      </w:pPr>
    </w:p>
    <w:p>
      <w:pPr>
        <w:spacing w:after="0" w:line="290" w:lineRule="auto"/>
        <w:rPr>
          <w:sz w:val="20"/>
          <w:szCs w:val="20"/>
          <w:color w:val="auto"/>
        </w:rPr>
      </w:pPr>
      <w:r>
        <w:rPr>
          <w:rFonts w:ascii="Courier New" w:cs="Courier New" w:eastAsia="Courier New" w:hAnsi="Courier New"/>
          <w:sz w:val="16"/>
          <w:szCs w:val="16"/>
          <w:color w:val="auto"/>
        </w:rPr>
        <w:t>EXHIBIT NO. - -----------</w:t>
      </w:r>
    </w:p>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DESCRIPTION</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224" w:lineRule="exact"/>
        <w:rPr>
          <w:sz w:val="20"/>
          <w:szCs w:val="20"/>
          <w:color w:val="auto"/>
        </w:rPr>
      </w:pPr>
    </w:p>
    <w:p>
      <w:pPr>
        <w:sectPr>
          <w:pgSz w:w="11900" w:h="16838" w:orient="portrait"/>
          <w:cols w:equalWidth="0" w:num="2">
            <w:col w:w="1380" w:space="520"/>
            <w:col w:w="8319"/>
          </w:cols>
          <w:pgMar w:left="240" w:top="1325" w:right="1440" w:bottom="1440" w:gutter="0" w:footer="0" w:header="0"/>
          <w:type w:val="continuous"/>
        </w:sectPr>
      </w:pPr>
    </w:p>
    <w:p>
      <w:pPr>
        <w:ind w:left="1900" w:right="2419" w:hanging="1471"/>
        <w:spacing w:after="0" w:line="271" w:lineRule="auto"/>
        <w:tabs>
          <w:tab w:leader="none" w:pos="190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Certificate of Amendment by Directors of The Scotts Company reflecting adoption of Restated Articles of Incorporation attached thereto, as filed with Ohio Secretary of State on January 29, 2001 (incorporated herein by reference to Exhibit 3(a)(2) to the Quarterly Report on Form 10-Q of The Scotts Company for the fiscal quarter ended December 30, 2000 (File No. 1-13292))</w:t>
      </w:r>
    </w:p>
    <w:p>
      <w:pPr>
        <w:spacing w:after="0" w:line="188" w:lineRule="exact"/>
        <w:rPr>
          <w:sz w:val="20"/>
          <w:szCs w:val="20"/>
          <w:color w:val="auto"/>
        </w:rPr>
      </w:pPr>
    </w:p>
    <w:p>
      <w:pPr>
        <w:ind w:left="1900" w:right="2519" w:hanging="1471"/>
        <w:spacing w:after="0" w:line="272" w:lineRule="auto"/>
        <w:tabs>
          <w:tab w:leader="none" w:pos="190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Code of Regulations of The Scotts Company (reflecting amendments through January 18, 2001) [for SEC reporting compliance purposes only] (incorporated herein by reference to Exhibit 3(b)(2) to the Quarterly Report on Form 10-Q of The Scotts Company for the fiscal quarter ended December 30, 2000 (File No. 1-13292))</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1325" w:right="1440" w:bottom="1440" w:gutter="0" w:footer="0" w:header="0"/>
          <w:type w:val="continuous"/>
        </w:sectPr>
      </w:pPr>
    </w:p>
    <w:bookmarkStart w:id="2" w:name="page3"/>
    <w:bookmarkEnd w:id="2"/>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Pursuant to the requirements of Section 12 of the Securities Exchange Act of 1934, the registrant has duly caused this Amendment No. 1 to Registration Statement on Form 8-A/A to be signed on its behalf by the undersigned, thereto duly authorized.</w:t>
      </w:r>
    </w:p>
    <w:p>
      <w:pPr>
        <w:spacing w:after="0" w:line="200" w:lineRule="exact"/>
        <w:rPr>
          <w:sz w:val="20"/>
          <w:szCs w:val="20"/>
          <w:color w:val="auto"/>
        </w:rPr>
      </w:pPr>
    </w:p>
    <w:p>
      <w:pPr>
        <w:spacing w:after="0" w:line="204" w:lineRule="exact"/>
        <w:rPr>
          <w:sz w:val="20"/>
          <w:szCs w:val="20"/>
          <w:color w:val="auto"/>
        </w:rPr>
      </w:pPr>
    </w:p>
    <w:p>
      <w:pPr>
        <w:jc w:val="center"/>
        <w:ind w:right="-340"/>
        <w:spacing w:after="0"/>
        <w:rPr>
          <w:sz w:val="20"/>
          <w:szCs w:val="20"/>
          <w:color w:val="auto"/>
        </w:rPr>
      </w:pPr>
      <w:r>
        <w:rPr>
          <w:rFonts w:ascii="Courier New" w:cs="Courier New" w:eastAsia="Courier New" w:hAnsi="Courier New"/>
          <w:sz w:val="18"/>
          <w:szCs w:val="18"/>
          <w:color w:val="auto"/>
        </w:rPr>
        <w:t>THE SCOTTS COMPANY</w:t>
      </w:r>
    </w:p>
    <w:p>
      <w:pPr>
        <w:spacing w:after="0" w:line="200" w:lineRule="exact"/>
        <w:rPr>
          <w:sz w:val="20"/>
          <w:szCs w:val="20"/>
          <w:color w:val="auto"/>
        </w:rPr>
      </w:pPr>
    </w:p>
    <w:p>
      <w:pPr>
        <w:spacing w:after="0" w:line="204"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By: /s/ James Hagedorn</w:t>
      </w:r>
    </w:p>
    <w:p>
      <w:pPr>
        <w:spacing w:after="0" w:line="4" w:lineRule="exact"/>
        <w:rPr>
          <w:sz w:val="20"/>
          <w:szCs w:val="20"/>
          <w:color w:val="auto"/>
        </w:rPr>
      </w:pPr>
    </w:p>
    <w:p>
      <w:pPr>
        <w:ind w:left="47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James Hagedorn</w:t>
      </w:r>
    </w:p>
    <w:p>
      <w:pPr>
        <w:ind w:left="4740"/>
        <w:spacing w:after="0" w:line="238" w:lineRule="auto"/>
        <w:rPr>
          <w:sz w:val="20"/>
          <w:szCs w:val="20"/>
          <w:color w:val="auto"/>
        </w:rPr>
      </w:pPr>
      <w:r>
        <w:rPr>
          <w:rFonts w:ascii="Courier New" w:cs="Courier New" w:eastAsia="Courier New" w:hAnsi="Courier New"/>
          <w:sz w:val="18"/>
          <w:szCs w:val="18"/>
          <w:color w:val="auto"/>
        </w:rPr>
        <w:t>Chairman of the Board, President</w:t>
      </w:r>
    </w:p>
    <w:p>
      <w:pPr>
        <w:ind w:left="4740"/>
        <w:spacing w:after="0"/>
        <w:rPr>
          <w:sz w:val="20"/>
          <w:szCs w:val="20"/>
          <w:color w:val="auto"/>
        </w:rPr>
      </w:pPr>
      <w:r>
        <w:rPr>
          <w:rFonts w:ascii="Courier New" w:cs="Courier New" w:eastAsia="Courier New" w:hAnsi="Courier New"/>
          <w:sz w:val="18"/>
          <w:szCs w:val="18"/>
          <w:color w:val="auto"/>
        </w:rPr>
        <w:t>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April 3, 2003</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sectPr>
      <w:pgSz w:w="11900" w:h="16838" w:orient="portrait"/>
      <w:cols w:equalWidth="0" w:num="1">
        <w:col w:w="10219"/>
      </w:cols>
      <w:pgMar w:left="240" w:top="132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bullet"/>
      <w:start w:val="1"/>
    </w:lvl>
  </w:abstractNum>
  <w:abstractNum w:abstractNumId="1">
    <w:nsid w:val="66334873"/>
    <w:multiLevelType w:val="hybridMultilevel"/>
    <w:lvl w:ilvl="0">
      <w:lvlJc w:val="left"/>
      <w:lvlText w:val="2"/>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2019-12-11T22:03:30Z</dcterms:created>
  <dcterms:modified xsi:type="dcterms:W3CDTF">2019-12-11T22:03:30Z</dcterms:modified>
</cp:coreProperties>
</file>