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34" w:lineRule="exact"/>
        <w:rPr>
          <w:sz w:val="24"/>
          <w:szCs w:val="24"/>
          <w:color w:val="auto"/>
        </w:rPr>
      </w:pPr>
    </w:p>
    <w:p>
      <w:pPr>
        <w:jc w:val="right"/>
        <w:ind w:left="681" w:right="3840"/>
        <w:spacing w:after="0" w:line="324" w:lineRule="auto"/>
        <w:rPr>
          <w:sz w:val="20"/>
          <w:szCs w:val="20"/>
          <w:color w:val="auto"/>
        </w:rPr>
      </w:pPr>
      <w:r>
        <w:rPr>
          <w:rFonts w:ascii="Courier New" w:cs="Courier New" w:eastAsia="Courier New" w:hAnsi="Courier New"/>
          <w:sz w:val="16"/>
          <w:szCs w:val="16"/>
          <w:color w:val="auto"/>
        </w:rPr>
        <w:t>As filed with the Securities and Exchange Commission on February 22, 1999 Registration No. 333-________________</w:t>
      </w:r>
    </w:p>
    <w:p>
      <w:pPr>
        <w:spacing w:after="0" w:line="35"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4"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Washington, D.C. 20549</w:t>
      </w:r>
    </w:p>
    <w:p>
      <w:pPr>
        <w:spacing w:after="0" w:line="4" w:lineRule="exact"/>
        <w:rPr>
          <w:sz w:val="24"/>
          <w:szCs w:val="24"/>
          <w:color w:val="auto"/>
        </w:rPr>
      </w:pPr>
    </w:p>
    <w:p>
      <w:pPr>
        <w:ind w:left="1821"/>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FORM S-8</w:t>
      </w:r>
    </w:p>
    <w:p>
      <w:pPr>
        <w:spacing w:after="0" w:line="188" w:lineRule="exact"/>
        <w:rPr>
          <w:sz w:val="24"/>
          <w:szCs w:val="24"/>
          <w:color w:val="auto"/>
        </w:rPr>
      </w:pPr>
    </w:p>
    <w:p>
      <w:pPr>
        <w:ind w:left="1241"/>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88" w:lineRule="exact"/>
        <w:rPr>
          <w:sz w:val="24"/>
          <w:szCs w:val="24"/>
          <w:color w:val="auto"/>
        </w:rPr>
      </w:pPr>
    </w:p>
    <w:p>
      <w:pPr>
        <w:ind w:left="182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THE SCOTTS COMPANY</w:t>
      </w:r>
    </w:p>
    <w:p>
      <w:pPr>
        <w:spacing w:after="0" w:line="34"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241"/>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58" w:lineRule="exact"/>
        <w:rPr>
          <w:sz w:val="24"/>
          <w:szCs w:val="24"/>
          <w:color w:val="auto"/>
        </w:rPr>
      </w:pPr>
    </w:p>
    <w:tbl>
      <w:tblPr>
        <w:tblLayout w:type="fixed"/>
        <w:tblInd w:w="1" w:type="dxa"/>
        <w:tblCellMar>
          <w:top w:w="0" w:type="dxa"/>
          <w:left w:w="0" w:type="dxa"/>
          <w:bottom w:w="0" w:type="dxa"/>
          <w:right w:w="0" w:type="dxa"/>
        </w:tblCellMar>
      </w:tblPr>
      <w:tr>
        <w:trPr>
          <w:trHeight w:val="185"/>
        </w:trPr>
        <w:tc>
          <w:tcPr>
            <w:tcW w:w="4700" w:type="dxa"/>
            <w:vAlign w:val="bottom"/>
          </w:tcPr>
          <w:p>
            <w:pPr>
              <w:ind w:left="1240"/>
              <w:spacing w:after="0"/>
              <w:rPr>
                <w:sz w:val="20"/>
                <w:szCs w:val="20"/>
                <w:color w:val="auto"/>
              </w:rPr>
            </w:pPr>
            <w:r>
              <w:rPr>
                <w:rFonts w:ascii="Courier New" w:cs="Courier New" w:eastAsia="Courier New" w:hAnsi="Courier New"/>
                <w:sz w:val="16"/>
                <w:szCs w:val="16"/>
                <w:color w:val="auto"/>
              </w:rPr>
              <w:t>Ohio</w:t>
            </w:r>
          </w:p>
        </w:tc>
        <w:tc>
          <w:tcPr>
            <w:tcW w:w="29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31-1414921</w:t>
            </w:r>
          </w:p>
        </w:tc>
        <w:tc>
          <w:tcPr>
            <w:tcW w:w="0" w:type="dxa"/>
            <w:vAlign w:val="bottom"/>
          </w:tcPr>
          <w:p>
            <w:pPr>
              <w:spacing w:after="0"/>
              <w:rPr>
                <w:sz w:val="1"/>
                <w:szCs w:val="1"/>
                <w:color w:val="auto"/>
              </w:rPr>
            </w:pPr>
          </w:p>
        </w:tc>
      </w:tr>
      <w:tr>
        <w:trPr>
          <w:trHeight w:val="185"/>
        </w:trPr>
        <w:tc>
          <w:tcPr>
            <w:tcW w:w="4700" w:type="dxa"/>
            <w:vAlign w:val="bottom"/>
            <w:vMerge w:val="restart"/>
          </w:tcPr>
          <w:p>
            <w:pPr>
              <w:spacing w:after="0"/>
              <w:rPr>
                <w:sz w:val="20"/>
                <w:szCs w:val="20"/>
                <w:color w:val="auto"/>
              </w:rPr>
            </w:pPr>
            <w:r>
              <w:rPr>
                <w:rFonts w:ascii="Courier New" w:cs="Courier New" w:eastAsia="Courier New" w:hAnsi="Courier New"/>
                <w:sz w:val="32"/>
                <w:szCs w:val="32"/>
                <w:color w:val="auto"/>
                <w:w w:val="71"/>
                <w:vertAlign w:val="subscript"/>
              </w:rPr>
              <w:t>(State</w:t>
            </w:r>
            <w:r>
              <w:rPr>
                <w:rFonts w:ascii="Courier New" w:cs="Courier New" w:eastAsia="Courier New" w:hAnsi="Courier New"/>
                <w:sz w:val="16"/>
                <w:szCs w:val="16"/>
                <w:color w:val="auto"/>
                <w:w w:val="71"/>
              </w:rPr>
              <w:t>--------------------------------</w:t>
            </w:r>
            <w:r>
              <w:rPr>
                <w:rFonts w:ascii="Courier New" w:cs="Courier New" w:eastAsia="Courier New" w:hAnsi="Courier New"/>
                <w:sz w:val="32"/>
                <w:szCs w:val="32"/>
                <w:color w:val="auto"/>
                <w:w w:val="71"/>
                <w:vertAlign w:val="subscript"/>
              </w:rPr>
              <w:t>orotherjurisdictionof</w:t>
            </w:r>
          </w:p>
        </w:tc>
        <w:tc>
          <w:tcPr>
            <w:tcW w:w="2980" w:type="dxa"/>
            <w:vAlign w:val="bottom"/>
          </w:tcPr>
          <w:p>
            <w:pPr>
              <w:ind w:left="126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5"/>
        </w:trPr>
        <w:tc>
          <w:tcPr>
            <w:tcW w:w="4700" w:type="dxa"/>
            <w:vAlign w:val="bottom"/>
            <w:vMerge w:val="continue"/>
          </w:tcPr>
          <w:p>
            <w:pPr>
              <w:spacing w:after="0"/>
              <w:rPr>
                <w:sz w:val="16"/>
                <w:szCs w:val="16"/>
                <w:color w:val="auto"/>
              </w:rPr>
            </w:pPr>
          </w:p>
        </w:tc>
        <w:tc>
          <w:tcPr>
            <w:tcW w:w="2980" w:type="dxa"/>
            <w:vAlign w:val="bottom"/>
          </w:tcPr>
          <w:p>
            <w:pPr>
              <w:ind w:left="1260"/>
              <w:spacing w:after="0"/>
              <w:rPr>
                <w:sz w:val="20"/>
                <w:szCs w:val="20"/>
                <w:color w:val="auto"/>
              </w:rPr>
            </w:pPr>
            <w:r>
              <w:rPr>
                <w:rFonts w:ascii="Courier New" w:cs="Courier New" w:eastAsia="Courier New" w:hAnsi="Courier New"/>
                <w:sz w:val="16"/>
                <w:szCs w:val="16"/>
                <w:color w:val="auto"/>
              </w:rPr>
              <w:t>(I.R.S. Employer</w:t>
            </w:r>
          </w:p>
        </w:tc>
        <w:tc>
          <w:tcPr>
            <w:tcW w:w="0" w:type="dxa"/>
            <w:vAlign w:val="bottom"/>
          </w:tcPr>
          <w:p>
            <w:pPr>
              <w:spacing w:after="0"/>
              <w:rPr>
                <w:sz w:val="1"/>
                <w:szCs w:val="1"/>
                <w:color w:val="auto"/>
              </w:rPr>
            </w:pPr>
          </w:p>
        </w:tc>
      </w:tr>
      <w:tr>
        <w:trPr>
          <w:trHeight w:val="271"/>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2980" w:type="dxa"/>
            <w:vAlign w:val="bottom"/>
          </w:tcPr>
          <w:p>
            <w:pPr>
              <w:ind w:left="960"/>
              <w:spacing w:after="0"/>
              <w:rPr>
                <w:sz w:val="20"/>
                <w:szCs w:val="20"/>
                <w:color w:val="auto"/>
              </w:rPr>
            </w:pPr>
            <w:r>
              <w:rPr>
                <w:rFonts w:ascii="Courier New" w:cs="Courier New" w:eastAsia="Courier New" w:hAnsi="Courier New"/>
                <w:sz w:val="16"/>
                <w:szCs w:val="16"/>
                <w:color w:val="auto"/>
              </w:rPr>
              <w:t>Identification No.)</w:t>
            </w:r>
          </w:p>
        </w:tc>
        <w:tc>
          <w:tcPr>
            <w:tcW w:w="0" w:type="dxa"/>
            <w:vAlign w:val="bottom"/>
          </w:tcPr>
          <w:p>
            <w:pPr>
              <w:spacing w:after="0"/>
              <w:rPr>
                <w:sz w:val="1"/>
                <w:szCs w:val="1"/>
                <w:color w:val="auto"/>
              </w:rPr>
            </w:pPr>
          </w:p>
        </w:tc>
      </w:tr>
      <w:tr>
        <w:trPr>
          <w:trHeight w:val="313"/>
        </w:trPr>
        <w:tc>
          <w:tcPr>
            <w:tcW w:w="4700" w:type="dxa"/>
            <w:vAlign w:val="bottom"/>
          </w:tcPr>
          <w:p>
            <w:pPr>
              <w:spacing w:after="0"/>
              <w:rPr>
                <w:sz w:val="20"/>
                <w:szCs w:val="20"/>
                <w:color w:val="auto"/>
              </w:rPr>
            </w:pPr>
            <w:r>
              <w:rPr>
                <w:rFonts w:ascii="Courier New" w:cs="Courier New" w:eastAsia="Courier New" w:hAnsi="Courier New"/>
                <w:sz w:val="16"/>
                <w:szCs w:val="16"/>
                <w:color w:val="auto"/>
              </w:rPr>
              <w:t>14111 Scottslawn Road, Marysville, Ohio</w:t>
            </w:r>
          </w:p>
        </w:tc>
        <w:tc>
          <w:tcPr>
            <w:tcW w:w="29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43041</w:t>
            </w:r>
          </w:p>
        </w:tc>
        <w:tc>
          <w:tcPr>
            <w:tcW w:w="0" w:type="dxa"/>
            <w:vAlign w:val="bottom"/>
          </w:tcPr>
          <w:p>
            <w:pPr>
              <w:spacing w:after="0"/>
              <w:rPr>
                <w:sz w:val="1"/>
                <w:szCs w:val="1"/>
                <w:color w:val="auto"/>
              </w:rPr>
            </w:pPr>
          </w:p>
        </w:tc>
      </w:tr>
    </w:tbl>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4"/>
          <w:szCs w:val="24"/>
          <w:color w:val="auto"/>
        </w:rPr>
      </w:pPr>
    </w:p>
    <w:p>
      <w:pPr>
        <w:ind w:left="1"/>
        <w:spacing w:after="0"/>
        <w:tabs>
          <w:tab w:leader="none" w:pos="6221"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43"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The Scotts Company</w:t>
      </w:r>
    </w:p>
    <w:p>
      <w:pPr>
        <w:spacing w:after="0" w:line="3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Executive Retirement Plan</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(Full title of the plan)</w:t>
      </w:r>
    </w:p>
    <w:p>
      <w:pPr>
        <w:spacing w:after="0" w:line="158" w:lineRule="exact"/>
        <w:rPr>
          <w:sz w:val="24"/>
          <w:szCs w:val="24"/>
          <w:color w:val="auto"/>
        </w:rPr>
      </w:pPr>
    </w:p>
    <w:tbl>
      <w:tblPr>
        <w:tblLayout w:type="fixed"/>
        <w:tblInd w:w="1" w:type="dxa"/>
        <w:tblCellMar>
          <w:top w:w="0" w:type="dxa"/>
          <w:left w:w="0" w:type="dxa"/>
          <w:bottom w:w="0" w:type="dxa"/>
          <w:right w:w="0" w:type="dxa"/>
        </w:tblCellMar>
      </w:tblPr>
      <w:tr>
        <w:trPr>
          <w:trHeight w:val="185"/>
        </w:trPr>
        <w:tc>
          <w:tcPr>
            <w:tcW w:w="4040" w:type="dxa"/>
            <w:vAlign w:val="bottom"/>
            <w:vMerge w:val="restart"/>
          </w:tcPr>
          <w:p>
            <w:pPr>
              <w:spacing w:after="0"/>
              <w:rPr>
                <w:sz w:val="20"/>
                <w:szCs w:val="20"/>
                <w:color w:val="auto"/>
              </w:rPr>
            </w:pPr>
            <w:r>
              <w:rPr>
                <w:rFonts w:ascii="Courier New" w:cs="Courier New" w:eastAsia="Courier New" w:hAnsi="Courier New"/>
                <w:sz w:val="16"/>
                <w:szCs w:val="16"/>
                <w:color w:val="auto"/>
              </w:rPr>
              <w:t>G. Robert Lucas, Esq.</w:t>
            </w:r>
          </w:p>
        </w:tc>
        <w:tc>
          <w:tcPr>
            <w:tcW w:w="1300" w:type="dxa"/>
            <w:vAlign w:val="bottom"/>
          </w:tcPr>
          <w:p>
            <w:pPr>
              <w:spacing w:after="0"/>
              <w:rPr>
                <w:sz w:val="16"/>
                <w:szCs w:val="16"/>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6"/>
                <w:szCs w:val="16"/>
                <w:color w:val="auto"/>
              </w:rPr>
              <w:t>Copy to:</w:t>
            </w:r>
          </w:p>
        </w:tc>
        <w:tc>
          <w:tcPr>
            <w:tcW w:w="0" w:type="dxa"/>
            <w:vAlign w:val="bottom"/>
          </w:tcPr>
          <w:p>
            <w:pPr>
              <w:spacing w:after="0"/>
              <w:rPr>
                <w:sz w:val="1"/>
                <w:szCs w:val="1"/>
                <w:color w:val="auto"/>
              </w:rPr>
            </w:pPr>
          </w:p>
        </w:tc>
      </w:tr>
      <w:tr>
        <w:trPr>
          <w:trHeight w:val="185"/>
        </w:trPr>
        <w:tc>
          <w:tcPr>
            <w:tcW w:w="4040" w:type="dxa"/>
            <w:vAlign w:val="bottom"/>
            <w:vMerge w:val="continue"/>
          </w:tcPr>
          <w:p>
            <w:pPr>
              <w:spacing w:after="0"/>
              <w:rPr>
                <w:sz w:val="16"/>
                <w:szCs w:val="16"/>
                <w:color w:val="auto"/>
              </w:rPr>
            </w:pPr>
          </w:p>
        </w:tc>
        <w:tc>
          <w:tcPr>
            <w:tcW w:w="3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Elizabeth Turrell Farrar, Esq.</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The Scotts Company</w:t>
            </w:r>
          </w:p>
        </w:tc>
        <w:tc>
          <w:tcPr>
            <w:tcW w:w="35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Vorys, Sater, Seymour and Pease LLP</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14111 Scottslawn Road</w:t>
            </w:r>
          </w:p>
        </w:tc>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52 East Gay</w:t>
            </w:r>
          </w:p>
        </w:tc>
        <w:tc>
          <w:tcPr>
            <w:tcW w:w="224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Marysville, Ohio 43041</w:t>
            </w:r>
          </w:p>
        </w:tc>
        <w:tc>
          <w:tcPr>
            <w:tcW w:w="3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P.O. Box 1008</w:t>
            </w:r>
          </w:p>
        </w:tc>
        <w:tc>
          <w:tcPr>
            <w:tcW w:w="0" w:type="dxa"/>
            <w:vAlign w:val="bottom"/>
          </w:tcPr>
          <w:p>
            <w:pPr>
              <w:spacing w:after="0"/>
              <w:rPr>
                <w:sz w:val="1"/>
                <w:szCs w:val="1"/>
                <w:color w:val="auto"/>
              </w:rPr>
            </w:pPr>
          </w:p>
        </w:tc>
      </w:tr>
      <w:tr>
        <w:trPr>
          <w:trHeight w:val="271"/>
        </w:trPr>
        <w:tc>
          <w:tcPr>
            <w:tcW w:w="4040" w:type="dxa"/>
            <w:vAlign w:val="bottom"/>
            <w:vMerge w:val="restart"/>
          </w:tcPr>
          <w:p>
            <w:pPr>
              <w:spacing w:after="0"/>
              <w:rPr>
                <w:sz w:val="20"/>
                <w:szCs w:val="20"/>
                <w:color w:val="auto"/>
              </w:rPr>
            </w:pPr>
            <w:r>
              <w:rPr>
                <w:rFonts w:ascii="Courier New" w:cs="Courier New" w:eastAsia="Courier New" w:hAnsi="Courier New"/>
                <w:sz w:val="21"/>
                <w:szCs w:val="21"/>
                <w:color w:val="auto"/>
                <w:w w:val="72"/>
                <w:vertAlign w:val="subscript"/>
              </w:rPr>
              <w:t>(Name</w:t>
            </w:r>
            <w:r>
              <w:rPr>
                <w:rFonts w:ascii="Courier New" w:cs="Courier New" w:eastAsia="Courier New" w:hAnsi="Courier New"/>
                <w:sz w:val="12"/>
                <w:szCs w:val="12"/>
                <w:color w:val="auto"/>
                <w:w w:val="72"/>
              </w:rPr>
              <w:t>---------------------------------------</w:t>
            </w:r>
            <w:r>
              <w:rPr>
                <w:rFonts w:ascii="Courier New" w:cs="Courier New" w:eastAsia="Courier New" w:hAnsi="Courier New"/>
                <w:sz w:val="21"/>
                <w:szCs w:val="21"/>
                <w:color w:val="auto"/>
                <w:w w:val="72"/>
                <w:vertAlign w:val="subscript"/>
              </w:rPr>
              <w:t>andaddressofagentforservice)</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Columbus,</w:t>
            </w:r>
          </w:p>
        </w:tc>
        <w:tc>
          <w:tcPr>
            <w:tcW w:w="2240" w:type="dxa"/>
            <w:vAlign w:val="bottom"/>
          </w:tcPr>
          <w:p>
            <w:pPr>
              <w:ind w:left="40"/>
              <w:spacing w:after="0"/>
              <w:rPr>
                <w:sz w:val="20"/>
                <w:szCs w:val="20"/>
                <w:color w:val="auto"/>
              </w:rPr>
            </w:pPr>
            <w:r>
              <w:rPr>
                <w:rFonts w:ascii="Courier New" w:cs="Courier New" w:eastAsia="Courier New" w:hAnsi="Courier New"/>
                <w:sz w:val="16"/>
                <w:szCs w:val="16"/>
                <w:color w:val="auto"/>
              </w:rPr>
              <w:t>Ohio  43216-1008</w:t>
            </w:r>
          </w:p>
        </w:tc>
        <w:tc>
          <w:tcPr>
            <w:tcW w:w="0" w:type="dxa"/>
            <w:vAlign w:val="bottom"/>
          </w:tcPr>
          <w:p>
            <w:pPr>
              <w:spacing w:after="0"/>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4"/>
          <w:szCs w:val="24"/>
          <w:color w:val="auto"/>
        </w:rPr>
      </w:pPr>
    </w:p>
    <w:p>
      <w:pPr>
        <w:ind w:left="3741" w:hanging="571"/>
        <w:spacing w:after="0"/>
        <w:tabs>
          <w:tab w:leader="none" w:pos="37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644-0011</w:t>
      </w:r>
    </w:p>
    <w:p>
      <w:pPr>
        <w:spacing w:after="0" w:line="33"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number, including area code, of agent for service)</w:t>
      </w:r>
    </w:p>
    <w:p>
      <w:pPr>
        <w:spacing w:after="0" w:line="343"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CALCULATION OF REGISTRATION FEE</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271"/>
        </w:trPr>
        <w:tc>
          <w:tcPr>
            <w:tcW w:w="9020" w:type="dxa"/>
            <w:vAlign w:val="bottom"/>
            <w:gridSpan w:val="4"/>
          </w:tcPr>
          <w:p>
            <w:pPr>
              <w:spacing w:after="0"/>
              <w:rPr>
                <w:sz w:val="20"/>
                <w:szCs w:val="20"/>
                <w:color w:val="auto"/>
              </w:rPr>
            </w:pPr>
            <w:r>
              <w:rPr>
                <w:rFonts w:ascii="Courier New" w:cs="Courier New" w:eastAsia="Courier New" w:hAnsi="Courier New"/>
                <w:sz w:val="16"/>
                <w:szCs w:val="16"/>
                <w:color w:val="auto"/>
              </w:rPr>
              <w:t>- --------------------------------------------------------------------------------</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1960" w:type="dxa"/>
            <w:vAlign w:val="bottom"/>
            <w:vMerge w:val="restart"/>
          </w:tcPr>
          <w:p>
            <w:pPr>
              <w:spacing w:after="0"/>
              <w:rPr>
                <w:sz w:val="20"/>
                <w:szCs w:val="20"/>
                <w:color w:val="auto"/>
              </w:rPr>
            </w:pPr>
            <w:r>
              <w:rPr>
                <w:rFonts w:ascii="Courier New" w:cs="Courier New" w:eastAsia="Courier New" w:hAnsi="Courier New"/>
                <w:sz w:val="16"/>
                <w:szCs w:val="16"/>
                <w:color w:val="auto"/>
              </w:rPr>
              <w:t>Title of</w:t>
            </w:r>
          </w:p>
        </w:tc>
        <w:tc>
          <w:tcPr>
            <w:tcW w:w="2600" w:type="dxa"/>
            <w:vAlign w:val="bottom"/>
          </w:tcPr>
          <w:p>
            <w:pPr>
              <w:spacing w:after="0"/>
              <w:rPr>
                <w:sz w:val="24"/>
                <w:szCs w:val="24"/>
                <w:color w:val="auto"/>
              </w:rPr>
            </w:pPr>
          </w:p>
        </w:tc>
        <w:tc>
          <w:tcPr>
            <w:tcW w:w="2400" w:type="dxa"/>
            <w:vAlign w:val="bottom"/>
          </w:tcPr>
          <w:p>
            <w:pPr>
              <w:ind w:left="820"/>
              <w:spacing w:after="0"/>
              <w:rPr>
                <w:sz w:val="20"/>
                <w:szCs w:val="20"/>
                <w:color w:val="auto"/>
              </w:rPr>
            </w:pPr>
            <w:r>
              <w:rPr>
                <w:rFonts w:ascii="Courier New" w:cs="Courier New" w:eastAsia="Courier New" w:hAnsi="Courier New"/>
                <w:sz w:val="16"/>
                <w:szCs w:val="16"/>
                <w:color w:val="auto"/>
              </w:rPr>
              <w:t>Proposed</w:t>
            </w:r>
          </w:p>
        </w:tc>
        <w:tc>
          <w:tcPr>
            <w:tcW w:w="2060" w:type="dxa"/>
            <w:vAlign w:val="bottom"/>
          </w:tcPr>
          <w:p>
            <w:pPr>
              <w:ind w:left="620"/>
              <w:spacing w:after="0"/>
              <w:rPr>
                <w:sz w:val="20"/>
                <w:szCs w:val="20"/>
                <w:color w:val="auto"/>
              </w:rPr>
            </w:pPr>
            <w:r>
              <w:rPr>
                <w:rFonts w:ascii="Courier New" w:cs="Courier New" w:eastAsia="Courier New" w:hAnsi="Courier New"/>
                <w:sz w:val="16"/>
                <w:szCs w:val="16"/>
                <w:color w:val="auto"/>
              </w:rPr>
              <w:t>Proposed</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960" w:type="dxa"/>
            <w:vAlign w:val="bottom"/>
            <w:vMerge w:val="continue"/>
          </w:tcPr>
          <w:p>
            <w:pPr>
              <w:spacing w:after="0"/>
              <w:rPr>
                <w:sz w:val="16"/>
                <w:szCs w:val="16"/>
                <w:color w:val="auto"/>
              </w:rPr>
            </w:pPr>
          </w:p>
        </w:tc>
        <w:tc>
          <w:tcPr>
            <w:tcW w:w="2600" w:type="dxa"/>
            <w:vAlign w:val="bottom"/>
            <w:vMerge w:val="restart"/>
          </w:tcPr>
          <w:p>
            <w:pPr>
              <w:jc w:val="right"/>
              <w:ind w:right="740"/>
              <w:spacing w:after="0"/>
              <w:rPr>
                <w:sz w:val="20"/>
                <w:szCs w:val="20"/>
                <w:color w:val="auto"/>
              </w:rPr>
            </w:pPr>
            <w:r>
              <w:rPr>
                <w:rFonts w:ascii="Courier New" w:cs="Courier New" w:eastAsia="Courier New" w:hAnsi="Courier New"/>
                <w:sz w:val="16"/>
                <w:szCs w:val="16"/>
                <w:color w:val="auto"/>
              </w:rPr>
              <w:t>Amount</w:t>
            </w:r>
          </w:p>
        </w:tc>
        <w:tc>
          <w:tcPr>
            <w:tcW w:w="2400" w:type="dxa"/>
            <w:vAlign w:val="bottom"/>
          </w:tcPr>
          <w:p>
            <w:pPr>
              <w:ind w:left="820"/>
              <w:spacing w:after="0"/>
              <w:rPr>
                <w:sz w:val="20"/>
                <w:szCs w:val="20"/>
                <w:color w:val="auto"/>
              </w:rPr>
            </w:pPr>
            <w:r>
              <w:rPr>
                <w:rFonts w:ascii="Courier New" w:cs="Courier New" w:eastAsia="Courier New" w:hAnsi="Courier New"/>
                <w:sz w:val="16"/>
                <w:szCs w:val="16"/>
                <w:color w:val="auto"/>
              </w:rPr>
              <w:t>maximum</w:t>
            </w:r>
          </w:p>
        </w:tc>
        <w:tc>
          <w:tcPr>
            <w:tcW w:w="2060" w:type="dxa"/>
            <w:vAlign w:val="bottom"/>
          </w:tcPr>
          <w:p>
            <w:pPr>
              <w:ind w:left="720"/>
              <w:spacing w:after="0"/>
              <w:rPr>
                <w:sz w:val="20"/>
                <w:szCs w:val="20"/>
                <w:color w:val="auto"/>
              </w:rPr>
            </w:pPr>
            <w:r>
              <w:rPr>
                <w:rFonts w:ascii="Courier New" w:cs="Courier New" w:eastAsia="Courier New" w:hAnsi="Courier New"/>
                <w:sz w:val="16"/>
                <w:szCs w:val="16"/>
                <w:color w:val="auto"/>
              </w:rPr>
              <w:t>maximum</w:t>
            </w:r>
          </w:p>
        </w:tc>
        <w:tc>
          <w:tcPr>
            <w:tcW w:w="1740" w:type="dxa"/>
            <w:vAlign w:val="bottom"/>
            <w:vMerge w:val="restart"/>
          </w:tcPr>
          <w:p>
            <w:pPr>
              <w:jc w:val="center"/>
              <w:ind w:left="600"/>
              <w:spacing w:after="0"/>
              <w:rPr>
                <w:sz w:val="20"/>
                <w:szCs w:val="20"/>
                <w:color w:val="auto"/>
              </w:rPr>
            </w:pPr>
            <w:r>
              <w:rPr>
                <w:rFonts w:ascii="Courier New" w:cs="Courier New" w:eastAsia="Courier New" w:hAnsi="Courier New"/>
                <w:sz w:val="16"/>
                <w:szCs w:val="16"/>
                <w:color w:val="auto"/>
                <w:w w:val="99"/>
              </w:rPr>
              <w:t>Amount of</w:t>
            </w:r>
          </w:p>
        </w:tc>
        <w:tc>
          <w:tcPr>
            <w:tcW w:w="0" w:type="dxa"/>
            <w:vAlign w:val="bottom"/>
          </w:tcPr>
          <w:p>
            <w:pPr>
              <w:spacing w:after="0"/>
              <w:rPr>
                <w:sz w:val="1"/>
                <w:szCs w:val="1"/>
                <w:color w:val="auto"/>
              </w:rPr>
            </w:pPr>
          </w:p>
        </w:tc>
      </w:tr>
      <w:tr>
        <w:trPr>
          <w:trHeight w:val="185"/>
        </w:trPr>
        <w:tc>
          <w:tcPr>
            <w:tcW w:w="196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2600" w:type="dxa"/>
            <w:vAlign w:val="bottom"/>
            <w:vMerge w:val="continue"/>
          </w:tcPr>
          <w:p>
            <w:pPr>
              <w:spacing w:after="0"/>
              <w:rPr>
                <w:sz w:val="16"/>
                <w:szCs w:val="16"/>
                <w:color w:val="auto"/>
              </w:rPr>
            </w:pPr>
          </w:p>
        </w:tc>
        <w:tc>
          <w:tcPr>
            <w:tcW w:w="2400" w:type="dxa"/>
            <w:vAlign w:val="bottom"/>
          </w:tcPr>
          <w:p>
            <w:pPr>
              <w:ind w:left="820"/>
              <w:spacing w:after="0"/>
              <w:rPr>
                <w:sz w:val="20"/>
                <w:szCs w:val="20"/>
                <w:color w:val="auto"/>
              </w:rPr>
            </w:pPr>
            <w:r>
              <w:rPr>
                <w:rFonts w:ascii="Courier New" w:cs="Courier New" w:eastAsia="Courier New" w:hAnsi="Courier New"/>
                <w:sz w:val="16"/>
                <w:szCs w:val="16"/>
                <w:color w:val="auto"/>
              </w:rPr>
              <w:t>offering</w:t>
            </w:r>
          </w:p>
        </w:tc>
        <w:tc>
          <w:tcPr>
            <w:tcW w:w="2060" w:type="dxa"/>
            <w:vAlign w:val="bottom"/>
          </w:tcPr>
          <w:p>
            <w:pPr>
              <w:ind w:left="620"/>
              <w:spacing w:after="0"/>
              <w:rPr>
                <w:sz w:val="20"/>
                <w:szCs w:val="20"/>
                <w:color w:val="auto"/>
              </w:rPr>
            </w:pPr>
            <w:r>
              <w:rPr>
                <w:rFonts w:ascii="Courier New" w:cs="Courier New" w:eastAsia="Courier New" w:hAnsi="Courier New"/>
                <w:sz w:val="16"/>
                <w:szCs w:val="16"/>
                <w:color w:val="auto"/>
              </w:rPr>
              <w:t>aggregate</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tcPr>
          <w:p>
            <w:pPr>
              <w:spacing w:after="0"/>
              <w:rPr>
                <w:sz w:val="20"/>
                <w:szCs w:val="20"/>
                <w:color w:val="auto"/>
              </w:rPr>
            </w:pPr>
            <w:r>
              <w:rPr>
                <w:rFonts w:ascii="Courier New" w:cs="Courier New" w:eastAsia="Courier New" w:hAnsi="Courier New"/>
                <w:sz w:val="16"/>
                <w:szCs w:val="16"/>
                <w:color w:val="auto"/>
              </w:rPr>
              <w:t>to be</w:t>
            </w:r>
          </w:p>
        </w:tc>
        <w:tc>
          <w:tcPr>
            <w:tcW w:w="26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to be</w:t>
            </w:r>
          </w:p>
        </w:tc>
        <w:tc>
          <w:tcPr>
            <w:tcW w:w="2400" w:type="dxa"/>
            <w:vAlign w:val="bottom"/>
          </w:tcPr>
          <w:p>
            <w:pPr>
              <w:ind w:left="920"/>
              <w:spacing w:after="0"/>
              <w:rPr>
                <w:sz w:val="20"/>
                <w:szCs w:val="20"/>
                <w:color w:val="auto"/>
              </w:rPr>
            </w:pPr>
            <w:r>
              <w:rPr>
                <w:rFonts w:ascii="Courier New" w:cs="Courier New" w:eastAsia="Courier New" w:hAnsi="Courier New"/>
                <w:sz w:val="16"/>
                <w:szCs w:val="16"/>
                <w:color w:val="auto"/>
              </w:rPr>
              <w:t>price</w:t>
            </w:r>
          </w:p>
        </w:tc>
        <w:tc>
          <w:tcPr>
            <w:tcW w:w="2060" w:type="dxa"/>
            <w:vAlign w:val="bottom"/>
          </w:tcPr>
          <w:p>
            <w:pPr>
              <w:ind w:left="620"/>
              <w:spacing w:after="0"/>
              <w:rPr>
                <w:sz w:val="20"/>
                <w:szCs w:val="20"/>
                <w:color w:val="auto"/>
              </w:rPr>
            </w:pPr>
            <w:r>
              <w:rPr>
                <w:rFonts w:ascii="Courier New" w:cs="Courier New" w:eastAsia="Courier New" w:hAnsi="Courier New"/>
                <w:sz w:val="16"/>
                <w:szCs w:val="16"/>
                <w:color w:val="auto"/>
              </w:rPr>
              <w:t>offering</w:t>
            </w:r>
          </w:p>
        </w:tc>
        <w:tc>
          <w:tcPr>
            <w:tcW w:w="1740" w:type="dxa"/>
            <w:vAlign w:val="bottom"/>
          </w:tcPr>
          <w:p>
            <w:pPr>
              <w:ind w:left="580"/>
              <w:spacing w:after="0"/>
              <w:rPr>
                <w:sz w:val="20"/>
                <w:szCs w:val="20"/>
                <w:color w:val="auto"/>
              </w:rPr>
            </w:pPr>
            <w:r>
              <w:rPr>
                <w:rFonts w:ascii="Courier New" w:cs="Courier New" w:eastAsia="Courier New" w:hAnsi="Courier New"/>
                <w:sz w:val="16"/>
                <w:szCs w:val="16"/>
                <w:color w:val="auto"/>
                <w:w w:val="98"/>
              </w:rPr>
              <w:t>registration</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Courier New" w:cs="Courier New" w:eastAsia="Courier New" w:hAnsi="Courier New"/>
                <w:sz w:val="16"/>
                <w:szCs w:val="16"/>
                <w:color w:val="auto"/>
              </w:rPr>
              <w:t>registered</w:t>
            </w:r>
          </w:p>
        </w:tc>
        <w:tc>
          <w:tcPr>
            <w:tcW w:w="26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registered</w:t>
            </w:r>
          </w:p>
        </w:tc>
        <w:tc>
          <w:tcPr>
            <w:tcW w:w="2400" w:type="dxa"/>
            <w:vAlign w:val="bottom"/>
          </w:tcPr>
          <w:p>
            <w:pPr>
              <w:ind w:left="620"/>
              <w:spacing w:after="0"/>
              <w:rPr>
                <w:sz w:val="20"/>
                <w:szCs w:val="20"/>
                <w:color w:val="auto"/>
              </w:rPr>
            </w:pPr>
            <w:r>
              <w:rPr>
                <w:rFonts w:ascii="Courier New" w:cs="Courier New" w:eastAsia="Courier New" w:hAnsi="Courier New"/>
                <w:sz w:val="16"/>
                <w:szCs w:val="16"/>
                <w:color w:val="auto"/>
              </w:rPr>
              <w:t>per unit (1)</w:t>
            </w:r>
          </w:p>
        </w:tc>
        <w:tc>
          <w:tcPr>
            <w:tcW w:w="2060" w:type="dxa"/>
            <w:vAlign w:val="bottom"/>
          </w:tcPr>
          <w:p>
            <w:pPr>
              <w:ind w:left="620"/>
              <w:spacing w:after="0"/>
              <w:rPr>
                <w:sz w:val="20"/>
                <w:szCs w:val="20"/>
                <w:color w:val="auto"/>
              </w:rPr>
            </w:pPr>
            <w:r>
              <w:rPr>
                <w:rFonts w:ascii="Courier New" w:cs="Courier New" w:eastAsia="Courier New" w:hAnsi="Courier New"/>
                <w:sz w:val="16"/>
                <w:szCs w:val="16"/>
                <w:color w:val="auto"/>
              </w:rPr>
              <w:t>price (1)</w:t>
            </w:r>
          </w:p>
        </w:tc>
        <w:tc>
          <w:tcPr>
            <w:tcW w:w="1740" w:type="dxa"/>
            <w:vAlign w:val="bottom"/>
          </w:tcPr>
          <w:p>
            <w:pPr>
              <w:jc w:val="center"/>
              <w:ind w:left="600"/>
              <w:spacing w:after="0"/>
              <w:rPr>
                <w:sz w:val="20"/>
                <w:szCs w:val="20"/>
                <w:color w:val="auto"/>
              </w:rPr>
            </w:pPr>
            <w:r>
              <w:rPr>
                <w:rFonts w:ascii="Courier New" w:cs="Courier New" w:eastAsia="Courier New" w:hAnsi="Courier New"/>
                <w:sz w:val="16"/>
                <w:szCs w:val="16"/>
                <w:color w:val="auto"/>
              </w:rPr>
              <w:t>fee</w:t>
            </w:r>
          </w:p>
        </w:tc>
        <w:tc>
          <w:tcPr>
            <w:tcW w:w="0" w:type="dxa"/>
            <w:vAlign w:val="bottom"/>
          </w:tcPr>
          <w:p>
            <w:pPr>
              <w:spacing w:after="0"/>
              <w:rPr>
                <w:sz w:val="1"/>
                <w:szCs w:val="1"/>
                <w:color w:val="auto"/>
              </w:rPr>
            </w:pPr>
          </w:p>
        </w:tc>
      </w:tr>
    </w:tbl>
    <w:p>
      <w:pPr>
        <w:ind w:left="1"/>
        <w:spacing w:after="0"/>
        <w:rPr>
          <w:sz w:val="20"/>
          <w:szCs w:val="20"/>
          <w:color w:val="auto"/>
        </w:rPr>
      </w:pPr>
      <w:r>
        <w:rPr>
          <w:rFonts w:ascii="Courier New" w:cs="Courier New" w:eastAsia="Courier New" w:hAnsi="Courier New"/>
          <w:sz w:val="15"/>
          <w:szCs w:val="15"/>
          <w:color w:val="auto"/>
        </w:rPr>
        <w:t>- ----------------------------------------------------------------------------------------------------------------------</w:t>
      </w:r>
    </w:p>
    <w:p>
      <w:pPr>
        <w:spacing w:after="0" w:line="170" w:lineRule="exact"/>
        <w:rPr>
          <w:sz w:val="24"/>
          <w:szCs w:val="24"/>
          <w:color w:val="auto"/>
        </w:rPr>
      </w:pPr>
    </w:p>
    <w:tbl>
      <w:tblPr>
        <w:tblLayout w:type="fixed"/>
        <w:tblInd w:w="1" w:type="dxa"/>
        <w:tblCellMar>
          <w:top w:w="0" w:type="dxa"/>
          <w:left w:w="0" w:type="dxa"/>
          <w:bottom w:w="0" w:type="dxa"/>
          <w:right w:w="0" w:type="dxa"/>
        </w:tblCellMar>
      </w:tblP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Common Shares, without</w:t>
            </w:r>
          </w:p>
        </w:tc>
        <w:tc>
          <w:tcPr>
            <w:tcW w:w="198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250,000</w:t>
            </w:r>
          </w:p>
        </w:tc>
        <w:tc>
          <w:tcPr>
            <w:tcW w:w="22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$34.0625</w:t>
            </w:r>
          </w:p>
        </w:tc>
        <w:tc>
          <w:tcPr>
            <w:tcW w:w="23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$8,515,625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$2,367</w:t>
            </w:r>
          </w:p>
        </w:tc>
      </w:tr>
      <w:tr>
        <w:trPr>
          <w:trHeight w:val="271"/>
        </w:trPr>
        <w:tc>
          <w:tcPr>
            <w:tcW w:w="2640" w:type="dxa"/>
            <w:vAlign w:val="bottom"/>
          </w:tcPr>
          <w:p>
            <w:pPr>
              <w:spacing w:after="0"/>
              <w:rPr>
                <w:sz w:val="20"/>
                <w:szCs w:val="20"/>
                <w:color w:val="auto"/>
              </w:rPr>
            </w:pPr>
            <w:r>
              <w:rPr>
                <w:rFonts w:ascii="Courier New" w:cs="Courier New" w:eastAsia="Courier New" w:hAnsi="Courier New"/>
                <w:sz w:val="16"/>
                <w:szCs w:val="16"/>
                <w:color w:val="auto"/>
              </w:rPr>
              <w:t>par value</w:t>
            </w:r>
          </w:p>
        </w:tc>
        <w:tc>
          <w:tcPr>
            <w:tcW w:w="19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98"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384" w:lineRule="exact"/>
        <w:rPr>
          <w:sz w:val="24"/>
          <w:szCs w:val="24"/>
          <w:color w:val="auto"/>
        </w:rPr>
      </w:pPr>
    </w:p>
    <w:p>
      <w:pPr>
        <w:ind w:left="861" w:right="3940" w:hanging="861"/>
        <w:spacing w:after="0" w:line="268" w:lineRule="auto"/>
        <w:tabs>
          <w:tab w:leader="none" w:pos="8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aggregate offering price and the registration fee pursuant to Rules 457(c) and 457(h) promulgated under the Securities Act of 1933, as amended, and computed on the basis of $35.4375 per share, which is the average of the high and low sales prices of the Common Shares as reported on the New York Stock Exchange on February 17, 1999.</w:t>
      </w:r>
    </w:p>
    <w:p>
      <w:pPr>
        <w:sectPr>
          <w:pgSz w:w="11900" w:h="16838" w:orient="portrait"/>
          <w:cols w:equalWidth="0" w:num="1">
            <w:col w:w="11521"/>
          </w:cols>
          <w:pgMar w:left="239" w:top="210" w:right="139"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PART II</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Documents by Reference.</w:t>
      </w:r>
    </w:p>
    <w:p>
      <w:pPr>
        <w:spacing w:after="0" w:line="188" w:lineRule="exact"/>
        <w:rPr>
          <w:sz w:val="20"/>
          <w:szCs w:val="20"/>
          <w:color w:val="auto"/>
        </w:rPr>
      </w:pPr>
    </w:p>
    <w:p>
      <w:pPr>
        <w:ind w:right="2539" w:firstLine="1729"/>
        <w:spacing w:after="0" w:line="268" w:lineRule="auto"/>
        <w:rPr>
          <w:sz w:val="20"/>
          <w:szCs w:val="20"/>
          <w:color w:val="auto"/>
        </w:rPr>
      </w:pPr>
      <w:r>
        <w:rPr>
          <w:rFonts w:ascii="Courier New" w:cs="Courier New" w:eastAsia="Courier New" w:hAnsi="Courier New"/>
          <w:sz w:val="16"/>
          <w:szCs w:val="16"/>
          <w:color w:val="auto"/>
        </w:rPr>
        <w:t>The Annual Report on Form 10-K for the fiscal year ended September 30, 1998 of The Scotts Company (the "Registrant"), and all other reports filed with the Securities and Exchange Commission (the "Commission") pursuant to the requirements of Section 13(a) or Section 15(d) of the Securities Exchange Act of 1934, as amended (the "Exchange Act"), since that date are hereby incorporated by reference.</w:t>
      </w:r>
    </w:p>
    <w:p>
      <w:pPr>
        <w:spacing w:after="0" w:line="79"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6"/>
          <w:szCs w:val="16"/>
          <w:color w:val="auto"/>
        </w:rPr>
        <w:t>The description of the Registrant's Common Shares contained in the Registrant's Registration Statement on Form 8-A (File No. 1-11593) filed with the Commission on December 21, 1995, which incorporates by reference the description of such Common Shares contained in the Registrant's Proxy Statement/Prospectus dated March 15, 1995, contained in the Registrant's Registration Statement on Form S-4 (Registration No. 33-57575), or contained in any subsequent amendment or report filed for the purpose of updating such description, is hereby incorporated by reference.</w:t>
      </w:r>
    </w:p>
    <w:p>
      <w:pPr>
        <w:spacing w:after="0" w:line="86" w:lineRule="exact"/>
        <w:rPr>
          <w:sz w:val="20"/>
          <w:szCs w:val="20"/>
          <w:color w:val="auto"/>
        </w:rPr>
      </w:pPr>
    </w:p>
    <w:p>
      <w:pPr>
        <w:ind w:right="2539" w:firstLine="1729"/>
        <w:spacing w:after="0" w:line="256" w:lineRule="auto"/>
        <w:rPr>
          <w:sz w:val="20"/>
          <w:szCs w:val="20"/>
          <w:color w:val="auto"/>
        </w:rPr>
      </w:pPr>
      <w:r>
        <w:rPr>
          <w:rFonts w:ascii="Courier New" w:cs="Courier New" w:eastAsia="Courier New" w:hAnsi="Courier New"/>
          <w:sz w:val="16"/>
          <w:szCs w:val="16"/>
          <w:color w:val="auto"/>
        </w:rPr>
        <w:t>Any definitive proxy statement or information statement filed pursuant to Section 14 of the Exchange Act and all documents which may be filed with the Commission pursuant to Sections 13, 14 or 15(d) of the Exchange Act subsequent to the date hereof and prior to the completion of the offering contemplated hereby, shall also be deemed to be incorporated herein by reference and to be made a part hereof from the date of filing of such documents; provided, however, that no report of the Compensation and Organization Committee of the Board of Directors of the Registrant on executive compensation and no performance graph included in any proxy statement or information statement filed pursuant to Section 14 of the Exchange Act shall be deemed to be incorporated herein by reference.</w:t>
      </w:r>
    </w:p>
    <w:p>
      <w:pPr>
        <w:spacing w:after="0" w:line="9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Description of Securities.</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tab/>
        <w:t>Interests of Named Experts and Counsel.</w:t>
      </w:r>
    </w:p>
    <w:p>
      <w:pPr>
        <w:spacing w:after="0" w:line="188" w:lineRule="exact"/>
        <w:rPr>
          <w:sz w:val="20"/>
          <w:szCs w:val="20"/>
          <w:color w:val="auto"/>
        </w:rPr>
      </w:pPr>
    </w:p>
    <w:p>
      <w:pPr>
        <w:jc w:val="center"/>
        <w:ind w:right="5319"/>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Indemnification of Directors and Officers.</w:t>
      </w:r>
    </w:p>
    <w:p>
      <w:pPr>
        <w:spacing w:after="0" w:line="188" w:lineRule="exact"/>
        <w:rPr>
          <w:sz w:val="20"/>
          <w:szCs w:val="20"/>
          <w:color w:val="auto"/>
        </w:rPr>
      </w:pPr>
    </w:p>
    <w:p>
      <w:pPr>
        <w:ind w:right="2639" w:firstLine="1729"/>
        <w:spacing w:after="0" w:line="304" w:lineRule="auto"/>
        <w:rPr>
          <w:sz w:val="20"/>
          <w:szCs w:val="20"/>
          <w:color w:val="auto"/>
        </w:rPr>
      </w:pPr>
      <w:r>
        <w:rPr>
          <w:rFonts w:ascii="Courier New" w:cs="Courier New" w:eastAsia="Courier New" w:hAnsi="Courier New"/>
          <w:sz w:val="16"/>
          <w:szCs w:val="16"/>
          <w:color w:val="auto"/>
        </w:rPr>
        <w:t>Article FIVE of the Regulations of the Registrant governs the indemnification of officers and directors of the Registrant. Article FIVE provides:</w:t>
      </w:r>
    </w:p>
    <w:p>
      <w:pPr>
        <w:spacing w:after="0" w:line="50" w:lineRule="exact"/>
        <w:rPr>
          <w:sz w:val="20"/>
          <w:szCs w:val="20"/>
          <w:color w:val="auto"/>
        </w:rPr>
      </w:pPr>
    </w:p>
    <w:p>
      <w:pPr>
        <w:ind w:left="860" w:right="2539" w:firstLine="865"/>
        <w:spacing w:after="0" w:line="284"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w:t>
      </w: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3</w:t>
      </w:r>
    </w:p>
    <w:p>
      <w:pPr>
        <w:spacing w:after="0" w:line="373" w:lineRule="exact"/>
        <w:rPr>
          <w:sz w:val="20"/>
          <w:szCs w:val="20"/>
          <w:color w:val="auto"/>
        </w:rPr>
      </w:pPr>
    </w:p>
    <w:p>
      <w:pPr>
        <w:ind w:left="580" w:right="2539"/>
        <w:spacing w:after="0" w:line="249" w:lineRule="auto"/>
        <w:rPr>
          <w:sz w:val="20"/>
          <w:szCs w:val="20"/>
          <w:color w:val="auto"/>
        </w:rPr>
      </w:pPr>
      <w:r>
        <w:rPr>
          <w:rFonts w:ascii="Courier New" w:cs="Courier New" w:eastAsia="Courier New" w:hAnsi="Courier New"/>
          <w:sz w:val="16"/>
          <w:szCs w:val="16"/>
          <w:color w:val="auto"/>
        </w:rPr>
        <w:t>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03" w:lineRule="exact"/>
        <w:rPr>
          <w:sz w:val="20"/>
          <w:szCs w:val="20"/>
          <w:color w:val="auto"/>
        </w:rPr>
      </w:pPr>
    </w:p>
    <w:p>
      <w:pPr>
        <w:ind w:left="580" w:right="3299" w:firstLine="865"/>
        <w:spacing w:after="0" w:line="304" w:lineRule="auto"/>
        <w:rPr>
          <w:sz w:val="20"/>
          <w:szCs w:val="20"/>
          <w:color w:val="auto"/>
        </w:rPr>
      </w:pPr>
      <w:r>
        <w:rPr>
          <w:rFonts w:ascii="Courier New" w:cs="Courier New" w:eastAsia="Courier New" w:hAnsi="Courier New"/>
          <w:sz w:val="16"/>
          <w:szCs w:val="16"/>
          <w:color w:val="auto"/>
        </w:rPr>
        <w:t>Section 5.02. Court-Approved Indemnification. Anything contained in the Regulations or elsewhere to the contrary notwithstanding:</w:t>
      </w:r>
    </w:p>
    <w:p>
      <w:pPr>
        <w:spacing w:after="0" w:line="50" w:lineRule="exact"/>
        <w:rPr>
          <w:sz w:val="20"/>
          <w:szCs w:val="20"/>
          <w:color w:val="auto"/>
        </w:rPr>
      </w:pPr>
    </w:p>
    <w:p>
      <w:pPr>
        <w:ind w:left="580" w:right="2639" w:firstLine="868"/>
        <w:spacing w:after="0" w:line="269" w:lineRule="auto"/>
        <w:tabs>
          <w:tab w:leader="none" w:pos="18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67" w:lineRule="exact"/>
        <w:rPr>
          <w:rFonts w:ascii="Courier New" w:cs="Courier New" w:eastAsia="Courier New" w:hAnsi="Courier New"/>
          <w:sz w:val="15"/>
          <w:szCs w:val="15"/>
          <w:color w:val="auto"/>
        </w:rPr>
      </w:pPr>
    </w:p>
    <w:p>
      <w:pPr>
        <w:ind w:left="580" w:right="3199" w:firstLine="868"/>
        <w:spacing w:after="0" w:line="304" w:lineRule="auto"/>
        <w:tabs>
          <w:tab w:leader="none" w:pos="182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promptly make any such unpaid indemnification as is determined by a court to be proper as contemplated by this Section 5.02.</w:t>
      </w:r>
    </w:p>
    <w:p>
      <w:pPr>
        <w:spacing w:after="0" w:line="200" w:lineRule="exact"/>
        <w:rPr>
          <w:sz w:val="20"/>
          <w:szCs w:val="20"/>
          <w:color w:val="auto"/>
        </w:rPr>
      </w:pPr>
    </w:p>
    <w:p>
      <w:pPr>
        <w:spacing w:after="0" w:line="22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39"/>
          </w:cols>
          <w:pgMar w:left="520" w:top="27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left="580" w:right="2539" w:firstLine="865"/>
        <w:spacing w:after="0" w:line="259" w:lineRule="auto"/>
        <w:rPr>
          <w:sz w:val="20"/>
          <w:szCs w:val="20"/>
          <w:color w:val="auto"/>
        </w:rPr>
      </w:pPr>
      <w:r>
        <w:rPr>
          <w:rFonts w:ascii="Courier New" w:cs="Courier New" w:eastAsia="Courier New" w:hAnsi="Courier New"/>
          <w:sz w:val="16"/>
          <w:szCs w:val="16"/>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87" w:lineRule="exact"/>
        <w:rPr>
          <w:sz w:val="20"/>
          <w:szCs w:val="20"/>
          <w:color w:val="auto"/>
        </w:rPr>
      </w:pPr>
    </w:p>
    <w:p>
      <w:pPr>
        <w:ind w:left="580" w:right="2539" w:firstLine="865"/>
        <w:spacing w:after="0" w:line="247"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18" w:lineRule="exact"/>
        <w:rPr>
          <w:sz w:val="20"/>
          <w:szCs w:val="20"/>
          <w:color w:val="auto"/>
        </w:rPr>
      </w:pPr>
    </w:p>
    <w:p>
      <w:pPr>
        <w:ind w:left="580" w:right="2539" w:firstLine="865"/>
        <w:spacing w:after="0" w:line="274"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w:t>
      </w:r>
    </w:p>
    <w:p>
      <w:pPr>
        <w:spacing w:after="0" w:line="200" w:lineRule="exact"/>
        <w:rPr>
          <w:sz w:val="20"/>
          <w:szCs w:val="20"/>
          <w:color w:val="auto"/>
        </w:rPr>
      </w:pPr>
    </w:p>
    <w:p>
      <w:pPr>
        <w:spacing w:after="0" w:line="24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939"/>
          </w:cols>
          <w:pgMar w:left="520" w:top="27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580" w:right="2539"/>
        <w:spacing w:after="0" w:line="268" w:lineRule="auto"/>
        <w:rPr>
          <w:sz w:val="20"/>
          <w:szCs w:val="20"/>
          <w:color w:val="auto"/>
        </w:rPr>
      </w:pPr>
      <w:r>
        <w:rPr>
          <w:rFonts w:ascii="Courier New" w:cs="Courier New" w:eastAsia="Courier New" w:hAnsi="Courier New"/>
          <w:sz w:val="16"/>
          <w:szCs w:val="16"/>
          <w:color w:val="auto"/>
        </w:rPr>
        <w:t>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79" w:lineRule="exact"/>
        <w:rPr>
          <w:sz w:val="20"/>
          <w:szCs w:val="20"/>
          <w:color w:val="auto"/>
        </w:rPr>
      </w:pPr>
    </w:p>
    <w:p>
      <w:pPr>
        <w:ind w:left="580" w:right="3199" w:firstLine="868"/>
        <w:spacing w:after="0" w:line="304" w:lineRule="auto"/>
        <w:tabs>
          <w:tab w:leader="none" w:pos="182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shall ultimately be determined as provided in Section 5.04 that he is not entitled to be indemnified by the corporation as provided under Section 5.01; or</w:t>
      </w:r>
    </w:p>
    <w:p>
      <w:pPr>
        <w:spacing w:after="0" w:line="50" w:lineRule="exact"/>
        <w:rPr>
          <w:rFonts w:ascii="Courier New" w:cs="Courier New" w:eastAsia="Courier New" w:hAnsi="Courier New"/>
          <w:sz w:val="16"/>
          <w:szCs w:val="16"/>
          <w:color w:val="auto"/>
        </w:rPr>
      </w:pPr>
    </w:p>
    <w:p>
      <w:pPr>
        <w:ind w:left="580" w:right="2639" w:firstLine="868"/>
        <w:spacing w:after="0" w:line="276" w:lineRule="auto"/>
        <w:tabs>
          <w:tab w:leader="none" w:pos="18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78" w:lineRule="exact"/>
        <w:rPr>
          <w:sz w:val="20"/>
          <w:szCs w:val="20"/>
          <w:color w:val="auto"/>
        </w:rPr>
      </w:pPr>
    </w:p>
    <w:p>
      <w:pPr>
        <w:ind w:left="580" w:right="2539" w:firstLine="865"/>
        <w:spacing w:after="0" w:line="257" w:lineRule="auto"/>
        <w:rPr>
          <w:sz w:val="20"/>
          <w:szCs w:val="20"/>
          <w:color w:val="auto"/>
        </w:rPr>
      </w:pPr>
      <w:r>
        <w:rPr>
          <w:rFonts w:ascii="Courier New" w:cs="Courier New" w:eastAsia="Courier New" w:hAnsi="Courier New"/>
          <w:sz w:val="16"/>
          <w:szCs w:val="16"/>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92" w:lineRule="exact"/>
        <w:rPr>
          <w:sz w:val="20"/>
          <w:szCs w:val="20"/>
          <w:color w:val="auto"/>
        </w:rPr>
      </w:pPr>
    </w:p>
    <w:p>
      <w:pPr>
        <w:ind w:left="580" w:right="2539" w:firstLine="865"/>
        <w:spacing w:after="0" w:line="253"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9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Section 5.08. Certain Definitions. For purposes of this</w:t>
      </w:r>
    </w:p>
    <w:p>
      <w:pPr>
        <w:spacing w:after="0" w:line="3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FIVE, and as examples and not by way of limitation:</w:t>
      </w:r>
    </w:p>
    <w:p>
      <w:pPr>
        <w:spacing w:after="0" w:line="158" w:lineRule="exact"/>
        <w:rPr>
          <w:sz w:val="20"/>
          <w:szCs w:val="20"/>
          <w:color w:val="auto"/>
        </w:rPr>
      </w:pPr>
    </w:p>
    <w:p>
      <w:pPr>
        <w:ind w:left="580" w:right="2639" w:firstLine="868"/>
        <w:spacing w:after="0" w:line="284" w:lineRule="auto"/>
        <w:tabs>
          <w:tab w:leader="none" w:pos="182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w:t>
      </w:r>
    </w:p>
    <w:p>
      <w:pPr>
        <w:spacing w:after="0" w:line="200" w:lineRule="exact"/>
        <w:rPr>
          <w:sz w:val="20"/>
          <w:szCs w:val="20"/>
          <w:color w:val="auto"/>
        </w:rPr>
      </w:pPr>
    </w:p>
    <w:p>
      <w:pPr>
        <w:spacing w:after="0" w:line="23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39"/>
          </w:cols>
          <w:pgMar w:left="520" w:top="272"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ind w:left="860" w:right="2639"/>
        <w:spacing w:after="0" w:line="261" w:lineRule="auto"/>
        <w:rPr>
          <w:sz w:val="20"/>
          <w:szCs w:val="20"/>
          <w:color w:val="auto"/>
        </w:rPr>
      </w:pPr>
      <w:r>
        <w:rPr>
          <w:rFonts w:ascii="Courier New" w:cs="Courier New" w:eastAsia="Courier New" w:hAnsi="Courier New"/>
          <w:sz w:val="16"/>
          <w:szCs w:val="16"/>
          <w:color w:val="auto"/>
        </w:rPr>
        <w:t>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86" w:lineRule="exact"/>
        <w:rPr>
          <w:sz w:val="20"/>
          <w:szCs w:val="20"/>
          <w:color w:val="auto"/>
        </w:rPr>
      </w:pPr>
    </w:p>
    <w:p>
      <w:pPr>
        <w:ind w:left="860" w:right="2539" w:firstLine="868"/>
        <w:spacing w:after="0" w:line="254" w:lineRule="auto"/>
        <w:tabs>
          <w:tab w:leader="none" w:pos="210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93" w:lineRule="exact"/>
        <w:rPr>
          <w:sz w:val="20"/>
          <w:szCs w:val="20"/>
          <w:color w:val="auto"/>
        </w:rPr>
      </w:pPr>
    </w:p>
    <w:p>
      <w:pPr>
        <w:ind w:left="860" w:right="2539" w:firstLine="865"/>
        <w:spacing w:after="0" w:line="261" w:lineRule="auto"/>
        <w:rPr>
          <w:sz w:val="20"/>
          <w:szCs w:val="20"/>
          <w:color w:val="auto"/>
        </w:rPr>
      </w:pPr>
      <w:r>
        <w:rPr>
          <w:rFonts w:ascii="Courier New" w:cs="Courier New" w:eastAsia="Courier New" w:hAnsi="Courier New"/>
          <w:sz w:val="16"/>
          <w:szCs w:val="16"/>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86" w:lineRule="exact"/>
        <w:rPr>
          <w:sz w:val="20"/>
          <w:szCs w:val="20"/>
          <w:color w:val="auto"/>
        </w:rPr>
      </w:pPr>
    </w:p>
    <w:p>
      <w:pPr>
        <w:ind w:right="3119" w:firstLine="1729"/>
        <w:spacing w:after="0" w:line="391" w:lineRule="auto"/>
        <w:rPr>
          <w:sz w:val="20"/>
          <w:szCs w:val="20"/>
          <w:color w:val="auto"/>
        </w:rPr>
      </w:pPr>
      <w:r>
        <w:rPr>
          <w:rFonts w:ascii="Courier New" w:cs="Courier New" w:eastAsia="Courier New" w:hAnsi="Courier New"/>
          <w:sz w:val="15"/>
          <w:szCs w:val="15"/>
          <w:color w:val="auto"/>
        </w:rPr>
        <w:t>Division (E) of Section 1701.13 of the Ohio Revised Code addresses indemnification by an Ohio corporation and provides as follows:</w:t>
      </w:r>
    </w:p>
    <w:p>
      <w:pPr>
        <w:spacing w:after="0" w:line="1" w:lineRule="exact"/>
        <w:rPr>
          <w:sz w:val="20"/>
          <w:szCs w:val="20"/>
          <w:color w:val="auto"/>
        </w:rPr>
      </w:pPr>
    </w:p>
    <w:p>
      <w:pPr>
        <w:ind w:left="860" w:right="2539" w:firstLine="865"/>
        <w:spacing w:after="0" w:line="251" w:lineRule="auto"/>
        <w:rPr>
          <w:sz w:val="20"/>
          <w:szCs w:val="20"/>
          <w:color w:val="auto"/>
        </w:rPr>
      </w:pPr>
      <w:r>
        <w:rPr>
          <w:rFonts w:ascii="Courier New" w:cs="Courier New" w:eastAsia="Courier New" w:hAnsi="Courier New"/>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w:t>
      </w:r>
    </w:p>
    <w:p>
      <w:pPr>
        <w:spacing w:after="0" w:line="200" w:lineRule="exact"/>
        <w:rPr>
          <w:sz w:val="20"/>
          <w:szCs w:val="20"/>
          <w:color w:val="auto"/>
        </w:rPr>
      </w:pPr>
    </w:p>
    <w:p>
      <w:pPr>
        <w:spacing w:after="0" w:line="26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left="580" w:right="2539"/>
        <w:spacing w:after="0" w:line="268" w:lineRule="auto"/>
        <w:rPr>
          <w:sz w:val="20"/>
          <w:szCs w:val="20"/>
          <w:color w:val="auto"/>
        </w:rPr>
      </w:pPr>
      <w:r>
        <w:rPr>
          <w:rFonts w:ascii="Courier New" w:cs="Courier New" w:eastAsia="Courier New" w:hAnsi="Courier New"/>
          <w:sz w:val="16"/>
          <w:szCs w:val="16"/>
          <w:color w:val="auto"/>
        </w:rPr>
        <w:t>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79" w:lineRule="exact"/>
        <w:rPr>
          <w:sz w:val="20"/>
          <w:szCs w:val="20"/>
          <w:color w:val="auto"/>
        </w:rPr>
      </w:pPr>
    </w:p>
    <w:p>
      <w:pPr>
        <w:ind w:left="580" w:right="2539" w:firstLine="868"/>
        <w:spacing w:after="0" w:line="253" w:lineRule="auto"/>
        <w:tabs>
          <w:tab w:leader="none" w:pos="182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90" w:lineRule="exact"/>
        <w:rPr>
          <w:sz w:val="20"/>
          <w:szCs w:val="20"/>
          <w:color w:val="auto"/>
        </w:rPr>
      </w:pPr>
    </w:p>
    <w:p>
      <w:pPr>
        <w:ind w:left="580" w:right="2539" w:firstLine="868"/>
        <w:spacing w:after="0" w:line="261" w:lineRule="auto"/>
        <w:tabs>
          <w:tab w:leader="none" w:pos="18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86" w:lineRule="exact"/>
        <w:rPr>
          <w:rFonts w:ascii="Courier New" w:cs="Courier New" w:eastAsia="Courier New" w:hAnsi="Courier New"/>
          <w:sz w:val="16"/>
          <w:szCs w:val="16"/>
          <w:color w:val="auto"/>
        </w:rPr>
      </w:pPr>
    </w:p>
    <w:p>
      <w:pPr>
        <w:ind w:left="580" w:right="2639" w:firstLine="868"/>
        <w:spacing w:after="0" w:line="391" w:lineRule="auto"/>
        <w:tabs>
          <w:tab w:leader="none" w:pos="18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suit in which the only liability asserted against a director is pursuant to section 1701.95 of the Revised Code.</w:t>
      </w:r>
    </w:p>
    <w:p>
      <w:pPr>
        <w:spacing w:after="0" w:line="1" w:lineRule="exact"/>
        <w:rPr>
          <w:sz w:val="20"/>
          <w:szCs w:val="20"/>
          <w:color w:val="auto"/>
        </w:rPr>
      </w:pPr>
    </w:p>
    <w:p>
      <w:pPr>
        <w:ind w:left="580" w:right="2539" w:firstLine="868"/>
        <w:spacing w:after="0" w:line="264" w:lineRule="auto"/>
        <w:tabs>
          <w:tab w:leader="none" w:pos="182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82" w:lineRule="exact"/>
        <w:rPr>
          <w:rFonts w:ascii="Courier New" w:cs="Courier New" w:eastAsia="Courier New" w:hAnsi="Courier New"/>
          <w:sz w:val="16"/>
          <w:szCs w:val="16"/>
          <w:color w:val="auto"/>
        </w:rPr>
      </w:pPr>
    </w:p>
    <w:p>
      <w:pPr>
        <w:ind w:left="580" w:right="2539" w:firstLine="868"/>
        <w:spacing w:after="0" w:line="264" w:lineRule="auto"/>
        <w:tabs>
          <w:tab w:leader="none" w:pos="182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200" w:lineRule="exact"/>
        <w:rPr>
          <w:sz w:val="20"/>
          <w:szCs w:val="20"/>
          <w:color w:val="auto"/>
        </w:rPr>
      </w:pPr>
    </w:p>
    <w:p>
      <w:pPr>
        <w:spacing w:after="0" w:line="25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39"/>
          </w:cols>
          <w:pgMar w:left="520" w:top="27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left="580" w:right="2539" w:firstLine="868"/>
        <w:spacing w:after="0" w:line="284" w:lineRule="auto"/>
        <w:tabs>
          <w:tab w:leader="none" w:pos="182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65" w:lineRule="exact"/>
        <w:rPr>
          <w:rFonts w:ascii="Courier New" w:cs="Courier New" w:eastAsia="Courier New" w:hAnsi="Courier New"/>
          <w:sz w:val="16"/>
          <w:szCs w:val="16"/>
          <w:color w:val="auto"/>
        </w:rPr>
      </w:pPr>
    </w:p>
    <w:p>
      <w:pPr>
        <w:ind w:left="580" w:right="2539" w:firstLine="868"/>
        <w:spacing w:after="0" w:line="264" w:lineRule="auto"/>
        <w:tabs>
          <w:tab w:leader="none" w:pos="182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82" w:lineRule="exact"/>
        <w:rPr>
          <w:rFonts w:ascii="Courier New" w:cs="Courier New" w:eastAsia="Courier New" w:hAnsi="Courier New"/>
          <w:sz w:val="16"/>
          <w:szCs w:val="16"/>
          <w:color w:val="auto"/>
        </w:rPr>
      </w:pPr>
    </w:p>
    <w:p>
      <w:pPr>
        <w:ind w:left="1840" w:hanging="392"/>
        <w:spacing w:after="0"/>
        <w:tabs>
          <w:tab w:leader="none" w:pos="18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shareholders;</w:t>
      </w:r>
    </w:p>
    <w:p>
      <w:pPr>
        <w:spacing w:after="0" w:line="188" w:lineRule="exact"/>
        <w:rPr>
          <w:rFonts w:ascii="Courier New" w:cs="Courier New" w:eastAsia="Courier New" w:hAnsi="Courier New"/>
          <w:sz w:val="16"/>
          <w:szCs w:val="16"/>
          <w:color w:val="auto"/>
        </w:rPr>
      </w:pPr>
    </w:p>
    <w:p>
      <w:pPr>
        <w:ind w:left="580" w:right="2819" w:firstLine="868"/>
        <w:spacing w:after="0" w:line="304" w:lineRule="auto"/>
        <w:tabs>
          <w:tab w:leader="none" w:pos="182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court of common pleas or the court in which the action, suit, or proceeding referred to in division (E)(1) or (2) of this section was brought.</w:t>
      </w:r>
    </w:p>
    <w:p>
      <w:pPr>
        <w:spacing w:after="0" w:line="50" w:lineRule="exact"/>
        <w:rPr>
          <w:sz w:val="20"/>
          <w:szCs w:val="20"/>
          <w:color w:val="auto"/>
        </w:rPr>
      </w:pPr>
    </w:p>
    <w:p>
      <w:pPr>
        <w:ind w:left="580" w:right="2539" w:firstLine="865"/>
        <w:spacing w:after="0" w:line="261" w:lineRule="auto"/>
        <w:rPr>
          <w:sz w:val="20"/>
          <w:szCs w:val="20"/>
          <w:color w:val="auto"/>
        </w:rPr>
      </w:pPr>
      <w:r>
        <w:rPr>
          <w:rFonts w:ascii="Courier New" w:cs="Courier New" w:eastAsia="Courier New" w:hAnsi="Courier New"/>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86" w:lineRule="exact"/>
        <w:rPr>
          <w:sz w:val="20"/>
          <w:szCs w:val="20"/>
          <w:color w:val="auto"/>
        </w:rPr>
      </w:pPr>
    </w:p>
    <w:p>
      <w:pPr>
        <w:ind w:left="580" w:right="2539" w:firstLine="865"/>
        <w:spacing w:after="0" w:line="254" w:lineRule="auto"/>
        <w:rPr>
          <w:sz w:val="20"/>
          <w:szCs w:val="20"/>
          <w:color w:val="auto"/>
        </w:rPr>
      </w:pPr>
      <w:r>
        <w:rPr>
          <w:rFonts w:ascii="Courier New" w:cs="Courier New" w:eastAsia="Courier New" w:hAnsi="Courier New"/>
          <w:sz w:val="16"/>
          <w:szCs w:val="16"/>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93" w:lineRule="exact"/>
        <w:rPr>
          <w:sz w:val="20"/>
          <w:szCs w:val="20"/>
          <w:color w:val="auto"/>
        </w:rPr>
      </w:pPr>
    </w:p>
    <w:p>
      <w:pPr>
        <w:ind w:left="580" w:right="2639" w:firstLine="868"/>
        <w:spacing w:after="0" w:line="274" w:lineRule="auto"/>
        <w:tabs>
          <w:tab w:leader="none" w:pos="182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73" w:lineRule="exact"/>
        <w:rPr>
          <w:rFonts w:ascii="Courier New" w:cs="Courier New" w:eastAsia="Courier New" w:hAnsi="Courier New"/>
          <w:sz w:val="16"/>
          <w:szCs w:val="16"/>
          <w:color w:val="auto"/>
        </w:rPr>
      </w:pPr>
    </w:p>
    <w:p>
      <w:pPr>
        <w:ind w:left="580" w:right="2639" w:firstLine="868"/>
        <w:spacing w:after="0" w:line="364" w:lineRule="auto"/>
        <w:tabs>
          <w:tab w:leader="none" w:pos="192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cooperate with the corporation concerning the action, suit, or proceeding.</w:t>
      </w:r>
    </w:p>
    <w:p>
      <w:pPr>
        <w:spacing w:after="0" w:line="5" w:lineRule="exact"/>
        <w:rPr>
          <w:sz w:val="20"/>
          <w:szCs w:val="20"/>
          <w:color w:val="auto"/>
        </w:rPr>
      </w:pPr>
    </w:p>
    <w:p>
      <w:pPr>
        <w:ind w:left="580" w:right="3019" w:firstLine="868"/>
        <w:spacing w:after="0" w:line="284" w:lineRule="auto"/>
        <w:tabs>
          <w:tab w:leader="none" w:pos="18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trustee, officer, employee, member, manager, or agent in defending any action, suit, or proceeding referred to in division (E)(1) or (2) of this section, may be paid by the</w:t>
      </w:r>
    </w:p>
    <w:p>
      <w:pPr>
        <w:spacing w:after="0" w:line="200" w:lineRule="exact"/>
        <w:rPr>
          <w:sz w:val="20"/>
          <w:szCs w:val="20"/>
          <w:color w:val="auto"/>
        </w:rPr>
      </w:pPr>
    </w:p>
    <w:p>
      <w:pPr>
        <w:spacing w:after="0" w:line="23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27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left="580" w:right="2639"/>
        <w:spacing w:after="0" w:line="268" w:lineRule="auto"/>
        <w:rPr>
          <w:sz w:val="20"/>
          <w:szCs w:val="20"/>
          <w:color w:val="auto"/>
        </w:rPr>
      </w:pPr>
      <w:r>
        <w:rPr>
          <w:rFonts w:ascii="Courier New" w:cs="Courier New" w:eastAsia="Courier New" w:hAnsi="Courier New"/>
          <w:sz w:val="16"/>
          <w:szCs w:val="16"/>
          <w:color w:val="auto"/>
        </w:rPr>
        <w:t>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79" w:lineRule="exact"/>
        <w:rPr>
          <w:sz w:val="20"/>
          <w:szCs w:val="20"/>
          <w:color w:val="auto"/>
        </w:rPr>
      </w:pPr>
    </w:p>
    <w:p>
      <w:pPr>
        <w:ind w:left="580" w:right="2639" w:firstLine="868"/>
        <w:spacing w:after="0" w:line="257" w:lineRule="auto"/>
        <w:tabs>
          <w:tab w:leader="none" w:pos="182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91" w:lineRule="exact"/>
        <w:rPr>
          <w:rFonts w:ascii="Courier New" w:cs="Courier New" w:eastAsia="Courier New" w:hAnsi="Courier New"/>
          <w:sz w:val="16"/>
          <w:szCs w:val="16"/>
          <w:color w:val="auto"/>
        </w:rPr>
      </w:pPr>
    </w:p>
    <w:p>
      <w:pPr>
        <w:ind w:left="580" w:right="2539" w:firstLine="868"/>
        <w:spacing w:after="0" w:line="253" w:lineRule="auto"/>
        <w:tabs>
          <w:tab w:leader="none" w:pos="182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96" w:lineRule="exact"/>
        <w:rPr>
          <w:rFonts w:ascii="Courier New" w:cs="Courier New" w:eastAsia="Courier New" w:hAnsi="Courier New"/>
          <w:sz w:val="16"/>
          <w:szCs w:val="16"/>
          <w:color w:val="auto"/>
        </w:rPr>
      </w:pPr>
    </w:p>
    <w:p>
      <w:pPr>
        <w:ind w:left="580" w:right="2639" w:firstLine="868"/>
        <w:spacing w:after="0" w:line="271" w:lineRule="auto"/>
        <w:tabs>
          <w:tab w:leader="none" w:pos="182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1" w:lineRule="exact"/>
        <w:rPr>
          <w:rFonts w:ascii="Courier New" w:cs="Courier New" w:eastAsia="Courier New" w:hAnsi="Courier New"/>
          <w:sz w:val="15"/>
          <w:szCs w:val="15"/>
          <w:color w:val="auto"/>
        </w:rPr>
      </w:pPr>
    </w:p>
    <w:p>
      <w:pPr>
        <w:ind w:left="580" w:right="2639"/>
        <w:spacing w:after="0" w:line="28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(6), and (7) of this section. Divisions (E)(1) and (2) of this section do not create any obligation to repay or return payments made by the corporation pursuant to division (E)(5), (6), or (7).</w:t>
      </w:r>
    </w:p>
    <w:p>
      <w:pPr>
        <w:spacing w:after="0" w:line="65" w:lineRule="exact"/>
        <w:rPr>
          <w:rFonts w:ascii="Courier New" w:cs="Courier New" w:eastAsia="Courier New" w:hAnsi="Courier New"/>
          <w:sz w:val="15"/>
          <w:szCs w:val="15"/>
          <w:color w:val="auto"/>
        </w:rPr>
      </w:pPr>
    </w:p>
    <w:p>
      <w:pPr>
        <w:ind w:left="580" w:right="2539" w:firstLine="868"/>
        <w:spacing w:after="0" w:line="255" w:lineRule="auto"/>
        <w:tabs>
          <w:tab w:leader="none" w:pos="182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200" w:lineRule="exact"/>
        <w:rPr>
          <w:sz w:val="20"/>
          <w:szCs w:val="20"/>
          <w:color w:val="auto"/>
        </w:rPr>
      </w:pPr>
    </w:p>
    <w:p>
      <w:pPr>
        <w:spacing w:after="0" w:line="26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272" w:right="1440" w:bottom="1440" w:gutter="0" w:footer="0" w:header="0"/>
        </w:sectPr>
      </w:pPr>
    </w:p>
    <w:bookmarkStart w:id="9" w:name="page10"/>
    <w:bookmarkEnd w:id="9"/>
    <w:p>
      <w:pPr>
        <w:ind w:left="281"/>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jc w:val="both"/>
        <w:ind w:left="1" w:right="2539" w:firstLine="1729"/>
        <w:spacing w:after="0" w:line="304" w:lineRule="auto"/>
        <w:rPr>
          <w:sz w:val="20"/>
          <w:szCs w:val="20"/>
          <w:color w:val="auto"/>
        </w:rPr>
      </w:pPr>
      <w:r>
        <w:rPr>
          <w:rFonts w:ascii="Courier New" w:cs="Courier New" w:eastAsia="Courier New" w:hAnsi="Courier New"/>
          <w:sz w:val="16"/>
          <w:szCs w:val="16"/>
          <w:color w:val="auto"/>
        </w:rPr>
        <w:t>The Registrant has purchased insurance coverage under a policy which insures directors and officers against certain liabilities which might be incurred by them in such capacity.</w:t>
      </w:r>
    </w:p>
    <w:p>
      <w:pPr>
        <w:spacing w:after="0" w:line="50"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7.</w:t>
        <w:tab/>
        <w:t>Exemption from Registration Claimed.</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See the Index to Exhibits attached hereto and beginning at</w:t>
      </w:r>
    </w:p>
    <w:p>
      <w:pPr>
        <w:spacing w:after="0" w:line="3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page 14.</w:t>
      </w:r>
    </w:p>
    <w:p>
      <w:pPr>
        <w:spacing w:after="0" w:line="15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9.</w:t>
        <w:tab/>
        <w:t>Undertakings.</w:t>
      </w:r>
    </w:p>
    <w:p>
      <w:pPr>
        <w:spacing w:after="0" w:line="188" w:lineRule="exact"/>
        <w:rPr>
          <w:sz w:val="20"/>
          <w:szCs w:val="20"/>
          <w:color w:val="auto"/>
        </w:rPr>
      </w:pPr>
    </w:p>
    <w:p>
      <w:pPr>
        <w:ind w:left="861" w:hanging="861"/>
        <w:spacing w:after="0"/>
        <w:tabs>
          <w:tab w:leader="none" w:pos="8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1721" w:right="2639" w:hanging="857"/>
        <w:spacing w:after="0" w:line="304" w:lineRule="auto"/>
        <w:tabs>
          <w:tab w:leader="none" w:pos="172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50" w:lineRule="exact"/>
        <w:rPr>
          <w:rFonts w:ascii="Courier New" w:cs="Courier New" w:eastAsia="Courier New" w:hAnsi="Courier New"/>
          <w:sz w:val="16"/>
          <w:szCs w:val="16"/>
          <w:color w:val="auto"/>
        </w:rPr>
      </w:pPr>
    </w:p>
    <w:p>
      <w:pPr>
        <w:ind w:left="2601" w:right="3299" w:hanging="872"/>
        <w:spacing w:after="0" w:line="391" w:lineRule="auto"/>
        <w:tabs>
          <w:tab w:leader="none" w:pos="2601"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ind w:left="2601" w:right="2639" w:hanging="872"/>
        <w:spacing w:after="0" w:line="264" w:lineRule="auto"/>
        <w:tabs>
          <w:tab w:leader="none" w:pos="2601"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2" w:lineRule="exact"/>
        <w:rPr>
          <w:rFonts w:ascii="Courier New" w:cs="Courier New" w:eastAsia="Courier New" w:hAnsi="Courier New"/>
          <w:sz w:val="16"/>
          <w:szCs w:val="16"/>
          <w:color w:val="auto"/>
        </w:rPr>
      </w:pPr>
    </w:p>
    <w:p>
      <w:pPr>
        <w:ind w:left="2601" w:right="2639" w:hanging="872"/>
        <w:spacing w:after="0" w:line="308" w:lineRule="auto"/>
        <w:tabs>
          <w:tab w:leader="none" w:pos="2601"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721" w:right="2539"/>
        <w:spacing w:after="0" w:line="264"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83" w:lineRule="exact"/>
        <w:rPr>
          <w:sz w:val="20"/>
          <w:szCs w:val="20"/>
          <w:color w:val="auto"/>
        </w:rPr>
      </w:pPr>
    </w:p>
    <w:p>
      <w:pPr>
        <w:ind w:left="1721" w:right="2539" w:hanging="857"/>
        <w:spacing w:after="0" w:line="268" w:lineRule="auto"/>
        <w:tabs>
          <w:tab w:leader="none" w:pos="17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Courier New" w:cs="Courier New" w:eastAsia="Courier New" w:hAnsi="Courier New"/>
          <w:sz w:val="16"/>
          <w:szCs w:val="16"/>
          <w:color w:val="auto"/>
        </w:rPr>
      </w:pPr>
    </w:p>
    <w:p>
      <w:pPr>
        <w:ind w:left="1721" w:right="2639" w:hanging="857"/>
        <w:spacing w:after="0" w:line="304" w:lineRule="auto"/>
        <w:tabs>
          <w:tab w:leader="none" w:pos="17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2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272" w:right="1440" w:bottom="1440" w:gutter="0" w:footer="0" w:header="0"/>
        </w:sectPr>
      </w:pPr>
    </w:p>
    <w:bookmarkStart w:id="10" w:name="page11"/>
    <w:bookmarkEnd w:id="10"/>
    <w:p>
      <w:pPr>
        <w:ind w:left="281"/>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ind w:left="861" w:right="2539" w:hanging="861"/>
        <w:spacing w:after="0" w:line="261" w:lineRule="auto"/>
        <w:tabs>
          <w:tab w:leader="none" w:pos="8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Courier New" w:cs="Courier New" w:eastAsia="Courier New" w:hAnsi="Courier New"/>
          <w:sz w:val="16"/>
          <w:szCs w:val="16"/>
          <w:color w:val="auto"/>
        </w:rPr>
      </w:pPr>
    </w:p>
    <w:p>
      <w:pPr>
        <w:ind w:left="861" w:right="2539" w:hanging="861"/>
        <w:spacing w:after="0" w:line="252" w:lineRule="auto"/>
        <w:tabs>
          <w:tab w:leader="none" w:pos="8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6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272" w:right="1440" w:bottom="1440" w:gutter="0" w:footer="0" w:header="0"/>
        </w:sectPr>
      </w:pPr>
    </w:p>
    <w:bookmarkStart w:id="11" w:name="page12"/>
    <w:bookmarkEnd w:id="11"/>
    <w:p>
      <w:pPr>
        <w:ind w:left="281"/>
        <w:spacing w:after="0"/>
        <w:rPr>
          <w:sz w:val="20"/>
          <w:szCs w:val="20"/>
          <w:color w:val="auto"/>
        </w:rPr>
      </w:pPr>
      <w:r>
        <w:rPr>
          <w:rFonts w:ascii="Courier New" w:cs="Courier New" w:eastAsia="Courier New" w:hAnsi="Courier New"/>
          <w:sz w:val="16"/>
          <w:szCs w:val="16"/>
          <w:color w:val="auto"/>
        </w:rPr>
        <w:t>12</w:t>
      </w:r>
    </w:p>
    <w:p>
      <w:pPr>
        <w:spacing w:after="0" w:line="37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1" w:right="2600" w:firstLine="865"/>
        <w:spacing w:after="0" w:line="268"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18th day of February, 1999.</w:t>
      </w:r>
    </w:p>
    <w:p>
      <w:pPr>
        <w:spacing w:after="0" w:line="79"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THE SCOTTS COMPANY</w:t>
      </w:r>
    </w:p>
    <w:p>
      <w:pPr>
        <w:spacing w:after="0" w:line="188"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By: /s/ Charles M. Berger</w:t>
      </w:r>
    </w:p>
    <w:p>
      <w:pPr>
        <w:spacing w:after="0" w:line="3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Charles M. Berger, Chairman of the Board,</w:t>
      </w:r>
    </w:p>
    <w:p>
      <w:pPr>
        <w:spacing w:after="0" w:line="4"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58" w:lineRule="exact"/>
        <w:rPr>
          <w:sz w:val="20"/>
          <w:szCs w:val="20"/>
          <w:color w:val="auto"/>
        </w:rPr>
      </w:pPr>
    </w:p>
    <w:p>
      <w:pPr>
        <w:ind w:left="1" w:right="3260" w:firstLine="865"/>
        <w:spacing w:after="0" w:line="304"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on February 18, 1999.</w:t>
      </w:r>
    </w:p>
    <w:p>
      <w:pPr>
        <w:sectPr>
          <w:pgSz w:w="11900" w:h="16838" w:orient="portrait"/>
          <w:cols w:equalWidth="0" w:num="1">
            <w:col w:w="10281"/>
          </w:cols>
          <w:pgMar w:left="239" w:top="27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Signature</w:t>
      </w:r>
    </w:p>
    <w:p>
      <w:pPr>
        <w:spacing w:after="0" w:line="3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3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2">
            <w:col w:w="5521" w:space="720"/>
            <w:col w:w="4040"/>
          </w:cols>
          <w:pgMar w:left="239" w:top="272" w:right="137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James B Beard,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37" w:lineRule="exact"/>
        <w:rPr>
          <w:sz w:val="20"/>
          <w:szCs w:val="20"/>
          <w:color w:val="auto"/>
        </w:rPr>
      </w:pPr>
    </w:p>
    <w:p>
      <w:pPr>
        <w:sectPr>
          <w:pgSz w:w="11900" w:h="16838" w:orient="portrait"/>
          <w:cols w:equalWidth="0" w:num="2">
            <w:col w:w="5521" w:space="720"/>
            <w:col w:w="4040"/>
          </w:cols>
          <w:pgMar w:left="239" w:top="272" w:right="1379" w:bottom="1440" w:gutter="0" w:footer="0" w:header="0"/>
          <w:type w:val="continuous"/>
        </w:sect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B Beard, Ph.D.</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2640" w:type="dxa"/>
            <w:vAlign w:val="bottom"/>
          </w:tcPr>
          <w:p>
            <w:pPr>
              <w:ind w:left="1820"/>
              <w:spacing w:after="0"/>
              <w:rPr>
                <w:sz w:val="20"/>
                <w:szCs w:val="20"/>
                <w:color w:val="auto"/>
              </w:rPr>
            </w:pPr>
            <w:r>
              <w:rPr>
                <w:rFonts w:ascii="Courier New" w:cs="Courier New" w:eastAsia="Courier New" w:hAnsi="Courier New"/>
                <w:sz w:val="16"/>
                <w:szCs w:val="16"/>
                <w:color w:val="auto"/>
              </w:rPr>
              <w:t>Chairman</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w w:val="99"/>
              </w:rPr>
              <w:t>of the Board/President/Chief</w:t>
            </w:r>
          </w:p>
        </w:tc>
        <w:tc>
          <w:tcPr>
            <w:tcW w:w="0" w:type="dxa"/>
            <w:vAlign w:val="bottom"/>
          </w:tcPr>
          <w:p>
            <w:pPr>
              <w:spacing w:after="0"/>
              <w:rPr>
                <w:sz w:val="1"/>
                <w:szCs w:val="1"/>
                <w:color w:val="auto"/>
              </w:rPr>
            </w:pPr>
          </w:p>
        </w:tc>
      </w:tr>
      <w:tr>
        <w:trPr>
          <w:trHeight w:val="271"/>
        </w:trPr>
        <w:tc>
          <w:tcPr>
            <w:tcW w:w="4420" w:type="dxa"/>
            <w:vAlign w:val="bottom"/>
            <w:vMerge w:val="restart"/>
          </w:tcPr>
          <w:p>
            <w:pPr>
              <w:spacing w:after="0"/>
              <w:rPr>
                <w:sz w:val="20"/>
                <w:szCs w:val="20"/>
                <w:color w:val="auto"/>
              </w:rPr>
            </w:pPr>
            <w:r>
              <w:rPr>
                <w:rFonts w:ascii="Courier New" w:cs="Courier New" w:eastAsia="Courier New" w:hAnsi="Courier New"/>
                <w:sz w:val="32"/>
                <w:szCs w:val="32"/>
                <w:color w:val="auto"/>
                <w:w w:val="99"/>
                <w:vertAlign w:val="subscript"/>
              </w:rPr>
              <w:t>Charles</w:t>
            </w:r>
            <w:r>
              <w:rPr>
                <w:rFonts w:ascii="Courier New" w:cs="Courier New" w:eastAsia="Courier New" w:hAnsi="Courier New"/>
                <w:sz w:val="16"/>
                <w:szCs w:val="16"/>
                <w:color w:val="auto"/>
                <w:w w:val="99"/>
              </w:rPr>
              <w:t>--------------------------</w:t>
            </w:r>
            <w:r>
              <w:rPr>
                <w:rFonts w:ascii="Courier New" w:cs="Courier New" w:eastAsia="Courier New" w:hAnsi="Courier New"/>
                <w:sz w:val="32"/>
                <w:szCs w:val="32"/>
                <w:color w:val="auto"/>
                <w:w w:val="99"/>
                <w:vertAlign w:val="subscript"/>
              </w:rPr>
              <w:t>M.Berger</w:t>
            </w:r>
          </w:p>
        </w:tc>
        <w:tc>
          <w:tcPr>
            <w:tcW w:w="5380" w:type="dxa"/>
            <w:vAlign w:val="bottom"/>
            <w:gridSpan w:val="2"/>
          </w:tcPr>
          <w:p>
            <w:pPr>
              <w:ind w:left="2020"/>
              <w:spacing w:after="0"/>
              <w:rPr>
                <w:sz w:val="20"/>
                <w:szCs w:val="20"/>
                <w:color w:val="auto"/>
              </w:rPr>
            </w:pPr>
            <w:r>
              <w:rPr>
                <w:rFonts w:ascii="Courier New" w:cs="Courier New" w:eastAsia="Courier New" w:hAnsi="Courier New"/>
                <w:sz w:val="16"/>
                <w:szCs w:val="16"/>
                <w:color w:val="auto"/>
              </w:rPr>
              <w:t>Executive Officer</w:t>
            </w: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42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2640" w:type="dxa"/>
            <w:vAlign w:val="bottom"/>
          </w:tcPr>
          <w:p>
            <w:pPr>
              <w:ind w:left="1820"/>
              <w:spacing w:after="0"/>
              <w:rPr>
                <w:sz w:val="20"/>
                <w:szCs w:val="20"/>
                <w:color w:val="auto"/>
              </w:rPr>
            </w:pPr>
            <w:r>
              <w:rPr>
                <w:rFonts w:ascii="Courier New" w:cs="Courier New" w:eastAsia="Courier New" w:hAnsi="Courier New"/>
                <w:sz w:val="16"/>
                <w:szCs w:val="16"/>
                <w:color w:val="auto"/>
              </w:rPr>
              <w:t>Director</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1" w:hanging="201"/>
        <w:spacing w:after="0"/>
        <w:tabs>
          <w:tab w:leader="none" w:pos="20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Joseph P. Flannery</w:t>
      </w:r>
    </w:p>
    <w:p>
      <w:pPr>
        <w:spacing w:after="0" w:line="158" w:lineRule="exact"/>
        <w:rPr>
          <w:sz w:val="20"/>
          <w:szCs w:val="20"/>
          <w:color w:val="auto"/>
        </w:rPr>
      </w:pPr>
    </w:p>
    <w:p>
      <w:pPr>
        <w:ind w:left="1"/>
        <w:spacing w:after="0"/>
        <w:tabs>
          <w:tab w:leader="none" w:pos="6221" w:val="left"/>
        </w:tabs>
        <w:rPr>
          <w:sz w:val="20"/>
          <w:szCs w:val="20"/>
          <w:color w:val="auto"/>
        </w:rPr>
      </w:pPr>
      <w:r>
        <w:rPr>
          <w:rFonts w:ascii="Courier New" w:cs="Courier New" w:eastAsia="Courier New" w:hAnsi="Courier New"/>
          <w:sz w:val="16"/>
          <w:szCs w:val="16"/>
          <w:color w:val="auto"/>
        </w:rPr>
        <w:t>Horace Hagedorn*</w:t>
      </w:r>
      <w:r>
        <w:rPr>
          <w:sz w:val="20"/>
          <w:szCs w:val="20"/>
          <w:color w:val="auto"/>
        </w:rPr>
        <w:tab/>
      </w:r>
      <w:r>
        <w:rPr>
          <w:rFonts w:ascii="Courier New" w:cs="Courier New" w:eastAsia="Courier New" w:hAnsi="Courier New"/>
          <w:sz w:val="16"/>
          <w:szCs w:val="16"/>
          <w:color w:val="auto"/>
        </w:rPr>
        <w:t>Vice Chairman/Director</w:t>
      </w:r>
    </w:p>
    <w:p>
      <w:pPr>
        <w:spacing w:after="0" w:line="34" w:lineRule="exact"/>
        <w:rPr>
          <w:sz w:val="20"/>
          <w:szCs w:val="20"/>
          <w:color w:val="auto"/>
        </w:rPr>
      </w:pPr>
    </w:p>
    <w:p>
      <w:pPr>
        <w:ind w:left="201" w:hanging="201"/>
        <w:spacing w:after="0"/>
        <w:tabs>
          <w:tab w:leader="none" w:pos="20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Horace Hagedorn</w:t>
      </w:r>
    </w:p>
    <w:p>
      <w:pPr>
        <w:spacing w:after="0" w:line="158" w:lineRule="exact"/>
        <w:rPr>
          <w:sz w:val="20"/>
          <w:szCs w:val="20"/>
          <w:color w:val="auto"/>
        </w:rPr>
      </w:pPr>
    </w:p>
    <w:p>
      <w:pPr>
        <w:ind w:left="1"/>
        <w:spacing w:after="0"/>
        <w:tabs>
          <w:tab w:leader="none" w:pos="6221" w:val="left"/>
        </w:tabs>
        <w:rPr>
          <w:sz w:val="20"/>
          <w:szCs w:val="20"/>
          <w:color w:val="auto"/>
        </w:rPr>
      </w:pPr>
      <w:r>
        <w:rPr>
          <w:rFonts w:ascii="Courier New" w:cs="Courier New" w:eastAsia="Courier New" w:hAnsi="Courier New"/>
          <w:sz w:val="16"/>
          <w:szCs w:val="16"/>
          <w:color w:val="auto"/>
        </w:rPr>
        <w:t>James Hagedorn*</w:t>
      </w:r>
      <w:r>
        <w:rPr>
          <w:sz w:val="20"/>
          <w:szCs w:val="20"/>
          <w:color w:val="auto"/>
        </w:rPr>
        <w:tab/>
      </w:r>
      <w:r>
        <w:rPr>
          <w:rFonts w:ascii="Courier New" w:cs="Courier New" w:eastAsia="Courier New" w:hAnsi="Courier New"/>
          <w:sz w:val="16"/>
          <w:szCs w:val="16"/>
          <w:color w:val="auto"/>
        </w:rPr>
        <w:t>President of Scotts North America/Director</w:t>
      </w:r>
    </w:p>
    <w:p>
      <w:pPr>
        <w:spacing w:after="0" w:line="34" w:lineRule="exact"/>
        <w:rPr>
          <w:sz w:val="20"/>
          <w:szCs w:val="20"/>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58" w:lineRule="exact"/>
        <w:rPr>
          <w:sz w:val="20"/>
          <w:szCs w:val="20"/>
          <w:color w:val="auto"/>
        </w:rPr>
      </w:pPr>
    </w:p>
    <w:p>
      <w:pPr>
        <w:ind w:left="1"/>
        <w:spacing w:after="0"/>
        <w:tabs>
          <w:tab w:leader="none" w:pos="6221" w:val="left"/>
        </w:tabs>
        <w:rPr>
          <w:sz w:val="20"/>
          <w:szCs w:val="20"/>
          <w:color w:val="auto"/>
        </w:rPr>
      </w:pPr>
      <w:r>
        <w:rPr>
          <w:rFonts w:ascii="Courier New" w:cs="Courier New" w:eastAsia="Courier New" w:hAnsi="Courier New"/>
          <w:sz w:val="16"/>
          <w:szCs w:val="16"/>
          <w:color w:val="auto"/>
        </w:rPr>
        <w:t>Albert E. Harris*</w:t>
      </w:r>
      <w:r>
        <w:rPr>
          <w:sz w:val="20"/>
          <w:szCs w:val="20"/>
          <w:color w:val="auto"/>
        </w:rPr>
        <w:tab/>
      </w:r>
      <w:r>
        <w:rPr>
          <w:rFonts w:ascii="Courier New" w:cs="Courier New" w:eastAsia="Courier New" w:hAnsi="Courier New"/>
          <w:sz w:val="16"/>
          <w:szCs w:val="16"/>
          <w:color w:val="auto"/>
        </w:rPr>
        <w:t>Director</w:t>
      </w:r>
    </w:p>
    <w:p>
      <w:pPr>
        <w:spacing w:after="0" w:line="34"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Albert E. Harris</w:t>
      </w:r>
    </w:p>
    <w:p>
      <w:pPr>
        <w:spacing w:after="0" w:line="158" w:lineRule="exact"/>
        <w:rPr>
          <w:sz w:val="20"/>
          <w:szCs w:val="20"/>
          <w:color w:val="auto"/>
        </w:rPr>
      </w:pPr>
    </w:p>
    <w:p>
      <w:pPr>
        <w:ind w:left="1"/>
        <w:spacing w:after="0"/>
        <w:tabs>
          <w:tab w:leader="none" w:pos="6221" w:val="left"/>
        </w:tabs>
        <w:rPr>
          <w:sz w:val="20"/>
          <w:szCs w:val="20"/>
          <w:color w:val="auto"/>
        </w:rPr>
      </w:pPr>
      <w:r>
        <w:rPr>
          <w:rFonts w:ascii="Courier New" w:cs="Courier New" w:eastAsia="Courier New" w:hAnsi="Courier New"/>
          <w:sz w:val="16"/>
          <w:szCs w:val="16"/>
          <w:color w:val="auto"/>
        </w:rPr>
        <w:t>John Kenlon*</w:t>
      </w:r>
      <w:r>
        <w:rPr>
          <w:sz w:val="20"/>
          <w:szCs w:val="20"/>
          <w:color w:val="auto"/>
        </w:rPr>
        <w:tab/>
      </w:r>
      <w:r>
        <w:rPr>
          <w:rFonts w:ascii="Courier New" w:cs="Courier New" w:eastAsia="Courier New" w:hAnsi="Courier New"/>
          <w:sz w:val="16"/>
          <w:szCs w:val="16"/>
          <w:color w:val="auto"/>
        </w:rPr>
        <w:t>Director</w:t>
      </w:r>
    </w:p>
    <w:p>
      <w:pPr>
        <w:spacing w:after="0" w:line="34" w:lineRule="exact"/>
        <w:rPr>
          <w:sz w:val="20"/>
          <w:szCs w:val="20"/>
          <w:color w:val="auto"/>
        </w:rPr>
      </w:pPr>
    </w:p>
    <w:p>
      <w:pPr>
        <w:ind w:left="201" w:hanging="201"/>
        <w:spacing w:after="0"/>
        <w:tabs>
          <w:tab w:leader="none" w:pos="2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Kenlon</w:t>
      </w:r>
    </w:p>
    <w:p>
      <w:pPr>
        <w:spacing w:after="0" w:line="158" w:lineRule="exact"/>
        <w:rPr>
          <w:sz w:val="20"/>
          <w:szCs w:val="20"/>
          <w:color w:val="auto"/>
        </w:rPr>
      </w:pPr>
    </w:p>
    <w:p>
      <w:pPr>
        <w:ind w:left="1"/>
        <w:spacing w:after="0"/>
        <w:tabs>
          <w:tab w:leader="none" w:pos="6221" w:val="left"/>
        </w:tabs>
        <w:rPr>
          <w:sz w:val="20"/>
          <w:szCs w:val="20"/>
          <w:color w:val="auto"/>
        </w:rPr>
      </w:pPr>
      <w:r>
        <w:rPr>
          <w:rFonts w:ascii="Courier New" w:cs="Courier New" w:eastAsia="Courier New" w:hAnsi="Courier New"/>
          <w:sz w:val="16"/>
          <w:szCs w:val="16"/>
          <w:color w:val="auto"/>
        </w:rPr>
        <w:t>Karen Gordon Mills*</w:t>
      </w:r>
      <w:r>
        <w:rPr>
          <w:sz w:val="20"/>
          <w:szCs w:val="20"/>
          <w:color w:val="auto"/>
        </w:rPr>
        <w:tab/>
      </w:r>
      <w:r>
        <w:rPr>
          <w:rFonts w:ascii="Courier New" w:cs="Courier New" w:eastAsia="Courier New" w:hAnsi="Courier New"/>
          <w:sz w:val="16"/>
          <w:szCs w:val="16"/>
          <w:color w:val="auto"/>
        </w:rPr>
        <w:t>Director</w:t>
      </w:r>
    </w:p>
    <w:p>
      <w:pPr>
        <w:spacing w:after="0" w:line="34" w:lineRule="exact"/>
        <w:rPr>
          <w:sz w:val="20"/>
          <w:szCs w:val="20"/>
          <w:color w:val="auto"/>
        </w:rPr>
      </w:pPr>
    </w:p>
    <w:p>
      <w:pPr>
        <w:ind w:left="201" w:hanging="201"/>
        <w:spacing w:after="0"/>
        <w:tabs>
          <w:tab w:leader="none" w:pos="2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Karen Gordon Mills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81"/>
          </w:cols>
          <w:pgMar w:left="239" w:top="272" w:right="1379" w:bottom="1440" w:gutter="0" w:footer="0" w:header="0"/>
          <w:type w:val="continuous"/>
        </w:sectPr>
      </w:pPr>
    </w:p>
    <w:bookmarkStart w:id="12" w:name="page13"/>
    <w:bookmarkEnd w:id="12"/>
    <w:p>
      <w:pPr>
        <w:ind w:left="281"/>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Signature</w:t>
            </w:r>
          </w:p>
        </w:tc>
        <w:tc>
          <w:tcPr>
            <w:tcW w:w="5660" w:type="dxa"/>
            <w:vAlign w:val="bottom"/>
          </w:tcPr>
          <w:p>
            <w:pPr>
              <w:ind w:left="1820"/>
              <w:spacing w:after="0"/>
              <w:rPr>
                <w:sz w:val="20"/>
                <w:szCs w:val="20"/>
                <w:color w:val="auto"/>
              </w:rPr>
            </w:pPr>
            <w:r>
              <w:rPr>
                <w:rFonts w:ascii="Courier New" w:cs="Courier New" w:eastAsia="Courier New" w:hAnsi="Courier New"/>
                <w:sz w:val="16"/>
                <w:szCs w:val="16"/>
                <w:color w:val="auto"/>
              </w:rPr>
              <w:t>Title</w:t>
            </w:r>
          </w:p>
        </w:tc>
        <w:tc>
          <w:tcPr>
            <w:tcW w:w="0" w:type="dxa"/>
            <w:vAlign w:val="bottom"/>
          </w:tcPr>
          <w:p>
            <w:pPr>
              <w:spacing w:after="0"/>
              <w:rPr>
                <w:sz w:val="1"/>
                <w:szCs w:val="1"/>
                <w:color w:val="auto"/>
              </w:rPr>
            </w:pPr>
          </w:p>
        </w:tc>
      </w:tr>
      <w:tr>
        <w:trPr>
          <w:trHeight w:val="271"/>
        </w:trPr>
        <w:tc>
          <w:tcPr>
            <w:tcW w:w="4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660" w:type="dxa"/>
            <w:vAlign w:val="bottom"/>
          </w:tcPr>
          <w:p>
            <w:pPr>
              <w:ind w:left="20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Jean H. Mordo*</w:t>
            </w:r>
          </w:p>
        </w:tc>
        <w:tc>
          <w:tcPr>
            <w:tcW w:w="5660" w:type="dxa"/>
            <w:vAlign w:val="bottom"/>
          </w:tcPr>
          <w:p>
            <w:pPr>
              <w:ind w:left="1820"/>
              <w:spacing w:after="0"/>
              <w:rPr>
                <w:sz w:val="20"/>
                <w:szCs w:val="20"/>
                <w:color w:val="auto"/>
              </w:rPr>
            </w:pPr>
            <w:r>
              <w:rPr>
                <w:rFonts w:ascii="Courier New" w:cs="Courier New" w:eastAsia="Courier New" w:hAnsi="Courier New"/>
                <w:sz w:val="16"/>
                <w:szCs w:val="16"/>
                <w:color w:val="auto"/>
                <w:w w:val="99"/>
              </w:rPr>
              <w:t>Executive Vice President/Chief Financial</w:t>
            </w:r>
          </w:p>
        </w:tc>
        <w:tc>
          <w:tcPr>
            <w:tcW w:w="0" w:type="dxa"/>
            <w:vAlign w:val="bottom"/>
          </w:tcPr>
          <w:p>
            <w:pPr>
              <w:spacing w:after="0"/>
              <w:rPr>
                <w:sz w:val="1"/>
                <w:szCs w:val="1"/>
                <w:color w:val="auto"/>
              </w:rPr>
            </w:pPr>
          </w:p>
        </w:tc>
      </w:tr>
      <w:tr>
        <w:trPr>
          <w:trHeight w:val="271"/>
        </w:trPr>
        <w:tc>
          <w:tcPr>
            <w:tcW w:w="4420" w:type="dxa"/>
            <w:vAlign w:val="bottom"/>
            <w:vMerge w:val="restart"/>
          </w:tcPr>
          <w:p>
            <w:pPr>
              <w:spacing w:after="0"/>
              <w:rPr>
                <w:sz w:val="20"/>
                <w:szCs w:val="20"/>
                <w:color w:val="auto"/>
              </w:rPr>
            </w:pPr>
            <w:r>
              <w:rPr>
                <w:rFonts w:ascii="Courier New" w:cs="Courier New" w:eastAsia="Courier New" w:hAnsi="Courier New"/>
                <w:sz w:val="32"/>
                <w:szCs w:val="32"/>
                <w:color w:val="auto"/>
                <w:vertAlign w:val="subscript"/>
              </w:rPr>
              <w:t>Jean</w:t>
            </w:r>
            <w:r>
              <w:rPr>
                <w:rFonts w:ascii="Courier New" w:cs="Courier New" w:eastAsia="Courier New" w:hAnsi="Courier New"/>
                <w:sz w:val="16"/>
                <w:szCs w:val="16"/>
                <w:color w:val="auto"/>
              </w:rPr>
              <w:t>--------------------------</w:t>
            </w:r>
            <w:r>
              <w:rPr>
                <w:rFonts w:ascii="Courier New" w:cs="Courier New" w:eastAsia="Courier New" w:hAnsi="Courier New"/>
                <w:sz w:val="32"/>
                <w:szCs w:val="32"/>
                <w:color w:val="auto"/>
                <w:vertAlign w:val="subscript"/>
              </w:rPr>
              <w:t>H.Mordo</w:t>
            </w:r>
          </w:p>
        </w:tc>
        <w:tc>
          <w:tcPr>
            <w:tcW w:w="5660" w:type="dxa"/>
            <w:vAlign w:val="bottom"/>
          </w:tcPr>
          <w:p>
            <w:pPr>
              <w:ind w:left="2020"/>
              <w:spacing w:after="0"/>
              <w:rPr>
                <w:sz w:val="20"/>
                <w:szCs w:val="20"/>
                <w:color w:val="auto"/>
              </w:rPr>
            </w:pPr>
            <w:r>
              <w:rPr>
                <w:rFonts w:ascii="Courier New" w:cs="Courier New" w:eastAsia="Courier New" w:hAnsi="Courier New"/>
                <w:sz w:val="16"/>
                <w:szCs w:val="16"/>
                <w:color w:val="auto"/>
              </w:rPr>
              <w:t>Officer/Principal Accounting Officer</w:t>
            </w: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5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420" w:type="dxa"/>
            <w:vAlign w:val="bottom"/>
          </w:tcPr>
          <w:p>
            <w:pPr>
              <w:spacing w:after="0"/>
              <w:rPr>
                <w:sz w:val="20"/>
                <w:szCs w:val="20"/>
                <w:color w:val="auto"/>
              </w:rPr>
            </w:pPr>
            <w:r>
              <w:rPr>
                <w:rFonts w:ascii="Courier New" w:cs="Courier New" w:eastAsia="Courier New" w:hAnsi="Courier New"/>
                <w:sz w:val="16"/>
                <w:szCs w:val="16"/>
                <w:color w:val="auto"/>
              </w:rPr>
              <w:t>Patrick J. Norton*</w:t>
            </w:r>
          </w:p>
        </w:tc>
        <w:tc>
          <w:tcPr>
            <w:tcW w:w="5660" w:type="dxa"/>
            <w:vAlign w:val="bottom"/>
          </w:tcPr>
          <w:p>
            <w:pPr>
              <w:ind w:left="182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bl>
    <w:p>
      <w:pPr>
        <w:ind w:left="201" w:hanging="201"/>
        <w:spacing w:after="0"/>
        <w:tabs>
          <w:tab w:leader="none" w:pos="20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John M. Sullivan*</w:t>
            </w:r>
          </w:p>
        </w:tc>
        <w:tc>
          <w:tcPr>
            <w:tcW w:w="5480" w:type="dxa"/>
            <w:vAlign w:val="bottom"/>
          </w:tcPr>
          <w:p>
            <w:pPr>
              <w:ind w:left="182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420" w:type="dxa"/>
            <w:vAlign w:val="bottom"/>
          </w:tcPr>
          <w:p>
            <w:pPr>
              <w:spacing w:after="0"/>
              <w:rPr>
                <w:sz w:val="20"/>
                <w:szCs w:val="20"/>
                <w:color w:val="auto"/>
              </w:rPr>
            </w:pPr>
            <w:r>
              <w:rPr>
                <w:rFonts w:ascii="Courier New" w:cs="Courier New" w:eastAsia="Courier New" w:hAnsi="Courier New"/>
                <w:sz w:val="16"/>
                <w:szCs w:val="16"/>
                <w:color w:val="auto"/>
              </w:rPr>
              <w:t>John M. Sullivan</w:t>
            </w:r>
          </w:p>
        </w:tc>
        <w:tc>
          <w:tcPr>
            <w:tcW w:w="5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L. Jack Van Fossen*</w:t>
            </w:r>
          </w:p>
        </w:tc>
        <w:tc>
          <w:tcPr>
            <w:tcW w:w="5480" w:type="dxa"/>
            <w:vAlign w:val="bottom"/>
          </w:tcPr>
          <w:p>
            <w:pPr>
              <w:ind w:left="182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420" w:type="dxa"/>
            <w:vAlign w:val="bottom"/>
          </w:tcPr>
          <w:p>
            <w:pPr>
              <w:spacing w:after="0"/>
              <w:rPr>
                <w:sz w:val="20"/>
                <w:szCs w:val="20"/>
                <w:color w:val="auto"/>
              </w:rPr>
            </w:pPr>
            <w:r>
              <w:rPr>
                <w:rFonts w:ascii="Courier New" w:cs="Courier New" w:eastAsia="Courier New" w:hAnsi="Courier New"/>
                <w:sz w:val="16"/>
                <w:szCs w:val="16"/>
                <w:color w:val="auto"/>
              </w:rPr>
              <w:t>L. Jack Van Fossen</w:t>
            </w:r>
          </w:p>
        </w:tc>
        <w:tc>
          <w:tcPr>
            <w:tcW w:w="5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John Walker, Ph.D.*</w:t>
            </w:r>
          </w:p>
        </w:tc>
        <w:tc>
          <w:tcPr>
            <w:tcW w:w="5480" w:type="dxa"/>
            <w:vAlign w:val="bottom"/>
          </w:tcPr>
          <w:p>
            <w:pPr>
              <w:ind w:left="182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420" w:type="dxa"/>
            <w:vAlign w:val="bottom"/>
          </w:tcPr>
          <w:p>
            <w:pPr>
              <w:spacing w:after="0"/>
              <w:rPr>
                <w:sz w:val="20"/>
                <w:szCs w:val="20"/>
                <w:color w:val="auto"/>
              </w:rPr>
            </w:pPr>
            <w:r>
              <w:rPr>
                <w:rFonts w:ascii="Courier New" w:cs="Courier New" w:eastAsia="Courier New" w:hAnsi="Courier New"/>
                <w:sz w:val="16"/>
                <w:szCs w:val="16"/>
                <w:color w:val="auto"/>
              </w:rPr>
              <w:t>John Walker, Ph.D.</w:t>
            </w:r>
          </w:p>
        </w:tc>
        <w:tc>
          <w:tcPr>
            <w:tcW w:w="5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*By: /s/ G. Robert Lucas</w:t>
            </w:r>
          </w:p>
        </w:tc>
        <w:tc>
          <w:tcPr>
            <w:tcW w:w="5480" w:type="dxa"/>
            <w:vAlign w:val="bottom"/>
          </w:tcPr>
          <w:p>
            <w:pPr>
              <w:ind w:left="1820"/>
              <w:spacing w:after="0"/>
              <w:rPr>
                <w:sz w:val="20"/>
                <w:szCs w:val="20"/>
                <w:color w:val="auto"/>
              </w:rPr>
            </w:pPr>
            <w:r>
              <w:rPr>
                <w:rFonts w:ascii="Courier New" w:cs="Courier New" w:eastAsia="Courier New" w:hAnsi="Courier New"/>
                <w:sz w:val="16"/>
                <w:szCs w:val="16"/>
                <w:color w:val="auto"/>
                <w:w w:val="99"/>
              </w:rPr>
              <w:t>Senior Vice President, General Counsel</w:t>
            </w:r>
          </w:p>
        </w:tc>
        <w:tc>
          <w:tcPr>
            <w:tcW w:w="0" w:type="dxa"/>
            <w:vAlign w:val="bottom"/>
          </w:tcPr>
          <w:p>
            <w:pPr>
              <w:spacing w:after="0"/>
              <w:rPr>
                <w:sz w:val="1"/>
                <w:szCs w:val="1"/>
                <w:color w:val="auto"/>
              </w:rPr>
            </w:pPr>
          </w:p>
        </w:tc>
      </w:tr>
      <w:tr>
        <w:trPr>
          <w:trHeight w:val="185"/>
        </w:trPr>
        <w:tc>
          <w:tcPr>
            <w:tcW w:w="4420" w:type="dxa"/>
            <w:vAlign w:val="bottom"/>
            <w:vMerge w:val="restart"/>
          </w:tcPr>
          <w:p>
            <w:pPr>
              <w:ind w:left="380"/>
              <w:spacing w:after="0"/>
              <w:rPr>
                <w:sz w:val="20"/>
                <w:szCs w:val="20"/>
                <w:color w:val="auto"/>
              </w:rPr>
            </w:pPr>
            <w:r>
              <w:rPr>
                <w:rFonts w:ascii="Courier New" w:cs="Courier New" w:eastAsia="Courier New" w:hAnsi="Courier New"/>
                <w:sz w:val="32"/>
                <w:szCs w:val="32"/>
                <w:color w:val="auto"/>
                <w:vertAlign w:val="subscript"/>
              </w:rPr>
              <w:t>G.</w:t>
            </w:r>
            <w:r>
              <w:rPr>
                <w:rFonts w:ascii="Courier New" w:cs="Courier New" w:eastAsia="Courier New" w:hAnsi="Courier New"/>
                <w:sz w:val="16"/>
                <w:szCs w:val="16"/>
                <w:color w:val="auto"/>
              </w:rPr>
              <w:t>---------------------</w:t>
            </w:r>
            <w:r>
              <w:rPr>
                <w:rFonts w:ascii="Courier New" w:cs="Courier New" w:eastAsia="Courier New" w:hAnsi="Courier New"/>
                <w:sz w:val="32"/>
                <w:szCs w:val="32"/>
                <w:color w:val="auto"/>
                <w:vertAlign w:val="subscript"/>
              </w:rPr>
              <w:t>RobertLucas</w:t>
            </w:r>
          </w:p>
        </w:tc>
        <w:tc>
          <w:tcPr>
            <w:tcW w:w="5480" w:type="dxa"/>
            <w:vAlign w:val="bottom"/>
          </w:tcPr>
          <w:p>
            <w:pPr>
              <w:ind w:left="1820"/>
              <w:spacing w:after="0"/>
              <w:rPr>
                <w:sz w:val="20"/>
                <w:szCs w:val="20"/>
                <w:color w:val="auto"/>
              </w:rPr>
            </w:pPr>
            <w:r>
              <w:rPr>
                <w:rFonts w:ascii="Courier New" w:cs="Courier New" w:eastAsia="Courier New" w:hAnsi="Courier New"/>
                <w:sz w:val="16"/>
                <w:szCs w:val="16"/>
                <w:color w:val="auto"/>
              </w:rPr>
              <w:t>and Secretary</w:t>
            </w:r>
          </w:p>
        </w:tc>
        <w:tc>
          <w:tcPr>
            <w:tcW w:w="0" w:type="dxa"/>
            <w:vAlign w:val="bottom"/>
          </w:tcPr>
          <w:p>
            <w:pPr>
              <w:spacing w:after="0"/>
              <w:rPr>
                <w:sz w:val="1"/>
                <w:szCs w:val="1"/>
                <w:color w:val="auto"/>
              </w:rPr>
            </w:pPr>
          </w:p>
        </w:tc>
      </w:tr>
      <w:tr>
        <w:trPr>
          <w:trHeight w:val="287"/>
        </w:trPr>
        <w:tc>
          <w:tcPr>
            <w:tcW w:w="4420" w:type="dxa"/>
            <w:vAlign w:val="bottom"/>
            <w:vMerge w:val="continue"/>
          </w:tcPr>
          <w:p>
            <w:pPr>
              <w:spacing w:after="0"/>
              <w:rPr>
                <w:sz w:val="24"/>
                <w:szCs w:val="24"/>
                <w:color w:val="auto"/>
              </w:rPr>
            </w:pPr>
          </w:p>
        </w:tc>
        <w:tc>
          <w:tcPr>
            <w:tcW w:w="5480" w:type="dxa"/>
            <w:vAlign w:val="bottom"/>
          </w:tcPr>
          <w:p>
            <w:pPr>
              <w:ind w:left="1820"/>
              <w:spacing w:after="0"/>
              <w:rPr>
                <w:sz w:val="20"/>
                <w:szCs w:val="20"/>
                <w:color w:val="auto"/>
              </w:rPr>
            </w:pPr>
            <w:r>
              <w:rPr>
                <w:rFonts w:ascii="Courier New" w:cs="Courier New" w:eastAsia="Courier New" w:hAnsi="Courier New"/>
                <w:sz w:val="16"/>
                <w:szCs w:val="16"/>
                <w:color w:val="auto"/>
              </w:rPr>
              <w:t>Attorney-in-Fact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272" w:right="1440" w:bottom="1440" w:gutter="0" w:footer="0" w:header="0"/>
        </w:sectPr>
      </w:pPr>
    </w:p>
    <w:bookmarkStart w:id="13" w:name="page14"/>
    <w:bookmarkEnd w:id="13"/>
    <w:p>
      <w:pPr>
        <w:ind w:left="281"/>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58" w:lineRule="exact"/>
        <w:rPr>
          <w:sz w:val="20"/>
          <w:szCs w:val="20"/>
          <w:color w:val="auto"/>
        </w:rPr>
      </w:pPr>
    </w:p>
    <w:tbl>
      <w:tblPr>
        <w:tblLayout w:type="fixed"/>
        <w:tblInd w:w="761" w:type="dxa"/>
        <w:tblCellMar>
          <w:top w:w="0" w:type="dxa"/>
          <w:left w:w="0" w:type="dxa"/>
          <w:bottom w:w="0" w:type="dxa"/>
          <w:right w:w="0" w:type="dxa"/>
        </w:tblCellMar>
      </w:tblPr>
      <w:tr>
        <w:trPr>
          <w:trHeight w:val="271"/>
        </w:trPr>
        <w:tc>
          <w:tcPr>
            <w:tcW w:w="1680" w:type="dxa"/>
            <w:vAlign w:val="bottom"/>
          </w:tcPr>
          <w:p>
            <w:pPr>
              <w:spacing w:after="0"/>
              <w:rPr>
                <w:sz w:val="23"/>
                <w:szCs w:val="23"/>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6"/>
                <w:szCs w:val="16"/>
                <w:color w:val="auto"/>
              </w:rPr>
              <w:t>INDEX TO EXHIBITS</w:t>
            </w:r>
          </w:p>
        </w:tc>
        <w:tc>
          <w:tcPr>
            <w:tcW w:w="3060" w:type="dxa"/>
            <w:vAlign w:val="bottom"/>
          </w:tcPr>
          <w:p>
            <w:pPr>
              <w:spacing w:after="0"/>
              <w:rPr>
                <w:sz w:val="23"/>
                <w:szCs w:val="23"/>
                <w:color w:val="auto"/>
              </w:rPr>
            </w:pPr>
          </w:p>
        </w:tc>
      </w:tr>
      <w:tr>
        <w:trPr>
          <w:trHeight w:val="652"/>
        </w:trPr>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8"/>
              </w:rPr>
              <w:t>Exhibit No.</w:t>
            </w:r>
          </w:p>
        </w:tc>
        <w:tc>
          <w:tcPr>
            <w:tcW w:w="5540" w:type="dxa"/>
            <w:vAlign w:val="bottom"/>
          </w:tcPr>
          <w:p>
            <w:pPr>
              <w:ind w:left="2560"/>
              <w:spacing w:after="0"/>
              <w:rPr>
                <w:sz w:val="20"/>
                <w:szCs w:val="20"/>
                <w:color w:val="auto"/>
              </w:rPr>
            </w:pPr>
            <w:r>
              <w:rPr>
                <w:rFonts w:ascii="Courier New" w:cs="Courier New" w:eastAsia="Courier New" w:hAnsi="Courier New"/>
                <w:sz w:val="16"/>
                <w:szCs w:val="16"/>
                <w:color w:val="auto"/>
              </w:rPr>
              <w:t>Description</w:t>
            </w:r>
          </w:p>
        </w:tc>
        <w:tc>
          <w:tcPr>
            <w:tcW w:w="3060" w:type="dxa"/>
            <w:vAlign w:val="bottom"/>
          </w:tcPr>
          <w:p>
            <w:pPr>
              <w:ind w:left="1440"/>
              <w:spacing w:after="0"/>
              <w:rPr>
                <w:sz w:val="20"/>
                <w:szCs w:val="20"/>
                <w:color w:val="auto"/>
              </w:rPr>
            </w:pPr>
            <w:r>
              <w:rPr>
                <w:rFonts w:ascii="Courier New" w:cs="Courier New" w:eastAsia="Courier New" w:hAnsi="Courier New"/>
                <w:sz w:val="16"/>
                <w:szCs w:val="16"/>
                <w:color w:val="auto"/>
              </w:rPr>
              <w:t>Page No.</w:t>
            </w:r>
          </w:p>
        </w:tc>
      </w:tr>
      <w:tr>
        <w:trPr>
          <w:trHeight w:val="271"/>
        </w:trPr>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8"/>
              </w:rPr>
              <w:t>-----------</w:t>
            </w:r>
          </w:p>
        </w:tc>
        <w:tc>
          <w:tcPr>
            <w:tcW w:w="5540" w:type="dxa"/>
            <w:vAlign w:val="bottom"/>
          </w:tcPr>
          <w:p>
            <w:pPr>
              <w:ind w:left="2560"/>
              <w:spacing w:after="0"/>
              <w:rPr>
                <w:sz w:val="20"/>
                <w:szCs w:val="20"/>
                <w:color w:val="auto"/>
              </w:rPr>
            </w:pPr>
            <w:r>
              <w:rPr>
                <w:rFonts w:ascii="Courier New" w:cs="Courier New" w:eastAsia="Courier New" w:hAnsi="Courier New"/>
                <w:sz w:val="16"/>
                <w:szCs w:val="16"/>
                <w:color w:val="auto"/>
              </w:rPr>
              <w:t>-----------</w:t>
            </w:r>
          </w:p>
        </w:tc>
        <w:tc>
          <w:tcPr>
            <w:tcW w:w="3060" w:type="dxa"/>
            <w:vAlign w:val="bottom"/>
          </w:tcPr>
          <w:p>
            <w:pPr>
              <w:ind w:left="1440"/>
              <w:spacing w:after="0"/>
              <w:rPr>
                <w:sz w:val="20"/>
                <w:szCs w:val="20"/>
                <w:color w:val="auto"/>
              </w:rPr>
            </w:pPr>
            <w:r>
              <w:rPr>
                <w:rFonts w:ascii="Courier New" w:cs="Courier New" w:eastAsia="Courier New" w:hAnsi="Courier New"/>
                <w:sz w:val="16"/>
                <w:szCs w:val="16"/>
                <w:color w:val="auto"/>
              </w:rPr>
              <w:t>--------</w:t>
            </w:r>
          </w:p>
        </w:tc>
      </w:tr>
      <w:tr>
        <w:trPr>
          <w:trHeight w:val="283"/>
        </w:trPr>
        <w:tc>
          <w:tcPr>
            <w:tcW w:w="16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10</w:t>
            </w:r>
          </w:p>
        </w:tc>
        <w:tc>
          <w:tcPr>
            <w:tcW w:w="5540" w:type="dxa"/>
            <w:vAlign w:val="bottom"/>
          </w:tcPr>
          <w:p>
            <w:pPr>
              <w:ind w:left="820"/>
              <w:spacing w:after="0"/>
              <w:rPr>
                <w:sz w:val="20"/>
                <w:szCs w:val="20"/>
                <w:color w:val="auto"/>
              </w:rPr>
            </w:pPr>
            <w:r>
              <w:rPr>
                <w:rFonts w:ascii="Courier New" w:cs="Courier New" w:eastAsia="Courier New" w:hAnsi="Courier New"/>
                <w:sz w:val="16"/>
                <w:szCs w:val="16"/>
                <w:color w:val="auto"/>
              </w:rPr>
              <w:t>The Scotts Company Executive Retirement Plan</w:t>
            </w:r>
          </w:p>
        </w:tc>
        <w:tc>
          <w:tcPr>
            <w:tcW w:w="3060" w:type="dxa"/>
            <w:vAlign w:val="bottom"/>
          </w:tcPr>
          <w:p>
            <w:pPr>
              <w:ind w:left="480"/>
              <w:spacing w:after="0"/>
              <w:rPr>
                <w:sz w:val="20"/>
                <w:szCs w:val="20"/>
                <w:color w:val="auto"/>
              </w:rPr>
            </w:pPr>
            <w:r>
              <w:rPr>
                <w:rFonts w:ascii="Courier New" w:cs="Courier New" w:eastAsia="Courier New" w:hAnsi="Courier New"/>
                <w:sz w:val="16"/>
                <w:szCs w:val="16"/>
                <w:color w:val="auto"/>
              </w:rPr>
              <w:t>Incorporated herein by</w:t>
            </w:r>
          </w:p>
        </w:tc>
      </w:tr>
      <w:tr>
        <w:trPr>
          <w:trHeight w:val="185"/>
        </w:trPr>
        <w:tc>
          <w:tcPr>
            <w:tcW w:w="16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Courier New" w:cs="Courier New" w:eastAsia="Courier New" w:hAnsi="Courier New"/>
                <w:sz w:val="16"/>
                <w:szCs w:val="16"/>
                <w:color w:val="auto"/>
              </w:rPr>
              <w:t>reference to the Annual</w:t>
            </w:r>
          </w:p>
        </w:tc>
      </w:tr>
      <w:tr>
        <w:trPr>
          <w:trHeight w:val="185"/>
        </w:trPr>
        <w:tc>
          <w:tcPr>
            <w:tcW w:w="16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Courier New" w:cs="Courier New" w:eastAsia="Courier New" w:hAnsi="Courier New"/>
                <w:sz w:val="16"/>
                <w:szCs w:val="16"/>
                <w:color w:val="auto"/>
                <w:w w:val="98"/>
              </w:rPr>
              <w:t>Report on Form 10-K for the</w:t>
            </w:r>
          </w:p>
        </w:tc>
      </w:tr>
      <w:tr>
        <w:trPr>
          <w:trHeight w:val="185"/>
        </w:trPr>
        <w:tc>
          <w:tcPr>
            <w:tcW w:w="16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Courier New" w:cs="Courier New" w:eastAsia="Courier New" w:hAnsi="Courier New"/>
                <w:sz w:val="16"/>
                <w:szCs w:val="16"/>
                <w:color w:val="auto"/>
              </w:rPr>
              <w:t>fiscal year ended</w:t>
            </w:r>
          </w:p>
        </w:tc>
      </w:tr>
      <w:tr>
        <w:trPr>
          <w:trHeight w:val="185"/>
        </w:trPr>
        <w:tc>
          <w:tcPr>
            <w:tcW w:w="16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Courier New" w:cs="Courier New" w:eastAsia="Courier New" w:hAnsi="Courier New"/>
                <w:sz w:val="16"/>
                <w:szCs w:val="16"/>
                <w:color w:val="auto"/>
              </w:rPr>
              <w:t>September 30, 1998 of The</w:t>
            </w:r>
          </w:p>
        </w:tc>
      </w:tr>
      <w:tr>
        <w:trPr>
          <w:trHeight w:val="185"/>
        </w:trPr>
        <w:tc>
          <w:tcPr>
            <w:tcW w:w="16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Courier New" w:cs="Courier New" w:eastAsia="Courier New" w:hAnsi="Courier New"/>
                <w:sz w:val="16"/>
                <w:szCs w:val="16"/>
                <w:color w:val="auto"/>
              </w:rPr>
              <w:t>Scotts Company (File No.</w:t>
            </w:r>
          </w:p>
        </w:tc>
      </w:tr>
      <w:tr>
        <w:trPr>
          <w:trHeight w:val="271"/>
        </w:trPr>
        <w:tc>
          <w:tcPr>
            <w:tcW w:w="16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3060" w:type="dxa"/>
            <w:vAlign w:val="bottom"/>
          </w:tcPr>
          <w:p>
            <w:pPr>
              <w:ind w:left="480"/>
              <w:spacing w:after="0"/>
              <w:rPr>
                <w:sz w:val="20"/>
                <w:szCs w:val="20"/>
                <w:color w:val="auto"/>
              </w:rPr>
            </w:pPr>
            <w:r>
              <w:rPr>
                <w:rFonts w:ascii="Courier New" w:cs="Courier New" w:eastAsia="Courier New" w:hAnsi="Courier New"/>
                <w:sz w:val="16"/>
                <w:szCs w:val="16"/>
                <w:color w:val="auto"/>
              </w:rPr>
              <w:t>1-11593) [Exhibit 10(j)]</w:t>
            </w:r>
          </w:p>
        </w:tc>
      </w:tr>
      <w:tr>
        <w:trPr>
          <w:trHeight w:val="370"/>
        </w:trPr>
        <w:tc>
          <w:tcPr>
            <w:tcW w:w="16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23</w:t>
            </w:r>
          </w:p>
        </w:tc>
        <w:tc>
          <w:tcPr>
            <w:tcW w:w="5540" w:type="dxa"/>
            <w:vAlign w:val="bottom"/>
          </w:tcPr>
          <w:p>
            <w:pPr>
              <w:ind w:left="820"/>
              <w:spacing w:after="0"/>
              <w:rPr>
                <w:sz w:val="20"/>
                <w:szCs w:val="20"/>
                <w:color w:val="auto"/>
              </w:rPr>
            </w:pPr>
            <w:r>
              <w:rPr>
                <w:rFonts w:ascii="Courier New" w:cs="Courier New" w:eastAsia="Courier New" w:hAnsi="Courier New"/>
                <w:sz w:val="16"/>
                <w:szCs w:val="16"/>
                <w:color w:val="auto"/>
              </w:rPr>
              <w:t>Consent of PricewaterhouseCoopers LLP</w:t>
            </w:r>
          </w:p>
        </w:tc>
        <w:tc>
          <w:tcPr>
            <w:tcW w:w="3060" w:type="dxa"/>
            <w:vAlign w:val="bottom"/>
          </w:tcPr>
          <w:p>
            <w:pPr>
              <w:ind w:left="1820"/>
              <w:spacing w:after="0"/>
              <w:rPr>
                <w:sz w:val="20"/>
                <w:szCs w:val="20"/>
                <w:color w:val="auto"/>
              </w:rPr>
            </w:pPr>
            <w:r>
              <w:rPr>
                <w:rFonts w:ascii="Courier New" w:cs="Courier New" w:eastAsia="Courier New" w:hAnsi="Courier New"/>
                <w:sz w:val="16"/>
                <w:szCs w:val="16"/>
                <w:color w:val="auto"/>
              </w:rPr>
              <w:t>*</w:t>
            </w:r>
          </w:p>
        </w:tc>
      </w:tr>
      <w:tr>
        <w:trPr>
          <w:trHeight w:val="370"/>
        </w:trPr>
        <w:tc>
          <w:tcPr>
            <w:tcW w:w="16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24</w:t>
            </w:r>
          </w:p>
        </w:tc>
        <w:tc>
          <w:tcPr>
            <w:tcW w:w="5540" w:type="dxa"/>
            <w:vAlign w:val="bottom"/>
          </w:tcPr>
          <w:p>
            <w:pPr>
              <w:ind w:left="820"/>
              <w:spacing w:after="0"/>
              <w:rPr>
                <w:sz w:val="20"/>
                <w:szCs w:val="20"/>
                <w:color w:val="auto"/>
              </w:rPr>
            </w:pPr>
            <w:r>
              <w:rPr>
                <w:rFonts w:ascii="Courier New" w:cs="Courier New" w:eastAsia="Courier New" w:hAnsi="Courier New"/>
                <w:sz w:val="16"/>
                <w:szCs w:val="16"/>
                <w:color w:val="auto"/>
              </w:rPr>
              <w:t>Powers of Attorney</w:t>
            </w:r>
          </w:p>
        </w:tc>
        <w:tc>
          <w:tcPr>
            <w:tcW w:w="3060" w:type="dxa"/>
            <w:vAlign w:val="bottom"/>
          </w:tcPr>
          <w:p>
            <w:pPr>
              <w:ind w:left="1820"/>
              <w:spacing w:after="0"/>
              <w:rPr>
                <w:sz w:val="20"/>
                <w:szCs w:val="20"/>
                <w:color w:val="auto"/>
              </w:rPr>
            </w:pPr>
            <w:r>
              <w:rPr>
                <w:rFonts w:ascii="Courier New" w:cs="Courier New" w:eastAsia="Courier New" w:hAnsi="Courier New"/>
                <w:sz w:val="16"/>
                <w:szCs w:val="16"/>
                <w:color w:val="auto"/>
              </w:rPr>
              <w:t>*</w:t>
            </w:r>
          </w:p>
        </w:tc>
      </w:tr>
    </w:tbl>
    <w:p>
      <w:pPr>
        <w:spacing w:after="0" w:line="283" w:lineRule="exact"/>
        <w:rPr>
          <w:sz w:val="20"/>
          <w:szCs w:val="20"/>
          <w:color w:val="auto"/>
        </w:rPr>
      </w:pPr>
    </w:p>
    <w:p>
      <w:pPr>
        <w:ind w:left="201" w:hanging="201"/>
        <w:spacing w:after="0"/>
        <w:tabs>
          <w:tab w:leader="none" w:pos="2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200" w:lineRule="exact"/>
        <w:rPr>
          <w:sz w:val="20"/>
          <w:szCs w:val="20"/>
          <w:color w:val="auto"/>
        </w:rPr>
      </w:pPr>
    </w:p>
    <w:p>
      <w:pPr>
        <w:spacing w:after="0" w:line="32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041"/>
          </w:cols>
          <w:pgMar w:left="239" w:top="272" w:right="61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EXHIBIT 23</w:t>
      </w:r>
    </w:p>
    <w:p>
      <w:pPr>
        <w:spacing w:after="0" w:line="373" w:lineRule="exact"/>
        <w:rPr>
          <w:sz w:val="20"/>
          <w:szCs w:val="20"/>
          <w:color w:val="auto"/>
        </w:rPr>
      </w:pPr>
    </w:p>
    <w:p>
      <w:pPr>
        <w:jc w:val="right"/>
        <w:ind w:right="4559"/>
        <w:spacing w:after="0"/>
        <w:rPr>
          <w:sz w:val="20"/>
          <w:szCs w:val="20"/>
          <w:color w:val="auto"/>
        </w:rPr>
      </w:pPr>
      <w:r>
        <w:rPr>
          <w:rFonts w:ascii="Courier New" w:cs="Courier New" w:eastAsia="Courier New" w:hAnsi="Courier New"/>
          <w:sz w:val="16"/>
          <w:szCs w:val="16"/>
          <w:color w:val="auto"/>
        </w:rPr>
        <w:t>CONSENT OF PRICEWATERHOUSECOOPERS LLP</w:t>
      </w:r>
    </w:p>
    <w:p>
      <w:pPr>
        <w:sectPr>
          <w:pgSz w:w="11900" w:h="16838" w:orient="portrait"/>
          <w:cols w:equalWidth="0" w:num="1">
            <w:col w:w="9939"/>
          </w:cols>
          <w:pgMar w:left="520" w:top="112"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2</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of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3" w:lineRule="exact"/>
        <w:rPr>
          <w:sz w:val="20"/>
          <w:szCs w:val="20"/>
          <w:color w:val="auto"/>
        </w:rPr>
      </w:pPr>
    </w:p>
    <w:p>
      <w:pPr>
        <w:ind w:right="2639"/>
        <w:spacing w:after="0" w:line="264"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of The Scotts Company on Form S-8 of our report dated October 23, 1998 (except for Note 20 as to which the date is December 15, 1998) on our audits of the consolidated financial statements and financial statement schedules of The Scotts Company and Subsidiaries as of September 30, 1998 and 1997, and for the three years ended September 30, 1998, 1997, and 1996, which report is included in the Annual Report on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18, 1999</w:t>
      </w:r>
    </w:p>
    <w:p>
      <w:pPr>
        <w:sectPr>
          <w:pgSz w:w="11900" w:h="16838" w:orient="portrait"/>
          <w:cols w:equalWidth="0" w:num="1">
            <w:col w:w="10219"/>
          </w:cols>
          <w:pgMar w:left="240" w:top="27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EXHIBIT 24</w:t>
      </w:r>
    </w:p>
    <w:p>
      <w:pPr>
        <w:spacing w:after="0" w:line="373"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6"/>
          <w:szCs w:val="16"/>
          <w:color w:val="auto"/>
        </w:rPr>
        <w:t>POWERS OF ATTORNEY</w:t>
      </w:r>
    </w:p>
    <w:p>
      <w:pPr>
        <w:sectPr>
          <w:pgSz w:w="11900" w:h="16838" w:orient="portrait"/>
          <w:cols w:equalWidth="0" w:num="1">
            <w:col w:w="9939"/>
          </w:cols>
          <w:pgMar w:left="520" w:top="112"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2</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James B Beard</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James B Beard, Ph.D.</w:t>
      </w:r>
    </w:p>
    <w:p>
      <w:pPr>
        <w:sectPr>
          <w:pgSz w:w="11900" w:h="16838" w:orient="portrait"/>
          <w:cols w:equalWidth="0" w:num="1">
            <w:col w:w="10219"/>
          </w:cols>
          <w:pgMar w:left="240" w:top="272"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3</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Charles M. Berger</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Charles M. Berger</w:t>
      </w:r>
    </w:p>
    <w:p>
      <w:pPr>
        <w:sectPr>
          <w:pgSz w:w="11900" w:h="16838" w:orient="portrait"/>
          <w:cols w:equalWidth="0" w:num="1">
            <w:col w:w="10219"/>
          </w:cols>
          <w:pgMar w:left="240" w:top="272"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4</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Joseph P. Flannery</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Joseph P. Flannery</w:t>
      </w:r>
    </w:p>
    <w:p>
      <w:pPr>
        <w:sectPr>
          <w:pgSz w:w="11900" w:h="16838" w:orient="portrait"/>
          <w:cols w:equalWidth="0" w:num="1">
            <w:col w:w="10219"/>
          </w:cols>
          <w:pgMar w:left="240" w:top="272"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Horace Hagedorn</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Horace Hagedorn</w:t>
      </w:r>
    </w:p>
    <w:p>
      <w:pPr>
        <w:sectPr>
          <w:pgSz w:w="11900" w:h="16838" w:orient="portrait"/>
          <w:cols w:equalWidth="0" w:num="1">
            <w:col w:w="10219"/>
          </w:cols>
          <w:pgMar w:left="240" w:top="272"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6</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James Hagedorn</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James Hagedorn</w:t>
      </w:r>
    </w:p>
    <w:p>
      <w:pPr>
        <w:sectPr>
          <w:pgSz w:w="11900" w:h="16838" w:orient="portrait"/>
          <w:cols w:equalWidth="0" w:num="1">
            <w:col w:w="10219"/>
          </w:cols>
          <w:pgMar w:left="240" w:top="272"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7</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Albert E. Harris</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Albert E. Harris</w:t>
      </w:r>
    </w:p>
    <w:p>
      <w:pPr>
        <w:sectPr>
          <w:pgSz w:w="11900" w:h="16838" w:orient="portrait"/>
          <w:cols w:equalWidth="0" w:num="1">
            <w:col w:w="10219"/>
          </w:cols>
          <w:pgMar w:left="240" w:top="272"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8</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John Kenlon</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John Kenlon</w:t>
      </w:r>
    </w:p>
    <w:p>
      <w:pPr>
        <w:sectPr>
          <w:pgSz w:w="11900" w:h="16838" w:orient="portrait"/>
          <w:cols w:equalWidth="0" w:num="1">
            <w:col w:w="10219"/>
          </w:cols>
          <w:pgMar w:left="240" w:top="272"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9</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her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Karen Gordon Mills</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Karen Gordon Mills</w:t>
      </w:r>
    </w:p>
    <w:p>
      <w:pPr>
        <w:sectPr>
          <w:pgSz w:w="11900" w:h="16838" w:orient="portrait"/>
          <w:cols w:equalWidth="0" w:num="1">
            <w:col w:w="10219"/>
          </w:cols>
          <w:pgMar w:left="240" w:top="272"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10</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4"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Jean H. Mordo</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Jean H. Mordo</w:t>
      </w:r>
    </w:p>
    <w:p>
      <w:pPr>
        <w:sectPr>
          <w:pgSz w:w="11900" w:h="16838" w:orient="portrait"/>
          <w:cols w:equalWidth="0" w:num="1">
            <w:col w:w="10219"/>
          </w:cols>
          <w:pgMar w:left="240" w:top="272"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11</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69" w:lineRule="auto"/>
        <w:rPr>
          <w:sz w:val="20"/>
          <w:szCs w:val="20"/>
          <w:color w:val="auto"/>
        </w:rPr>
      </w:pPr>
      <w:r>
        <w:rPr>
          <w:rFonts w:ascii="Courier New" w:cs="Courier New" w:eastAsia="Courier New" w:hAnsi="Courier New"/>
          <w:sz w:val="15"/>
          <w:szCs w:val="15"/>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267"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Patrick J. Norton</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Patrick J. Norton</w:t>
      </w:r>
    </w:p>
    <w:p>
      <w:pPr>
        <w:sectPr>
          <w:pgSz w:w="11900" w:h="16838" w:orient="portrait"/>
          <w:cols w:equalWidth="0" w:num="1">
            <w:col w:w="10219"/>
          </w:cols>
          <w:pgMar w:left="240" w:top="272"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12</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69" w:lineRule="auto"/>
        <w:rPr>
          <w:sz w:val="20"/>
          <w:szCs w:val="20"/>
          <w:color w:val="auto"/>
        </w:rPr>
      </w:pPr>
      <w:r>
        <w:rPr>
          <w:rFonts w:ascii="Courier New" w:cs="Courier New" w:eastAsia="Courier New" w:hAnsi="Courier New"/>
          <w:sz w:val="15"/>
          <w:szCs w:val="15"/>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267"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John M. Sullivan</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John M. Sullivan</w:t>
      </w:r>
    </w:p>
    <w:p>
      <w:pPr>
        <w:sectPr>
          <w:pgSz w:w="11900" w:h="16838" w:orient="portrait"/>
          <w:cols w:equalWidth="0" w:num="1">
            <w:col w:w="10219"/>
          </w:cols>
          <w:pgMar w:left="240" w:top="272"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13</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69" w:lineRule="auto"/>
        <w:rPr>
          <w:sz w:val="20"/>
          <w:szCs w:val="20"/>
          <w:color w:val="auto"/>
        </w:rPr>
      </w:pPr>
      <w:r>
        <w:rPr>
          <w:rFonts w:ascii="Courier New" w:cs="Courier New" w:eastAsia="Courier New" w:hAnsi="Courier New"/>
          <w:sz w:val="15"/>
          <w:szCs w:val="15"/>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267"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L. Jack Van Fossen</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L. Jack Van Fossen</w:t>
      </w:r>
    </w:p>
    <w:p>
      <w:pPr>
        <w:sectPr>
          <w:pgSz w:w="11900" w:h="16838" w:orient="portrait"/>
          <w:cols w:equalWidth="0" w:num="1">
            <w:col w:w="10219"/>
          </w:cols>
          <w:pgMar w:left="240" w:top="272"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14</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3" w:lineRule="exact"/>
        <w:rPr>
          <w:sz w:val="20"/>
          <w:szCs w:val="20"/>
          <w:color w:val="auto"/>
        </w:rPr>
      </w:pPr>
    </w:p>
    <w:p>
      <w:pPr>
        <w:ind w:right="2539" w:firstLine="1345"/>
        <w:spacing w:after="0" w:line="269" w:lineRule="auto"/>
        <w:rPr>
          <w:sz w:val="20"/>
          <w:szCs w:val="20"/>
          <w:color w:val="auto"/>
        </w:rPr>
      </w:pPr>
      <w:r>
        <w:rPr>
          <w:rFonts w:ascii="Courier New" w:cs="Courier New" w:eastAsia="Courier New" w:hAnsi="Courier New"/>
          <w:sz w:val="15"/>
          <w:szCs w:val="15"/>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EXECUTIVE RETIREMENT PLAN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267" w:lineRule="exact"/>
        <w:rPr>
          <w:sz w:val="20"/>
          <w:szCs w:val="20"/>
          <w:color w:val="auto"/>
        </w:rPr>
      </w:pPr>
    </w:p>
    <w:p>
      <w:pPr>
        <w:ind w:right="2539" w:firstLine="1345"/>
        <w:spacing w:after="0" w:line="364" w:lineRule="auto"/>
        <w:rPr>
          <w:sz w:val="20"/>
          <w:szCs w:val="20"/>
          <w:color w:val="auto"/>
        </w:rPr>
      </w:pPr>
      <w:r>
        <w:rPr>
          <w:rFonts w:ascii="Courier New" w:cs="Courier New" w:eastAsia="Courier New" w:hAnsi="Courier New"/>
          <w:sz w:val="16"/>
          <w:szCs w:val="16"/>
          <w:color w:val="auto"/>
        </w:rPr>
        <w:t>IN WITNESS WHEREOF, the undersigned has hereunto set his hand this 18th day of February, 1999.</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John Walker</w:t>
      </w:r>
    </w:p>
    <w:p>
      <w:pPr>
        <w:spacing w:after="0" w:line="3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John Walker, Ph.D.</w:t>
      </w:r>
    </w:p>
    <w:sectPr>
      <w:pgSz w:w="11900" w:h="16838" w:orient="portrait"/>
      <w:cols w:equalWidth="0" w:num="1">
        <w:col w:w="10219"/>
      </w:cols>
      <w:pgMar w:left="240" w:top="2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937"/>
    </w:lvl>
  </w:abstractNum>
  <w:abstractNum w:abstractNumId="1">
    <w:nsid w:val="109CF92E"/>
    <w:multiLevelType w:val="hybridMultilevel"/>
    <w:lvl w:ilvl="0">
      <w:lvlJc w:val="left"/>
      <w:lvlText w:val="(%1)"/>
      <w:numFmt w:val="lowerLetter"/>
      <w:start w:val="12"/>
    </w:lvl>
  </w:abstractNum>
  <w:abstractNum w:abstractNumId="2">
    <w:nsid w:val="DED7263"/>
    <w:multiLevelType w:val="hybridMultilevel"/>
    <w:lvl w:ilvl="0">
      <w:lvlJc w:val="left"/>
      <w:lvlText w:val="(%1)"/>
      <w:numFmt w:val="upperLetter"/>
      <w:start w:val="1"/>
    </w:lvl>
  </w:abstractNum>
  <w:abstractNum w:abstractNumId="3">
    <w:nsid w:val="7FDCC233"/>
    <w:multiLevelType w:val="hybridMultilevel"/>
    <w:lvl w:ilvl="0">
      <w:lvlJc w:val="left"/>
      <w:lvlText w:val="(%1)"/>
      <w:numFmt w:val="upperLetter"/>
      <w:start w:val="1"/>
    </w:lvl>
  </w:abstractNum>
  <w:abstractNum w:abstractNumId="4">
    <w:nsid w:val="1BEFD79F"/>
    <w:multiLevelType w:val="hybridMultilevel"/>
    <w:lvl w:ilvl="0">
      <w:lvlJc w:val="left"/>
      <w:lvlText w:val="(%1)"/>
      <w:numFmt w:val="upperLetter"/>
      <w:start w:val="1"/>
    </w:lvl>
  </w:abstractNum>
  <w:abstractNum w:abstractNumId="5">
    <w:nsid w:val="41A7C4C9"/>
    <w:multiLevelType w:val="hybridMultilevel"/>
    <w:lvl w:ilvl="0">
      <w:lvlJc w:val="left"/>
      <w:lvlText w:val="(%1)"/>
      <w:numFmt w:val="upperLetter"/>
      <w:start w:val="2"/>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3"/>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Roman"/>
      <w:start w:val="1"/>
    </w:lvl>
  </w:abstractNum>
  <w:abstractNum w:abstractNumId="11">
    <w:nsid w:val="3F2DBA31"/>
    <w:multiLevelType w:val="hybridMultilevel"/>
    <w:lvl w:ilvl="0">
      <w:lvlJc w:val="left"/>
      <w:lvlText w:val="(%1)"/>
      <w:numFmt w:val="lowerLetter"/>
      <w:start w:val="2"/>
    </w:lvl>
  </w:abstractNum>
  <w:abstractNum w:abstractNumId="12">
    <w:nsid w:val="7C83E458"/>
    <w:multiLevelType w:val="hybridMultilevel"/>
    <w:lvl w:ilvl="0">
      <w:lvlJc w:val="left"/>
      <w:lvlText w:val="(%1)"/>
      <w:numFmt w:val="decimal"/>
      <w:start w:val="6"/>
    </w:lvl>
  </w:abstractNum>
  <w:abstractNum w:abstractNumId="13">
    <w:nsid w:val="257130A3"/>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upperLetter"/>
      <w:start w:val="2"/>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2020-02-22T10:37:48Z</dcterms:created>
  <dcterms:modified xsi:type="dcterms:W3CDTF">2020-02-22T10:37:48Z</dcterms:modified>
</cp:coreProperties>
</file>