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27, 2026 </w:t>
      </w:r>
    </w:p>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4"/>
        <w:gridCol w:w="3234"/>
        <w:gridCol w:w="3240"/>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pPr>
      <w:r>
        <w:rPr>
          <w:rFonts w:ascii="Times New Roman;serif" w:hAnsi="Times New Roman;serif"/>
          <w:b/>
          <w:color w:val="000000"/>
          <w:sz w:val="20"/>
        </w:rPr>
        <w:t xml:space="preserve">Commission File Number: </w:t>
      </w:r>
      <w:r>
        <w:rPr>
          <w:rFonts w:ascii="Times New Roman;serif" w:hAnsi="Times New Roman;serif"/>
          <w:b w:val="false"/>
          <w:color w:val="000000"/>
          <w:sz w:val="20"/>
        </w:rPr>
        <w:t>001-11593</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100" w:after="283"/>
        <w:jc w:val="center"/>
        <w:rPr>
          <w:rFonts w:ascii="Times New Roman;serif" w:hAnsi="Times New Roman;serif"/>
          <w:b/>
          <w:color w:val="000000"/>
          <w:sz w:val="44"/>
        </w:rPr>
      </w:pPr>
      <w:r>
        <w:rPr>
          <w:rFonts w:ascii="Times New Roman;serif" w:hAnsi="Times New Roman;serif"/>
          <w:b/>
          <w:color w:val="000000"/>
          <w:sz w:val="44"/>
        </w:rPr>
        <w:t>The Scotts Miracle-Gro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w:t>
      </w:r>
    </w:p>
    <w:tbl>
      <w:tblPr>
        <w:tblW w:w="4179" w:type="dxa"/>
        <w:jc w:val="center"/>
        <w:tblInd w:w="0" w:type="dxa"/>
        <w:tblLayout w:type="fixed"/>
        <w:tblCellMar>
          <w:top w:w="28" w:type="dxa"/>
          <w:left w:w="28" w:type="dxa"/>
          <w:bottom w:w="28" w:type="dxa"/>
          <w:right w:w="28" w:type="dxa"/>
        </w:tblCellMar>
      </w:tblPr>
      <w:tblGrid>
        <w:gridCol w:w="437"/>
        <w:gridCol w:w="385"/>
        <w:gridCol w:w="385"/>
        <w:gridCol w:w="385"/>
        <w:gridCol w:w="385"/>
        <w:gridCol w:w="391"/>
        <w:gridCol w:w="109"/>
        <w:gridCol w:w="109"/>
        <w:gridCol w:w="109"/>
        <w:gridCol w:w="433"/>
        <w:gridCol w:w="433"/>
        <w:gridCol w:w="618"/>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31-1414921</w:t>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14111 Scottslawn Road, Marysville, Ohio 43041 </w:t>
      </w:r>
    </w:p>
    <w:p>
      <w:pPr>
        <w:pStyle w:val="TextBody"/>
        <w:bidi w:val="0"/>
        <w:spacing w:lineRule="auto" w:line="288" w:before="0" w:after="0"/>
        <w:jc w:val="center"/>
        <w:rPr/>
      </w:pPr>
      <w:r>
        <w:rPr>
          <w:rFonts w:ascii="Times New Roman;serif" w:hAnsi="Times New Roman;serif"/>
          <w:b/>
          <w:color w:val="000000"/>
          <w:sz w:val="16"/>
        </w:rPr>
        <w:t>(Address of principal executive offices)</w:t>
      </w:r>
      <w:r>
        <w:rPr>
          <w:color w:val="000000"/>
        </w:rPr>
        <w:t xml:space="preserve"> </w:t>
      </w:r>
      <w:r>
        <w:rPr>
          <w:rFonts w:ascii="Times New Roman;serif" w:hAnsi="Times New Roman;serif"/>
          <w:b/>
          <w:color w:val="000000"/>
          <w:sz w:val="16"/>
        </w:rPr>
        <w:t>(Zip Code)</w:t>
      </w:r>
    </w:p>
    <w:p>
      <w:pPr>
        <w:pStyle w:val="TextBody"/>
        <w:bidi w:val="0"/>
        <w:spacing w:lineRule="auto" w:line="288" w:before="120" w:after="283"/>
        <w:jc w:val="center"/>
        <w:rPr/>
      </w:pPr>
      <w:r>
        <w:rPr>
          <w:rFonts w:ascii="Times New Roman;serif" w:hAnsi="Times New Roman;serif"/>
          <w:b w:val="false"/>
          <w:color w:val="000000"/>
          <w:sz w:val="20"/>
        </w:rPr>
        <w:t>(937</w:t>
      </w:r>
      <w:r>
        <w:rPr>
          <w:rFonts w:ascii="Times New Roman;serif" w:hAnsi="Times New Roman;serif"/>
          <w:b/>
          <w:color w:val="000000"/>
          <w:sz w:val="19"/>
        </w:rPr>
        <w:t xml:space="preserve">) </w:t>
      </w:r>
      <w:r>
        <w:rPr>
          <w:rFonts w:ascii="Times New Roman;serif" w:hAnsi="Times New Roman;serif"/>
          <w:b w:val="false"/>
          <w:color w:val="000000"/>
          <w:sz w:val="20"/>
        </w:rPr>
        <w:t>644-0011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Securities registered pursuant to Section 12(b) of the Act:</w:t>
      </w:r>
    </w:p>
    <w:tbl>
      <w:tblPr>
        <w:tblW w:w="8391" w:type="dxa"/>
        <w:jc w:val="center"/>
        <w:tblInd w:w="0" w:type="dxa"/>
        <w:tblLayout w:type="fixed"/>
        <w:tblCellMar>
          <w:top w:w="28" w:type="dxa"/>
          <w:left w:w="28" w:type="dxa"/>
          <w:bottom w:w="28" w:type="dxa"/>
          <w:right w:w="28" w:type="dxa"/>
        </w:tblCellMar>
      </w:tblPr>
      <w:tblGrid>
        <w:gridCol w:w="1086"/>
        <w:gridCol w:w="957"/>
        <w:gridCol w:w="971"/>
        <w:gridCol w:w="109"/>
        <w:gridCol w:w="109"/>
        <w:gridCol w:w="109"/>
        <w:gridCol w:w="484"/>
        <w:gridCol w:w="484"/>
        <w:gridCol w:w="486"/>
        <w:gridCol w:w="109"/>
        <w:gridCol w:w="109"/>
        <w:gridCol w:w="109"/>
        <w:gridCol w:w="956"/>
        <w:gridCol w:w="956"/>
        <w:gridCol w:w="1357"/>
      </w:tblGrid>
      <w:tr>
        <w:trPr/>
        <w:tc>
          <w:tcPr>
            <w:tcW w:w="108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Shares, $0.01 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19"/>
        </w:rPr>
        <w:t>No  </w:t>
      </w:r>
      <w:r>
        <w:rPr>
          <w:color w:val="000000"/>
        </w:rPr>
        <w:t>☐ </w:t>
      </w:r>
    </w:p>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19"/>
        </w:rPr>
        <w:t>No  </w:t>
      </w:r>
      <w:r>
        <w:rPr>
          <w:color w:val="000000"/>
        </w:rPr>
        <w:t>☐ </w:t>
      </w:r>
    </w:p>
    <w:p>
      <w:pPr>
        <w:pStyle w:val="TextBody"/>
        <w:bidi w:val="0"/>
        <w:spacing w:lineRule="auto" w:line="288" w:before="10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16"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shell company (as defined in Rule 12b-2 of the Exchange Act).  </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both"/>
        <w:rPr>
          <w:rFonts w:ascii="Times New Roman;serif" w:hAnsi="Times New Roman;serif"/>
          <w:b w:val="false"/>
          <w:color w:val="000000"/>
          <w:sz w:val="19"/>
        </w:rPr>
      </w:pPr>
      <w:r>
        <w:rPr>
          <w:rFonts w:ascii="Times New Roman;serif" w:hAnsi="Times New Roman;serif"/>
          <w:b w:val="false"/>
          <w:color w:val="000000"/>
          <w:sz w:val="19"/>
        </w:rPr>
        <w:t>As of July 31, 2026, there were 58,220,274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4b4f054ea354acaac48a9993d8127c0_7">
        <w:r>
          <w:rPr>
            <w:rStyle w:val="InternetLink"/>
            <w:rFonts w:ascii="Times New Roman;serif" w:hAnsi="Times New Roman;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45"/>
        <w:gridCol w:w="477"/>
        <w:gridCol w:w="393"/>
        <w:gridCol w:w="2684"/>
        <w:gridCol w:w="2477"/>
        <w:gridCol w:w="2413"/>
        <w:gridCol w:w="386"/>
        <w:gridCol w:w="386"/>
        <w:gridCol w:w="444"/>
      </w:tblGrid>
      <w:tr>
        <w:trPr/>
        <w:tc>
          <w:tcPr>
            <w:tcW w:w="54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br/>
              <w:t>INDEX</w:t>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NO.</w:t>
            </w:r>
          </w:p>
        </w:tc>
      </w:tr>
      <w:tr>
        <w:trPr/>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0">
              <w:r>
                <w:rPr>
                  <w:rStyle w:val="InternetLink"/>
                  <w:rFonts w:ascii="Times New Roman;serif" w:hAnsi="Times New Roman;serif"/>
                  <w:b w:val="false"/>
                  <w:strike w:val="false"/>
                  <w:dstrike w:val="false"/>
                  <w:color w:val="0000FF"/>
                  <w:sz w:val="20"/>
                  <w:u w:val="none"/>
                  <w:effect w:val="none"/>
                </w:rPr>
                <w:t>PART I. FINANCIAL INFORMATION:</w:t>
              </w:r>
            </w:hyperlink>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3">
              <w:r>
                <w:rPr>
                  <w:rStyle w:val="InternetLink"/>
                  <w:rFonts w:ascii="Times New Roman;serif" w:hAnsi="Times New Roman;serif"/>
                  <w:b w:val="false"/>
                  <w:strike w:val="false"/>
                  <w:dstrike w:val="false"/>
                  <w:color w:val="0000FF"/>
                  <w:sz w:val="20"/>
                  <w:u w:val="none"/>
                  <w:effect w:val="none"/>
                </w:rPr>
                <w:t>Item 1.</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3">
              <w:r>
                <w:rPr>
                  <w:rStyle w:val="InternetLink"/>
                  <w:rFonts w:ascii="Times New Roman;serif" w:hAnsi="Times New Roman;serif"/>
                  <w:b w:val="false"/>
                  <w:color w:val="0000FF"/>
                  <w:sz w:val="20"/>
                  <w:u w:val="single"/>
                </w:rPr>
                <w:t>Financial Statements (Unaudited)</w:t>
              </w:r>
            </w:hyperlink>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6">
              <w:r>
                <w:rPr>
                  <w:rStyle w:val="InternetLink"/>
                  <w:rFonts w:ascii="Times New Roman;serif" w:hAnsi="Times New Roman;serif"/>
                  <w:b w:val="false"/>
                  <w:color w:val="0000FF"/>
                  <w:sz w:val="20"/>
                  <w:u w:val="single"/>
                </w:rPr>
                <w:t>Condensed Consolidated Statements of Operations — Three and nine months ended June 27, 2026 and June 28, 2025</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6">
              <w:r>
                <w:rPr>
                  <w:rStyle w:val="InternetLink"/>
                  <w:rFonts w:ascii="Times New Roman;serif" w:hAnsi="Times New Roman;serif"/>
                  <w:b w:val="false"/>
                  <w:color w:val="0000FF"/>
                  <w:sz w:val="20"/>
                  <w:u w:val="single"/>
                </w:rPr>
                <w:t>3</w:t>
              </w:r>
            </w:hyperlink>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9">
              <w:r>
                <w:rPr>
                  <w:rStyle w:val="InternetLink"/>
                  <w:rFonts w:ascii="Times New Roman;serif" w:hAnsi="Times New Roman;serif"/>
                  <w:b w:val="false"/>
                  <w:color w:val="0000FF"/>
                  <w:sz w:val="20"/>
                  <w:u w:val="single"/>
                </w:rPr>
                <w:t>Condensed Consolidated Statements of Comprehensive Income (Loss) — Three and nine months ended June 27, 2026 and June 28, 2025</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9">
              <w:r>
                <w:rPr>
                  <w:rStyle w:val="InternetLink"/>
                  <w:rFonts w:ascii="Times New Roman;serif" w:hAnsi="Times New Roman;serif"/>
                  <w:b w:val="false"/>
                  <w:color w:val="0000FF"/>
                  <w:sz w:val="20"/>
                  <w:u w:val="single"/>
                </w:rPr>
                <w:t>4</w:t>
              </w:r>
            </w:hyperlink>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25">
              <w:r>
                <w:rPr>
                  <w:rStyle w:val="InternetLink"/>
                  <w:rFonts w:ascii="Times New Roman;serif" w:hAnsi="Times New Roman;serif"/>
                  <w:b w:val="false"/>
                  <w:color w:val="0000FF"/>
                  <w:sz w:val="20"/>
                  <w:u w:val="single"/>
                </w:rPr>
                <w:t>Condensed Consolidated Statements of Cash Flows — Nine months ended June 27, 2026 and June 28, 2025</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25">
              <w:r>
                <w:rPr>
                  <w:rStyle w:val="InternetLink"/>
                  <w:rFonts w:ascii="Times New Roman;serif" w:hAnsi="Times New Roman;serif"/>
                  <w:b w:val="false"/>
                  <w:color w:val="0000FF"/>
                  <w:sz w:val="20"/>
                  <w:u w:val="single"/>
                </w:rPr>
                <w:t>5</w:t>
              </w:r>
            </w:hyperlink>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28">
              <w:r>
                <w:rPr>
                  <w:rStyle w:val="InternetLink"/>
                  <w:rFonts w:ascii="Times New Roman;serif" w:hAnsi="Times New Roman;serif"/>
                  <w:b w:val="false"/>
                  <w:color w:val="000080"/>
                  <w:sz w:val="20"/>
                  <w:u w:val="single"/>
                </w:rPr>
                <w:t>Condensed Consolidated Balance Sheets —</w:t>
              </w:r>
            </w:hyperlink>
            <w:hyperlink w:anchor="i24b4f054ea354acaac48a9993d8127c0_19">
              <w:r>
                <w:rPr>
                  <w:rStyle w:val="InternetLink"/>
                  <w:rFonts w:ascii="Times New Roman;serif" w:hAnsi="Times New Roman;serif"/>
                  <w:b w:val="false"/>
                  <w:color w:val="000080"/>
                  <w:sz w:val="20"/>
                  <w:u w:val="single"/>
                </w:rPr>
                <w:t xml:space="preserve"> June 27, 2026, June 28, 2025 </w:t>
              </w:r>
            </w:hyperlink>
            <w:hyperlink w:anchor="i24b4f054ea354acaac48a9993d8127c0_28">
              <w:r>
                <w:rPr>
                  <w:rStyle w:val="InternetLink"/>
                  <w:rFonts w:ascii="Times New Roman;serif" w:hAnsi="Times New Roman;serif"/>
                  <w:b w:val="false"/>
                  <w:color w:val="000080"/>
                  <w:sz w:val="20"/>
                  <w:u w:val="single"/>
                </w:rPr>
                <w:t>and September 30, 2025</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28">
              <w:r>
                <w:rPr>
                  <w:rStyle w:val="InternetLink"/>
                  <w:rFonts w:ascii="Times New Roman;serif" w:hAnsi="Times New Roman;serif"/>
                  <w:b w:val="false"/>
                  <w:color w:val="0000FF"/>
                  <w:sz w:val="20"/>
                  <w:u w:val="single"/>
                </w:rPr>
                <w:t>6</w:t>
              </w:r>
            </w:hyperlink>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34">
              <w:r>
                <w:rPr>
                  <w:rStyle w:val="InternetLink"/>
                  <w:rFonts w:ascii="Times New Roman;serif" w:hAnsi="Times New Roman;serif"/>
                  <w:b w:val="false"/>
                  <w:color w:val="0000FF"/>
                  <w:sz w:val="20"/>
                  <w:u w:val="single"/>
                </w:rPr>
                <w:t>Notes to Condensed Consolidated Financial Statements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34">
              <w:r>
                <w:rPr>
                  <w:rStyle w:val="InternetLink"/>
                  <w:rFonts w:ascii="Times New Roman;serif" w:hAnsi="Times New Roman;serif"/>
                  <w:b w:val="false"/>
                  <w:color w:val="0000FF"/>
                  <w:sz w:val="20"/>
                  <w:u w:val="single"/>
                </w:rPr>
                <w:t>7</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15">
              <w:r>
                <w:rPr>
                  <w:rStyle w:val="InternetLink"/>
                  <w:rFonts w:ascii="Times New Roman;serif" w:hAnsi="Times New Roman;serif"/>
                  <w:b w:val="false"/>
                  <w:strike w:val="false"/>
                  <w:dstrike w:val="false"/>
                  <w:color w:val="0000FF"/>
                  <w:sz w:val="20"/>
                  <w:u w:val="none"/>
                  <w:effect w:val="none"/>
                </w:rPr>
                <w:t>Item 2.</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1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15">
              <w:r>
                <w:rPr>
                  <w:rStyle w:val="InternetLink"/>
                  <w:rFonts w:ascii="Times New Roman;serif" w:hAnsi="Times New Roman;serif"/>
                  <w:b w:val="false"/>
                  <w:color w:val="0000FF"/>
                  <w:sz w:val="20"/>
                  <w:u w:val="single"/>
                </w:rPr>
                <w:t>30</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36">
              <w:r>
                <w:rPr>
                  <w:rStyle w:val="InternetLink"/>
                  <w:rFonts w:ascii="Times New Roman;serif" w:hAnsi="Times New Roman;serif"/>
                  <w:b w:val="false"/>
                  <w:strike w:val="false"/>
                  <w:dstrike w:val="false"/>
                  <w:color w:val="0000FF"/>
                  <w:sz w:val="20"/>
                  <w:u w:val="none"/>
                  <w:effect w:val="none"/>
                </w:rPr>
                <w:t>Item 3.</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36">
              <w:r>
                <w:rPr>
                  <w:rStyle w:val="InternetLink"/>
                  <w:rFonts w:ascii="Times New Roman;serif" w:hAnsi="Times New Roman;serif"/>
                  <w:b w:val="false"/>
                  <w:color w:val="0000FF"/>
                  <w:sz w:val="20"/>
                  <w:u w:val="single"/>
                </w:rPr>
                <w:t>Quantitative and Qualitative Disclosures About Market Risk</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36">
              <w:r>
                <w:rPr>
                  <w:rStyle w:val="InternetLink"/>
                  <w:rFonts w:ascii="Times New Roman;serif" w:hAnsi="Times New Roman;serif"/>
                  <w:b w:val="false"/>
                  <w:color w:val="0000FF"/>
                  <w:sz w:val="20"/>
                  <w:u w:val="single"/>
                </w:rPr>
                <w:t>44</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39">
              <w:r>
                <w:rPr>
                  <w:rStyle w:val="InternetLink"/>
                  <w:rFonts w:ascii="Times New Roman;serif" w:hAnsi="Times New Roman;serif"/>
                  <w:b w:val="false"/>
                  <w:strike w:val="false"/>
                  <w:dstrike w:val="false"/>
                  <w:color w:val="0000FF"/>
                  <w:sz w:val="20"/>
                  <w:u w:val="none"/>
                  <w:effect w:val="none"/>
                </w:rPr>
                <w:t>Item 4.</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39">
              <w:r>
                <w:rPr>
                  <w:rStyle w:val="InternetLink"/>
                  <w:rFonts w:ascii="Times New Roman;serif" w:hAnsi="Times New Roman;serif"/>
                  <w:b w:val="false"/>
                  <w:color w:val="0000FF"/>
                  <w:sz w:val="20"/>
                  <w:u w:val="single"/>
                </w:rPr>
                <w:t>Controls and Procedures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39">
              <w:r>
                <w:rPr>
                  <w:rStyle w:val="InternetLink"/>
                  <w:rFonts w:ascii="Times New Roman;serif" w:hAnsi="Times New Roman;serif"/>
                  <w:b w:val="false"/>
                  <w:color w:val="0000FF"/>
                  <w:sz w:val="20"/>
                  <w:u w:val="single"/>
                </w:rPr>
                <w:t>44</w:t>
              </w:r>
            </w:hyperlink>
          </w:p>
        </w:tc>
      </w:tr>
      <w:tr>
        <w:trPr/>
        <w:tc>
          <w:tcPr>
            <w:tcW w:w="89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42">
              <w:r>
                <w:rPr>
                  <w:rStyle w:val="InternetLink"/>
                  <w:rFonts w:ascii="Times New Roman;serif" w:hAnsi="Times New Roman;serif"/>
                  <w:b w:val="false"/>
                  <w:strike w:val="false"/>
                  <w:dstrike w:val="false"/>
                  <w:color w:val="0000FF"/>
                  <w:sz w:val="20"/>
                  <w:u w:val="none"/>
                  <w:effect w:val="none"/>
                </w:rPr>
                <w:t>PART II. OTHER INFORMATION:</w:t>
              </w:r>
            </w:hyperlink>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45">
              <w:r>
                <w:rPr>
                  <w:rStyle w:val="InternetLink"/>
                  <w:rFonts w:ascii="Times New Roman;serif" w:hAnsi="Times New Roman;serif"/>
                  <w:b w:val="false"/>
                  <w:strike w:val="false"/>
                  <w:dstrike w:val="false"/>
                  <w:color w:val="0000FF"/>
                  <w:sz w:val="20"/>
                  <w:u w:val="none"/>
                  <w:effect w:val="none"/>
                </w:rPr>
                <w:t>Item 1.</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45">
              <w:r>
                <w:rPr>
                  <w:rStyle w:val="InternetLink"/>
                  <w:rFonts w:ascii="Times New Roman;serif" w:hAnsi="Times New Roman;serif"/>
                  <w:b w:val="false"/>
                  <w:color w:val="0000FF"/>
                  <w:sz w:val="20"/>
                  <w:u w:val="single"/>
                </w:rPr>
                <w:t>Legal Proceedings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45">
              <w:r>
                <w:rPr>
                  <w:rStyle w:val="InternetLink"/>
                  <w:rFonts w:ascii="Times New Roman;serif" w:hAnsi="Times New Roman;serif"/>
                  <w:b w:val="false"/>
                  <w:color w:val="0000FF"/>
                  <w:sz w:val="20"/>
                  <w:u w:val="single"/>
                </w:rPr>
                <w:t>45</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48">
              <w:r>
                <w:rPr>
                  <w:rStyle w:val="InternetLink"/>
                  <w:rFonts w:ascii="Times New Roman;serif" w:hAnsi="Times New Roman;serif"/>
                  <w:b w:val="false"/>
                  <w:strike w:val="false"/>
                  <w:dstrike w:val="false"/>
                  <w:color w:val="0000FF"/>
                  <w:sz w:val="20"/>
                  <w:u w:val="none"/>
                  <w:effect w:val="none"/>
                </w:rPr>
                <w:t>Item 1A.</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48">
              <w:r>
                <w:rPr>
                  <w:rStyle w:val="InternetLink"/>
                  <w:rFonts w:ascii="Times New Roman;serif" w:hAnsi="Times New Roman;serif"/>
                  <w:b w:val="false"/>
                  <w:color w:val="0000FF"/>
                  <w:sz w:val="20"/>
                  <w:u w:val="single"/>
                </w:rPr>
                <w:t>Risk Factors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48">
              <w:r>
                <w:rPr>
                  <w:rStyle w:val="InternetLink"/>
                  <w:rFonts w:ascii="Times New Roman;serif" w:hAnsi="Times New Roman;serif"/>
                  <w:b w:val="false"/>
                  <w:color w:val="0000FF"/>
                  <w:sz w:val="20"/>
                  <w:u w:val="single"/>
                </w:rPr>
                <w:t>45</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51">
              <w:r>
                <w:rPr>
                  <w:rStyle w:val="InternetLink"/>
                  <w:rFonts w:ascii="Times New Roman;serif" w:hAnsi="Times New Roman;serif"/>
                  <w:b w:val="false"/>
                  <w:strike w:val="false"/>
                  <w:dstrike w:val="false"/>
                  <w:color w:val="0000FF"/>
                  <w:sz w:val="20"/>
                  <w:u w:val="none"/>
                  <w:effect w:val="none"/>
                </w:rPr>
                <w:t>Item 2.</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51">
              <w:r>
                <w:rPr>
                  <w:rStyle w:val="InternetLink"/>
                  <w:rFonts w:ascii="Times New Roman;serif" w:hAnsi="Times New Roman;serif"/>
                  <w:b w:val="false"/>
                  <w:color w:val="0000FF"/>
                  <w:sz w:val="20"/>
                  <w:u w:val="single"/>
                </w:rPr>
                <w:t>Unregistered Sales of Equity Securities and Use of Proceeds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54">
              <w:r>
                <w:rPr>
                  <w:rStyle w:val="InternetLink"/>
                  <w:rFonts w:ascii="Times New Roman;serif" w:hAnsi="Times New Roman;serif"/>
                  <w:b w:val="false"/>
                  <w:color w:val="0000FF"/>
                  <w:sz w:val="20"/>
                  <w:u w:val="single"/>
                </w:rPr>
                <w:t>46</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54">
              <w:r>
                <w:rPr>
                  <w:rStyle w:val="InternetLink"/>
                  <w:rFonts w:ascii="Times New Roman;serif" w:hAnsi="Times New Roman;serif"/>
                  <w:b w:val="false"/>
                  <w:strike w:val="false"/>
                  <w:dstrike w:val="false"/>
                  <w:color w:val="0000FF"/>
                  <w:sz w:val="20"/>
                  <w:u w:val="none"/>
                  <w:effect w:val="none"/>
                </w:rPr>
                <w:t>Item 3.</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54">
              <w:r>
                <w:rPr>
                  <w:rStyle w:val="InternetLink"/>
                  <w:rFonts w:ascii="Times New Roman;serif" w:hAnsi="Times New Roman;serif"/>
                  <w:b w:val="false"/>
                  <w:color w:val="0000FF"/>
                  <w:sz w:val="20"/>
                  <w:u w:val="single"/>
                </w:rPr>
                <w:t>Defaults Upon Senior Securities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54">
              <w:r>
                <w:rPr>
                  <w:rStyle w:val="InternetLink"/>
                  <w:rFonts w:ascii="Times New Roman;serif" w:hAnsi="Times New Roman;serif"/>
                  <w:b w:val="false"/>
                  <w:color w:val="0000FF"/>
                  <w:sz w:val="20"/>
                  <w:u w:val="single"/>
                </w:rPr>
                <w:t>46</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57">
              <w:r>
                <w:rPr>
                  <w:rStyle w:val="InternetLink"/>
                  <w:rFonts w:ascii="Times New Roman;serif" w:hAnsi="Times New Roman;serif"/>
                  <w:b w:val="false"/>
                  <w:strike w:val="false"/>
                  <w:dstrike w:val="false"/>
                  <w:color w:val="0000FF"/>
                  <w:sz w:val="20"/>
                  <w:u w:val="none"/>
                  <w:effect w:val="none"/>
                </w:rPr>
                <w:t>Item 4.</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57">
              <w:r>
                <w:rPr>
                  <w:rStyle w:val="InternetLink"/>
                  <w:rFonts w:ascii="Times New Roman;serif" w:hAnsi="Times New Roman;serif"/>
                  <w:b w:val="false"/>
                  <w:color w:val="0000FF"/>
                  <w:sz w:val="20"/>
                  <w:u w:val="single"/>
                </w:rPr>
                <w:t>Mine Safety Disclosures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57">
              <w:r>
                <w:rPr>
                  <w:rStyle w:val="InternetLink"/>
                  <w:rFonts w:ascii="Times New Roman;serif" w:hAnsi="Times New Roman;serif"/>
                  <w:b w:val="false"/>
                  <w:color w:val="0000FF"/>
                  <w:sz w:val="20"/>
                  <w:u w:val="single"/>
                </w:rPr>
                <w:t>46</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60">
              <w:r>
                <w:rPr>
                  <w:rStyle w:val="InternetLink"/>
                  <w:rFonts w:ascii="Times New Roman;serif" w:hAnsi="Times New Roman;serif"/>
                  <w:b w:val="false"/>
                  <w:strike w:val="false"/>
                  <w:dstrike w:val="false"/>
                  <w:color w:val="0000FF"/>
                  <w:sz w:val="20"/>
                  <w:u w:val="none"/>
                  <w:effect w:val="none"/>
                </w:rPr>
                <w:t>Item 5.</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60">
              <w:r>
                <w:rPr>
                  <w:rStyle w:val="InternetLink"/>
                  <w:rFonts w:ascii="Times New Roman;serif" w:hAnsi="Times New Roman;serif"/>
                  <w:b w:val="false"/>
                  <w:color w:val="0000FF"/>
                  <w:sz w:val="20"/>
                  <w:u w:val="single"/>
                </w:rPr>
                <w:t>Other Information</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60">
              <w:r>
                <w:rPr>
                  <w:rStyle w:val="InternetLink"/>
                  <w:rFonts w:ascii="Times New Roman;serif" w:hAnsi="Times New Roman;serif"/>
                  <w:b w:val="false"/>
                  <w:color w:val="0000FF"/>
                  <w:sz w:val="20"/>
                  <w:u w:val="single"/>
                </w:rPr>
                <w:t>46</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66">
              <w:r>
                <w:rPr>
                  <w:rStyle w:val="InternetLink"/>
                  <w:rFonts w:ascii="Times New Roman;serif" w:hAnsi="Times New Roman;serif"/>
                  <w:b w:val="false"/>
                  <w:strike w:val="false"/>
                  <w:dstrike w:val="false"/>
                  <w:color w:val="0000FF"/>
                  <w:sz w:val="20"/>
                  <w:u w:val="none"/>
                  <w:effect w:val="none"/>
                </w:rPr>
                <w:t>Item 6.</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66">
              <w:r>
                <w:rPr>
                  <w:rStyle w:val="InternetLink"/>
                  <w:rFonts w:ascii="Times New Roman;serif" w:hAnsi="Times New Roman;serif"/>
                  <w:b w:val="false"/>
                  <w:color w:val="0000FF"/>
                  <w:sz w:val="20"/>
                  <w:u w:val="single"/>
                </w:rPr>
                <w:t>Exhibits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66">
              <w:r>
                <w:rPr>
                  <w:rStyle w:val="InternetLink"/>
                  <w:rFonts w:ascii="Times New Roman;serif" w:hAnsi="Times New Roman;serif"/>
                  <w:b w:val="false"/>
                  <w:color w:val="0000FF"/>
                  <w:sz w:val="20"/>
                  <w:u w:val="single"/>
                </w:rPr>
                <w:t>46</w:t>
              </w:r>
            </w:hyperlink>
          </w:p>
        </w:tc>
      </w:tr>
      <w:tr>
        <w:trPr/>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69">
              <w:r>
                <w:rPr>
                  <w:rStyle w:val="InternetLink"/>
                  <w:rFonts w:ascii="Times New Roman;serif" w:hAnsi="Times New Roman;serif"/>
                  <w:b w:val="false"/>
                  <w:color w:val="0000FF"/>
                  <w:sz w:val="20"/>
                  <w:u w:val="single"/>
                </w:rPr>
                <w:t>Index to Exhibits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69">
              <w:r>
                <w:rPr>
                  <w:rStyle w:val="InternetLink"/>
                  <w:rFonts w:ascii="Times New Roman;serif" w:hAnsi="Times New Roman;serif"/>
                  <w:b w:val="false"/>
                  <w:color w:val="0000FF"/>
                  <w:sz w:val="20"/>
                  <w:u w:val="single"/>
                </w:rPr>
                <w:t>47</w:t>
              </w:r>
            </w:hyperlink>
          </w:p>
        </w:tc>
      </w:tr>
      <w:tr>
        <w:trPr/>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172">
              <w:r>
                <w:rPr>
                  <w:rStyle w:val="InternetLink"/>
                  <w:rFonts w:ascii="Times New Roman;serif" w:hAnsi="Times New Roman;serif"/>
                  <w:b w:val="false"/>
                  <w:color w:val="0000FF"/>
                  <w:sz w:val="20"/>
                  <w:u w:val="single"/>
                </w:rPr>
                <w:t>Signatures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4f054ea354acaac48a9993d8127c0_172">
              <w:r>
                <w:rPr>
                  <w:rStyle w:val="InternetLink"/>
                  <w:rFonts w:ascii="Times New Roman;serif" w:hAnsi="Times New Roman;serif"/>
                  <w:b w:val="false"/>
                  <w:color w:val="0000FF"/>
                  <w:sz w:val="20"/>
                  <w:u w:val="singl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4b4f054ea354acaac48a9993d8127c0_7">
        <w:r>
          <w:rPr>
            <w:rStyle w:val="InternetLink"/>
            <w:rFonts w:ascii="Times New Roman;serif" w:hAnsi="Times New Roman;serif"/>
            <w:b w:val="false"/>
            <w:color w:val="FFFF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35"/>
        <w:gridCol w:w="1452"/>
        <w:gridCol w:w="1447"/>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193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common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 plus dilutive potential common shares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29"/>
        <w:gridCol w:w="1577"/>
        <w:gridCol w:w="159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6"/>
      </w:tblGrid>
      <w:tr>
        <w:trPr/>
        <w:tc>
          <w:tcPr>
            <w:tcW w:w="182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derivative instruments, net of tax</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unrealized gain on derivative instruments to net income,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securities,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unrealized loss on securities to net income,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95"/>
        <w:gridCol w:w="2524"/>
        <w:gridCol w:w="2531"/>
        <w:gridCol w:w="213"/>
        <w:gridCol w:w="623"/>
        <w:gridCol w:w="109"/>
        <w:gridCol w:w="109"/>
        <w:gridCol w:w="109"/>
        <w:gridCol w:w="109"/>
        <w:gridCol w:w="211"/>
        <w:gridCol w:w="616"/>
        <w:gridCol w:w="156"/>
      </w:tblGrid>
      <w:tr>
        <w:trPr/>
        <w:tc>
          <w:tcPr>
            <w:tcW w:w="2895"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 and dispositions: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items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property, plant and equipment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disposed of on sale of business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net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and bank lines of credit and term loans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and bank lines of credit and term loans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and issuance fees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Shares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exercise of stock options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net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8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 including cash and cash equivalents classified within current assets held for sale</w:t>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increase (decrease) in cash and cash equivalents classified within current assets held for sale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8"/>
        <w:gridCol w:w="1941"/>
        <w:gridCol w:w="1898"/>
        <w:gridCol w:w="211"/>
        <w:gridCol w:w="766"/>
        <w:gridCol w:w="109"/>
        <w:gridCol w:w="109"/>
        <w:gridCol w:w="109"/>
        <w:gridCol w:w="109"/>
        <w:gridCol w:w="211"/>
        <w:gridCol w:w="766"/>
        <w:gridCol w:w="109"/>
        <w:gridCol w:w="109"/>
        <w:gridCol w:w="109"/>
        <w:gridCol w:w="109"/>
        <w:gridCol w:w="216"/>
        <w:gridCol w:w="786"/>
        <w:gridCol w:w="160"/>
      </w:tblGrid>
      <w:tr>
        <w:trPr/>
        <w:tc>
          <w:tcPr>
            <w:tcW w:w="237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$15.6, $13.3 and $10.5,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$864.9, $817.3 and $819.7,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 (DEFICIT)</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(deficit):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and capital in excess of $0.01 stated value per share; shares outstanding of 58.2, 57.7 and 57.8,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10.0, 10.4 and 10.4 shares,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(deficit)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 (deficit)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8698" w:type="dxa"/>
        <w:jc w:val="left"/>
        <w:tblInd w:w="0" w:type="dxa"/>
        <w:tblLayout w:type="fixed"/>
        <w:tblCellMar>
          <w:top w:w="28" w:type="dxa"/>
          <w:left w:w="28" w:type="dxa"/>
          <w:bottom w:w="28" w:type="dxa"/>
          <w:right w:w="28" w:type="dxa"/>
        </w:tblCellMar>
      </w:tblPr>
      <w:tblGrid>
        <w:gridCol w:w="310"/>
        <w:gridCol w:w="272"/>
        <w:gridCol w:w="274"/>
        <w:gridCol w:w="2488"/>
        <w:gridCol w:w="2488"/>
        <w:gridCol w:w="249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NOTES TO CONDENSED CONSOLIDATED FINANCIAL STATEMENTS (UNAUDITED)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Nature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Scotts Miracle-Gro Company (“Scotts Miracle-Gro”) and its subsidiaries (collectively, with Scotts Miracle-Gro, the “Company”) are engaged in the manufacturing, marketing and sale of products for lawn and garden care. The Company’s products are primarily sold in North America. The Company’s North America consumer lawn and garden business is highly seasonal, with more than 75% of its annual net sales occurring in the second and third fiscal quarters.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Prior to April 8, 2026, the Company operated the Hawthorne segment, which provided nutrients, lighting and other materials used for indoor and hydroponic gardening. The Company completed the divestitures of its Hawthorne business in North America on April 8, 2026 and its Hawthorne business based in the Netherlands on September 30, 2025. During the three months ended December 27, 2025, the Company determined that the Hawthorne business met the criteria to be classified as held for sale, and classified the related assets and liabilities as held for sale in the Condensed Consolidated Balance Sheets for all periods presented. The Company determined this represented a strategic shift, and therefore, effective in the first quarter of fiscal 2026, the Company classified its results of operations for all periods presented to reflect the Hawthorne business as a discontinued operation. See “NOTE 2. DISCONTINUED OPERATIONS” for further details.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Organization and Basis of Presentation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for the three and nine months ended June 27, 2026 and June 28, 2025 are presented in accordance with accounting principles generally accepted in the United States of America (“GAAP”). The condensed consolidated financial statements include the accounts of Scotts Miracle-Gro and its consolidated subsidiaries. All intercompany transactions and accounts have been eliminated in consolidation. The Company consolidates all majority-owned subsidiaries and variable interest entities where the Company has been determined to be the primary beneficiary.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June 27, 2026 (this “Form 10-Q”) should be read in conjunction with Scotts Miracle-Gro’s Annual Report on Form 10-K for the fiscal year ended September 30, 2025 (the “2025 Annual Report”), which includes a complete set of footnote disclosures, including the Company’s significant accounting policies.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Condensed Consolidated Balance Sheet at September 30, 2025 has been derived from the Company’s audited Consolidated Balance Sheet at that date, but does not include all of the information and footnotes required by GAAP for complete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14, 2025, the Company sold all of the issued and outstanding shares of capital stock of its formerly wholly-owned subsidiary The Hawthorne Collective, Inc. (“THC”) to Bad Dog Holdings LLC (“BDH”) in exchange for a promissory note with a principal amount of $39.0. BDH was formed to hold and manage the investments held by THC and is owned and controlled by a strategic partner of the Company. At the time of the sale, THC held non-voting exchangeable shares of FLUENT Corp. (formerly Cansortium Inc.) (“FLUENT”) (CSE: FNT.U) (OTCQB: CNTMF), a vertically-integrated, multi-state cannabis company, and other minority non-equity investments, with a total book value of $39.0. BDH granted the Company a call option that enables the Company to reacquire all of the issued and outstanding shares of capital stock of THC in exchange for canceling the principal amount of the promissory note and making an additional payment to BDH equal to 5% of any appreciation in the fair value of THC. The Company may, subject to certain restrictions, exercise the call option in its sole and absolute discretion until the earlier of (i) March 14, 2035 and (ii) the date of the consummation of a merger, change in control or consolidation of BDH or a sale, lease, transfer, exclusive license or other disposition of all or substantially all of the assets of BDH. The Company also granted BDH a put option providing BDH with the right to cause the Company to reacquire all the issued and outstanding shares of capital stock of THC in exchange for canceling the principal amount of the promissory note. The Company has determined that it has a variable interest in BDH and that BDH is a variable interest entity. Additionally, based on its assessment of the characteristics of its variable interest in BDH, including the involvement of its de facto agents, the Company has determined it is the primary beneficiary of BDH and, as a result, is required to consolidate BDH in its condensed consolidated financial statements. As of June 27, 2026, BDH had assets of $21.9 that were recorded in the “Other assets” line in the Condensed Consolidated Balance Sheets. BDH also had a $41.4 liability as of June 27, 2026 related to the promissory note due to the Company, which was eliminated in consolidation.</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Assets and Liabilities Held for Sale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related to a business classified as held for sale are segregated in the Condensed Consolidated Balance Sheets for all periods presented. Upon classification as held for sale, the Company ceases depreciation and amortization and measures the assets (or disposal group) at the lower of carrying amount or fair value less cost to sell. Any resulting loss is recognized in the period in which the held for sale criteria are met. This valuation adjustment (allowance) is adjusted based on subsequent changes in estimates of fair value less cost to sell. During the three months ended December 27, 2025, the Company determined that the Hawthorne business met the criteria to be classified as held for sale, and classified the related assets and liabilities as held for sale in the Condensed Consolidated Balance Sheets for all periods presented.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Accounts Receivable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Master Receivables Purchase Agreement, which is uncommitted and expires on September 1, 2026, under which the Company may sell up to $750.0 of available and eligible outstanding customer accounts receivable generated by sales to five specified customers. The receivable sales are non-recourse to the Company, other than with respect to (i) repurchase and indemnification obligations arising from any violations by the Company of its representations or obligations as seller or servicer and (ii) certain repurchase and payment obligations arising from any dilution of, or dispute with respect to, any purchased receivables. Such dilution or dispute obligations apply only to matters that arise after the sale of the applicable receivables to the purchaser that were not contemplated in the applicable purchase price of the applicable purchased receivable. The recourse obligations of the Company that may arise from time to time are supported by standby letters of credit of $75.0.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The Company records the discount on sales in the “Other expense, net” line in the Condensed Consolidated Statements of Operations. At June 27, 2026, June 28, 2025 and September 30, 2025, net receivables derecognized were $312.1, $418.8 and $163.3, respectively. During the three months ended June 27, 2026 and June 28, 2025, proceeds from the sale of receivables under the Master Receivables Purchase Agreement totaled $592.9 and $686.7, respectively, and the total discount recorded on sales was $5.2 and $7.3, respectively. During the nine months ended June 27, 2026 and June 28, 2025, proceeds from the sale of receivables under the Master Receivables Purchase Agreement totaled $1,661.4 and $1,708.9, respectively, and the total discount recorded on sales was $16.5 and $18.5,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Supplier Finance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maintains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the Company deems to be commercially reasonable. The Company’s outstanding payment obligations under its supplier finance program were $23.7, $18.8 and $13.9 at June 27, 2026, June 28, 2025 and September 30, 2025, respectively, and are recorded within accounts payable in the Condensed Consolidated Balance Sheets. The associated payments were $239.9 and $208.9 for the nine months ended June 27, 2026 and June 28, 2025, respectively, and are classified as operating activities in the Condensed Consolidated Statements of Cash Flows.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Investment in Unconsolidated Affiliates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Equity investments in which the Company has the ability to exercise significant influence, but does not control, are accounted for using either the equity method of accounting or the fair value option. For investments accounted for using the equity method of accounting, the Company’s proportionate share of the earnings and losses of these entities is reflected in the “Equity in income of unconsolidated affiliates” line in the Condensed Consolidated Statements of Operations. The Company evaluates its equity method investments for impairment whenever events or changes in circumstances indicate that the carrying amounts of such investments may be impaired. If a decline in the value of an equity method investment is determined to be other than temporary, an impairment loss is recognized in earnings for the amount by which the carrying amount of the investment exceeds its estimated fair value. Investments accounted for using the fair value option are recorded at fair value in the Condensed Consolidated Balance Sheets, and all changes in fair value are recorded in earnings.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Long-Lived Assets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non-cash investing activities of $12.6 and $8.4 during the nine months ended June 27, 2026 and June 28, 2025, respectively, representing unpaid liabilities to acquire property, plant and equipment.</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Statements of Cash Flows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was as follows: </w:t>
      </w:r>
    </w:p>
    <w:tbl>
      <w:tblPr>
        <w:tblW w:w="4074" w:type="dxa"/>
        <w:jc w:val="left"/>
        <w:tblInd w:w="0" w:type="dxa"/>
        <w:tblLayout w:type="fixed"/>
        <w:tblCellMar>
          <w:top w:w="28" w:type="dxa"/>
          <w:left w:w="28" w:type="dxa"/>
          <w:bottom w:w="28" w:type="dxa"/>
          <w:right w:w="28" w:type="dxa"/>
        </w:tblCellMar>
      </w:tblPr>
      <w:tblGrid>
        <w:gridCol w:w="701"/>
        <w:gridCol w:w="614"/>
        <w:gridCol w:w="620"/>
        <w:gridCol w:w="211"/>
        <w:gridCol w:w="511"/>
        <w:gridCol w:w="109"/>
        <w:gridCol w:w="109"/>
        <w:gridCol w:w="109"/>
        <w:gridCol w:w="109"/>
        <w:gridCol w:w="211"/>
        <w:gridCol w:w="61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held by the Hawthorne business of $11.6 and $3.8 at June 28, 2025 and September 30, 2025, respectively, are classified as held for sale and are not included in cash and cash equivalents in the Condensed Consolidated Balance Sheets. </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RECENTLY ISSUED ACCOUNTING PRONOUNCEMENTS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The new disclosure requirements are to be applied prospectively, with the option to apply retrospectively, and will be included in the Company’s Annual Report on Form 10-K for the fiscal year ending September 30, 2026. The Company is currently evaluating the impact that the adoption of this guidance will have on the Company’s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 Reporting Comprehensive Income — Expense Disaggregation Disclosures (Subtopic 220-40): Disaggregation of Income Statement Expenses.” This ASU requires disaggregated disclosures on an annual and interim basis, in the notes to the financial statements, of certain categories of expenses that are included in expense line items on the face of the statement of operations. ASU No. 2024-03 is to be applied prospectively, with the option to apply the standard retrospectively, effective for the Company’s fiscal year ending September 30, 2028, and interim periods within the fiscal year ending September 30, 2029. The Company is currently evaluating the impact that the adoption of this guidance will have on the Company’s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No. 2025-06, “Intangibles — Goodwill and Other — Internal-Use Software: Targeted Improvements to the Accounting for Internal-Use Software.” This ASU amends the accounting for and disclosure of software costs. ASU No. 2025-06 is effective for the Company’s fiscal year ending September 30, 2029 and interim periods within that fiscal year, with early adoption permitted. The Company is currently evaluating the impact that the adoption of this guidance will have on the Company’s consolidated financial statements and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 DISCONTINUED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27, 2025, the Company determined that the Hawthorne business met the criteria to be classified as held for sale, and classified the related assets and liabilities as held for sale in the Condensed Consolidated Balance Sheets for all periods presented. The Company determined this represented a strategic shift, and therefore, effective in the first quarter of fiscal 2026, the Company classified its results of operations for all periods presented to reflect the Hawthorne business as a discontinued operation.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8, 2026, the Company completed the sale of its Hawthorne business in North America to Vireo Growth Inc. (“Vireo”) (CSE: VREO; OTCQX: VREOF) in exchange for non-cash consideration with an initial fair value of $97.0, consisting of 213.0 million common shares of Vireo, which represented approximately 14% of Vireo’s total outstanding common shares as of the closing date, and a warrant with a five-year term to acquire 80.0 million additional common shares of Vireo at a strike price of $0.85 per share (collectively, the “Vireo Equity Securities”). The sale proceeds are subject to post-closing adjustments that are expected to be finalized during fiscal 2026. On the closing date, the Hawthorne business held cash and cash equivalents of $35.0 that was transferred to Vireo as part of the sale, which was classified as an investing activity in the “Net cash disposed of on sale of business” line in the Condensed Consolidated Statements of Cash Flows. Additionally, in connection with the transaction, the Company entered into a contract manufacturing agreement and agreed to provide Vireo with up to $20.0 of manufacturing services over a two-year period for no cost. The obligations associated with this agreement have been accrued in the “Other current liabilities” and “Other liabilities” lines in the Condensed Consolidated Balance Sheets.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an agreement executed on April 8, 2026, the Company transferred the sale consideration received to Good Dog Holdings LLC (“GDH”) in exchange for a promissory note. GDH was formed to hold and manage the investments transferred to it by the Company and is owned and controlled by a strategic partner of the Company. GDH granted the Company a call option that enables the Company to reacquire all of the investments held by GDH in exchange for canceling the principal amount of the promissory note. The Company may, subject to certain restrictions, exercise the call option in its sole and absolute discretion until April 8, 2036. The Company also granted GDH a put option providing GDH with the right to cause the Company to reacquire the investments held by GDH in exchange for canceling the principal amount of the promissory note. The Company has determined that it has a variable interest in GDH and that GDH is a variable interest entity. Additionally, based on its assessment of the characteristics of its variable interest in GDH, including the involvement of its de facto agents, the Company has determined it is the primary beneficiary of GDH and, as a result, is required to consolidate GDH in its condensed consolidated financial statements. As of June 27, 2026, the only assets held by GDH were the Vireo Equity Securities, which are recorded in the “Other assets” line in the Condensed Consolidated Balance Sheets, and its only liability was the promissory note due to the Company, which was eliminated in consolidation.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GDH and Vireo are also parties to an investor rights agreement executed on April 8, 2026 which allows GDH to nominate one member to the Vireo board of directors. Pursuant to this right, Christopher J. Hagedorn, Executive Vice President of the Company, has been elected to Vireo’s board of directors.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June 27, 2026, the Company recorded a loss of $101.8 related to the sale of the Hawthorne business in North America. During the three months ended June 27, 2026, the Company recorded a $32.6 reduction to the cumulative pre-tax loss driven by the closing date valuation of the non-cash sale consideration. Income tax expense from discontinued operations was $24.8 for the three months ended June 27, 2026 and includes the impact of a valuation allowance recognized against certain deferred tax assets associated with the former Hawthorne business in Canada.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major components of the financial results of the Hawthorne business for each of the periods presented:</w:t>
      </w:r>
    </w:p>
    <w:tbl>
      <w:tblPr>
        <w:tblW w:w="10205" w:type="dxa"/>
        <w:jc w:val="left"/>
        <w:tblInd w:w="0" w:type="dxa"/>
        <w:tblLayout w:type="fixed"/>
        <w:tblCellMar>
          <w:top w:w="28" w:type="dxa"/>
          <w:left w:w="28" w:type="dxa"/>
          <w:bottom w:w="28" w:type="dxa"/>
          <w:right w:w="28" w:type="dxa"/>
        </w:tblCellMar>
      </w:tblPr>
      <w:tblGrid>
        <w:gridCol w:w="1694"/>
        <w:gridCol w:w="1483"/>
        <w:gridCol w:w="1508"/>
        <w:gridCol w:w="109"/>
        <w:gridCol w:w="109"/>
        <w:gridCol w:w="173"/>
        <w:gridCol w:w="173"/>
        <w:gridCol w:w="335"/>
        <w:gridCol w:w="646"/>
        <w:gridCol w:w="173"/>
        <w:gridCol w:w="109"/>
        <w:gridCol w:w="109"/>
        <w:gridCol w:w="109"/>
        <w:gridCol w:w="211"/>
        <w:gridCol w:w="511"/>
        <w:gridCol w:w="109"/>
        <w:gridCol w:w="109"/>
        <w:gridCol w:w="109"/>
        <w:gridCol w:w="109"/>
        <w:gridCol w:w="211"/>
        <w:gridCol w:w="576"/>
        <w:gridCol w:w="109"/>
        <w:gridCol w:w="109"/>
        <w:gridCol w:w="109"/>
        <w:gridCol w:w="109"/>
        <w:gridCol w:w="211"/>
        <w:gridCol w:w="616"/>
        <w:gridCol w:w="109"/>
        <w:gridCol w:w="158"/>
      </w:tblGrid>
      <w:tr>
        <w:trPr/>
        <w:tc>
          <w:tcPr>
            <w:tcW w:w="169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4"/>
            <w:tcBorders/>
          </w:tcPr>
          <w:p>
            <w:pPr>
              <w:pStyle w:val="TableContents"/>
              <w:bidi w:val="0"/>
              <w:spacing w:before="0" w:after="283"/>
              <w:jc w:val="left"/>
              <w:rPr>
                <w:sz w:val="4"/>
                <w:szCs w:val="4"/>
              </w:rPr>
            </w:pPr>
            <w:r>
              <w:rPr>
                <w:sz w:val="4"/>
                <w:szCs w:val="4"/>
              </w:rPr>
            </w:r>
          </w:p>
        </w:tc>
      </w:tr>
      <w:tr>
        <w:trPr/>
        <w:tc>
          <w:tcPr>
            <w:tcW w:w="4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major classes of assets and liabilities that have been classified as held for sale in the Condensed Consolidated Balance Sheets for each of the periods presented:</w:t>
      </w:r>
    </w:p>
    <w:tbl>
      <w:tblPr>
        <w:tblW w:w="5808" w:type="dxa"/>
        <w:jc w:val="left"/>
        <w:tblInd w:w="0" w:type="dxa"/>
        <w:tblLayout w:type="fixed"/>
        <w:tblCellMar>
          <w:top w:w="28" w:type="dxa"/>
          <w:left w:w="28" w:type="dxa"/>
          <w:bottom w:w="28" w:type="dxa"/>
          <w:right w:w="28" w:type="dxa"/>
        </w:tblCellMar>
      </w:tblPr>
      <w:tblGrid>
        <w:gridCol w:w="1059"/>
        <w:gridCol w:w="930"/>
        <w:gridCol w:w="935"/>
        <w:gridCol w:w="109"/>
        <w:gridCol w:w="109"/>
        <w:gridCol w:w="109"/>
        <w:gridCol w:w="109"/>
        <w:gridCol w:w="211"/>
        <w:gridCol w:w="616"/>
        <w:gridCol w:w="109"/>
        <w:gridCol w:w="109"/>
        <w:gridCol w:w="109"/>
        <w:gridCol w:w="109"/>
        <w:gridCol w:w="255"/>
        <w:gridCol w:w="744"/>
        <w:gridCol w:w="186"/>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Condensed Consolidated Statements of Cash Flows do not present the cash flows from discontinued operations separately from cash flows from continuing operations. Cash provided by (used in) operating activities related to discontinued operations was not material for the nine months ended June 27, 2026 and June 28, 2025. Cash used in investing activities related to discontinued operations totaled $35.0 for the nine months ended June 27, 2026 and was not material for the nine months ended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3. INVESTMENT IN UNCONSOLIDATED AFFILIATES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Bonnie Plants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a 50% equity interest in Bonnie Plants, LLC, a joint venture with Alabama Farmers Cooperative, Inc. (“AFC”) focused on planting, growing, developing, distributing, marketing and selling live plants. The Company’s interest is accounted for using the equity method of accounting, with the Company’s proportionate share of Bonnie Plants, LLC earnings reflected in the Condensed Consolidated Statements of Operations. During the three and nine months ended June 27, 2026, the Company recorded equity in income of unconsolidated affiliates associated with Bonnie Plants, LLC of $29.2 and $14.2, respectively, compared to $27.2 and $11.4 during the three and nine months ended June 28,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FLUENT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28, 2024, THC exchanged its existing convertible debt investment in RIV Capital Inc. (“RIV Capital”) for an investment in FLUENT. This exchange, a non-cash investing and financing activity, resulted in a loss of $7.0 that was recorded in the “Impairment, restructuring and other” line in the Condensed Consolidated Statements of Operations during the three months ended December 28, 2024. As of June 27, 2026, THC holds 153.1 million common shares of FLUENT, which represents approximately 25% of FLUENT’s total outstanding common shares. THC and FLUENT are also parties to an investor rights agreement which allows THC to nominate up to two members to the FLUENT board of directors. This investment was previously accounted for using the equity method of accounting, with THC’s proportionate share of FLUENT earnings subsequent to December 18, 2024 reflected in the Condensed Consolidated Statements of Operations on a one quarter lag. During the three months ended December 27, 2025, the Company’s investment balance in FLUENT was reduced to zero, and the Company discontinued equity method recognition of its proportionate share of FLUENT losses. The Company does not have any contractual obligations or other commitments to fund losses of FLUENT. On April 30, 2026, FLUENT announced that it entered into a definitive agreement pursuant to which Vireo will acquire all of the issued and outstanding common shares of FLUENT in exchange for common shares of Vireo. Pursuant to the terms of the agreement and as adjusted for the Vireo 30-for-1 share consolidation completed effective June 5, 2026, THC expects to receive approximately 0.4 million common shares of Vireo upon closing of the transaction. The closing of the transaction is subject to various conditions, including shareholder, court and regulatory approvals.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 to “NOTE 1. SUMMARY OF SIGNIFICANT ACCOUNTING POLICIES” for further details related to the Company’s sale of THC to BDH on March 14, 2025. BDH is a variable interest entity that is consolidated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IMPAIRMENT, RESTRUCTURING AND OTHER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9075" w:type="dxa"/>
        <w:jc w:val="left"/>
        <w:tblInd w:w="0" w:type="dxa"/>
        <w:tblLayout w:type="fixed"/>
        <w:tblCellMar>
          <w:top w:w="28" w:type="dxa"/>
          <w:left w:w="28" w:type="dxa"/>
          <w:bottom w:w="28" w:type="dxa"/>
          <w:right w:w="28" w:type="dxa"/>
        </w:tblCellMar>
      </w:tblPr>
      <w:tblGrid>
        <w:gridCol w:w="1750"/>
        <w:gridCol w:w="1538"/>
        <w:gridCol w:w="1542"/>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14" w:type="dxa"/>
            <w:gridSpan w:val="18"/>
            <w:tcBorders/>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impairments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expenses—impairment, restructuring and other:</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on convertible debt and other investments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exchange of convertible debt investment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restructuring and other charges,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liabilities associated with restructuring activities during the nine months ended June 27, 2026:</w:t>
      </w:r>
    </w:p>
    <w:tbl>
      <w:tblPr>
        <w:tblW w:w="4266" w:type="dxa"/>
        <w:jc w:val="left"/>
        <w:tblInd w:w="0" w:type="dxa"/>
        <w:tblLayout w:type="fixed"/>
        <w:tblCellMar>
          <w:top w:w="28" w:type="dxa"/>
          <w:left w:w="28" w:type="dxa"/>
          <w:bottom w:w="28" w:type="dxa"/>
          <w:right w:w="28" w:type="dxa"/>
        </w:tblCellMar>
      </w:tblPr>
      <w:tblGrid>
        <w:gridCol w:w="1226"/>
        <w:gridCol w:w="1080"/>
        <w:gridCol w:w="1084"/>
        <w:gridCol w:w="211"/>
        <w:gridCol w:w="51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accrued at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accrued at June 27,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27, 2026, restructuring accruals include $2.8 that is classified as long-term.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2026, the Company recorded employee and executive severance charges of $1.0 and $1.7, respectively, in the “Cost of sales—impairment, restructuring and other” line in the Condensed Consolidated Statements of Operations primarily related to its U.S. Consumer segment; and $21.5 and $21.7, respectively, in the “Impairment, restructuring and other” line in the Condensed Consolidated Statements of Operations primarily related to Corporate. During the three and nine months ended June 28, 2025, the Company recorded employee and executive severance charges of $2.0 and $5.0, respectively, in the “Cost of sales—impairment, restructuring and other” line in the Condensed Consolidated Statements of Operations primarily related to its U.S. Consumer segment. During the three months ended June 28, 2025, employee and executive severance charges recorded in the “Impairment, restructuring and other” line in the Condensed Consolidated Statements of Operations were not material. During the nine months ended June 28, 2025, the Company recorded employee and executive severance charges of $13.5 in the “Impairment, restructuring and other” line in the Condensed Consolidated Statements of Operations, including charges of $1.9 in its U.S. Consumer segment and $11.6 at Corporate.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2026, the Company recorded a non-cash charge of $8.7 for expected credit losses related to a seller financing loan in the “Impairment, restructuring and other” line in the Condensed Consolidated Statements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2026, the Company recorded a non-cash charge of $7.9 for expected credit losses related to a convertible debt investment in the “Impairment, restructuring and other” line in the Condensed Consolidated Statements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2026, the Company recorded a charge of $4.0 in the “Impairment, restructuring and other” line in the Condensed Consolidated Statements of Operations associated with a settlement agreement to resolve a dispute with former shareholders of a business that was acquired in fiscal 2021.</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28, 2025, the Company recorded a non-cash loss of $0.0 and $7.0, respectively, in the “Impairment, restructuring and other” line in the Condensed Consolidated Statements of Operations related to the exchange of its convertible debt investment in RIV Capital for an investment in FLUENT. Refer to “NOTE 3. INVESTMENT IN UNCONSOLIDATED AFFILIATES” for further details.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During the three months ended June 28, 2025, costs associated with this restructuring initiative were not material. During the nine months ended June 28, 2025, the Company recorded costs of $3.6 in the “Cost of sales—impairment, restructuring and other” line in the Condensed Consolidated Statements of Operations associated with this restructuring initiative.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INVENTORIES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for each of the periods presented:</w:t>
      </w:r>
    </w:p>
    <w:tbl>
      <w:tblPr>
        <w:tblW w:w="5167" w:type="dxa"/>
        <w:jc w:val="left"/>
        <w:tblInd w:w="0" w:type="dxa"/>
        <w:tblLayout w:type="fixed"/>
        <w:tblCellMar>
          <w:top w:w="28" w:type="dxa"/>
          <w:left w:w="28" w:type="dxa"/>
          <w:bottom w:w="28" w:type="dxa"/>
          <w:right w:w="28" w:type="dxa"/>
        </w:tblCellMar>
      </w:tblPr>
      <w:tblGrid>
        <w:gridCol w:w="559"/>
        <w:gridCol w:w="447"/>
        <w:gridCol w:w="450"/>
        <w:gridCol w:w="211"/>
        <w:gridCol w:w="616"/>
        <w:gridCol w:w="109"/>
        <w:gridCol w:w="109"/>
        <w:gridCol w:w="109"/>
        <w:gridCol w:w="109"/>
        <w:gridCol w:w="211"/>
        <w:gridCol w:w="616"/>
        <w:gridCol w:w="109"/>
        <w:gridCol w:w="109"/>
        <w:gridCol w:w="109"/>
        <w:gridCol w:w="109"/>
        <w:gridCol w:w="255"/>
        <w:gridCol w:w="744"/>
        <w:gridCol w:w="186"/>
      </w:tblGrid>
      <w:tr>
        <w:trPr/>
        <w:tc>
          <w:tcPr>
            <w:tcW w:w="5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MARKETING AGREEMENT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Scotts Company LLC is the exclusive agent of Monsanto Company, a subsidiary of Bayer AG (“Monsanto”), for the marketing and distribution of certain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business, subject to reduction pursuant to the Third Restated Agreement for any program year in which the Program EBIT does not equal or exceed $36.0.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Monsanto terminates the Third Restated Agreement due to an event of default by the Company, termination rights under the Third Restated Agreement include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Company may terminate the Third Restated Agreement upon the insolvency or bankruptcy of Monsanto;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in the lawn and garden market (a “Brand Decommissioning Termination”);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Each party may terminate the Third Restated Agreement if Program EBIT falls below $50.0 and, in such case, no termination fee would be payable to either party.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elements of the net commission and reimbursements earned under the Third Restated Agreement and included in the “Net sales” line in the Condensed Consolidated Statements of Operations are as follows:</w:t>
      </w:r>
    </w:p>
    <w:tbl>
      <w:tblPr>
        <w:tblW w:w="10005" w:type="dxa"/>
        <w:jc w:val="left"/>
        <w:tblInd w:w="0" w:type="dxa"/>
        <w:tblLayout w:type="fixed"/>
        <w:tblCellMar>
          <w:top w:w="28" w:type="dxa"/>
          <w:left w:w="28" w:type="dxa"/>
          <w:bottom w:w="28" w:type="dxa"/>
          <w:right w:w="28" w:type="dxa"/>
        </w:tblCellMar>
      </w:tblPr>
      <w:tblGrid>
        <w:gridCol w:w="1973"/>
        <w:gridCol w:w="1732"/>
        <w:gridCol w:w="1740"/>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9" w:type="dxa"/>
            <w:gridSpan w:val="18"/>
            <w:tcBorders/>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commission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Reimbursements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net sales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DEBT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debt are as follows:</w:t>
      </w:r>
    </w:p>
    <w:tbl>
      <w:tblPr>
        <w:tblW w:w="7146" w:type="dxa"/>
        <w:jc w:val="left"/>
        <w:tblInd w:w="0" w:type="dxa"/>
        <w:tblLayout w:type="fixed"/>
        <w:tblCellMar>
          <w:top w:w="28" w:type="dxa"/>
          <w:left w:w="28" w:type="dxa"/>
          <w:bottom w:w="28" w:type="dxa"/>
          <w:right w:w="28" w:type="dxa"/>
        </w:tblCellMar>
      </w:tblPr>
      <w:tblGrid>
        <w:gridCol w:w="1134"/>
        <w:gridCol w:w="997"/>
        <w:gridCol w:w="1004"/>
        <w:gridCol w:w="211"/>
        <w:gridCol w:w="766"/>
        <w:gridCol w:w="109"/>
        <w:gridCol w:w="109"/>
        <w:gridCol w:w="109"/>
        <w:gridCol w:w="109"/>
        <w:gridCol w:w="211"/>
        <w:gridCol w:w="766"/>
        <w:gridCol w:w="109"/>
        <w:gridCol w:w="109"/>
        <w:gridCol w:w="109"/>
        <w:gridCol w:w="109"/>
        <w:gridCol w:w="221"/>
        <w:gridCol w:w="803"/>
        <w:gridCol w:w="161"/>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925"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2031 – 4.000%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2032 – 4.375%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2029 – 4.500%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2026 – 5.250%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Facilities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21, 2025, the Company entered into a Seventh Amended and Restated Credit Agreement (the “Seventh A&amp;R Credit Agreement”), providing the Company and certain of its subsidiaries with five-year senior secured loan facilities in the aggregate principal amount of $2,000.0, comprised of a revolving credit facility of $1,500.0 and a term loan in the original principal amount of $500.0. The Seventh A&amp;R Credit Agreement also provides the Company with the right to seek additional committed credit under the agreement in an aggregate amount of up to $500.0 plus an unlimited additional amount, subject to certain specified financial and other conditions. The Seventh A&amp;R Credit Agreement provides for the issuance of letters of credit up to $100.0 and will terminate on November 21, 2030. The terms of the Seventh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Seventh A&amp;R Credit Agreement bear interest at variable rates derived from the prevailing U.S. Prime Rate, Federal Reserve Bank of New York Rate, Secured Overnight Financing Rate, Euro Interbank Offered Rate, Canadian Prime Rate or Canadian Overnight Repo Rate Average (all as defined in the Seventh A&amp;R Credit Agreement), based on the Company’s election, plus a spread that depends on the Company’s quarterly-tested leverage ratio.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27, 2026, the Company had letters of credit outstanding in the aggregate principal amount of $93.2, and had $1,381.8 of borrowing availability under the Seventh A&amp;R Credit Agreement. The weighted average interest rates on average borrowings under the credit facilities, excluding the impact of interest rate swaps, were 6.4% and 7.7% for the nine months ended June 27, 2026 and June 28, 2025, respectively.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the Seventh A&amp;R Credit Agreement (“Adjusted EBITDA”). The maximum permitted leverage ratio is 5.00. The Company’s leverage ratio was 3.78 at June 27, 2026. The Seventh A&amp;R Credit Agreement also contains an affirmative covenant regarding the Company’s interest coverage ratio determined as of the end of each of its fiscal quarters, calculated as Adjusted EBITDA divided by interest expense, as described in the Seventh A&amp;R Credit Agreement. The minimum required interest coverage ratio is (i) 3.00 for each of the fiscal quarters within fiscal 2026, (ii) 3.25 for each of the fiscal quarters within fiscal 2027 and (iii) 3.50 for fiscal quarters thereafter. The Company’s interest coverage ratio was 5.67 at June 27, 2026.</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allows the Company to make unlimited restricted payments (as defined in the Seventh A&amp;R Credit Agreement), including dividend payments on, and repurchases of, Common Shares, as long as the leverage ratio resulting from the making of such restricted payments is 4.00 or less. Otherwise, the Company is limited to restricted payments in an aggregate amount for each fiscal year not to exceed $225.0.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15, 2016, Scotts Miracle-Gro issued $250.0 aggregate principal amount of 5.250% Senior Notes with a maturity date of December 15,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At June 27, 2026, the $250.0 aggregate principal amount of the 5.250% Senior Notes is classified in the “Current portion of debt” line in the Condensed Consolidated Balance Sheets as it is payable within one year.</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Substantially all of Scotts Miracle-Gro’s directly and indirectly owned domestic subsidiaries serve as guarantors of the 5.250% Senior Notes, the 4.500% Senior Notes, the 4.000% Senior Notes and the 4.375% Senior Notes (collectively, the “Senior Notes”).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Swap Agreements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June 27, 2026, June 28, 2025 and September 30, 2025 had a maximum total U.S. dollar equivalent notional amount of $450.0. The notional amount, effective date, expiration date and rate of each of the swap agreements outstanding at June 27, 2026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Weighted Average Interest 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interest rates on the Company’s debt, including the impact of interest rate swaps, were 4.9% and 5.4% for the nine months ended June 27, 2026 and June 28,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EQUITY (DEFICIT)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the changes in equity (deficit) for each of the periods indicated:</w:t>
      </w:r>
    </w:p>
    <w:tbl>
      <w:tblPr>
        <w:tblW w:w="10205" w:type="dxa"/>
        <w:jc w:val="left"/>
        <w:tblInd w:w="0" w:type="dxa"/>
        <w:tblLayout w:type="fixed"/>
        <w:tblCellMar>
          <w:top w:w="28" w:type="dxa"/>
          <w:left w:w="28" w:type="dxa"/>
          <w:bottom w:w="28" w:type="dxa"/>
          <w:right w:w="28" w:type="dxa"/>
        </w:tblCellMar>
      </w:tblPr>
      <w:tblGrid>
        <w:gridCol w:w="1112"/>
        <w:gridCol w:w="975"/>
        <w:gridCol w:w="978"/>
        <w:gridCol w:w="239"/>
        <w:gridCol w:w="699"/>
        <w:gridCol w:w="123"/>
        <w:gridCol w:w="109"/>
        <w:gridCol w:w="109"/>
        <w:gridCol w:w="109"/>
        <w:gridCol w:w="211"/>
        <w:gridCol w:w="616"/>
        <w:gridCol w:w="109"/>
        <w:gridCol w:w="109"/>
        <w:gridCol w:w="109"/>
        <w:gridCol w:w="109"/>
        <w:gridCol w:w="211"/>
        <w:gridCol w:w="690"/>
        <w:gridCol w:w="109"/>
        <w:gridCol w:w="109"/>
        <w:gridCol w:w="109"/>
        <w:gridCol w:w="109"/>
        <w:gridCol w:w="290"/>
        <w:gridCol w:w="888"/>
        <w:gridCol w:w="151"/>
        <w:gridCol w:w="109"/>
        <w:gridCol w:w="109"/>
        <w:gridCol w:w="109"/>
        <w:gridCol w:w="109"/>
        <w:gridCol w:w="109"/>
        <w:gridCol w:w="109"/>
        <w:gridCol w:w="109"/>
        <w:gridCol w:w="211"/>
        <w:gridCol w:w="690"/>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br/>
              <w:t>(Deficit)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27, 2025</w:t>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28, 2026</w:t>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2026</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the total due to rounding.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2"/>
        <w:gridCol w:w="975"/>
        <w:gridCol w:w="978"/>
        <w:gridCol w:w="239"/>
        <w:gridCol w:w="699"/>
        <w:gridCol w:w="123"/>
        <w:gridCol w:w="109"/>
        <w:gridCol w:w="109"/>
        <w:gridCol w:w="109"/>
        <w:gridCol w:w="211"/>
        <w:gridCol w:w="616"/>
        <w:gridCol w:w="109"/>
        <w:gridCol w:w="109"/>
        <w:gridCol w:w="109"/>
        <w:gridCol w:w="109"/>
        <w:gridCol w:w="211"/>
        <w:gridCol w:w="690"/>
        <w:gridCol w:w="109"/>
        <w:gridCol w:w="109"/>
        <w:gridCol w:w="109"/>
        <w:gridCol w:w="109"/>
        <w:gridCol w:w="290"/>
        <w:gridCol w:w="888"/>
        <w:gridCol w:w="151"/>
        <w:gridCol w:w="109"/>
        <w:gridCol w:w="109"/>
        <w:gridCol w:w="109"/>
        <w:gridCol w:w="109"/>
        <w:gridCol w:w="109"/>
        <w:gridCol w:w="109"/>
        <w:gridCol w:w="109"/>
        <w:gridCol w:w="211"/>
        <w:gridCol w:w="690"/>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br/>
              <w:t>(Deficit)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28, 2024</w:t>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the total due to rounding.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Accumulated Other Comprehensive Loss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(“AOCL”) by component were as follows for each of the periods indicated:</w:t>
      </w:r>
    </w:p>
    <w:tbl>
      <w:tblPr>
        <w:tblW w:w="10205" w:type="dxa"/>
        <w:jc w:val="left"/>
        <w:tblInd w:w="0" w:type="dxa"/>
        <w:tblLayout w:type="fixed"/>
        <w:tblCellMar>
          <w:top w:w="28" w:type="dxa"/>
          <w:left w:w="28" w:type="dxa"/>
          <w:bottom w:w="28" w:type="dxa"/>
          <w:right w:w="28" w:type="dxa"/>
        </w:tblCellMar>
      </w:tblPr>
      <w:tblGrid>
        <w:gridCol w:w="1083"/>
        <w:gridCol w:w="618"/>
        <w:gridCol w:w="547"/>
        <w:gridCol w:w="109"/>
        <w:gridCol w:w="109"/>
        <w:gridCol w:w="109"/>
        <w:gridCol w:w="285"/>
        <w:gridCol w:w="714"/>
        <w:gridCol w:w="149"/>
        <w:gridCol w:w="109"/>
        <w:gridCol w:w="109"/>
        <w:gridCol w:w="109"/>
        <w:gridCol w:w="324"/>
        <w:gridCol w:w="647"/>
        <w:gridCol w:w="169"/>
        <w:gridCol w:w="109"/>
        <w:gridCol w:w="109"/>
        <w:gridCol w:w="109"/>
        <w:gridCol w:w="255"/>
        <w:gridCol w:w="691"/>
        <w:gridCol w:w="131"/>
        <w:gridCol w:w="109"/>
        <w:gridCol w:w="109"/>
        <w:gridCol w:w="109"/>
        <w:gridCol w:w="377"/>
        <w:gridCol w:w="943"/>
        <w:gridCol w:w="197"/>
        <w:gridCol w:w="109"/>
        <w:gridCol w:w="109"/>
        <w:gridCol w:w="109"/>
        <w:gridCol w:w="303"/>
        <w:gridCol w:w="906"/>
        <w:gridCol w:w="231"/>
      </w:tblGrid>
      <w:tr>
        <w:trPr/>
        <w:tc>
          <w:tcPr>
            <w:tcW w:w="108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the total due to rounding.</w:t>
      </w:r>
    </w:p>
    <w:tbl>
      <w:tblPr>
        <w:tblW w:w="10205" w:type="dxa"/>
        <w:jc w:val="left"/>
        <w:tblInd w:w="0" w:type="dxa"/>
        <w:tblLayout w:type="fixed"/>
        <w:tblCellMar>
          <w:top w:w="28" w:type="dxa"/>
          <w:left w:w="28" w:type="dxa"/>
          <w:bottom w:w="28" w:type="dxa"/>
          <w:right w:w="28" w:type="dxa"/>
        </w:tblCellMar>
      </w:tblPr>
      <w:tblGrid>
        <w:gridCol w:w="1054"/>
        <w:gridCol w:w="596"/>
        <w:gridCol w:w="598"/>
        <w:gridCol w:w="109"/>
        <w:gridCol w:w="109"/>
        <w:gridCol w:w="109"/>
        <w:gridCol w:w="285"/>
        <w:gridCol w:w="714"/>
        <w:gridCol w:w="149"/>
        <w:gridCol w:w="109"/>
        <w:gridCol w:w="109"/>
        <w:gridCol w:w="109"/>
        <w:gridCol w:w="324"/>
        <w:gridCol w:w="647"/>
        <w:gridCol w:w="169"/>
        <w:gridCol w:w="109"/>
        <w:gridCol w:w="109"/>
        <w:gridCol w:w="109"/>
        <w:gridCol w:w="255"/>
        <w:gridCol w:w="691"/>
        <w:gridCol w:w="131"/>
        <w:gridCol w:w="109"/>
        <w:gridCol w:w="109"/>
        <w:gridCol w:w="109"/>
        <w:gridCol w:w="377"/>
        <w:gridCol w:w="943"/>
        <w:gridCol w:w="197"/>
        <w:gridCol w:w="109"/>
        <w:gridCol w:w="109"/>
        <w:gridCol w:w="109"/>
        <w:gridCol w:w="303"/>
        <w:gridCol w:w="906"/>
        <w:gridCol w:w="231"/>
      </w:tblGrid>
      <w:tr>
        <w:trPr/>
        <w:tc>
          <w:tcPr>
            <w:tcW w:w="105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the total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Share Repurchases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19, 2025, the Company’s Board of Directors authorized a share repurchase program, with no expiration date, for the repurchase of up to $500.0 of Common Shares. There have been no share repurchases under this authorization as of June 27, 2026.</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Share-Based Awards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26, 2026, the shareholders of Scotts Miracle-Gro approved an amendment and restatement of The Scotts Miracle-Gro Company Long-Term Incentive Plan which, among other changes, increased the maximum number of Common Shares available for grant to participants under the Plan by 2.75 million Common Shares.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compensation cost and the related income tax benefit associated with share-based awards included within net income from continuing operations was as follows for each of the periods indicated:</w:t>
      </w:r>
    </w:p>
    <w:tbl>
      <w:tblPr>
        <w:tblW w:w="6960" w:type="dxa"/>
        <w:jc w:val="left"/>
        <w:tblInd w:w="0" w:type="dxa"/>
        <w:tblLayout w:type="fixed"/>
        <w:tblCellMar>
          <w:top w:w="28" w:type="dxa"/>
          <w:left w:w="28" w:type="dxa"/>
          <w:bottom w:w="28" w:type="dxa"/>
          <w:right w:w="28" w:type="dxa"/>
        </w:tblCellMar>
      </w:tblPr>
      <w:tblGrid>
        <w:gridCol w:w="946"/>
        <w:gridCol w:w="830"/>
        <w:gridCol w:w="83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519" w:type="dxa"/>
            <w:gridSpan w:val="18"/>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benefit recognized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Restricted share-based awards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2026, the Company is granting short-term equity incentive compensation awards to certain associates in the form of restricted share-based award units in lieu of cash-based annual incentive awards. The program is structured so the fiscal 2026 incentive grant, if any, will be made on or near the incentive payout date, subject to certain performance conditions and a service requirement. The number of restricted share-based award units ultimately issued to participating associates will be based on each associate’s incentive payout amount converted into a variable number of restricted share-based award units based on the fair value of the Common Shares on the grant date. The awards are classified as liability awards and, as of June 27, 2026, the Company had accrued $12.0 in the “Other current liabilities” line in the Condensed Consolidated Balance Sheets associated with these awards. As of June 27, 2026, there was $4.8 of total unrecognized pre-tax compensation cost related to these nonvested restricted share-based award units that is expected to be recognized over the remainder of fiscal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EARNINGS PER COMMON SHARE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necessary to calculate basic and diluted net income (loss) per common share for the periods indicated:</w:t>
      </w:r>
    </w:p>
    <w:tbl>
      <w:tblPr>
        <w:tblW w:w="10205" w:type="dxa"/>
        <w:jc w:val="left"/>
        <w:tblInd w:w="0" w:type="dxa"/>
        <w:tblLayout w:type="fixed"/>
        <w:tblCellMar>
          <w:top w:w="28" w:type="dxa"/>
          <w:left w:w="28" w:type="dxa"/>
          <w:bottom w:w="28" w:type="dxa"/>
          <w:right w:w="28" w:type="dxa"/>
        </w:tblCellMar>
      </w:tblPr>
      <w:tblGrid>
        <w:gridCol w:w="2135"/>
        <w:gridCol w:w="1647"/>
        <w:gridCol w:w="165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13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3" w:type="dxa"/>
            <w:gridSpan w:val="12"/>
            <w:tcBorders/>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(loss) per common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 plus dilutive potential common shares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related to continuing operations for the nine months ended June 27, 2026 and June 28, 2025 were 30.2% and 27.9%, respectively. The effective tax rate used for interim reporting purposes is based on management’s best estimate of factors impacting the effective tax rate for the full fiscal year and includes the impact of discrete items recognized in the period. There can be no assurance that the effective tax rate estimated for interim financial reporting purposes will approximate the effective tax rate determined at fiscal year-end.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completion of the sale of the Hawthorne business during the three months ended June 27, 2026 resulted in an ordinary taxable loss that will allow the realization of deferred tax assets to reduce cash taxes paid over the next several fiscal years, and resulted in a decrease in net deferred tax assets recorded in the Condensed Consolidated Balance Sheets.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2022. There are currently no ongoing audits with respect to the U.S. federal jurisdiction. With respect to foreign jurisdictions, a Canadian audit covering fiscal years 2020 through 2021 is in process. The Company is currently under examination by certain U.S. state and local tax authorities covering various periods from fiscal years 2018 through 2019. In addition to the aforementioned audits, certain other tax deficiency notices and refund claims for previous years remain unresolved.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includes, among other provisions, changes related to bonus depreciation, the deductibility of domestic research and experimental expenditures and the calculation of the limitation on deductible business interest expense. The legislation has multiple effective dates, with certain provisions effective in fiscal year 2025 and others implemented through fiscal year 2027. The Company does not anticipate that these tax law changes will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 CONTINGENCIES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regularly evaluates the Company’s contingencies, including various judicial and administrative proceedings and claims arising in the ordinary course of business, relating to, among other things,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Regulatory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27, 2026, the Company had recorded liabilities of $2.4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complaints vary but generally seek unspecified monetary damages (actual, compensatory, consequential and punitive) from multiple defendants. The Company believes that the claims against it are without merit and is vigorously defending against them. The Company has not recorded any accruals in its condensed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Beginning in June 2024, purported shareholders filed lawsuits in the United States District Court for the Southern District of Ohio on behalf of proposed classes of purchasers of Common Shares. The lawsuits were consolidated by the court as </w:t>
      </w:r>
      <w:r>
        <w:rPr>
          <w:rFonts w:ascii="Times New Roman;serif" w:hAnsi="Times New Roman;serif"/>
          <w:b w:val="false"/>
          <w:i/>
          <w:color w:val="000000"/>
          <w:sz w:val="20"/>
        </w:rPr>
        <w:t>In re The Scotts Miracle-Gro Company Securities Litigation</w:t>
      </w:r>
      <w:r>
        <w:rPr>
          <w:color w:val="000000"/>
        </w:rPr>
        <w:t xml:space="preserve"> </w:t>
      </w:r>
      <w:r>
        <w:rPr>
          <w:rFonts w:ascii="Times New Roman;serif" w:hAnsi="Times New Roman;serif"/>
          <w:b w:val="false"/>
          <w:color w:val="000000"/>
          <w:sz w:val="20"/>
        </w:rPr>
        <w:t xml:space="preserve">(Case No. 2:24-cv-03132). The amended consolidated complaint was filed on May 9, 2025 on behalf of a proposed class of purchasers of Common Shares between May 5, 2021, and August 1, 2023, and asserts claims under Section 10(b), Rule 10b-5 and Section 20(a) of the Exchange Act against the Company and certain of its current and former officers based on alleged misstatements about the Company’s inventories, sales and business prospects. The action seeks, among other things, unspecified monetary damages, reasonable costs and expenses and equitable/injunctive or other relief as deemed appropriate by the Court. The Company believes that the claims asserted are without merit and intends to vigorously defend the action. On April 22, 2026, the Court granted in part and denied in part the defendants’ motion to dismiss.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Beginning in July 2024, purported shareholders filed a series of shareholder derivative lawsuits in state and federal courts in Ohio against certain of the Company’s current and former directors and officers. The lawsuits include allegations that generally mirror those asserted in the securities lawsuits described above and assert claims for breach of fiduciary duties, unjust enrichment, abuse of control, gross mismanagement and waste of corporate assets. The federal lawsuits also assert claims under the Exchange Act. The actions seek a judgment in favor of the Company for unspecified damages, disgorgement, interest and costs and expenses, including attorneys’ and experts’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other lawsuits and claims which arise in the normal course of business relating to advertising claims, securities matters, employment disputes, product complaints and the enforcement and defense of intellectual property rights. These claims individually and in the aggregate are not expected to have a material effect on the Company’s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DERIVATIVE INSTRUMENTS AND HEDGING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and amounts of gains and losses recognized in earnings and AOCL associated with derivative instruments did not have a material impact on the Company’s condensed consolidated financial statements for the three and nine months ended June 27, 2026 and June 28, 2025.</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Exchange Rate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$139.3, $146.1 and $100.4 at June 27, 2026, June 28, 2025 and September 30, 2025, respectively. Contracts outstanding at June 27, 2026 will mature over the next fiscal quarter.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June 27, 2026, June 28, 2025 and September 30, 2025 had a maximum total U.S. dollar equivalent notional amount of $450.0. Refer to “NOTE 7. DEBT” for the terms of the swap agreements outstanding at June 27, 2026. Gains and losses included in the AOCL balance at June 27, 2026 related to interest rate swap agreements that are expected to be reclassified to earnings during the next twelve months are not material.</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Commodity Price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hedging arrangements designed to fix the price of a portion of its projected future urea and diesel requirements. Commodity contracts are valued using observable commodity exchange prices in active markets. Gains and losses included in the AOCL balance at June 27, 2026 related to commodity hedges that are expected to be reclassified to earnings during the next twelve months are not material.</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outstanding commodity contracts that were entered into to hedge forecasted purchases:</w:t>
      </w:r>
    </w:p>
    <w:tbl>
      <w:tblPr>
        <w:tblW w:w="6408"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439"/>
        <w:gridCol w:w="439"/>
        <w:gridCol w:w="442"/>
        <w:gridCol w:w="109"/>
        <w:gridCol w:w="109"/>
        <w:gridCol w:w="109"/>
        <w:gridCol w:w="473"/>
        <w:gridCol w:w="473"/>
        <w:gridCol w:w="478"/>
        <w:gridCol w:w="109"/>
        <w:gridCol w:w="109"/>
        <w:gridCol w:w="109"/>
        <w:gridCol w:w="473"/>
        <w:gridCol w:w="473"/>
        <w:gridCol w:w="67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0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tons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Diesel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2,478,000 gallons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Heating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 gallons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FAIR VALUE MEASUREMENTS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Company’s assets and liabilities for which disclosure of fair value is required:</w:t>
      </w:r>
    </w:p>
    <w:p>
      <w:pPr>
        <w:pStyle w:val="TextBody"/>
        <w:bidi w:val="0"/>
        <w:spacing w:lineRule="auto" w:line="288" w:before="0" w:after="0"/>
        <w:ind w:left="0" w:right="0" w:firstLine="45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17"/>
        <w:gridCol w:w="610"/>
        <w:gridCol w:w="613"/>
        <w:gridCol w:w="109"/>
        <w:gridCol w:w="109"/>
        <w:gridCol w:w="109"/>
        <w:gridCol w:w="286"/>
        <w:gridCol w:w="286"/>
        <w:gridCol w:w="288"/>
        <w:gridCol w:w="109"/>
        <w:gridCol w:w="109"/>
        <w:gridCol w:w="109"/>
        <w:gridCol w:w="226"/>
        <w:gridCol w:w="436"/>
        <w:gridCol w:w="119"/>
        <w:gridCol w:w="109"/>
        <w:gridCol w:w="109"/>
        <w:gridCol w:w="109"/>
        <w:gridCol w:w="243"/>
        <w:gridCol w:w="468"/>
        <w:gridCol w:w="126"/>
        <w:gridCol w:w="109"/>
        <w:gridCol w:w="109"/>
        <w:gridCol w:w="109"/>
        <w:gridCol w:w="211"/>
        <w:gridCol w:w="511"/>
        <w:gridCol w:w="109"/>
        <w:gridCol w:w="109"/>
        <w:gridCol w:w="109"/>
        <w:gridCol w:w="109"/>
        <w:gridCol w:w="213"/>
        <w:gridCol w:w="518"/>
        <w:gridCol w:w="110"/>
        <w:gridCol w:w="109"/>
        <w:gridCol w:w="109"/>
        <w:gridCol w:w="109"/>
        <w:gridCol w:w="211"/>
        <w:gridCol w:w="511"/>
        <w:gridCol w:w="109"/>
        <w:gridCol w:w="109"/>
        <w:gridCol w:w="109"/>
        <w:gridCol w:w="109"/>
        <w:gridCol w:w="213"/>
        <w:gridCol w:w="517"/>
        <w:gridCol w:w="165"/>
      </w:tblGrid>
      <w:tr>
        <w:trPr/>
        <w:tc>
          <w:tcPr>
            <w:tcW w:w="81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in non-qualified retirement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Vireo equity securities –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Vireo equity securities –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 – revolving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2031 – 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2032 – 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2029 – 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2026 – 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Changes in the balance of Level 3 investments carried at fair value are presented below. There were no transfers into or out of Level 3.</w:t>
      </w:r>
    </w:p>
    <w:tbl>
      <w:tblPr>
        <w:tblW w:w="10205" w:type="dxa"/>
        <w:jc w:val="left"/>
        <w:tblInd w:w="0" w:type="dxa"/>
        <w:tblLayout w:type="fixed"/>
        <w:tblCellMar>
          <w:top w:w="28" w:type="dxa"/>
          <w:left w:w="28" w:type="dxa"/>
          <w:bottom w:w="28" w:type="dxa"/>
          <w:right w:w="28" w:type="dxa"/>
        </w:tblCellMar>
      </w:tblPr>
      <w:tblGrid>
        <w:gridCol w:w="2132"/>
        <w:gridCol w:w="1857"/>
        <w:gridCol w:w="186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132"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received as consideration for sale of business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 unrealized gains (losses) included in net earnings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 unrealized gains (losses) included in / reclassified from OCI</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18, 2024, THC exchanged its convertible debt investment in RIV Capital for an investment in FLUENT. Refer to “NOTE 3. INVESTMENT IN UNCONSOLIDATED AFFILIATES” for further details.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convertible debt investments was $46.5, $44.4 and $44.4 at June 27, 2026, June 28, 2025 and September 30, 2025, respectively. At June 27, 2026, June 28, 2025 and September 30, 2025, gross unrealized losses on convertible debt investments were $22.5, $16.9 and $19.8, respectively, and there were no gross unrealized gains. These investments have been in a continuous unrealized loss position for greater than 12 months as of June 27, 2026. The allowance for expected credit losses was $9.8 at June 27, 2026, and was $1.9 at June 28, 2025 and September 30, 2025. At June 27, 2026, the weighted-average period until scheduled maturity of the Company’s convertible debt investments was 3.1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8, 2026, the Company completed the sale of its Hawthorne business in North America to Vireo in exchange for the Vireo Equity Securities, which had an initial fair value of $97.0 on the April 8, 2026 closing date of the sale. Concurrent with the closing date, the Company elected the fair value option to measure the Vireo Equity Securities at fair value on a recurring basis. The Vireo Equity Securities are recorded in the “Other assets” line in the Condensed Consolidated Balance Sheets and all changes in fair value are recognized in the “Other non-operating expense, net” line in the Condensed Consolidated Statements of Operations. Management elected the fair value option because these investments are non-core to the Company’s continuing operations and are managed to maximize eventual realization value, with fair value measurement best reflecting the economic reality of the asset’s performance and liquidity profile.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warrant to purchase additional common shares of Vireo is estimated using a Black-Scholes model. Expected market price volatility is based on an analysis of the historical volatility of the common shares of Vireo and other comparable companies. The risk-free rate is based on the U.S. Treasury yield curve. The valuation model and related assumptions require significant judgment. The assumptions are impacted by economic conditions and may change in the future based on period specific facts and circumstances.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Vireo completed a 30-for-1 share consolidation effective June 5, 2026. As of June 27, 2026, after adjusting for this share consolidation, the Company, through GDH, holds 7.1 million common shares of Vireo and a warrant to acquire 2.7 million additional common shares of Vireo at a strike price of $25.50 per share. As of June 27, 2026, the fair value of the Vireo Equity Securities was $81.3. During the three and nine months ended June 27, 2026, the Company recorded unrealized losses on the Vireo Equity Securities of $15.7 in the “Other non-operating expense, net” line in the Condensed Consolidated Statements of Operations. Refer to “NOTE 2. DISCONTINUED OPERATIONS” for further details related to the sale of the Hawthorne business, as well as further details related to GDH, which is a variable interest entity that is consolidated by the Company.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Credit losses on convertible debt and other investments are measured based on the present value of expected future cash flows compared to amortized cost. Credit impairment losses are recognized through an allowance and recoveries of previously impaired amounts are recorded as an immediate reversal of all or a portion of the allowance. In addition, the allowance for expected credit losses cannot cause the amortized cost net of the allowance to be below fair value. A progression of the allowance for expected credit losses on convertible debt and other investments is shown below:</w:t>
      </w:r>
    </w:p>
    <w:tbl>
      <w:tblPr>
        <w:tblW w:w="8954" w:type="dxa"/>
        <w:jc w:val="left"/>
        <w:tblInd w:w="0" w:type="dxa"/>
        <w:tblLayout w:type="fixed"/>
        <w:tblCellMar>
          <w:top w:w="28" w:type="dxa"/>
          <w:left w:w="28" w:type="dxa"/>
          <w:bottom w:w="28" w:type="dxa"/>
          <w:right w:w="28" w:type="dxa"/>
        </w:tblCellMar>
      </w:tblPr>
      <w:tblGrid>
        <w:gridCol w:w="1744"/>
        <w:gridCol w:w="1532"/>
        <w:gridCol w:w="1538"/>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406"/>
        <w:gridCol w:w="154"/>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previously recognized expected credit losses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LEASES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June 27, 2026, there were no material operating leases that the Company had entered into that were yet to commence. From time to time, the Company will sublease portions of its facilities, resulting in sublease income. Sublease income and the related cash flows were not material to the condensed consolidated financial statements for the three and nine months ended June 27, 2026 and June 28,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was as follows:</w:t>
      </w:r>
    </w:p>
    <w:tbl>
      <w:tblPr>
        <w:tblW w:w="9317" w:type="dxa"/>
        <w:jc w:val="left"/>
        <w:tblInd w:w="0" w:type="dxa"/>
        <w:tblLayout w:type="fixed"/>
        <w:tblCellMar>
          <w:top w:w="28" w:type="dxa"/>
          <w:left w:w="28" w:type="dxa"/>
          <w:bottom w:w="28" w:type="dxa"/>
          <w:right w:w="28" w:type="dxa"/>
        </w:tblCellMar>
      </w:tblPr>
      <w:tblGrid>
        <w:gridCol w:w="859"/>
        <w:gridCol w:w="753"/>
        <w:gridCol w:w="757"/>
        <w:gridCol w:w="969"/>
        <w:gridCol w:w="969"/>
        <w:gridCol w:w="972"/>
        <w:gridCol w:w="109"/>
        <w:gridCol w:w="109"/>
        <w:gridCol w:w="109"/>
        <w:gridCol w:w="211"/>
        <w:gridCol w:w="616"/>
        <w:gridCol w:w="109"/>
        <w:gridCol w:w="109"/>
        <w:gridCol w:w="109"/>
        <w:gridCol w:w="109"/>
        <w:gridCol w:w="211"/>
        <w:gridCol w:w="616"/>
        <w:gridCol w:w="109"/>
        <w:gridCol w:w="109"/>
        <w:gridCol w:w="109"/>
        <w:gridCol w:w="109"/>
        <w:gridCol w:w="255"/>
        <w:gridCol w:w="744"/>
        <w:gridCol w:w="186"/>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Components of lease cost were as follows:</w:t>
      </w:r>
    </w:p>
    <w:tbl>
      <w:tblPr>
        <w:tblW w:w="7259" w:type="dxa"/>
        <w:jc w:val="left"/>
        <w:tblInd w:w="0" w:type="dxa"/>
        <w:tblLayout w:type="fixed"/>
        <w:tblCellMar>
          <w:top w:w="28" w:type="dxa"/>
          <w:left w:w="28" w:type="dxa"/>
          <w:bottom w:w="28" w:type="dxa"/>
          <w:right w:w="28" w:type="dxa"/>
        </w:tblCellMar>
      </w:tblPr>
      <w:tblGrid>
        <w:gridCol w:w="1053"/>
        <w:gridCol w:w="925"/>
        <w:gridCol w:w="93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361" w:type="dxa"/>
            <w:gridSpan w:val="12"/>
            <w:tcBorders/>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(a)Operating lease cost includes amortization of right-of-use assets of $16.9 and $50.2 for the three and nine months ended June 27, 2026, respectively; and $16.4 and $48.4 for the three and nine months ended June 28, 2025, respectively. Short-term lease expense is excluded from operating lease cost and is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and non-cash activity related to the Company’s leases were as follows:</w:t>
      </w:r>
    </w:p>
    <w:tbl>
      <w:tblPr>
        <w:tblW w:w="8994" w:type="dxa"/>
        <w:jc w:val="left"/>
        <w:tblInd w:w="0" w:type="dxa"/>
        <w:tblLayout w:type="fixed"/>
        <w:tblCellMar>
          <w:top w:w="28" w:type="dxa"/>
          <w:left w:w="28" w:type="dxa"/>
          <w:bottom w:w="28" w:type="dxa"/>
          <w:right w:w="28" w:type="dxa"/>
        </w:tblCellMar>
      </w:tblPr>
      <w:tblGrid>
        <w:gridCol w:w="2196"/>
        <w:gridCol w:w="1927"/>
        <w:gridCol w:w="1937"/>
        <w:gridCol w:w="109"/>
        <w:gridCol w:w="109"/>
        <w:gridCol w:w="120"/>
        <w:gridCol w:w="120"/>
        <w:gridCol w:w="120"/>
        <w:gridCol w:w="120"/>
        <w:gridCol w:w="233"/>
        <w:gridCol w:w="680"/>
        <w:gridCol w:w="120"/>
        <w:gridCol w:w="109"/>
        <w:gridCol w:w="109"/>
        <w:gridCol w:w="109"/>
        <w:gridCol w:w="211"/>
        <w:gridCol w:w="51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203" w:type="dxa"/>
            <w:gridSpan w:val="6"/>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Weighted-average remaining lease term and discount rate for the Company’s leases were as follows:</w:t>
      </w:r>
    </w:p>
    <w:tbl>
      <w:tblPr>
        <w:tblW w:w="7872" w:type="dxa"/>
        <w:jc w:val="left"/>
        <w:tblInd w:w="0" w:type="dxa"/>
        <w:tblLayout w:type="fixed"/>
        <w:tblCellMar>
          <w:top w:w="28" w:type="dxa"/>
          <w:left w:w="28" w:type="dxa"/>
          <w:bottom w:w="28" w:type="dxa"/>
          <w:right w:w="28" w:type="dxa"/>
        </w:tblCellMar>
      </w:tblPr>
      <w:tblGrid>
        <w:gridCol w:w="1603"/>
        <w:gridCol w:w="1408"/>
        <w:gridCol w:w="1413"/>
        <w:gridCol w:w="203"/>
        <w:gridCol w:w="203"/>
        <w:gridCol w:w="399"/>
        <w:gridCol w:w="109"/>
        <w:gridCol w:w="109"/>
        <w:gridCol w:w="109"/>
        <w:gridCol w:w="203"/>
        <w:gridCol w:w="203"/>
        <w:gridCol w:w="399"/>
        <w:gridCol w:w="109"/>
        <w:gridCol w:w="109"/>
        <w:gridCol w:w="109"/>
        <w:gridCol w:w="240"/>
        <w:gridCol w:w="240"/>
        <w:gridCol w:w="70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w:t>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by fiscal year for the Company’s leases as of June 27, 2026 were as follows:</w:t>
      </w:r>
    </w:p>
    <w:tbl>
      <w:tblPr>
        <w:tblW w:w="5662" w:type="dxa"/>
        <w:jc w:val="left"/>
        <w:tblInd w:w="0" w:type="dxa"/>
        <w:tblLayout w:type="fixed"/>
        <w:tblCellMar>
          <w:top w:w="28" w:type="dxa"/>
          <w:left w:w="28" w:type="dxa"/>
          <w:bottom w:w="28" w:type="dxa"/>
          <w:right w:w="28" w:type="dxa"/>
        </w:tblCellMar>
      </w:tblPr>
      <w:tblGrid>
        <w:gridCol w:w="872"/>
        <w:gridCol w:w="767"/>
        <w:gridCol w:w="775"/>
        <w:gridCol w:w="109"/>
        <w:gridCol w:w="109"/>
        <w:gridCol w:w="109"/>
        <w:gridCol w:w="307"/>
        <w:gridCol w:w="898"/>
        <w:gridCol w:w="159"/>
        <w:gridCol w:w="109"/>
        <w:gridCol w:w="109"/>
        <w:gridCol w:w="109"/>
        <w:gridCol w:w="296"/>
        <w:gridCol w:w="718"/>
        <w:gridCol w:w="216"/>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24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15. SEGMENT INFORMATION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classification of the Hawthorne business as a discontinued operation, the Company’s reportable segments for the three and nine months ended June 27, 2026 differ from prior periods. The prior period amounts have been reclassified to reflect the removal of Hawthorne as a reportable segment and from results of continuing operations. The Company has two operating segments: U.S. Consumer and Other; and one reportable segment: U.S. Consumer. Management has chosen to organize the entity primarily around differences in geographic areas. U.S. Consumer consists of the Company’s consumer lawn and garden business in the United States. Other primarily consists of the Company’s consumer lawn and garden business in Canada and does not meet any of the quantitative thresholds requiring separate reportable segment disclosures. This identification of operating segments is consistent with how the segments are managed by the Chief Executive Officer, who has been determined to be the chief operating decision maker (“CODM”) of the Company. The Company is not managed on a consolidated basis. In addition, Corporate consists of general and administrative expenses and certain other income and expense items not allocated to the Company’s operating segments. The accounting policies of the segments are the same as those described in the Company’s summary of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CODM uses Segment Profit (Loss), which is defined as income (loss) from continuing operations before income taxes, amortization, impairment, restructuring and other charges (“Segment Profit (Loss)”), to evaluate segment performance, monitor actual results as compared to plan and inform resource allocation decisions. The Company believes this measure is indicative of performance trends and the overall earnings potential of each segment. Asset information and capital expenditures by segment are not provided to the CODM and they are not utilized for the purposes of assessing performance or allocating resources, and therefore such information has not been presented.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segment and a reconciliation to the Company’s consolidated net sales for the periods indicated:</w:t>
      </w:r>
    </w:p>
    <w:tbl>
      <w:tblPr>
        <w:tblW w:w="8730" w:type="dxa"/>
        <w:jc w:val="left"/>
        <w:tblInd w:w="0" w:type="dxa"/>
        <w:tblLayout w:type="fixed"/>
        <w:tblCellMar>
          <w:top w:w="28" w:type="dxa"/>
          <w:left w:w="28" w:type="dxa"/>
          <w:bottom w:w="28" w:type="dxa"/>
          <w:right w:w="28" w:type="dxa"/>
        </w:tblCellMar>
      </w:tblPr>
      <w:tblGrid>
        <w:gridCol w:w="1215"/>
        <w:gridCol w:w="1069"/>
        <w:gridCol w:w="107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reportable segment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Segment Profit (Loss), including the significant segment expenses provided to the CODM, and a reconciliation to income from continuing operations before income taxes for the periods indicated:</w:t>
      </w:r>
    </w:p>
    <w:tbl>
      <w:tblPr>
        <w:tblW w:w="10020" w:type="dxa"/>
        <w:jc w:val="left"/>
        <w:tblInd w:w="0" w:type="dxa"/>
        <w:tblLayout w:type="fixed"/>
        <w:tblCellMar>
          <w:top w:w="28" w:type="dxa"/>
          <w:left w:w="28" w:type="dxa"/>
          <w:bottom w:w="28" w:type="dxa"/>
          <w:right w:w="28" w:type="dxa"/>
        </w:tblCellMar>
      </w:tblPr>
      <w:tblGrid>
        <w:gridCol w:w="1681"/>
        <w:gridCol w:w="1480"/>
        <w:gridCol w:w="148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68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reportable segment</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selling, general and administrative </w:t>
            </w:r>
            <w:r>
              <w:rPr>
                <w:rFonts w:ascii="Times New Roman;serif" w:hAnsi="Times New Roman;serif"/>
                <w:b w:val="false"/>
                <w:color w:val="000000"/>
                <w:sz w:val="13"/>
              </w:rPr>
              <w:t>(b)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 profit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impairment, restructuring and other </w:t>
            </w:r>
            <w:r>
              <w:rPr>
                <w:rFonts w:ascii="Times New Roman;serif" w:hAnsi="Times New Roman;serif"/>
                <w:b w:val="false"/>
                <w:color w:val="000000"/>
                <w:sz w:val="13"/>
              </w:rPr>
              <w: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720"/>
        <w:jc w:val="both"/>
        <w:rPr/>
      </w:pPr>
      <w:r>
        <w:rPr>
          <w:rFonts w:ascii="Times New Roman;serif" w:hAnsi="Times New Roman;serif"/>
          <w:b w:val="false"/>
          <w:color w:val="000000"/>
          <w:sz w:val="20"/>
        </w:rPr>
        <w:t>(a)</w:t>
      </w:r>
      <w:r>
        <w:rPr>
          <w:color w:val="000000"/>
        </w:rPr>
        <w:t>“</w:t>
      </w:r>
      <w:r>
        <w:rPr>
          <w:rFonts w:ascii="Times New Roman;serif" w:hAnsi="Times New Roman;serif"/>
          <w:b w:val="false"/>
          <w:color w:val="000000"/>
          <w:sz w:val="20"/>
        </w:rPr>
        <w:t>Adjusted cost of sales” is defined as cost of sales excluding intangible asset amortization, and does not include activity classified as impairment, restructuring and other.</w:t>
      </w:r>
    </w:p>
    <w:p>
      <w:pPr>
        <w:pStyle w:val="TextBody"/>
        <w:bidi w:val="0"/>
        <w:spacing w:lineRule="auto" w:line="288" w:before="0" w:after="0"/>
        <w:ind w:left="0" w:right="0" w:hanging="720"/>
        <w:jc w:val="both"/>
        <w:rPr/>
      </w:pPr>
      <w:r>
        <w:rPr>
          <w:rFonts w:ascii="Times New Roman;serif" w:hAnsi="Times New Roman;serif"/>
          <w:b w:val="false"/>
          <w:color w:val="000000"/>
          <w:sz w:val="20"/>
        </w:rPr>
        <w:t>(b)</w:t>
      </w:r>
      <w:r>
        <w:rPr>
          <w:color w:val="000000"/>
        </w:rPr>
        <w:t>“</w:t>
      </w:r>
      <w:r>
        <w:rPr>
          <w:rFonts w:ascii="Times New Roman;serif" w:hAnsi="Times New Roman;serif"/>
          <w:b w:val="false"/>
          <w:color w:val="000000"/>
          <w:sz w:val="20"/>
        </w:rPr>
        <w:t>Adjusted selling, general and administrative” is defined as selling, general and administrative expenses excluding intangible asset amortization, and does not include activity classified as impairment, restructuring and other.</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(c)Other segment items consist of activities such as the discount on sales of accounts receivable under the Master Receivables Purchase Agreement, royalty income from the licensing of certain of the Company’s brand names and foreign exchange transaction gains and losses.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(d)The Company incurs costs attributable to corporate functions such as corporate finance, human resources, legal, communications, corporate affairs, corporate travel and corporate executive costs which are considered corporate costs of the Company and not allocated to the segments.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(e)Total impairment, restructuring and other is comprised of the activity classified within the “Cost of sales—impairment, restructuring and other” and “Impairment, restructuring and other” lines in the Condensed Consolidated Statements of Operations. Refer to “NOTE 4. IMPAIRMENT, RESTRUCTURING AND OTHER”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other segment disclosures for the periods indicated:</w:t>
      </w:r>
    </w:p>
    <w:tbl>
      <w:tblPr>
        <w:tblW w:w="7005" w:type="dxa"/>
        <w:jc w:val="left"/>
        <w:tblInd w:w="0" w:type="dxa"/>
        <w:tblLayout w:type="fixed"/>
        <w:tblCellMar>
          <w:top w:w="28" w:type="dxa"/>
          <w:left w:w="28" w:type="dxa"/>
          <w:bottom w:w="28" w:type="dxa"/>
          <w:right w:w="28" w:type="dxa"/>
        </w:tblCellMar>
      </w:tblPr>
      <w:tblGrid>
        <w:gridCol w:w="961"/>
        <w:gridCol w:w="846"/>
        <w:gridCol w:w="848"/>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Consumer </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    Includes certain advertising expenses paid for in Common Shares for the three and nine months ended June 28, 2025.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product category for the periods indicated:</w:t>
      </w:r>
    </w:p>
    <w:tbl>
      <w:tblPr>
        <w:tblW w:w="8699" w:type="dxa"/>
        <w:jc w:val="left"/>
        <w:tblInd w:w="0" w:type="dxa"/>
        <w:tblLayout w:type="fixed"/>
        <w:tblCellMar>
          <w:top w:w="28" w:type="dxa"/>
          <w:left w:w="28" w:type="dxa"/>
          <w:bottom w:w="28" w:type="dxa"/>
          <w:right w:w="28" w:type="dxa"/>
        </w:tblCellMar>
      </w:tblPr>
      <w:tblGrid>
        <w:gridCol w:w="1204"/>
        <w:gridCol w:w="1059"/>
        <w:gridCol w:w="106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media and mulch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gardening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gardening and 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purpose of this Management’s Discussion and Analysis of Financial Condition and Results of Operations (“MD&amp;A”) is to provide an understanding of our financial condition and results of operations by focusing on changes in certain key measures from year-to-year. This MD&amp;A includes the following sections: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Executive summary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Segment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matters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Critical accounting estimates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This MD&amp;A should be read in conjunction with “Management’s Discussion and Analysis of Financial Condition and Results of Operations” included in Scotts Miracle-Gro’s Annual Report on Form 10-K for the fiscal year ended September 30, 2025 (the “2025 Annual Report”) and our condensed consolidated financial statements included in this Form 10-Q.</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U.S. Consumer consists of our consumer lawn and garden business in the United States. Other primarily consists of our consumer lawn and garden business in Canada. Corporate consists of general and administrative expenses and certain other income and expense items not allocated to the operating segments. See “SEGMENT RESULTS” below for additional information regarding our evaluation of segment performance.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Through our U.S. Consumer and Other segments, we are the leading marketer of branded consumer lawn and garden products in North America. Our products are marketed under some of the most recognized brand names in the industry. Our key consumer lawn and garden brands include Scotts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Turf Builder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lawn fertilizer and Scotts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grass seed products; Miracle-Gro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soil, plant food and gardening products; Ortho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herbicide and pesticide products; and Tomcat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rodent control and animal repellent products. We are the exclusive agent of Monsanto for the marketing and distribution of certain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branded products within the United States and certain other specified countries. In addition, we have an equity interest in Bonnie Plants, LLC, a joint venture with AFC, focused on planting, growing, developing, distributing, marketing and selling live plants.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Due to the seasonal nature of the consumer lawn and garden business, significant portions of our U.S. Consumer and Other segment net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w:t>
      </w:r>
    </w:p>
    <w:tbl>
      <w:tblPr>
        <w:tblW w:w="4770" w:type="dxa"/>
        <w:jc w:val="left"/>
        <w:tblInd w:w="0" w:type="dxa"/>
        <w:tblLayout w:type="fixed"/>
        <w:tblCellMar>
          <w:top w:w="28" w:type="dxa"/>
          <w:left w:w="28" w:type="dxa"/>
          <w:bottom w:w="28" w:type="dxa"/>
          <w:right w:w="28" w:type="dxa"/>
        </w:tblCellMar>
      </w:tblPr>
      <w:tblGrid>
        <w:gridCol w:w="494"/>
        <w:gridCol w:w="433"/>
        <w:gridCol w:w="437"/>
        <w:gridCol w:w="255"/>
        <w:gridCol w:w="256"/>
        <w:gridCol w:w="336"/>
        <w:gridCol w:w="135"/>
        <w:gridCol w:w="135"/>
        <w:gridCol w:w="135"/>
        <w:gridCol w:w="255"/>
        <w:gridCol w:w="256"/>
        <w:gridCol w:w="336"/>
        <w:gridCol w:w="135"/>
        <w:gridCol w:w="135"/>
        <w:gridCol w:w="135"/>
        <w:gridCol w:w="255"/>
        <w:gridCol w:w="256"/>
        <w:gridCol w:w="391"/>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 of Net Sales from </w:t>
              <w:br/>
              <w:t>Continuing Operations by Quarter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both"/>
        <w:rPr>
          <w:rFonts w:ascii="Times New Roman;serif" w:hAnsi="Times New Roman;serif"/>
          <w:b/>
          <w:i/>
          <w:color w:val="000000"/>
          <w:sz w:val="20"/>
        </w:rPr>
      </w:pPr>
      <w:r>
        <w:rPr>
          <w:rFonts w:ascii="Times New Roman;serif" w:hAnsi="Times New Roman;serif"/>
          <w:b/>
          <w:i/>
          <w:color w:val="000000"/>
          <w:sz w:val="20"/>
        </w:rPr>
        <w:t xml:space="preserve">Recent Events and Trends Affecting our Business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29, 2026, the Company announced that its Board of Directors had named Nathan E. Baxter as President &amp; Chief Executive Officer of the Company effective June 26, 2026. In addition, the Board elected Mr. Baxter to the Board of Directors. Mr. Baxter succeeds James Hagedorn, who served as Chief Executive Officer of the Company since 2001. Mr. Hagedorn, who served as Chairman of the Board since 2003, also resigned from the Board, and the Board elected Lead Independent Director Peter Shumlin as Chairman.</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27, 2025, we determined that the Hawthorne business met the criteria to be classified as held for sale, and classified the related assets and liabilities as held for sale in the Condensed Consolidated Balance Sheets for all periods presented. We determined this represented a strategic shift, and therefore, effective in the first quarter of fiscal 2026, we classified our results of operations for all periods presented to reflect the Hawthorne business as a discontinued operation. On April 8, 2026, we completed the sale of the Hawthorne business in North America to Vireo in exchange for 213.0 million common shares of Vireo, which represented approximately 14% of Vireo’s total outstanding common shares as of the closing date, and a warrant with a five-year term to acquire 80.0 million additional common shares of Vireo at a strike price of $0.85 per share. On the closing date, the Hawthorne business held cash and cash equivalents of $35.0 that was transferred to Vireo as part of the sale. Additionally, in connection with the transaction, we entered into a contract manufacturing agreement and agreed to provide Vireo with up to $20.0 of manufacturing services over a two-year period for no cost. For the nine months ended June 27, 2026, we recorded a loss of $101.8 related to the sale of the Hawthorne business in North America. The completion of the divestiture during the three months ended June 27, 2026 resulted in an ordinary taxable loss that will allow the realization of deferred tax assets to reduce cash taxes paid over the next several fiscal years.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impacts of macroeconomic conditions, including elevated interest rates and inflationary pressures on input costs and consumer behavior, as well as geopolitical uncertainty, including the duration and resolution of ongoing conflicts, potential escalation of tensions and global supply chain disruptions, and ongoing changes to global trade policies, including the imposition of tariffs. The impact that these events and conditions will have on our operational and financial performance will depend on future developments, which are difficult to predict. For more information about factors that could impact our business, refer to “ITEM 1A. RISK FACTORS”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specifically stated, all discussion herein refers to results from our continuing operations. The following table sets forth the components of earnings as a percentage of net sales for the three months ended June 27, 2026 and June 28, 2025:</w:t>
      </w:r>
    </w:p>
    <w:tbl>
      <w:tblPr>
        <w:tblW w:w="9942" w:type="dxa"/>
        <w:jc w:val="left"/>
        <w:tblInd w:w="0" w:type="dxa"/>
        <w:tblLayout w:type="fixed"/>
        <w:tblCellMar>
          <w:top w:w="28" w:type="dxa"/>
          <w:left w:w="28" w:type="dxa"/>
          <w:bottom w:w="28" w:type="dxa"/>
          <w:right w:w="28" w:type="dxa"/>
        </w:tblCellMar>
      </w:tblPr>
      <w:tblGrid>
        <w:gridCol w:w="1686"/>
        <w:gridCol w:w="1473"/>
        <w:gridCol w:w="149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68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sum of the components may not equal the total due to rounding.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earnings as a percentage of net sales for the nine months ended June 27, 2026 and June 28, 2025:</w:t>
      </w:r>
    </w:p>
    <w:tbl>
      <w:tblPr>
        <w:tblW w:w="9942" w:type="dxa"/>
        <w:jc w:val="left"/>
        <w:tblInd w:w="0" w:type="dxa"/>
        <w:tblLayout w:type="fixed"/>
        <w:tblCellMar>
          <w:top w:w="28" w:type="dxa"/>
          <w:left w:w="28" w:type="dxa"/>
          <w:bottom w:w="28" w:type="dxa"/>
          <w:right w:w="28" w:type="dxa"/>
        </w:tblCellMar>
      </w:tblPr>
      <w:tblGrid>
        <w:gridCol w:w="1686"/>
        <w:gridCol w:w="1473"/>
        <w:gridCol w:w="149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68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sum of the components may not equal the total due to rounding.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for the three months ended June 27, 2026 were $1,172.1, an increase of 1.1% from net sales of $1,159.3 for the three months ended June 28, 2025. Net sales for the nine months ended June 27, 2026 were $2,986.1, an increase of 2.4% from net sales of $2,915.7 for the nine months ended June 28, 2025. Factors contributing to the change in net sales are outlined in the following table:</w:t>
      </w:r>
    </w:p>
    <w:tbl>
      <w:tblPr>
        <w:tblW w:w="5484" w:type="dxa"/>
        <w:jc w:val="left"/>
        <w:tblInd w:w="0" w:type="dxa"/>
        <w:tblLayout w:type="fixed"/>
        <w:tblCellMar>
          <w:top w:w="28" w:type="dxa"/>
          <w:left w:w="28" w:type="dxa"/>
          <w:bottom w:w="28" w:type="dxa"/>
          <w:right w:w="28" w:type="dxa"/>
        </w:tblCellMar>
      </w:tblPr>
      <w:tblGrid>
        <w:gridCol w:w="721"/>
        <w:gridCol w:w="635"/>
        <w:gridCol w:w="638"/>
        <w:gridCol w:w="355"/>
        <w:gridCol w:w="355"/>
        <w:gridCol w:w="894"/>
        <w:gridCol w:w="109"/>
        <w:gridCol w:w="109"/>
        <w:gridCol w:w="109"/>
        <w:gridCol w:w="318"/>
        <w:gridCol w:w="318"/>
        <w:gridCol w:w="923"/>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and mix</w:t>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Pricing</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sales</w:t>
            </w:r>
          </w:p>
        </w:tc>
        <w:tc>
          <w:tcPr>
            <w:tcW w:w="7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net sales for the three months ended June 27, 2026 as compared to the three months ended June 28, 2025 was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mix in our U.S. Consumer segment driven by higher sales of branded products, partially offset by lower sales of mulch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sales volume in our Other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sales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net sales for the nine months ended June 27, 2026 as compared to the nine months ended June 28, 2025 was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mix in our U.S. Consumer segment driven by higher sales of branded products including soils, grass seed, controls and fertilizer products, partially offset by lower sales of mulch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sales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pricing in our U.S. Consumer and Other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cost of sales:</w:t>
      </w:r>
    </w:p>
    <w:tbl>
      <w:tblPr>
        <w:tblW w:w="9615" w:type="dxa"/>
        <w:jc w:val="left"/>
        <w:tblInd w:w="0" w:type="dxa"/>
        <w:tblLayout w:type="fixed"/>
        <w:tblCellMar>
          <w:top w:w="28" w:type="dxa"/>
          <w:left w:w="28" w:type="dxa"/>
          <w:bottom w:w="28" w:type="dxa"/>
          <w:right w:w="28" w:type="dxa"/>
        </w:tblCellMar>
      </w:tblPr>
      <w:tblGrid>
        <w:gridCol w:w="1647"/>
        <w:gridCol w:w="1446"/>
        <w:gridCol w:w="145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labor and overhead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and warehousing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Factors contributing to the change in cost of sales are outlined in the following table:</w:t>
      </w:r>
    </w:p>
    <w:tbl>
      <w:tblPr>
        <w:tblW w:w="8034" w:type="dxa"/>
        <w:jc w:val="left"/>
        <w:tblInd w:w="0" w:type="dxa"/>
        <w:tblLayout w:type="fixed"/>
        <w:tblCellMar>
          <w:top w:w="28" w:type="dxa"/>
          <w:left w:w="28" w:type="dxa"/>
          <w:bottom w:w="28" w:type="dxa"/>
          <w:right w:w="28" w:type="dxa"/>
        </w:tblCellMar>
      </w:tblPr>
      <w:tblGrid>
        <w:gridCol w:w="1647"/>
        <w:gridCol w:w="1446"/>
        <w:gridCol w:w="1451"/>
        <w:gridCol w:w="407"/>
        <w:gridCol w:w="987"/>
        <w:gridCol w:w="210"/>
        <w:gridCol w:w="109"/>
        <w:gridCol w:w="109"/>
        <w:gridCol w:w="109"/>
        <w:gridCol w:w="375"/>
        <w:gridCol w:w="910"/>
        <w:gridCol w:w="274"/>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mix and other</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 changes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cost of sales</w:t>
            </w:r>
          </w:p>
        </w:tc>
        <w:tc>
          <w:tcPr>
            <w:tcW w:w="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The increase in cost of sales for the three months ended June 27, 2026 as compared to the three months ended June 28, 2025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sales mix in our U.S. Consumer segment driven by higher sales of branded products, partially offset by lower sales of mulch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sales volume in our Other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transportation costs included within “volume, mix and other” in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favorable material costs driven by supply chain savings initiatives in our U.S. Consumer segment, net of the impact of higher commodity costs.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increase in cost of sales for the nine months ended June 27, 2026 as compared to the nine months ended June 28, 2025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sales mix in our U.S. Consumer segment driven by higher sales of branded products, partially offset by lower sales of mulch products;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transportation costs included within “volume, mix and other” in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favorable material costs driven by supply chain savings initiatives in our U.S. Consumer segment, net of the impact of higher commodity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impairment, restructuring and other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percentage of net sales, our gross margin rate was 31.2% and 32.1% for the three months ended June 27, 2026 and June 28, 2025, respectively, and was 35.7% and 34.4% for the nine months ended June 27, 2026 and June 28, 2025, respectively. Factors contributing to the change in gross margin rate are outlined in the following table:</w:t>
      </w:r>
    </w:p>
    <w:tbl>
      <w:tblPr>
        <w:tblW w:w="7255" w:type="dxa"/>
        <w:jc w:val="left"/>
        <w:tblInd w:w="0" w:type="dxa"/>
        <w:tblLayout w:type="fixed"/>
        <w:tblCellMar>
          <w:top w:w="28" w:type="dxa"/>
          <w:left w:w="28" w:type="dxa"/>
          <w:bottom w:w="28" w:type="dxa"/>
          <w:right w:w="28" w:type="dxa"/>
        </w:tblCellMar>
      </w:tblPr>
      <w:tblGrid>
        <w:gridCol w:w="1365"/>
        <w:gridCol w:w="1198"/>
        <w:gridCol w:w="1202"/>
        <w:gridCol w:w="355"/>
        <w:gridCol w:w="355"/>
        <w:gridCol w:w="894"/>
        <w:gridCol w:w="109"/>
        <w:gridCol w:w="109"/>
        <w:gridCol w:w="109"/>
        <w:gridCol w:w="318"/>
        <w:gridCol w:w="318"/>
        <w:gridCol w:w="923"/>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mix and other</w:t>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commissions and reimbursements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Pricing</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gross margin rate</w:t>
            </w:r>
          </w:p>
        </w:tc>
        <w:tc>
          <w:tcPr>
            <w:tcW w:w="7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The decrease in gross margin rate for the three months ended June 27, 2026 as compared to the three months ended June 28, 2025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transportation costs included within “volume, mix and other” in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partially offset by </w:t>
      </w:r>
      <w:r>
        <w:rPr>
          <w:rFonts w:ascii="Times New Roman;serif" w:hAnsi="Times New Roman;serif"/>
          <w:b w:val="false"/>
          <w:color w:val="333333"/>
          <w:sz w:val="20"/>
        </w:rPr>
        <w:t>favorable mix associated with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material costs driven by supply chain savings initiatives in our U.S. Consumer segment, net of the impact of higher commodity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commission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increase in gross margin rate for the nine months ended June 27, 2026 as compared to the nine months ended June 28, 2025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favorable mix associated with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commission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 xml:space="preserve">increased pricing in our U.S. Consumer and Other segments;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material costs driven by supply chain savings initiatives in our U.S. Consumer segment, net of the impact of higher commodity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decrease in impairment, restructuring and other charges; </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partially offset by higher transportation costs included within “volume, mix and other” in our U.S. Consumer segment.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selling, general and administrative expenses (“SG&amp;A”):</w:t>
      </w:r>
    </w:p>
    <w:tbl>
      <w:tblPr>
        <w:tblW w:w="8190" w:type="dxa"/>
        <w:jc w:val="left"/>
        <w:tblInd w:w="0" w:type="dxa"/>
        <w:tblLayout w:type="fixed"/>
        <w:tblCellMar>
          <w:top w:w="28" w:type="dxa"/>
          <w:left w:w="28" w:type="dxa"/>
          <w:bottom w:w="28" w:type="dxa"/>
          <w:right w:w="28" w:type="dxa"/>
        </w:tblCellMar>
      </w:tblPr>
      <w:tblGrid>
        <w:gridCol w:w="1239"/>
        <w:gridCol w:w="1087"/>
        <w:gridCol w:w="109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SG&amp;A increased $0.8, or 0.6%, during the three months ended June 27, 2026 compared to the three months ended June 28, 2025. Advertising expense decreased $3.0, or 6.0%, driven by the timing of media spending in our U.S. Consumer segment.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SG&amp;A increased $14.5, or 3.3%, during the nine months ended June 27, 2026 compared to the nine months ended June 28, 2025. Advertising expense increased $20.0, or 15.5%, and other marketing expense increased $6.2, or 14.9%, driven by planned higher spending in our U.S. Consumer segment. Other SG&amp;A decreased $16.4, or 7.9%, driven by lower short-term variable cash incentive compensation expense.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Impairment, Restructuring and Other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9075" w:type="dxa"/>
        <w:jc w:val="left"/>
        <w:tblInd w:w="0" w:type="dxa"/>
        <w:tblLayout w:type="fixed"/>
        <w:tblCellMar>
          <w:top w:w="28" w:type="dxa"/>
          <w:left w:w="28" w:type="dxa"/>
          <w:bottom w:w="28" w:type="dxa"/>
          <w:right w:w="28" w:type="dxa"/>
        </w:tblCellMar>
      </w:tblPr>
      <w:tblGrid>
        <w:gridCol w:w="1750"/>
        <w:gridCol w:w="1538"/>
        <w:gridCol w:w="1542"/>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impairments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expenses—impairment, restructuring and other:</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on convertible debt and other investments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exchange of convertible debt investment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restructuring and other charges,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2026, we recorded employee and executive severance charges of $1.0 and $1.7, respectively, in the “Cost of sales—impairment, restructuring and other” line in the Condensed Consolidated Statements of Operations primarily related to our U.S. Consumer segment; and $21.5 and $21.7, respectively, in the “Impairment, restructuring and other” line in the Condensed Consolidated Statements of Operations primarily related to Corporate. During the three and nine months ended June 28, 2025, we recorded employee and executive severance charges of $2.0 and $5.0, respectively, in the “Cost of sales—impairment, restructuring and other” line in the Condensed Consolidated Statements of Operations primarily related to our U.S. Consumer segment. During the three months ended June 28, 2025, employee and executive severance charges recorded in the “Impairment, restructuring and other” line in the Condensed Consolidated Statements of Operations were not material. During the nine months ended June 28, 2025, we recorded employee and executive severance charges of $13.5 in the “Impairment, restructuring and other” line in the Condensed Consolidated Statements of Operations, including charges of $1.9 in our U.S. Consumer segment and $11.6 at Corporate.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2026, we recorded a non-cash charge of $8.7 for expected credit losses related to a seller financing loan in the “Impairment, restructuring and other” line in the Condensed Consolidated Statements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2026, we recorded a non-cash charge of $7.9 for expected credit losses related to a convertible debt investment in the “Impairment, restructuring and other” line in the Condensed Consolidated Statements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2026, we recorded a charge of $4.0 in the “Impairment, restructuring and other” line in the Condensed Consolidated Statements of Operations associated with a settlement agreement to resolve a dispute with former shareholders of a business that was acquired in fiscal 2021.</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June 28, 2025, we recorded a non-cash loss of $0.0 and $7.0, respectively, in the “Impairment, restructuring and other” line in the Condensed Consolidated Statements of Operations related to the exchange of our convertible debt investment in RIV Capital for an investment in FLUENT.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2022, we began implementing a series of Company-wide organizational changes and initiatives intended to create operational and management-level efficiencies. As part of this restructuring initiative, we reduced the size of our supply chain network, reduced staffing levels and implemented other cost-reduction initiatives. During the three months ended June 28, 2025, costs associated with this restructuring initiative were not material. During the nine months ended June 28, 2025, we recorded costs of $3.6 in the “Cost of sales—impairment, restructuring and other” line in the Condensed Consolidated Statements of Operations associated with this restructuring initiative.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is comprised of activities such as the discount on sales of accounts receivable under the Master Receivables Purchase Agreement, royalty income from the licensing of certain of our brand names and foreign exchange transaction gains and losses. Other expense was $3.7 and $7.1 for the three months ended June 27, 2026 and June 28, 2025, respectively; and was $13.7 and $15.5 for the nine months ended June 27, 2026 and June 28, 2025,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from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$169.6 for the three months ended June 27, 2026, a decrease of 23.5% compared to $221.8 for the three months ended June 28, 2025; and was $549.7 for the nine months ended June 27, 2026, an increase of 4.6% compared to $525.7 for the nine months ended June 28, 2025. For the three months ended June 27, 2026, the decrease was primarily driven by higher impairment, restructuring and other charges and a lower gross margin rate, partially offset by higher net sales. For the nine months ended June 27, 2026, the increase was primarily driven by higher net sales and a higher gross margin rate, partially offset by higher SG&amp;A and higher impairment, restructuring and other charges.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Equity in Income of Unconsolidated Affiliates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Equity in income of unconsolidated affiliates was $29.2 and $25.3 for the three months ended June 27, 2026 and June 28, 2025, respectively; and was $11.6 and $9.5 for the nine months ended June 27, 2026 and June 28, 2025, respectively. Equity in income of unconsolidated affiliates associated with Bonnie Plants, LLC was $29.2 and $27.2 for the three months ended June 27, 2026 and June 28, 2025, respectively; and was $14.2 and $11.4 for the nine months ended June 27, 2026 and June 28, 2025, respectively. During the three months ended December 27, 2025, our investment balance in FLUENT was reduced to zero, and we discontinued equity method recognition of our proportionate share of FLUENT losses.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$28.0 for the three months ended June 27, 2026, a decrease of 11.9% compared to $31.8 for the three months ended June 28, 2025; and was $86.5 for the nine months ended June 27, 2026, a decrease of 15.4% compared to $102.2 for the nine months ended June 28, 2025. For the three months ended June 27, 2026, the decrease was driven by lower average borrowings of $113.3 and a decrease in our weighted average interest rate, net of the impact of interest rate swaps, of 40 basis points. For the nine months ended June 27, 2026, the decrease was driven by lower average borrowings of $149.0 and a decrease in our weighted average interest rate, net of the impact of interest rate swaps, of 50 basis points. The decrease in average borrowings was driven by our focus on using available cash flow to reduce our debt. The decrease in our weighted average interest rate was primarily driven by lower borrowing rates under the Seventh A&amp;R Credit Agreement.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Other Non-Operating Expense, net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non-operating expense, net was $15.6 and $1.3 for the three months ended June 27, 2026 and June 28, 2025, respectively; and was $17.9 and $3.9 for the nine months ended June 27, 2026 and June 28, 2025, respectively. The increase was driven by unrealized losses associated with the Vireo Equity Securities of $15.7.</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Income Tax Expense from Continuing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rates related to continuing operations for the nine months ended June 27, 2026 and June 28, 2025 were 30.2% and 27.9%,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Net Income from Continuing Operations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from continuing operations was $103.6, or $1.75 per diluted share, for the three months ended June 27, 2026 compared to $154.7, or $2.64 per diluted share, for the three months ended June 28, 2025. The decrease was driven by higher impairment, restructuring and other charges, higher other non-operating expense and a lower gross margin rate, partially offset by higher net sales, higher equity in income of unconsolidated affiliates, lower interest expense and lower income tax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Diluted average common shares used in the diluted net income per common share from continuing operations calculation for the three months ended June 27, 2026 and June 28, 2025 were 59.2 million and 58.6 million, respectively, which included potential common shares of 1.0 million and 0.9 million, respectively. The increase in diluted average common shares was primarily the result of the exercise and issuance of share-based compensation awards.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from continuing operations was $319.1, or $5.40 per diluted share, for the nine months ended June 27, 2026 compared to $309.4, or $5.28 per diluted share, for the nine months ended June 28, 2025. The increase was driven by higher net sales, a higher gross margin rate and lower interest expense, partially offset by higher impairment, restructuring and other charges, higher other non-operating expense, higher income tax expense and higher SG&amp;A.</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Diluted average common shares used in the diluted net income per common share from continuing operations calculation for the nine months ended June 27, 2026 and June 28, 2025 were 59.1 million and 58.6 million, respectively, which included potential common shares of 1.0 million and 1.1 million, respectively. The increase in diluted average common shares was primarily the result of the exercise and issuance of share-based compensation awards.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Income (Loss) from Discontinued Operations, net of tax</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Income (loss) from discontinued operations, net of tax, associated with our Hawthorne business was $8.6 and $(5.6) for the three months ended June 27, 2026 and June 28, 2025, respectively; and was $(93.3) and $(12.3) for the nine months ended June 27, 2026 and June 28, 2025, respectively. During the nine months ended June 27, 2026, we recorded a loss of $101.8 related to the sale of the Hawthorne business in North America. During the three months ended June 27, 2026, we recorded a $32.6 reduction to the cumulative pre-tax loss driven by the closing date valuation of the non-cash sale consideration. Income tax expense from discontinued operations was $24.8 for the three months ended June 27, 2026 and includes the impact of a valuation allowance recognized against certain deferred tax assets associated with the former Hawthorne business in Canada.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classification of the Hawthorne business as a discontinued operation, our reportable segments for the three and nine months ended June 27, 2026 differ from prior periods. The prior period amounts have been reclassified to reflect the removal of Hawthorne as a reportable segment. Segment performance is evaluated based on several factors, including income (loss) from continuing operations before income taxes, amortization, impairment, restructuring and other charges (“Segment Profit (Loss)”), which is a non-GAAP financial measure. We believe this measure is indicative of performance trends and the overall earnings potential of each segment.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net sales by segment:</w:t>
      </w:r>
    </w:p>
    <w:tbl>
      <w:tblPr>
        <w:tblW w:w="8730" w:type="dxa"/>
        <w:jc w:val="left"/>
        <w:tblInd w:w="0" w:type="dxa"/>
        <w:tblLayout w:type="fixed"/>
        <w:tblCellMar>
          <w:top w:w="28" w:type="dxa"/>
          <w:left w:w="28" w:type="dxa"/>
          <w:bottom w:w="28" w:type="dxa"/>
          <w:right w:w="28" w:type="dxa"/>
        </w:tblCellMar>
      </w:tblPr>
      <w:tblGrid>
        <w:gridCol w:w="1215"/>
        <w:gridCol w:w="1069"/>
        <w:gridCol w:w="107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reportable segment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Segment Profit (Loss) as well as a reconciliation to income from continuing operations before income taxes, the most directly comparable measure prepared in accordance with GAAP:</w:t>
      </w:r>
    </w:p>
    <w:tbl>
      <w:tblPr>
        <w:tblW w:w="10095" w:type="dxa"/>
        <w:jc w:val="left"/>
        <w:tblInd w:w="0" w:type="dxa"/>
        <w:tblLayout w:type="fixed"/>
        <w:tblCellMar>
          <w:top w:w="28" w:type="dxa"/>
          <w:left w:w="28" w:type="dxa"/>
          <w:bottom w:w="28" w:type="dxa"/>
          <w:right w:w="28" w:type="dxa"/>
        </w:tblCellMar>
      </w:tblPr>
      <w:tblGrid>
        <w:gridCol w:w="1929"/>
        <w:gridCol w:w="1695"/>
        <w:gridCol w:w="170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Segment Profit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 (GAAP)</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U.S. Consumer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U.S. Consumer segment net sales were $1,032.9 in the third quarter of fiscal 2026, an increase of 0.3% from third quarter of fiscal 2025 net sales of $1,030.2; and were $2,738.4 for the first nine months of fiscal 2026, an increase of 2.1% from the first nine months of fiscal 2025 net sales of $2,682.6. For the third quarter of fiscal 2026, the increase was driven by favorable volume and mix of 0.5%, partially offset by decreased pricing of 0.2%. For the nine months ended June 27, 2026, the increase was driven by favorable volume and mix of 1.8% and increased pricing of 0.3%. Favorable mix for the three months ended June 27, 2026 was driven by higher sales of branded products, partially offset by lower sales of mulch products. Favorable mix for the nine months ended June 27, 2026 was driven by higher sales of branded products including soils, grass seed, controls and fertilizer products, partially offset by lower sales of mulch products.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U.S. Consumer Segment Profit was $229.8 in the third quarter of fiscal 2026, a decrease of 2.3% from third quarter of fiscal 2025 Segment Profit of $235.2; and was $676.1 for the first nine months of fiscal 2026, an increase of 6.1% from the first nine months of fiscal 2025 Segment Profit of $637.2. For the three months ended June 27, 2026, the decrease was primarily due to a lower gross margin rate. For the nine months ended June 27, 2026, the increase was primarily due to higher net sales and a higher gross margin rate, partially offset by higher SG&amp;A.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segment net sales were $139.2 in the third quarter of fiscal 2026, an increase of 7.8% from third quarter of fiscal 2025 net sales of $129.1; and were $247.7 for the first nine months of fiscal 2026, an increase of 6.3% from the first nine months of fiscal 2025 net sales of $233.1. For the third quarter of fiscal 2026, the increase was driven by higher sales volume of 7.8% and increased pricing of 0.6%, partially offset by unfavorable foreign exchange rates of 0.6%. For the nine months ended June 27, 2026, the increase was driven by higher sales volume of 4.1%, increased pricing of 1.3% and favorable foreign exchange rates of 0.9%.</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Segment Profit was $18.6 in the third quarter of fiscal 2026, an increase of 10.1% from third quarter of fiscal 2025 Segment Profit of $16.9; and was $29.0 for the first nine months of fiscal 2026, an increase of 27.2% from the first nine months of fiscal 2025 Segment Profit of $22.8. For the three and nine months ended June 27, 2026, the increase was driven by higher net sales and a higher gross margin rate.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expenses were $29.9 in the third quarter of fiscal 2026, an increase of 4.2% from third quarter of fiscal 2025 expenses of $28.7; and were $99.9 for the first nine months of fiscal 2026, an increase of 2.3% from the first nine months of fiscal 2025 expenses of $97.7.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cash activities:</w:t>
      </w:r>
    </w:p>
    <w:tbl>
      <w:tblPr>
        <w:tblW w:w="5709" w:type="dxa"/>
        <w:jc w:val="left"/>
        <w:tblInd w:w="0" w:type="dxa"/>
        <w:tblLayout w:type="fixed"/>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totaled $195.2 for the nine months ended June 27, 2026 compared to $197.2 for the nine months ended June 28, 2025. The decrease was driven by lower accounts receivable sales under the Master Receivables Purchase Agreement, higher SG&amp;A and higher short-term variable cash incentive compensation payments, partially offset by accounts payable timing, higher gross margin and the timing of inventory production.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totaled $102.1 for the nine months ended June 27, 2026 compared to $60.0 for the nine months ended June 28, 2025. Cash used for investments in property, plant and equipment during the first nine months of fiscal 2026 and 2025 was $63.1 and $54.5, respectively. On April 8, 2026, we completed the sale of our Hawthorne business in North America to Vireo in exchange for non-cash consideration. On the closing date, the Hawthorne business held cash and cash equivalents of $35.0 that was transferred to Vireo as part of the sale, which was classified as an investing activity in the “Net cash disposed of on sale of business” line in the Condensed Consolidated Statements of Cash Flows. During the nine months ended June 27, 2026 and June 28, 2025, we had net other investing cash outflows of $4.0 and $5.5, respectively.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totaled $101.8 for the nine months ended June 27, 2026 compared to $158.2 for the nine months ended June 28, 2025. During the nine months ended June 27, 2026, we had net borrowings on our debt instruments of $5.7. We also paid dividends of $116.3, financing and issuance fees of $8.9 and received cash from the exercise of stock options of $3.9 (which also includes amounts received from employee purchases under the employee stock purchase plan). During the nine months ended June 28, 2025, we had net repayments on our debt instruments of $39.3, paid dividends of $116.2 and received cash from the exercise of stock options of $11.2 (which also includes amounts received from employee purchases under the employee stock purchase plan). During the nine months ended June 27, 2026 and June 28, 2025, we repurchased Common Shares for $12.1 and $18.4, respectively (which includes cash paid to tax authorities to satisfy statutory income tax withholding obligations related to share-based compensation). In addition, during the nine months ended June 27, 2026 and June 28, 2025, we had other financing cash inflows of $25.9 and $4.5, respectively, primarily related to collections of previously sold accounts receivable not yet submitted to the buyer.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19, 2025, our Board of Directors authorized a share repurchase program, with no expiration date, for the repurchase of up to $500.0 of Common Shares. There have been no share repurchases under this authorization as of June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Accounts Receivable Sales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We are party to a Master Receivables Purchase Agreement, which is uncommitted and expires on September 1, 2026, under which we may sell up to $750.0 of available and eligible outstanding customer accounts receivable generated by sales to five specified customers.</w:t>
      </w:r>
      <w:r>
        <w:rPr>
          <w:color w:val="000000"/>
        </w:rPr>
        <w:t xml:space="preserve"> </w:t>
      </w:r>
      <w:r>
        <w:rPr>
          <w:rFonts w:ascii="Times New Roman;serif" w:hAnsi="Times New Roman;serif"/>
          <w:b w:val="false"/>
          <w:color w:val="000000"/>
          <w:sz w:val="20"/>
        </w:rPr>
        <w:t xml:space="preserve">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We record the discount on sales in the “Other expense, net” line in the Condensed Consolidated Statements of Operations. At June 27, 2026, June 28, 2025 and September 30, 2025, net receivables derecognized were $312.1, $418.8 and $163.3, respectively. During the three months ended June 27, 2026 and June 28, 2025, proceeds from the sale of receivables under the Master Receivables Purchase Agreement totaled $592.9 and $686.7, respectively, and the total discount recorded on sales was $5.2 and $7.3, respectively. During the nine months ended June 27, 2026 and June 28, 2025, proceeds from the sale of receivables under the Master Receivables Purchase Agreement totaled $1,661.4 and $1,708.9, respectively, and the total discount recorded on sales was $16.5 and $18.5,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$23.7, $18.8 and $13.9 at June 27, 2026, June 28, 2025 and September 30, 2025, respectively, and are recorded within accounts payable in the Condensed Consolidated Balance Sheets. The associated payments were $239.9 and $208.9 for the nine months ended June 27, 2026 and June 28, 2025, respectively, and are classified as operating activities in the Condensed Consolidated Statements of Cash Flows.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were held in cash depository accounts with major financial institutions around the world or invested in high-quality, short-term liquid investments having original maturities of three months or less. The cash and cash equivalents balances, including cash and cash equivalents classified within current assets held for sale, of $27.7, $51.1 and $36.6 as of June 27, 2026, June 28, 2025 and September 30, 2025, respectively, included $18.0, $20.1 and $4.2, respectively, held by controlled foreign corporations. As of June 27, 2026, we maintain our assertion of indefinite reinvestment of the earnings of all material foreign subsidiaries.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Borrowing Agreements</w:t>
      </w: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Credit Facilities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cash generated by operations and borrowings under our credit facilities, which are guaranteed by substantially all of Scotts Miracle-Gro’s domestic subsidiaries. On November 21, 2025, we entered into the Seventh A&amp;R Credit Agreement, providing the Company and certain of its subsidiaries with five-year senior secured loan facilities in the aggregate principal amount of $2,000.0, comprised of a revolving credit facility of $1,500.0 and a term loan in the original principal amount of $500.0. The Seventh A&amp;R Credit Agreement also provides us with the right to seek additional committed credit under the agreement in an aggregate amount of up to $500.0 plus an unlimited additional amount, subject to certain specified financial and other conditions. The Seventh A&amp;R Credit Agreement provides for the issuance of letters of credit up to $100.0 and will terminate on November 21, 2030. The terms of the Seventh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Borrowings under the Seventh A&amp;R Credit Agreement bear interest at variable rates derived from the prevailing U.S. Prime Rate, Federal Reserve Bank of New York Rate, Secured Overnight Financing Rate, Euro Interbank Offered Rate, Canadian Prime Rate or Canadian Overnight Repo Rate Average (all as defined in the Seventh A&amp;R Credit Agreement), based on our election, plus a spread that depends on our quarterly-tested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27, 2026, we had letters of credit outstanding in the aggregate principal amount of $93.2, and had $1,381.8 of borrowing availability under the Seventh A&amp;R Credit Agreement. The weighted average interest rates on average borrowings under the credit facilities, excluding the impact of interest rate swaps, were 6.4% and 7.7% for the nine months ended June 27, 2026 and June 28, 2025, respectively.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contains, among other obligations, an affirmative covenant regarding our leverage ratio determined as of the end of each of our fiscal quarters, calculated as average total indebtedness divided by our Adjusted EBITDA. The maximum permitted leverage ratio is 5.00. Our leverage ratio was 3.78 at June 27, 2026. The Seventh A&amp;R Credit Agreement also contains an affirmative covenant regarding our interest coverage ratio determined as of the end of each of our fiscal quarters, calculated as Adjusted EBITDA divided by interest expense, as described in the Seventh A&amp;R Credit Agreement. The minimum required interest coverage ratio is (i) 3.00 for each of the fiscal quarters within fiscal 2026, (ii) 3.25 for each of the fiscal quarters within fiscal 2027 and (iii) 3.50 for fiscal quarters thereafter. Our interest coverage ratio was 5.67 at June 27, 2026.</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allows us to make unlimited restricted payments (as defined in the Seventh A&amp;R Credit Agreement), including dividend payments on, and repurchases of, Common Shares, as long as the leverage ratio resulting from the making of such restricted payments is 4.00 or less. Otherwise, we are limited to restricted payments in an aggregate amount for each fiscal year not to exceed $225.0.</w:t>
      </w: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2016, Scotts Miracle-Gro issued $250.0 aggregate principal amount of 5.250% Senior Notes with a maturity date of December 15, 2026. The 5.250% Senior Notes represent general unsecured senior obligations and rank equal in right of payment with our existing and future unsecured senior debt. The 5.250% Senior Notes have interest payment dates of June 15 and December 15 of each year. At June 27, 2026, the $250.0 aggregate principal amount of the 5.250% Senior Notes is classified in the “Current portion of debt” line in the Condensed Consolidated Balance Sheets as it is payable within one year. We intend to repay the 5.250% Senior Notes during fiscal 2026 using a combination of cash flow from operations and available borrowing capacity under the Seventh A&amp;R Credit Agreement.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180"/>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Swap Agreements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interest rate swap agreements with major financial institutions that effectively convert a portion of our variable-rate debt to a fixed rate. Interest payments made between the effective date and expiration date are hedged by the swap agreements. Swap agreements that were hedging interest payments as of June 27, 2026, June 28, 2025 and September 30, 2025 had a maximum total U.S. dollar equivalent notional amount of $450.0. The notional amount, effective date, expiration date and rate of each of the swap agreements outstanding at June 27, 2026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ind w:left="0" w:right="0" w:firstLine="180"/>
        <w:jc w:val="both"/>
        <w:rPr>
          <w:rFonts w:ascii="Times New Roman;serif" w:hAnsi="Times New Roman;serif"/>
          <w:b/>
          <w:i/>
          <w:color w:val="000000"/>
          <w:sz w:val="20"/>
          <w:u w:val="single"/>
        </w:rPr>
      </w:pPr>
      <w:r>
        <w:rPr>
          <w:rFonts w:ascii="Times New Roman;serif" w:hAnsi="Times New Roman;serif"/>
          <w:b/>
          <w:i/>
          <w:color w:val="000000"/>
          <w:sz w:val="20"/>
          <w:u w:val="single"/>
        </w:rPr>
        <w:t>Availability and Use of Cash</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2025 Annual Report, under “ITEM 1A. RISK FACTORS — Risks Related to Our M&amp;A, Lending and Financing Activities — Our indebtedness could limit our flexibility and adversely affect our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Financial Disclosures About Guarantors and Issuers of Guaranteed Securities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5.250% Senior Notes, 4.500% Senior Notes, 4.000% Senior Notes and 4.375%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Seventh A&amp;R Credit Agreement, except a release by or as a result of the repayment of the Seventh A&amp;R Credit Agreement; or (vi) if the Guarantor ceases to be a “restricted subsidiary” and the Guarantor is not otherwise required to provide a guarantee of the Senior Notes pursuant to the applicable indenture.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by Scotts Miracle-Gro and the Guarantors in the Non-Guarantor subsidiaries.</w:t>
      </w:r>
    </w:p>
    <w:tbl>
      <w:tblPr>
        <w:tblW w:w="4780" w:type="dxa"/>
        <w:jc w:val="left"/>
        <w:tblInd w:w="0" w:type="dxa"/>
        <w:tblLayout w:type="fixed"/>
        <w:tblCellMar>
          <w:top w:w="28" w:type="dxa"/>
          <w:left w:w="28" w:type="dxa"/>
          <w:bottom w:w="28" w:type="dxa"/>
          <w:right w:w="28" w:type="dxa"/>
        </w:tblCellMar>
      </w:tblPr>
      <w:tblGrid>
        <w:gridCol w:w="710"/>
        <w:gridCol w:w="625"/>
        <w:gridCol w:w="630"/>
        <w:gridCol w:w="211"/>
        <w:gridCol w:w="766"/>
        <w:gridCol w:w="109"/>
        <w:gridCol w:w="109"/>
        <w:gridCol w:w="109"/>
        <w:gridCol w:w="109"/>
        <w:gridCol w:w="257"/>
        <w:gridCol w:w="750"/>
        <w:gridCol w:w="132"/>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assets </w:t>
            </w:r>
            <w:r>
              <w:rPr>
                <w:rFonts w:ascii="Times New Roman;serif" w:hAnsi="Times New Roman;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liabilities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(a)Includes amounts due from Non-Guarantor subsidiaries of $54.4 and $11.4, respectively.</w:t>
      </w:r>
    </w:p>
    <w:tbl>
      <w:tblPr>
        <w:tblW w:w="6342" w:type="dxa"/>
        <w:jc w:val="left"/>
        <w:tblInd w:w="0" w:type="dxa"/>
        <w:tblLayout w:type="fixed"/>
        <w:tblCellMar>
          <w:top w:w="28" w:type="dxa"/>
          <w:left w:w="28" w:type="dxa"/>
          <w:bottom w:w="28" w:type="dxa"/>
          <w:right w:w="28" w:type="dxa"/>
        </w:tblCellMar>
      </w:tblPr>
      <w:tblGrid>
        <w:gridCol w:w="1200"/>
        <w:gridCol w:w="1052"/>
        <w:gridCol w:w="1063"/>
        <w:gridCol w:w="294"/>
        <w:gridCol w:w="1069"/>
        <w:gridCol w:w="152"/>
        <w:gridCol w:w="109"/>
        <w:gridCol w:w="109"/>
        <w:gridCol w:w="109"/>
        <w:gridCol w:w="221"/>
        <w:gridCol w:w="803"/>
        <w:gridCol w:w="161"/>
      </w:tblGrid>
      <w:tr>
        <w:trPr/>
        <w:tc>
          <w:tcPr>
            <w:tcW w:w="12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512" w:type="dxa"/>
            <w:gridSpan w:val="6"/>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w:t>
            </w:r>
            <w:r>
              <w:rPr>
                <w:rFonts w:ascii="Times New Roman;serif" w:hAnsi="Times New Roman;serif"/>
                <w:b w:val="false"/>
                <w:color w:val="000000"/>
                <w:sz w:val="13"/>
              </w:rPr>
              <w:t>(a)</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(a)Includes intercompany income from Non-Guarantor subsidiaries of $9.9 and $5.9,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Judicial and Administrative Proceedings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party to various pending judicial and administrative proceedings and claims arising in the ordinary course of business relating to, among others, product and general liabilities, workers’ compensation, property losses and other liabilities for which we are self-insured or retain a high exposure limit.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related accruals are adequate, both individually and in the aggregate; however, there can be no assurance that final resolution of these matters will not have a material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2025 Annual Report, under “ITEM 1. BUSINESS — Regulatory Considerations” and “ITEM 3. LEGAL PROCEEDINGS.”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have been prepared in accordance with GAAP. The preparation of financial statements and related disclosures in accordance with GAAP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current trends and other factors that we believe to be relevant under the circumstances at the time the estimate was made. Certain accounting estimates are particularly significant, including those related to revenue recognition and promotional allowances, income taxes and goodwill and indefinite-lived intangible assets.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Audit Committee of the Board of Directors of Scotts Miracle-Gro reviews our critical accounting estimates on an ongoing basis, including those related to revenue recognition and promotional allowances, income taxes and goodwill and indefinite-lived intangible assets. Our critical accounting estimates have not changed materially from those disclosed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there are no material changes to our quantitative and qualitative disclosures about market risks during the nine months ended June 27, 2026 compared to those disclosed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Scotts Miracle-Gro Company (the “Registrant”) maintains “disclosure controls and procedures,” as defined in the Securities Exchange Act of 1934 (the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the participation of the principal executive officer and the principal financial officer of the Registrant, the Registrant’s management has evaluated the effectiveness of the Registrant’s disclosure controls and procedures (as defined in Rule 13a-15(e) under the Exchange Act), as of the end of the fiscal quarter covered by this Form 10-Q. Based upon that evaluation, the Registrant’s principal executive officer and principal financial officer have concluded that the Registrant’s disclosure controls and procedures were effective as of June 27,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changes in the Registrant’s internal control over financial reporting (as defined in Rule 13a-15(f) under the Exchange Act) occurred during the Registrant’s fiscal quarter ended June 27, 2026 that have materially affected, or are reasonably likely to materially affect, the Registrant’s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Reference is made to the legal proceedings that have been previously disclosed in Part I, Item 3 of the 2025 Annual Report. There have been no material developments to the pending legal proceedings set forth therein.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involved in other lawsuits and claims which arise in the normal course of our business relating to advertising claims, securities matters, employment disputes, product complaints and the enforcement and defense of intellectual property rights. In our opinion, these claims individually and in the aggregate are not expected to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risk factors, as of June 27, 2026, have not materially changed from those described in Part I, Item 1A of the 2025 Annual Report.</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Form 10-Q, including the exhibits hereto and the information incorporated by reference herein, contains “forward-looking statements” within the meaning of Section 27A of the Securities Act of 1933, as amended, and Section 21E of the Exchange Act,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Form 10-Q are predictions only and actual results could differ materially from management’s expectations due to a variety of factors, including those described in “ITEM 1A. RISK FACTORS” in the 2025 Annual Report. All forward-looking statements attributable to us or persons working on our behalf are expressly qualified in their entirety by such risk factors and other cautionary statements that we make from time to time in our other SEC filings and public communications.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 should evaluate forward-looking statements in the context of these risks and uncertainties and are cautioned not to place undue reliance on such statements. The risk factors described may not identify all risks that could be material to investors. We cannot assure you that we will realize the results or developments we expect or anticipate or, even if substantially realized, that they will result in the consequences or affect us or our operations in the way we expect. The forward-looking statements that we make in this Form 10-Q are based on management’s current views and assumptions regarding future events and speak only as of the date on which they are made. We disclaim any obligation to update these risk factors or any forward-looking statement or to announce publicly any revisions to any of the forward-looking statements that we make, or to make corrections to reflect future events or developments,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Seventh A&amp;R Credit Agreement allows the Company to make unlimited restricted payments (as defined in the Seventh A&amp;R Credit Agreement), including dividend payments on, and repurchases of, Common Shares, as long as the leverage ratio resulting from the making of such restricted payments is 4.00 or less. Otherwise, the Company is limited to restricted payments in an aggregate amount for each fiscal year not to exceed $225.0 million.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following table shows the purchases of Common Shares made by or on behalf of Scotts Miracle-Gro or any “affiliated purchaser” (as defined in Rule 10b-18(a)(3) under the Exchange Act) of Scotts Miracle-Gro for each of the three fiscal months in the quarter ended June 27, 2026:</w:t>
      </w:r>
      <w:r>
        <w:rPr>
          <w:color w:val="000000"/>
        </w:rPr>
        <w:t> </w:t>
      </w:r>
    </w:p>
    <w:tbl>
      <w:tblPr>
        <w:tblW w:w="10205" w:type="dxa"/>
        <w:jc w:val="left"/>
        <w:tblInd w:w="0" w:type="dxa"/>
        <w:tblLayout w:type="fixed"/>
        <w:tblCellMar>
          <w:top w:w="28" w:type="dxa"/>
          <w:left w:w="28" w:type="dxa"/>
          <w:bottom w:w="28" w:type="dxa"/>
          <w:right w:w="28" w:type="dxa"/>
        </w:tblCellMar>
      </w:tblPr>
      <w:tblGrid>
        <w:gridCol w:w="1039"/>
        <w:gridCol w:w="912"/>
        <w:gridCol w:w="929"/>
        <w:gridCol w:w="440"/>
        <w:gridCol w:w="440"/>
        <w:gridCol w:w="441"/>
        <w:gridCol w:w="109"/>
        <w:gridCol w:w="109"/>
        <w:gridCol w:w="109"/>
        <w:gridCol w:w="336"/>
        <w:gridCol w:w="952"/>
        <w:gridCol w:w="187"/>
        <w:gridCol w:w="109"/>
        <w:gridCol w:w="109"/>
        <w:gridCol w:w="109"/>
        <w:gridCol w:w="520"/>
        <w:gridCol w:w="520"/>
        <w:gridCol w:w="521"/>
        <w:gridCol w:w="109"/>
        <w:gridCol w:w="109"/>
        <w:gridCol w:w="109"/>
        <w:gridCol w:w="276"/>
        <w:gridCol w:w="1488"/>
        <w:gridCol w:w="223"/>
      </w:tblGrid>
      <w:tr>
        <w:trPr/>
        <w:tc>
          <w:tcPr>
            <w:tcW w:w="10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Common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w:t>
              <w:br/>
              <w:t>Paid per </w:t>
              <w:br/>
              <w:t>Common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Common Shares</w:t>
              <w:br/>
              <w:t>Purchased as</w:t>
              <w:br/>
              <w:t>Part of Publicly</w:t>
              <w:br/>
              <w:t>Announced Plans or</w:t>
              <w:br/>
              <w:t>Programs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Common Shares</w:t>
              <w:br/>
              <w:t>That May Yet be</w:t>
              <w:br/>
              <w:t>Purchased Under the</w:t>
              <w:br/>
              <w:t>Plans or Programs (3)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29, 2026 through April 25, 2026</w:t>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500,000,000 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26, 2026 through May 23, 2026</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24, 2026 through June 27, 2026</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of the Common Shares purchased during the third quarter of fiscal 2026 were purchased in open market transactions. The Common Shares purchased during the quarter consisted of 4,039 Common Shares purchased by the trustee of the rabbi trust established by the Company as permitted pursuant to the terms of The Scotts Company LLC Executive Retirement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Common Share is calculated on a settlement basis and includes commissions.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(3)On December 19, 2025, the Company’s Board of Directors authorized a share repurchase program, with a commencement date of January 29, 2026 and no expiration date, for the repurchase of up to $500.0 million of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fiscal 2026, no director or officer (as defined under Rule 16a-1 of the Exchange Act) adopted, modified or terminated any Rule 10b5-1 trading arrangement or non Rule 10b5-1 trading arrangement (in each case, as defined in Item 408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Index to Exhibits at page 47 for a list of the exhibits included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QUARTERLY REPORT ON 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27,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271"/>
        <w:gridCol w:w="238"/>
        <w:gridCol w:w="240"/>
        <w:gridCol w:w="109"/>
        <w:gridCol w:w="109"/>
        <w:gridCol w:w="109"/>
        <w:gridCol w:w="1528"/>
        <w:gridCol w:w="1528"/>
        <w:gridCol w:w="1542"/>
        <w:gridCol w:w="109"/>
        <w:gridCol w:w="109"/>
        <w:gridCol w:w="109"/>
        <w:gridCol w:w="175"/>
        <w:gridCol w:w="175"/>
        <w:gridCol w:w="176"/>
        <w:gridCol w:w="115"/>
        <w:gridCol w:w="115"/>
        <w:gridCol w:w="115"/>
        <w:gridCol w:w="240"/>
        <w:gridCol w:w="240"/>
        <w:gridCol w:w="241"/>
        <w:gridCol w:w="115"/>
        <w:gridCol w:w="115"/>
        <w:gridCol w:w="115"/>
        <w:gridCol w:w="362"/>
        <w:gridCol w:w="362"/>
        <w:gridCol w:w="271"/>
        <w:gridCol w:w="109"/>
        <w:gridCol w:w="109"/>
        <w:gridCol w:w="109"/>
        <w:gridCol w:w="273"/>
        <w:gridCol w:w="273"/>
        <w:gridCol w:w="399"/>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15"/>
            <w:tcBorders/>
            <w:tcMar>
              <w:top w:w="0" w:type="dxa"/>
              <w:left w:w="0" w:type="dxa"/>
              <w:bottom w:w="0" w:type="dxa"/>
              <w:right w:w="0" w:type="dxa"/>
            </w:tcMar>
            <w:vAlign w:val="center"/>
          </w:tcPr>
          <w:p>
            <w:pPr>
              <w:pStyle w:val="TableContents"/>
              <w:bidi w:val="0"/>
              <w:spacing w:before="0" w:after="283"/>
              <w:jc w:val="center"/>
              <w:rPr/>
            </w:pPr>
            <w:r>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exhibit101smg20260627.htm">
              <w:r>
                <w:rPr>
                  <w:rStyle w:val="InternetLink"/>
                  <w:rFonts w:ascii="Times New Roman;serif" w:hAnsi="Times New Roman;serif"/>
                  <w:b w:val="false"/>
                  <w:color w:val="0000FF"/>
                  <w:sz w:val="20"/>
                  <w:u w:val="single"/>
                </w:rPr>
                <w:t>Amendment No. 1, dated April 17, 2026, to Seventh Amended and Restated Guarantee and Collateral Agreement, dated as of November 21, 2025, made by The Scotts Miracle-Gro Company, each domestic Subsidiary Borrower under the Seventh Amended and Restated Credit Agreement, and certain of its and their domestic subsidiaries, in favor of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Executive Severance Agreement, dated as of December 11, 2013, by and between The Scotts Company LLC and James Hagedorn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17,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Separation Agreement and Release of All Claims, dated as of June 26, 2026, by and between The Scotts Company LLC and James Hagedorn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smg20260627.htm">
              <w:r>
                <w:rPr>
                  <w:rStyle w:val="InternetLink"/>
                  <w:rFonts w:ascii="Times New Roman;serif" w:hAnsi="Times New Roman;serif"/>
                  <w:b w:val="false"/>
                  <w:color w:val="0000FF"/>
                  <w:sz w:val="20"/>
                  <w:u w:val="single"/>
                </w:rPr>
                <w:t>Subsidiaries of The Scotts Miracle-Gro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2smg20260627.htm">
              <w:r>
                <w:rPr>
                  <w:rStyle w:val="InternetLink"/>
                  <w:rFonts w:ascii="Times New Roman;serif" w:hAnsi="Times New Roman;serif"/>
                  <w:b w:val="false"/>
                  <w:color w:val="0000FF"/>
                  <w:sz w:val="20"/>
                  <w:u w:val="single"/>
                </w:rPr>
                <w:t>Guarantor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smg20260627.htm">
              <w:r>
                <w:rPr>
                  <w:rStyle w:val="InternetLink"/>
                  <w:rFonts w:ascii="Times New Roman;serif" w:hAnsi="Times New Roman;serif"/>
                  <w:b w:val="false"/>
                  <w:color w:val="0000FF"/>
                  <w:sz w:val="20"/>
                  <w:u w:val="single"/>
                </w:rPr>
                <w:t>Rule 13a-14(a)/15d-14(a) Certifications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smg20260627.htm">
              <w:r>
                <w:rPr>
                  <w:rStyle w:val="InternetLink"/>
                  <w:rFonts w:ascii="Times New Roman;serif" w:hAnsi="Times New Roman;serif"/>
                  <w:b w:val="false"/>
                  <w:color w:val="0000FF"/>
                  <w:sz w:val="20"/>
                  <w:u w:val="single"/>
                </w:rPr>
                <w:t>Rule 13a-14(a)/15d-14(a) Certifications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smg20260627.htm">
              <w:r>
                <w:rPr>
                  <w:rStyle w:val="InternetLink"/>
                  <w:rFonts w:ascii="Times New Roman;serif" w:hAnsi="Times New Roman;serif"/>
                  <w:b w:val="false"/>
                  <w:color w:val="0000FF"/>
                  <w:sz w:val="20"/>
                  <w:u w:val="single"/>
                </w:rPr>
                <w:t>Section 1350 Certifications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4b4f054ea354acaac48a9993d8127c0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10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2027"/>
        <w:gridCol w:w="2027"/>
        <w:gridCol w:w="287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10.1</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AMENDMENT NO. 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Dated as of April 17,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SEVENTH AMENDED AND RESTATED GUARANTEE AND COLLATERAL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Dated as of November 21, 2025</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THIS AMENDMENT NO. 1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is made as of April 17, 2026 by and among The Scotts Miracle-Gro Company, an Ohio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each other Grantor party to the Existing Guarantee and Collateral Agreement (as defined below) and JPMorgan Chase Bank, N.A., as administrative agent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under that certain Seventh Amended and Restated Guarantee and Collateral Agreement, dated as of November 21, 2025, by and among the Company, the other Grantors (as defined therein) from time to time party thereto and the Administrative Agent (as amended, restated, supplemented or otherwise modified from time to time immediately prior to the date hereof, the “</w:t>
      </w:r>
      <w:r>
        <w:rPr>
          <w:rFonts w:ascii="Times New Roman;serif" w:hAnsi="Times New Roman;serif"/>
          <w:b w:val="false"/>
          <w:color w:val="000000"/>
          <w:sz w:val="22"/>
          <w:u w:val="single"/>
        </w:rPr>
        <w:t>Existing Guarantee and Collateral Agreement</w:t>
      </w:r>
      <w:r>
        <w:rPr>
          <w:color w:val="000000"/>
        </w:rPr>
        <w:t>”</w:t>
      </w:r>
      <w:r>
        <w:rPr>
          <w:rFonts w:ascii="Times New Roman;serif" w:hAnsi="Times New Roman;serif"/>
          <w:b w:val="false"/>
          <w:color w:val="000000"/>
          <w:sz w:val="22"/>
        </w:rPr>
        <w:t>). Capitalized terms used herein and not otherwise defined herein shall have the respective meanings given to them in the Amended Guarantee and Collateral Agreement or the Credit Agreement (as defined in the Amended Guarantee and Collateral Agreement), as applicable.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Grantors and the Administrative Agent have agreed to amend the Existing Guarantee and Collateral Agreement on the terms and conditions set forth herein.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set forth above, the terms and conditions contained herein, and other good and valuable consideration, the receipt and sufficiency of which are hereby acknowledged, the Grantors and the Administrative Agent hereby agree to enter into this Amendment.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Amendments to the Existing Guarantee and Collateral Agreement</w:t>
      </w:r>
      <w:r>
        <w:rPr>
          <w:rFonts w:ascii="Times New Roman;serif" w:hAnsi="Times New Roman;serif"/>
          <w:b w:val="false"/>
          <w:color w:val="000000"/>
          <w:sz w:val="22"/>
        </w:rPr>
        <w:t xml:space="preserve">. The parties hereto agree that, effective as of the Amendment Effective Date (as defined below), (a) the Existing Guarantee and Collateral Agreement (excluding all existing Schedules and Annexes thereto) is hereby amended to delete the stricken text (indicated textually in the same manner as the following example: </w:t>
      </w:r>
      <w:r>
        <w:rPr>
          <w:rFonts w:ascii="Times New Roman;serif" w:hAnsi="Times New Roman;serif"/>
          <w:b w:val="false"/>
          <w:strike/>
          <w:color w:val="FF0000"/>
          <w:sz w:val="22"/>
        </w:rPr>
        <w:t>stricken text</w:t>
      </w:r>
      <w:r>
        <w:rPr>
          <w:rFonts w:ascii="Times New Roman;serif" w:hAnsi="Times New Roman;serif"/>
          <w:b w:val="false"/>
          <w:color w:val="000000"/>
          <w:sz w:val="22"/>
        </w:rPr>
        <w:t xml:space="preserve">) and to add the double-underlined text (indicated textually in the same manner as the following example: </w:t>
      </w:r>
      <w:r>
        <w:rPr>
          <w:rFonts w:ascii="Times New Roman;serif" w:hAnsi="Times New Roman;serif"/>
          <w:b w:val="false"/>
          <w:color w:val="0000FF"/>
          <w:sz w:val="22"/>
          <w:u w:val="single"/>
        </w:rPr>
        <w:t>double-underlined text</w:t>
      </w:r>
      <w:r>
        <w:rPr>
          <w:rFonts w:ascii="Times New Roman;serif" w:hAnsi="Times New Roman;serif"/>
          <w:b w:val="false"/>
          <w:color w:val="000000"/>
          <w:sz w:val="22"/>
        </w:rPr>
        <w:t xml:space="preserve">) as set forth in the pages of the Existing Guarantee and Collateral Agreement (excluding all existing Schedules and Annexes thereto) attached as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 xml:space="preserve">hereto, (b)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to the Existing Guarantee and Collateral Agreement is hereby amended and restated in its entirety as set forth on </w:t>
      </w:r>
      <w:r>
        <w:rPr>
          <w:rFonts w:ascii="Times New Roman;serif" w:hAnsi="Times New Roman;serif"/>
          <w:b w:val="false"/>
          <w:color w:val="000000"/>
          <w:sz w:val="22"/>
          <w:u w:val="single"/>
        </w:rPr>
        <w:t>Annex B</w:t>
      </w:r>
      <w:r>
        <w:rPr>
          <w:color w:val="000000"/>
        </w:rPr>
        <w:t xml:space="preserve"> </w:t>
      </w:r>
      <w:r>
        <w:rPr>
          <w:rFonts w:ascii="Times New Roman;serif" w:hAnsi="Times New Roman;serif"/>
          <w:b w:val="false"/>
          <w:color w:val="000000"/>
          <w:sz w:val="22"/>
        </w:rPr>
        <w:t xml:space="preserve">hereto, and (c) </w:t>
      </w:r>
      <w:r>
        <w:rPr>
          <w:rFonts w:ascii="Times New Roman;serif" w:hAnsi="Times New Roman;serif"/>
          <w:b w:val="false"/>
          <w:color w:val="000000"/>
          <w:sz w:val="22"/>
          <w:u w:val="single"/>
        </w:rPr>
        <w:t>Schedule 9</w:t>
      </w:r>
      <w:r>
        <w:rPr>
          <w:color w:val="000000"/>
        </w:rPr>
        <w:t xml:space="preserve"> </w:t>
      </w:r>
      <w:r>
        <w:rPr>
          <w:rFonts w:ascii="Times New Roman;serif" w:hAnsi="Times New Roman;serif"/>
          <w:b w:val="false"/>
          <w:color w:val="000000"/>
          <w:sz w:val="22"/>
        </w:rPr>
        <w:t xml:space="preserve">to the Existing Guarantee and Collateral Agreement is hereby amended and restated in its entirety as set forth on </w:t>
      </w:r>
      <w:r>
        <w:rPr>
          <w:rFonts w:ascii="Times New Roman;serif" w:hAnsi="Times New Roman;serif"/>
          <w:b w:val="false"/>
          <w:color w:val="000000"/>
          <w:sz w:val="22"/>
          <w:u w:val="single"/>
        </w:rPr>
        <w:t>Annex C</w:t>
      </w:r>
      <w:r>
        <w:rPr>
          <w:color w:val="000000"/>
        </w:rPr>
        <w:t xml:space="preserve"> </w:t>
      </w:r>
      <w:r>
        <w:rPr>
          <w:rFonts w:ascii="Times New Roman;serif" w:hAnsi="Times New Roman;serif"/>
          <w:b w:val="false"/>
          <w:color w:val="000000"/>
          <w:sz w:val="22"/>
        </w:rPr>
        <w:t>hereto (the Existing Guarantee and Collateral Agreement as so amended by clauses (a), (b), and (c), the “</w:t>
      </w:r>
      <w:r>
        <w:rPr>
          <w:rFonts w:ascii="Times New Roman;serif" w:hAnsi="Times New Roman;serif"/>
          <w:b w:val="false"/>
          <w:color w:val="000000"/>
          <w:sz w:val="22"/>
          <w:u w:val="single"/>
        </w:rPr>
        <w:t>Amended Guarantee and Collateral Agreement</w:t>
      </w:r>
      <w:r>
        <w:rPr>
          <w:color w:val="000000"/>
        </w:rPr>
        <w:t>”</w:t>
      </w:r>
      <w:r>
        <w:rPr>
          <w:rFonts w:ascii="Times New Roman;serif" w:hAnsi="Times New Roman;serif"/>
          <w:b w:val="false"/>
          <w:color w:val="000000"/>
          <w:sz w:val="22"/>
        </w:rPr>
        <w:t>).</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Conditions of Effectiveness</w:t>
      </w:r>
      <w:r>
        <w:rPr>
          <w:rFonts w:ascii="Times New Roman;serif" w:hAnsi="Times New Roman;serif"/>
          <w:b w:val="false"/>
          <w:color w:val="000000"/>
          <w:sz w:val="22"/>
        </w:rPr>
        <w:t>. The effectiveness of this Amendment is subject to the satisfaction of the condition precedent (the date of such satisfaction, the “</w:t>
      </w:r>
      <w:r>
        <w:rPr>
          <w:rFonts w:ascii="Times New Roman;serif" w:hAnsi="Times New Roman;serif"/>
          <w:b w:val="false"/>
          <w:color w:val="000000"/>
          <w:sz w:val="22"/>
          <w:u w:val="single"/>
        </w:rPr>
        <w:t>Amendment Effective Date</w:t>
      </w:r>
      <w:r>
        <w:rPr>
          <w:color w:val="000000"/>
        </w:rPr>
        <w:t>”</w:t>
      </w:r>
      <w:r>
        <w:rPr>
          <w:rFonts w:ascii="Times New Roman;serif" w:hAnsi="Times New Roman;serif"/>
          <w:b w:val="false"/>
          <w:color w:val="000000"/>
          <w:sz w:val="22"/>
        </w:rPr>
        <w:t>) that the Administrative Agent (or its counsel) shall have received counterparts (or written evidence reasonably satisfactory to the Administrative Agent that such party has signed a counterpart) of this Amendment duly executed by (a) each Grantor and (b) the Administrative Agent.</w:t>
      </w:r>
    </w:p>
    <w:p>
      <w:pPr>
        <w:pStyle w:val="TextBody"/>
        <w:bidi w:val="0"/>
        <w:ind w:left="0" w:right="0" w:firstLine="18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Representations and Warranties of the Grantors</w:t>
      </w:r>
      <w:r>
        <w:rPr>
          <w:rFonts w:ascii="Times New Roman;serif" w:hAnsi="Times New Roman;serif"/>
          <w:b w:val="false"/>
          <w:color w:val="000000"/>
          <w:sz w:val="22"/>
        </w:rPr>
        <w:t xml:space="preserve">. Each Grantor hereby represents and warrants to the Administrative Agent, on and as of the Amendment Effective Date, that this Amendment and the Amended Guarantee and Collateral Agreement constitute legal, valid and binding obligations of such Grantor, enforceable against such Grantor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Grant, Consent and Reaffirmation</w:t>
      </w:r>
      <w:r>
        <w:rPr>
          <w:rFonts w:ascii="Times New Roman;serif" w:hAnsi="Times New Roman;serif"/>
          <w:b w:val="false"/>
          <w:color w:val="000000"/>
          <w:sz w:val="22"/>
        </w:rPr>
        <w:t>. Each Grantor hereby assigns and transfers to the Administrative Agent, and hereby grants to the Administrative Agent, for the ratable benefit of the Secured Parties, a security interest in, all of the Collateral now owned or at any time hereafter acquired by such Grantor or in which such Grantor now has or at any time in the future may acquire any right, title or interest, as collateral security for the prompt and complete payment and performance when due (whether at the stated maturity, by acceleration or otherwise) of the Obligations. Without in any way establishing a course of dealing by the Administrative Agent or any Lender, each of the Grantors consents to this Amendment and reaffirms the terms and conditions of the Amended Guarantee and Collateral Agreement and any other Loan Document executed by such Grantor and acknowledges and agrees that the Amended Guarantee and Collateral Agreement and each and every such Loan Document executed by such Grantor in connection with the Amended Guarantee and Collateral Agreement remains in full force and effect and is hereby reaffirmed, ratified and confirmed.</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Reference to and Effect on the Loan Documents</w:t>
      </w:r>
      <w:r>
        <w:rPr>
          <w:rFonts w:ascii="Times New Roman;serif" w:hAnsi="Times New Roman;serif"/>
          <w:b w:val="false"/>
          <w:color w:val="000000"/>
          <w:sz w:val="22"/>
        </w:rPr>
        <w:t>.</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Upon and after the Amendment Effective Date, each reference to the Guarantee and Collateral Agreement in the Credit Agreement or any other Loan Document shall mean and be a reference to the Amended Guarantee and Collateral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Each Loan Document and all other documents, instruments and agreements executed and/or delivered in connection therewith shall remain in full force and effect and are hereby ratified and confirmed.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execution, delivery and effectiveness of this Amendment shall not operate as a waiver of any right, power or remedy of the Administrative Agent or the Lenders, nor constitute a waiver of any provision of the Amended Guarantee and Collateral Agreement, the Loan Documents or any other documents, instruments and agreements executed and/or delivered in connection therewith.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This Amendment is a Loan Document under (and as defined in) the Credit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AMENDMENT SHALL BE CONSTRUED IN ACCORDANCE WITH AND GOVERNED BY THE LAWS OF THE STATE OF NEW YORK.</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Submission To Jurisdiction; Waivers</w:t>
      </w:r>
      <w:r>
        <w:rPr>
          <w:rFonts w:ascii="Times New Roman;serif" w:hAnsi="Times New Roman;serif"/>
          <w:b w:val="false"/>
          <w:color w:val="000000"/>
          <w:sz w:val="22"/>
        </w:rPr>
        <w:t>. Each Borrower hereby irrevocably and unconditionally:</w:t>
      </w:r>
    </w:p>
    <w:p>
      <w:pPr>
        <w:pStyle w:val="TextBody"/>
        <w:bidi w:val="0"/>
        <w:spacing w:before="0" w:after="0"/>
        <w:ind w:left="0" w:right="0" w:firstLine="180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 or relating to this Amendment and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this Section. Each Borrower hereby irrevocably waives, to the fullest extent permitted by law, the defense of an inconvenient forum to the maintenance of such action or proceeding in any such court;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agrees that service of process in any such action or proceeding may be effected in accordance with Section 9.01 of the Credit Agreement;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waives, to the maximum extent not prohibited by law, any right it may have to claim or recover in any legal action or proceeding referred to in Section 9.03(d) of the Credit Agreement any special, indirect, consequential or punitive damages.</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Headings</w:t>
      </w:r>
      <w:r>
        <w:rPr>
          <w:rFonts w:ascii="Times New Roman;serif" w:hAnsi="Times New Roman;serif"/>
          <w:b w:val="false"/>
          <w:color w:val="000000"/>
          <w:sz w:val="22"/>
        </w:rPr>
        <w:t>. Section headings in this Amendment are included herein for convenience of reference only and shall not constitute a part of this Amendment for any other purpose.</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erif" w:hAnsi="Times New Roman;serif"/>
          <w:b w:val="false"/>
          <w:color w:val="000000"/>
          <w:sz w:val="22"/>
          <w:u w:val="single"/>
        </w:rPr>
        <w:t>Electronic Signatures</w:t>
      </w:r>
      <w:r>
        <w:rPr>
          <w:color w:val="000000"/>
        </w:rPr>
        <w:t xml:space="preserve">” </w:t>
      </w:r>
      <w:r>
        <w:rPr>
          <w:rFonts w:ascii="Times New Roman;serif" w:hAnsi="Times New Roman;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firstLine="1800"/>
        <w:jc w:val="both"/>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ind w:left="0" w:right="0" w:firstLine="1440"/>
        <w:jc w:val="both"/>
        <w:rPr/>
      </w:pPr>
      <w:r>
        <w:rPr/>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IN WITNESS WHEREOF, the parties hereto have caused this Amendment to be duly executed and delivered by their respective authorized officers as of the day and year first above written. </w:t>
      </w:r>
    </w:p>
    <w:p>
      <w:pPr>
        <w:pStyle w:val="TextBody"/>
        <w:bidi w:val="0"/>
        <w:spacing w:before="100" w:after="283"/>
        <w:jc w:val="right"/>
        <w:rPr/>
      </w:pPr>
      <w:r>
        <w:rPr/>
      </w:r>
    </w:p>
    <w:tbl>
      <w:tblPr>
        <w:tblW w:w="7140" w:type="dxa"/>
        <w:jc w:val="right"/>
        <w:tblInd w:w="0" w:type="dxa"/>
        <w:tblLayout w:type="fixed"/>
        <w:tblCellMar>
          <w:top w:w="28" w:type="dxa"/>
          <w:left w:w="28" w:type="dxa"/>
          <w:bottom w:w="28" w:type="dxa"/>
          <w:right w:w="28" w:type="dxa"/>
        </w:tblCellMar>
      </w:tblPr>
      <w:tblGrid>
        <w:gridCol w:w="2285"/>
        <w:gridCol w:w="2006"/>
        <w:gridCol w:w="2849"/>
      </w:tblGrid>
      <w:tr>
        <w:trPr/>
        <w:tc>
          <w:tcPr>
            <w:tcW w:w="228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THE SCOTTS COMPANY LLC,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HYPONEX CORPORATION,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SCOTTS MANUFACTURING COMPANY,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SCOTTS TEMECULA OPERATIONS, LLC,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SMG GROWING MEDIA LLC,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Title: Executive Vice President, Chief Financial Officer and Chief Accounting Officer </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8475"/>
                <wp:effectExtent l="0" t="0" r="0" b="0"/>
                <wp:wrapNone/>
                <wp:docPr id="52" name="Frame5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p>
                  </w:txbxContent>
                </v:textbox>
                <w10:wrap type="none"/>
              </v:rect>
            </w:pict>
          </mc:Fallback>
        </mc:AlternateContent>
      </w:r>
    </w:p>
    <w:tbl>
      <w:tblPr>
        <w:tblW w:w="7094" w:type="dxa"/>
        <w:jc w:val="right"/>
        <w:tblInd w:w="0" w:type="dxa"/>
        <w:tblLayout w:type="fixed"/>
        <w:tblCellMar>
          <w:top w:w="28" w:type="dxa"/>
          <w:left w:w="28" w:type="dxa"/>
          <w:bottom w:w="28" w:type="dxa"/>
          <w:right w:w="28" w:type="dxa"/>
        </w:tblCellMar>
      </w:tblPr>
      <w:tblGrid>
        <w:gridCol w:w="2270"/>
        <w:gridCol w:w="1993"/>
        <w:gridCol w:w="2831"/>
      </w:tblGrid>
      <w:tr>
        <w:trPr/>
        <w:tc>
          <w:tcPr>
            <w:tcW w:w="2270"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MIRACLE-GRO LAWN PRODUCTS, INC., as a Grantor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OMS INVESTMENTS, INC., as a Grantor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KEVIN M. GROVE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Kevin M. Grove</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SCOTTS PRODUCTS CO., as a Grantor</w:t>
            </w:r>
          </w:p>
          <w:p>
            <w:pPr>
              <w:pStyle w:val="TableContents"/>
              <w:bidi w:val="0"/>
              <w:spacing w:before="40" w:after="40"/>
              <w:jc w:val="left"/>
              <w:rPr/>
            </w:pPr>
            <w:r>
              <w:rPr/>
            </w:r>
          </w:p>
          <w:p>
            <w:pPr>
              <w:pStyle w:val="TableContents"/>
              <w:bidi w:val="0"/>
              <w:spacing w:before="40" w:after="40"/>
              <w:jc w:val="left"/>
              <w:rPr/>
            </w:pPr>
            <w:r>
              <w:rPr/>
            </w:r>
          </w:p>
          <w:p>
            <w:pPr>
              <w:pStyle w:val="TableContents"/>
              <w:bidi w:val="0"/>
              <w:spacing w:lineRule="auto" w:line="288" w:before="40" w:after="4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SCOTTS PROFESSIONAL PRODUCTS CO., as a Grantor</w:t>
            </w:r>
          </w:p>
          <w:p>
            <w:pPr>
              <w:pStyle w:val="TableContents"/>
              <w:bidi w:val="0"/>
              <w:spacing w:before="40" w:after="40"/>
              <w:jc w:val="left"/>
              <w:rPr/>
            </w:pPr>
            <w:r>
              <w:rPr/>
            </w:r>
          </w:p>
          <w:p>
            <w:pPr>
              <w:pStyle w:val="TableContents"/>
              <w:bidi w:val="0"/>
              <w:spacing w:before="40" w:after="40"/>
              <w:jc w:val="left"/>
              <w:rPr/>
            </w:pPr>
            <w:r>
              <w:rPr/>
            </w:r>
          </w:p>
          <w:p>
            <w:pPr>
              <w:pStyle w:val="TableContents"/>
              <w:bidi w:val="0"/>
              <w:spacing w:lineRule="auto" w:line="288" w:before="40" w:after="4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SCOTTS-SIERRA INVESTMENTS LLC, as a Grantor</w:t>
            </w:r>
          </w:p>
          <w:p>
            <w:pPr>
              <w:pStyle w:val="TableContents"/>
              <w:bidi w:val="0"/>
              <w:spacing w:before="40" w:after="40"/>
              <w:jc w:val="left"/>
              <w:rPr/>
            </w:pPr>
            <w:r>
              <w:rPr/>
            </w:r>
          </w:p>
          <w:p>
            <w:pPr>
              <w:pStyle w:val="TableContents"/>
              <w:bidi w:val="0"/>
              <w:spacing w:before="40" w:after="40"/>
              <w:jc w:val="left"/>
              <w:rPr/>
            </w:pPr>
            <w:r>
              <w:rPr/>
            </w:r>
          </w:p>
          <w:p>
            <w:pPr>
              <w:pStyle w:val="TableContents"/>
              <w:bidi w:val="0"/>
              <w:spacing w:lineRule="auto" w:line="288" w:before="40" w:after="4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BRADFORD K. CHELTON </w:t>
            </w:r>
          </w:p>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Name: Bradford K. Chelton</w:t>
            </w:r>
          </w:p>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SWISS FARMS PRODUCTS, INC., as a Grantor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KEVIN M. GROVE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Kevin M. Grove</w:t>
            </w:r>
          </w:p>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8475"/>
                <wp:effectExtent l="0" t="0" r="0" b="0"/>
                <wp:wrapNone/>
                <wp:docPr id="53" name="Frame5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p>
                  </w:txbxContent>
                </v:textbox>
                <w10:wrap type="none"/>
              </v:rect>
            </w:pict>
          </mc:Fallback>
        </mc:AlternateContent>
      </w:r>
    </w:p>
    <w:tbl>
      <w:tblPr>
        <w:tblW w:w="7095" w:type="dxa"/>
        <w:jc w:val="right"/>
        <w:tblInd w:w="0" w:type="dxa"/>
        <w:tblLayout w:type="fixed"/>
        <w:tblCellMar>
          <w:top w:w="28" w:type="dxa"/>
          <w:left w:w="28" w:type="dxa"/>
          <w:bottom w:w="28" w:type="dxa"/>
          <w:right w:w="28" w:type="dxa"/>
        </w:tblCellMar>
      </w:tblPr>
      <w:tblGrid>
        <w:gridCol w:w="2272"/>
        <w:gridCol w:w="1993"/>
        <w:gridCol w:w="2830"/>
      </w:tblGrid>
      <w:tr>
        <w:trPr/>
        <w:tc>
          <w:tcPr>
            <w:tcW w:w="2272"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SANFORD SCIENTIFIC, INC.,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ROD MCLELLAN COMPANY,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SMGM LLC,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GENSOURCE, INC.,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BRADFORD K. CHELTON </w:t>
            </w:r>
          </w:p>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Name: Bradford K. Chelton</w:t>
            </w:r>
          </w:p>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Title: Secretary and Treasurer</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SCOTTS LIVE GOODS HOLDINGS, INC.,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8475"/>
                <wp:effectExtent l="0" t="0" r="0" b="0"/>
                <wp:wrapNone/>
                <wp:docPr id="54" name="Frame5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p>
                  </w:txbxContent>
                </v:textbox>
                <w10:wrap type="none"/>
              </v:rect>
            </w:pict>
          </mc:Fallback>
        </mc:AlternateContent>
      </w:r>
    </w:p>
    <w:tbl>
      <w:tblPr>
        <w:tblW w:w="7095" w:type="dxa"/>
        <w:jc w:val="right"/>
        <w:tblInd w:w="0" w:type="dxa"/>
        <w:tblLayout w:type="fixed"/>
        <w:tblCellMar>
          <w:top w:w="28" w:type="dxa"/>
          <w:left w:w="28" w:type="dxa"/>
          <w:bottom w:w="28" w:type="dxa"/>
          <w:right w:w="28" w:type="dxa"/>
        </w:tblCellMar>
      </w:tblPr>
      <w:tblGrid>
        <w:gridCol w:w="2271"/>
        <w:gridCol w:w="1996"/>
        <w:gridCol w:w="2828"/>
      </w:tblGrid>
      <w:tr>
        <w:trPr/>
        <w:tc>
          <w:tcPr>
            <w:tcW w:w="227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AEROGROW INTERNATIONAL, INC.,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MARK J. SCHEIWER </w:t>
            </w:r>
          </w:p>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Name: Mark J. Scheiwer</w:t>
            </w:r>
          </w:p>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Chief Accounting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8475"/>
                <wp:effectExtent l="0" t="0" r="0" b="0"/>
                <wp:wrapNone/>
                <wp:docPr id="55" name="Frame5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p>
                  </w:txbxContent>
                </v:textbox>
                <w10:wrap type="none"/>
              </v:rect>
            </w:pict>
          </mc:Fallback>
        </mc:AlternateContent>
      </w:r>
    </w:p>
    <w:tbl>
      <w:tblPr>
        <w:tblW w:w="4965" w:type="dxa"/>
        <w:jc w:val="left"/>
        <w:tblInd w:w="0" w:type="dxa"/>
        <w:tblLayout w:type="fixed"/>
        <w:tblCellMar>
          <w:top w:w="28" w:type="dxa"/>
          <w:left w:w="28" w:type="dxa"/>
          <w:bottom w:w="28" w:type="dxa"/>
          <w:right w:w="28" w:type="dxa"/>
        </w:tblCellMar>
      </w:tblPr>
      <w:tblGrid>
        <w:gridCol w:w="1589"/>
        <w:gridCol w:w="1395"/>
        <w:gridCol w:w="1981"/>
      </w:tblGrid>
      <w:tr>
        <w:trPr/>
        <w:tc>
          <w:tcPr>
            <w:tcW w:w="15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JPMORGAN CHASE BANK, N.A., as Administrative Agent</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RUPAM AGRAWAL </w:t>
            </w:r>
          </w:p>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Name: Rupam Agrawal</w:t>
            </w:r>
          </w:p>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8475"/>
                <wp:effectExtent l="0" t="0" r="0" b="0"/>
                <wp:wrapNone/>
                <wp:docPr id="56" name="Frame56"/>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w:t>
                        <w:br/>
                        <w:t>Seventh Amended and Restated Guarantee and Collateral Agreement dated as of November 21, 2025</w:t>
                        <w:br/>
                        <w:t>The Scotts Miracle-Gro Company</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Amended Guarantee and Collateral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Attached</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SEVENTH AMENDED AND RESTATED GUARANTEE AND COLLATERAL AGREEMENT </w:t>
      </w:r>
    </w:p>
    <w:p>
      <w:pPr>
        <w:pStyle w:val="TextBody"/>
        <w:bidi w:val="0"/>
        <w:spacing w:lineRule="auto" w:line="288" w:before="0" w:after="240"/>
        <w:jc w:val="center"/>
        <w:rPr/>
      </w:pPr>
      <w:r>
        <w:rPr>
          <w:rFonts w:ascii="Times New Roman;serif" w:hAnsi="Times New Roman;serif"/>
          <w:b w:val="false"/>
          <w:color w:val="000000"/>
          <w:sz w:val="22"/>
        </w:rPr>
        <w:t>made by</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22"/>
        </w:rPr>
        <w:t>THE SCOTTS MIRACLE-GRO COMPANY,</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22"/>
        </w:rPr>
        <w:t>EACH DOMESTIC SUBSIDIARY BORROWER</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22"/>
        </w:rPr>
        <w:t>and certain of their Domestic Subsidiaries</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22"/>
        </w:rPr>
        <w:t>in favor of</w:t>
      </w:r>
      <w:r>
        <w:rPr>
          <w:color w:val="000000"/>
        </w:rPr>
        <w:t xml:space="preserve">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JPMORGAN CHASE BANK, N.A., </w:t>
        <w:br/>
        <w:t>as Administrative Agent</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 November 21, 2025</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70" w:type="dxa"/>
        <w:jc w:val="center"/>
        <w:tblInd w:w="0" w:type="dxa"/>
        <w:tblLayout w:type="fixed"/>
        <w:tblCellMar>
          <w:top w:w="28" w:type="dxa"/>
          <w:left w:w="28" w:type="dxa"/>
          <w:bottom w:w="28" w:type="dxa"/>
          <w:right w:w="28" w:type="dxa"/>
        </w:tblCellMar>
      </w:tblPr>
      <w:tblGrid>
        <w:gridCol w:w="178"/>
        <w:gridCol w:w="155"/>
        <w:gridCol w:w="155"/>
        <w:gridCol w:w="155"/>
        <w:gridCol w:w="155"/>
        <w:gridCol w:w="155"/>
        <w:gridCol w:w="428"/>
        <w:gridCol w:w="428"/>
        <w:gridCol w:w="433"/>
        <w:gridCol w:w="787"/>
        <w:gridCol w:w="787"/>
        <w:gridCol w:w="787"/>
        <w:gridCol w:w="787"/>
        <w:gridCol w:w="787"/>
        <w:gridCol w:w="802"/>
        <w:gridCol w:w="202"/>
        <w:gridCol w:w="202"/>
        <w:gridCol w:w="287"/>
      </w:tblGrid>
      <w:tr>
        <w:trPr/>
        <w:tc>
          <w:tcPr>
            <w:tcW w:w="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67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TABLE OF CONTENTS</w:t>
            </w:r>
          </w:p>
        </w:tc>
      </w:tr>
      <w:tr>
        <w:trPr/>
        <w:tc>
          <w:tcPr>
            <w:tcW w:w="697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c>
      </w:tr>
      <w:tr>
        <w:trPr/>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SECTION 1.</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DEFINED TERMS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1.1.</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1.2.</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Definitional Provisions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BORROWER GUARANTEE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2.1.</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 Guarantee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2.2.</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Subrogation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2.3.</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 Etc. with respect to the Obligations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2.4.</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Guarantee Absolute and Unconditional</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2.5.</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Reinstatement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2.6.</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95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2.7.</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Keepwell</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2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SECTION 3.</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DOMESTIC SUBSIDIARY GUARANTEE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3.1.</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Domestic Subsidiary Guarantee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3.2.</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 of Contribution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3.3.</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Subrogation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3.4.</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 Etc. with respect to the Obligations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3.5.</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Guarantees Absolute and Unconditional</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3.6.</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Reinstatement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3.7.</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3.8.</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Keepwell</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 OF SECURITY INTEREST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REPRESENTATIONS AND WARRANTIES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5.1.</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No Other Liens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5.2.</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Perfected First Priority Liens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5.3.</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Jurisdiction of Organization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5.4.</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Domestic Subsidiaries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5.5.</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Pledged Stock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5.6.</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Receivables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5.7.</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5.8.</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Pledged Note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w:t>
            </w:r>
          </w:p>
        </w:tc>
        <w:tc>
          <w:tcPr>
            <w:tcW w:w="4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COVENANTS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9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tbl>
      <w:tblPr>
        <w:tblW w:w="870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28"/>
        <w:gridCol w:w="428"/>
        <w:gridCol w:w="433"/>
        <w:gridCol w:w="1056"/>
        <w:gridCol w:w="1056"/>
        <w:gridCol w:w="1056"/>
        <w:gridCol w:w="1056"/>
        <w:gridCol w:w="1056"/>
        <w:gridCol w:w="1078"/>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6.1.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Delivery of Certificated Securities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6.2.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6.3.</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6.4.</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Perfected Security Interest; Further Documentation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6.5.</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6.6.</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Pledged Stock</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6.7.</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Receivables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6.8.</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6.9.</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Pledged Note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REMEDIAL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7.1.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Certain Matters Relating to Receivables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7.2.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Communications with Obligors; Grantors Remain Liable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7.3.</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Pledged Stock</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7.4.</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to be Turned Over to Administrative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7.5.</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of Proceeds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7.6.</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Code and Other Remedies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7.7.</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7.8.</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Deficiency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ADMINISTRATIVE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8.1.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Agent’s Appointment as Attorney-in-Fact,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8.2.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Duty of Administrative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8.3.</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Execution of Financing Statements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8.4.</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Further Assurances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8.5.</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Authority of Administrative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MISCELLANEOUS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 in Writing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9.3.</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Waiver by Course of Conduct; Cumulative Remedies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9.4.</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 Indemnity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9.5.</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 and Assigns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9.6.</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 of Set-Off</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9.7.</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9.8.</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9.9.</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Headings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 xml:space="preserve">9.10. </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Integration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9.11.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GOVERNING LAW</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9.12.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Submission to Jurisdiction; Waivers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tbl>
      <w:tblPr>
        <w:tblW w:w="8335" w:type="dxa"/>
        <w:jc w:val="center"/>
        <w:tblInd w:w="0" w:type="dxa"/>
        <w:tblLayout w:type="fixed"/>
        <w:tblCellMar>
          <w:top w:w="28" w:type="dxa"/>
          <w:left w:w="28" w:type="dxa"/>
          <w:bottom w:w="28" w:type="dxa"/>
          <w:right w:w="28" w:type="dxa"/>
        </w:tblCellMar>
      </w:tblPr>
      <w:tblGrid>
        <w:gridCol w:w="143"/>
        <w:gridCol w:w="126"/>
        <w:gridCol w:w="126"/>
        <w:gridCol w:w="126"/>
        <w:gridCol w:w="126"/>
        <w:gridCol w:w="126"/>
        <w:gridCol w:w="271"/>
        <w:gridCol w:w="271"/>
        <w:gridCol w:w="276"/>
        <w:gridCol w:w="1540"/>
        <w:gridCol w:w="1540"/>
        <w:gridCol w:w="1540"/>
        <w:gridCol w:w="577"/>
        <w:gridCol w:w="577"/>
        <w:gridCol w:w="579"/>
        <w:gridCol w:w="114"/>
        <w:gridCol w:w="114"/>
        <w:gridCol w:w="163"/>
      </w:tblGrid>
      <w:tr>
        <w:trPr/>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9.13.</w:t>
            </w:r>
          </w:p>
        </w:tc>
        <w:tc>
          <w:tcPr>
            <w:tcW w:w="6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9.14.</w:t>
            </w:r>
          </w:p>
        </w:tc>
        <w:tc>
          <w:tcPr>
            <w:tcW w:w="6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Guarantors and Grantors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9.15.</w:t>
            </w:r>
          </w:p>
        </w:tc>
        <w:tc>
          <w:tcPr>
            <w:tcW w:w="6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Releases; Reinstatement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9.16.</w:t>
            </w:r>
          </w:p>
        </w:tc>
        <w:tc>
          <w:tcPr>
            <w:tcW w:w="6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Conflict of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9.17.</w:t>
            </w:r>
          </w:p>
        </w:tc>
        <w:tc>
          <w:tcPr>
            <w:tcW w:w="6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WAIVER OF JURY TRIAL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9.18.</w:t>
            </w:r>
          </w:p>
        </w:tc>
        <w:tc>
          <w:tcPr>
            <w:tcW w:w="6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and Restatement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15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9"/>
            <w:tcBorders/>
            <w:tcMar>
              <w:top w:w="0" w:type="dxa"/>
              <w:left w:w="0" w:type="dxa"/>
              <w:bottom w:w="0" w:type="dxa"/>
              <w:right w:w="0" w:type="dxa"/>
            </w:tcMar>
            <w:vAlign w:val="center"/>
          </w:tcPr>
          <w:p>
            <w:pPr>
              <w:pStyle w:val="TableContents"/>
              <w:bidi w:val="0"/>
              <w:spacing w:lineRule="auto" w:line="240" w:before="0" w:after="120"/>
              <w:jc w:val="left"/>
              <w:rPr/>
            </w:pPr>
            <w:r>
              <w:rPr>
                <w:color w:val="000000"/>
              </w:rPr>
              <w:t>   </w:t>
            </w:r>
            <w:r>
              <w:rPr>
                <w:rFonts w:ascii="Times New Roman;serif" w:hAnsi="Times New Roman;serif"/>
                <w:b w:val="false"/>
                <w:color w:val="000000"/>
                <w:sz w:val="22"/>
                <w:u w:val="single"/>
              </w:rPr>
              <w:t>SCHEDULES</w:t>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1</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Addresses of Guarantors</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2</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 of Pledged Stock</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3</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Jurisdiction of Incorporation</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4</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Domestic Subsidiaries</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5</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 Whose Capital Stock is not Pledged</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7</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[Reserved]</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8</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Specified Excluded IP</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9</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Pledged Note</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ANNEXES</w:t>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Annex 1</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Assumption Agreement</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Annex 2</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Copyright Security Agreement</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Annex 3</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Patent Security Agreement</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Annex 4</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Trademark Security Agreement</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SEVENTH AMENDED AND RESTATED GUARANTEE AND COLLATERAL AGREEMENT, dated as of November 21, 2025 made by each of the signatories hereto (together with any other entity that may become a party hereto as provided herein, the “</w:t>
      </w:r>
      <w:r>
        <w:rPr>
          <w:rFonts w:ascii="Times New Roman;serif" w:hAnsi="Times New Roman;serif"/>
          <w:b w:val="false"/>
          <w:color w:val="000000"/>
          <w:sz w:val="22"/>
          <w:u w:val="single"/>
        </w:rPr>
        <w:t>Grantors</w:t>
      </w:r>
      <w:r>
        <w:rPr>
          <w:color w:val="000000"/>
        </w:rPr>
        <w:t>”</w:t>
      </w:r>
      <w:r>
        <w:rPr>
          <w:rFonts w:ascii="Times New Roman;serif" w:hAnsi="Times New Roman;serif"/>
          <w:b w:val="false"/>
          <w:color w:val="000000"/>
          <w:sz w:val="22"/>
        </w:rPr>
        <w:t>), in favor of JPMORGAN CHASE BANK, N.A.,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for the banks and other financial institutions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from time to time parties to the Seventh Amended and Restated Credit Agreement, dated as of November 21, 2025 (as amended,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SCOTTS MIRACLE-GRO COMPANY, an Ohio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Subsidiary Borrowers (as defined in the Credit Agreement) from time to time parties to the Credit Agreement, the Co-Syndication Agents and the Co-Documentation Agents named therein and the Administrative Agent.</w:t>
      </w:r>
    </w:p>
    <w:p>
      <w:pPr>
        <w:pStyle w:val="TextBody"/>
        <w:bidi w:val="0"/>
        <w:spacing w:lineRule="auto" w:line="288" w:before="0" w:after="240"/>
        <w:jc w:val="center"/>
        <w:rPr/>
      </w:pPr>
      <w:r>
        <w:rPr>
          <w:rFonts w:ascii="Times New Roman;serif" w:hAnsi="Times New Roman;serif"/>
          <w:b w:val="false"/>
          <w:color w:val="000000"/>
          <w:sz w:val="22"/>
          <w:u w:val="single"/>
        </w:rPr>
        <w:t>W I T N E S S E T H</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pursuant to the Credit Agreement, the Lenders have severally agreed to make extensions of credit to the Company and the Subsidiary Borrowers upon the terms and subject to the conditions set forth therein;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Company and each Subsidiary Borrower is a member of an affiliated group of companies that includes each other Grantor;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proceeds of the extensions of credit under the Credit Agreement will be used in part to enable the Company and each Subsidiary Borrower to make valuable transfers to one or more of the other Grantors in connection with the operation of their respective businesses;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Company, each Subsidiary Borrower and the other Grantors are engaged in related businesses, and each Grantor will derive substantial direct and indirect benefit from the making of the extensions of credit under the Credit Agreement;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it is a condition precedent to the obligation of the Lenders to make their respective extensions of credit to the Company and any Subsidiary Borrower under the Credit Agreement that the Grantors shall have executed and delivered this Agreement to the Administrative Agent for the ratable benefit of the Secured Parties;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it is acknowledged and agreed by each party hereto that (i) this Agreement hereby amends and restates in all respects that certain Sixth Amended and Restated Guarantee and Collateral Agreement (the “</w:t>
      </w:r>
      <w:r>
        <w:rPr>
          <w:rFonts w:ascii="Times New Roman;serif" w:hAnsi="Times New Roman;serif"/>
          <w:b w:val="false"/>
          <w:color w:val="000000"/>
          <w:sz w:val="22"/>
          <w:u w:val="single"/>
        </w:rPr>
        <w:t>Existing Guarantee and Collateral Agreement</w:t>
      </w:r>
      <w:r>
        <w:rPr>
          <w:color w:val="000000"/>
        </w:rPr>
        <w:t>”</w:t>
      </w:r>
      <w:r>
        <w:rPr>
          <w:rFonts w:ascii="Times New Roman;serif" w:hAnsi="Times New Roman;serif"/>
          <w:b w:val="false"/>
          <w:color w:val="000000"/>
          <w:sz w:val="22"/>
        </w:rPr>
        <w:t>) dated as of April 8, 2022, among the Company, the Grantors party thereto, the several banks and other financial institutions parties thereto and the Administrative Agent, in accordance with the terms and conditions set forth in this Agreement, (ii) from and after the date hereof, each reference to the “Agreement” or other reference originally applicable to the Existing Guarantee and Collateral Agreement contained in any Loan Document shall be a reference to this Agreement, as amended, supplemented, restated or otherwise modified from time to time and (iii) it is the intent of the parties hereto that this Agreement not constitute a novation of the obligations and liabilities of the parties under the Existing Guarantee and Collateral Agreement nor impair the liens and security interests created thereunder, but that this Agreement amend and restate in its entirety the Existing Guarantee and Collateral Agreement and re-evidence the obligations and liabilities of each Grantor outstanding thereunder and that such obligations and liabilities shall remain in full force and effect and to the fullest extent permitted by applicable law this Agreement shall not adversely affect the liens and security interests created under the Original Security Agreement or the priority thereof.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in consideration of the premises and to induce the Administrative Agent and the Lenders to enter into the Credit Agreement and to induce the Lenders to make their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respective extensions of credit to the Company and each Subsidiary Borrower thereunder, each Grantor hereby agrees with the Administrative Agent, for the ratable benefit of the Secured Parties,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SECTION 1.</w:t>
      </w:r>
      <w:r>
        <w:rPr>
          <w:color w:val="000000"/>
        </w:rPr>
        <w:t>    </w:t>
      </w:r>
      <w:r>
        <w:rPr>
          <w:rFonts w:ascii="Times New Roman;serif" w:hAnsi="Times New Roman;serif"/>
          <w:b w:val="false"/>
          <w:color w:val="000000"/>
          <w:sz w:val="22"/>
        </w:rPr>
        <w:t>DEFINED TERMS</w:t>
      </w:r>
    </w:p>
    <w:p>
      <w:pPr>
        <w:pStyle w:val="TextBody"/>
        <w:bidi w:val="0"/>
        <w:spacing w:lineRule="auto" w:line="288" w:before="0" w:after="240"/>
        <w:ind w:left="0" w:right="0" w:firstLine="144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Definitions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Unless otherwise defined herein, terms defined in the Credit Agreement and used herein shall have the meanings given to them in the Credit Agreement and the following terms are used herein as defined in the New York UCC: Accounts, Certificated Security, Chattel Paper, Equipment, Inventory, Instruments and Supporting Obligations.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following terms shall have the following meanings:</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After-Acquired Intellectual Property</w:t>
      </w:r>
      <w:r>
        <w:rPr>
          <w:color w:val="000000"/>
        </w:rPr>
        <w:t>”</w:t>
      </w:r>
      <w:r>
        <w:rPr>
          <w:rFonts w:ascii="Times New Roman;serif" w:hAnsi="Times New Roman;serif"/>
          <w:b w:val="false"/>
          <w:color w:val="000000"/>
          <w:sz w:val="22"/>
        </w:rPr>
        <w:t>: as defined in Section 6.8(b).</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this Seventh Amended and Restated Guarantee and Collateral Agreement, as the same may be amended, supplemented or otherwise modified from time to time.</w:t>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2"/>
          <w:u w:val="single"/>
        </w:rPr>
        <w:t>Amendment No. 1 Effective Date</w:t>
      </w:r>
      <w:r>
        <w:rPr>
          <w:color w:val="000000"/>
        </w:rPr>
        <w:t xml:space="preserve">” </w:t>
      </w:r>
      <w:r>
        <w:rPr>
          <w:rFonts w:ascii="Times New Roman;serif" w:hAnsi="Times New Roman;serif"/>
          <w:b w:val="false"/>
          <w:color w:val="000000"/>
          <w:sz w:val="22"/>
        </w:rPr>
        <w:t>means the Amendment Effective Date (as defined in that certain Amendment No. 1, dated as of April 17, 2026, to this Agreement, by and among each Grantor party thereto and the Administrative Agent).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w:t>
      </w:r>
      <w:r>
        <w:rPr>
          <w:rFonts w:ascii="Times New Roman;serif" w:hAnsi="Times New Roman;serif"/>
          <w:b w:val="false"/>
          <w:color w:val="000000"/>
          <w:sz w:val="22"/>
        </w:rPr>
        <w:t>: as defined in Section 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Copyright Licenses</w:t>
      </w:r>
      <w:r>
        <w:rPr>
          <w:color w:val="000000"/>
        </w:rPr>
        <w:t>”</w:t>
      </w:r>
      <w:r>
        <w:rPr>
          <w:rFonts w:ascii="Times New Roman;serif" w:hAnsi="Times New Roman;serif"/>
          <w:b w:val="false"/>
          <w:color w:val="000000"/>
          <w:sz w:val="22"/>
        </w:rPr>
        <w:t>: all agreements, licenses and covenants providing for the grant to or from a Grantor of a license or other right to use or exploit any Copyright or otherwise providing for a covenant not to sue for infringement or other violation of any Copyright.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Copyrights</w:t>
      </w:r>
      <w:r>
        <w:rPr>
          <w:color w:val="000000"/>
        </w:rPr>
        <w:t>”</w:t>
      </w:r>
      <w:r>
        <w:rPr>
          <w:rFonts w:ascii="Times New Roman;serif" w:hAnsi="Times New Roman;serif"/>
          <w:b w:val="false"/>
          <w:color w:val="000000"/>
          <w:sz w:val="22"/>
        </w:rPr>
        <w:t xml:space="preserve">: with respect to any Grantor, all of such Grantor’s right, title and interest in and to all works of authorship and all intellectual property rights therein, all copyrights (whether or not the underlying works of authorship have been published), including but not limited to copyrights in software and databases, all designs (including but not limited to all industrial designs, “Protected Designs” within the meaning of 17 U.S.C. 1301 et. Seq. and Community designs), and all “Mask Works” (as defined in 17 U.S.C. 901 of the U.S. Copyright Act), whether registered or unregistered, and with respect to any and all of the foregoing: (i) all registrations and applications for registration thereof including, without limitation, the registrations and applications in the United States Copyright Office listed on </w:t>
      </w:r>
      <w:r>
        <w:rPr>
          <w:rFonts w:ascii="Times New Roman;serif" w:hAnsi="Times New Roman;serif"/>
          <w:b w:val="false"/>
          <w:color w:val="000000"/>
          <w:sz w:val="22"/>
          <w:u w:val="single"/>
        </w:rPr>
        <w:t>Schedule 6</w:t>
      </w:r>
      <w:r>
        <w:rPr>
          <w:rFonts w:ascii="Times New Roman;serif" w:hAnsi="Times New Roman;serif"/>
          <w:b w:val="false"/>
          <w:color w:val="000000"/>
          <w:sz w:val="22"/>
        </w:rPr>
        <w:t>, (ii) all extensions, renewals, and restorations thereof, (iii) all rights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but excluding any Excluded IP.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IP</w:t>
      </w:r>
      <w:r>
        <w:rPr>
          <w:color w:val="000000"/>
        </w:rPr>
        <w:t>”</w:t>
      </w:r>
      <w:r>
        <w:rPr>
          <w:rFonts w:ascii="Times New Roman;serif" w:hAnsi="Times New Roman;serif"/>
          <w:b w:val="false"/>
          <w:color w:val="000000"/>
          <w:sz w:val="22"/>
        </w:rPr>
        <w:t xml:space="preserve">: (i) [reserved], (ii) the Intellectual Property listed on </w:t>
      </w:r>
      <w:r>
        <w:rPr>
          <w:rFonts w:ascii="Times New Roman;serif" w:hAnsi="Times New Roman;serif"/>
          <w:b w:val="false"/>
          <w:color w:val="000000"/>
          <w:sz w:val="22"/>
          <w:u w:val="single"/>
        </w:rPr>
        <w:t>Schedule 8</w:t>
      </w:r>
      <w:r>
        <w:rPr>
          <w:rFonts w:ascii="Times New Roman;serif" w:hAnsi="Times New Roman;serif"/>
          <w:b w:val="false"/>
          <w:color w:val="000000"/>
          <w:sz w:val="22"/>
        </w:rPr>
        <w:t>, (iii) any foreign Intellectual Property, (iv) any “intent-to-use” application for registration of a Trademark filed pursuant to Section 1(b) of the Lanham Act, 15 U.S.C. § 1051, prior to the filing and acceptance of a “Statement of Use” or an “Amendment to Allege Use”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and (v) any Intellectual Property to the extent that, and for so long as, such Intellectual Property is excluded as Collateral pursuant to the penultimate paragraph of Section 4.</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w:t>
      </w:r>
      <w:r>
        <w:rPr>
          <w:rFonts w:ascii="Times New Roman;serif" w:hAnsi="Times New Roman;serif"/>
          <w:b w:val="false"/>
          <w:color w:val="000000"/>
          <w:sz w:val="22"/>
        </w:rPr>
        <w:t>: any Subsidiary organized under the laws of any jurisdiction outside the United States of America, except for any such Subsidiary which is a “check-the-box” entity under Regulation section 301.7701-3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Subsidiary Voting Stock</w:t>
      </w:r>
      <w:r>
        <w:rPr>
          <w:color w:val="000000"/>
        </w:rPr>
        <w:t>”</w:t>
      </w:r>
      <w:r>
        <w:rPr>
          <w:rFonts w:ascii="Times New Roman;serif" w:hAnsi="Times New Roman;serif"/>
          <w:b w:val="false"/>
          <w:color w:val="000000"/>
          <w:sz w:val="22"/>
        </w:rPr>
        <w:t xml:space="preserve">: the voting Capital Stock of any Foreign Subsidiary.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Full Security Period</w:t>
      </w:r>
      <w:r>
        <w:rPr>
          <w:color w:val="000000"/>
        </w:rPr>
        <w:t>”</w:t>
      </w:r>
      <w:r>
        <w:rPr>
          <w:rFonts w:ascii="Times New Roman;serif" w:hAnsi="Times New Roman;serif"/>
          <w:b w:val="false"/>
          <w:color w:val="000000"/>
          <w:sz w:val="22"/>
        </w:rPr>
        <w:t>: any period from and after the Effective Date other than any Unsecured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Guarantors</w:t>
      </w:r>
      <w:r>
        <w:rPr>
          <w:color w:val="000000"/>
        </w:rPr>
        <w:t>”</w:t>
      </w:r>
      <w:r>
        <w:rPr>
          <w:rFonts w:ascii="Times New Roman;serif" w:hAnsi="Times New Roman;serif"/>
          <w:b w:val="false"/>
          <w:color w:val="000000"/>
          <w:sz w:val="22"/>
        </w:rPr>
        <w:t>: the collective reference to each Grantor other than the Company. For the avoidance of doubt, notwithstanding any other provision of this Agreement, the parties hereto expressly agree that no Foreign Subsidiary shall be a Guarantor.</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Intellectual Property</w:t>
      </w:r>
      <w:r>
        <w:rPr>
          <w:color w:val="000000"/>
        </w:rPr>
        <w:t>”</w:t>
      </w:r>
      <w:r>
        <w:rPr>
          <w:rFonts w:ascii="Times New Roman;serif" w:hAnsi="Times New Roman;serif"/>
          <w:b w:val="false"/>
          <w:color w:val="000000"/>
          <w:sz w:val="22"/>
        </w:rPr>
        <w:t>: with respect to any Grantor, the collective reference to all rights, priorities and privileges relating to intellectual property, including, without limitation, Copyrights, Copyright Licenses, Patents, Patent Licenses, Trademarks, Trademark Licenses, Trade Secrets and Trade Secret Licenses, and all rights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 but excluding any Excluded 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Intellectual Property Security Agreements</w:t>
      </w:r>
      <w:r>
        <w:rPr>
          <w:color w:val="000000"/>
        </w:rPr>
        <w:t>”</w:t>
      </w:r>
      <w:r>
        <w:rPr>
          <w:rFonts w:ascii="Times New Roman;serif" w:hAnsi="Times New Roman;serif"/>
          <w:b w:val="false"/>
          <w:color w:val="000000"/>
          <w:sz w:val="22"/>
        </w:rPr>
        <w:t>: collectively, the Copyright Security Agreements, each substantially the form of Annex 2, the Patent Security Agreements, each substantially in the form of Annex 3 and the Trademark Security Agreements, each substantially in the form of Annex 4.</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Issuers</w:t>
      </w:r>
      <w:r>
        <w:rPr>
          <w:color w:val="000000"/>
        </w:rPr>
        <w:t>”</w:t>
      </w:r>
      <w:r>
        <w:rPr>
          <w:rFonts w:ascii="Times New Roman;serif" w:hAnsi="Times New Roman;serif"/>
          <w:b w:val="false"/>
          <w:color w:val="000000"/>
          <w:sz w:val="22"/>
        </w:rPr>
        <w:t>: the collective reference to each issuer of any Pledged Stock.</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Material Intellectual Property</w:t>
      </w:r>
      <w:r>
        <w:rPr>
          <w:color w:val="000000"/>
        </w:rPr>
        <w:t>”</w:t>
      </w:r>
      <w:r>
        <w:rPr>
          <w:rFonts w:ascii="Times New Roman;serif" w:hAnsi="Times New Roman;serif"/>
          <w:b w:val="false"/>
          <w:color w:val="000000"/>
          <w:sz w:val="22"/>
        </w:rPr>
        <w:t>: has the meaning provided in the Credit Agreement.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New York UCC</w:t>
      </w:r>
      <w:r>
        <w:rPr>
          <w:color w:val="000000"/>
        </w:rPr>
        <w:t>”</w:t>
      </w:r>
      <w:r>
        <w:rPr>
          <w:rFonts w:ascii="Times New Roman;serif" w:hAnsi="Times New Roman;serif"/>
          <w:b w:val="false"/>
          <w:color w:val="000000"/>
          <w:sz w:val="22"/>
        </w:rPr>
        <w:t>: the Uniform Commercial Code as from time to time in effect in the State of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w:t>
      </w:r>
      <w:r>
        <w:rPr>
          <w:rFonts w:ascii="Times New Roman;serif" w:hAnsi="Times New Roman;serif"/>
          <w:b w:val="false"/>
          <w:color w:val="000000"/>
          <w:sz w:val="22"/>
        </w:rPr>
        <w:t>: has the meaning provided in the Credit Agreement.</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Patent Licenses</w:t>
      </w:r>
      <w:r>
        <w:rPr>
          <w:color w:val="000000"/>
        </w:rPr>
        <w:t>”</w:t>
      </w:r>
      <w:r>
        <w:rPr>
          <w:rFonts w:ascii="Times New Roman;serif" w:hAnsi="Times New Roman;serif"/>
          <w:b w:val="false"/>
          <w:color w:val="000000"/>
          <w:sz w:val="22"/>
        </w:rPr>
        <w:t>: all agreements, licenses and covenants providing for the grant to or from a Grantor of a license or other right to use or exploit any Patent or otherwise providing for a covenant not to sue for infringement or other violation of any Patent.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Patents</w:t>
      </w:r>
      <w:r>
        <w:rPr>
          <w:color w:val="000000"/>
        </w:rPr>
        <w:t>”</w:t>
      </w:r>
      <w:r>
        <w:rPr>
          <w:rFonts w:ascii="Times New Roman;serif" w:hAnsi="Times New Roman;serif"/>
          <w:b w:val="false"/>
          <w:color w:val="000000"/>
          <w:sz w:val="22"/>
        </w:rPr>
        <w:t xml:space="preserve">: with respect to any Grantor, all of such Grantor’s right, title and interest in and to all patentable inventions and designs, all patents, certificates of invention, and similar industrial property rights, and applications for any of the foregoing, including, without limitation, (i) each patent and patent application in the United States Patent and Trademark Office listed on </w:t>
      </w:r>
      <w:r>
        <w:rPr>
          <w:rFonts w:ascii="Times New Roman;serif" w:hAnsi="Times New Roman;serif"/>
          <w:b w:val="false"/>
          <w:color w:val="000000"/>
          <w:sz w:val="22"/>
          <w:u w:val="single"/>
        </w:rPr>
        <w:t>Schedule 6</w:t>
      </w:r>
      <w:r>
        <w:rPr>
          <w:rFonts w:ascii="Times New Roman;serif" w:hAnsi="Times New Roman;serif"/>
          <w:b w:val="false"/>
          <w:color w:val="000000"/>
          <w:sz w:val="22"/>
        </w:rPr>
        <w:t>, (ii) all reissues, substitutes, divisions, continuations, continuations-in-part, extensions, renewals, and reexaminations thereof, (iii) all inventions and improvements described and claimed therein, (iv) all rights to sue or otherwise recover for any past, present and future infringement or other violation thereof, (v) all Proceeds of the foregoing, including, without limitation, license fees, royalties, income, payments, claims, damages, proceeds of suit and other payments now or hereafter due and/or payable with respect thereto, and (vi) all other rights accruing thereunder or pertaining thereto; but excluding any Excluded IP.</w:t>
      </w:r>
    </w:p>
    <w:p>
      <w:pPr>
        <w:pStyle w:val="TextBody"/>
        <w:bidi w:val="0"/>
        <w:ind w:left="0" w:right="0" w:firstLine="72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Pledged Note</w:t>
      </w:r>
      <w:r>
        <w:rPr>
          <w:color w:val="000000"/>
        </w:rPr>
        <w:t>”</w:t>
      </w:r>
      <w:r>
        <w:rPr>
          <w:rFonts w:ascii="Times New Roman;serif" w:hAnsi="Times New Roman;serif"/>
          <w:b w:val="false"/>
          <w:color w:val="000000"/>
          <w:sz w:val="22"/>
        </w:rPr>
        <w:t xml:space="preserve">: each promissory note described on </w:t>
      </w:r>
      <w:r>
        <w:rPr>
          <w:rFonts w:ascii="Times New Roman;serif" w:hAnsi="Times New Roman;serif"/>
          <w:b w:val="false"/>
          <w:color w:val="000000"/>
          <w:sz w:val="22"/>
          <w:u w:val="single"/>
        </w:rPr>
        <w:t>Schedule 9</w:t>
      </w:r>
      <w:r>
        <w:rPr>
          <w:color w:val="000000"/>
        </w:rPr>
        <w:t xml:space="preserve"> </w:t>
      </w:r>
      <w:r>
        <w:rPr>
          <w:rFonts w:ascii="Times New Roman;serif" w:hAnsi="Times New Roman;serif"/>
          <w:b w:val="false"/>
          <w:color w:val="000000"/>
          <w:sz w:val="22"/>
        </w:rPr>
        <w:t>and shall include, without limitation, (i) the indebtedness now or hereafter represented thereby and all rights of any Grantor to receive moneys due and to become due to it thereunder or in connection therewith, (ii) all rights of any Grantor to receive proceeds of any insurance, indemnity, warranty or guaranty with respect thereto, (iii) all rights of any Grantor to damages arising thereunder, and (iv) all rights of any Grantor to terminate and to perform, compel performance and to exercise all remedies thereunder.</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Pledged Stock</w:t>
      </w:r>
      <w:r>
        <w:rPr>
          <w:color w:val="000000"/>
        </w:rPr>
        <w:t>”</w:t>
      </w:r>
      <w:r>
        <w:rPr>
          <w:rFonts w:ascii="Times New Roman;serif" w:hAnsi="Times New Roman;serif"/>
          <w:b w:val="false"/>
          <w:color w:val="000000"/>
          <w:sz w:val="22"/>
        </w:rPr>
        <w:t xml:space="preserve">: the shares of Capital Stock listed on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together with any other shares, stock certificates, options or rights of any nature whatsoever in respect of the Capital Stock of any Subsidiary of the Company (to the extent required to be pledged under Section 5.11 of the Credit Agreement) that may be issued or granted to, or held by, any Grantor while this Agreement is in effect;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no event shall the “Pledged Stock” include the Capital Stock of any of the Subsidiaries listed on </w:t>
      </w:r>
      <w:r>
        <w:rPr>
          <w:rFonts w:ascii="Times New Roman;serif" w:hAnsi="Times New Roman;serif"/>
          <w:b w:val="false"/>
          <w:color w:val="000000"/>
          <w:sz w:val="22"/>
          <w:u w:val="single"/>
        </w:rPr>
        <w:t>Schedule 5</w:t>
      </w:r>
      <w:r>
        <w:rPr>
          <w:color w:val="000000"/>
        </w:rPr>
        <w:t xml:space="preserve"> </w:t>
      </w:r>
      <w:r>
        <w:rPr>
          <w:rFonts w:ascii="Times New Roman;serif" w:hAnsi="Times New Roman;serif"/>
          <w:b w:val="false"/>
          <w:color w:val="000000"/>
          <w:sz w:val="22"/>
        </w:rPr>
        <w:t>or more than 65% of the total outstanding Foreign Subsidiary Voting Stock of any Foreign Subsidiary be required to be pledged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Proceeds</w:t>
      </w:r>
      <w:r>
        <w:rPr>
          <w:color w:val="000000"/>
        </w:rPr>
        <w:t>”</w:t>
      </w:r>
      <w:r>
        <w:rPr>
          <w:rFonts w:ascii="Times New Roman;serif" w:hAnsi="Times New Roman;serif"/>
          <w:b w:val="false"/>
          <w:color w:val="000000"/>
          <w:sz w:val="22"/>
        </w:rPr>
        <w:t>: all “proceeds” as such term is defined in Section 9-102(a)(64) of the New York UCC and, in any event, shall include, without limitation, all dividends, distributions or other income from the Pledged Stock and the Pledged Notes, collections thereon or distributions or payments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Keepwell Provider</w:t>
      </w:r>
      <w:r>
        <w:rPr>
          <w:color w:val="000000"/>
        </w:rPr>
        <w:t>”</w:t>
      </w:r>
      <w:r>
        <w:rPr>
          <w:rFonts w:ascii="Times New Roman;serif" w:hAnsi="Times New Roman;serif"/>
          <w:b w:val="false"/>
          <w:color w:val="000000"/>
          <w:sz w:val="22"/>
        </w:rPr>
        <w:t>: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pursuant to section 1a(18)(A)(v)(II) of the Commodity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Ratings Release Date</w:t>
      </w:r>
      <w:r>
        <w:rPr>
          <w:color w:val="000000"/>
        </w:rPr>
        <w:t>”</w:t>
      </w:r>
      <w:r>
        <w:rPr>
          <w:rFonts w:ascii="Times New Roman;serif" w:hAnsi="Times New Roman;serif"/>
          <w:b w:val="false"/>
          <w:color w:val="000000"/>
          <w:sz w:val="22"/>
        </w:rPr>
        <w:t>: as defined in Section 9.15(c).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Receivable</w:t>
      </w:r>
      <w:r>
        <w:rPr>
          <w:color w:val="000000"/>
        </w:rPr>
        <w:t>”</w:t>
      </w:r>
      <w:r>
        <w:rPr>
          <w:rFonts w:ascii="Times New Roman;serif" w:hAnsi="Times New Roman;serif"/>
          <w:b w:val="false"/>
          <w:color w:val="000000"/>
          <w:sz w:val="22"/>
        </w:rPr>
        <w:t>: shall mean any Account and any other right to payment for goods sold or leased or for services rendered, whether or not such right is evidenced by an Instrument or Chattel Paper and whether or not it has been earned by performance, other than Sold Receivables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has the meaning provided in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the Securities Act of 1933,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Specified Conditions</w:t>
      </w:r>
      <w:r>
        <w:rPr>
          <w:color w:val="000000"/>
        </w:rPr>
        <w:t xml:space="preserve">” </w:t>
      </w:r>
      <w:r>
        <w:rPr>
          <w:rFonts w:ascii="Times New Roman;serif" w:hAnsi="Times New Roman;serif"/>
          <w:b w:val="false"/>
          <w:color w:val="000000"/>
          <w:sz w:val="22"/>
        </w:rPr>
        <w:t>means, at any time of determination thereof, (a) no Incremental Term Loans in the form of an institutional term loan B facility have been issued and are outstanding pursuant to Section 2.20 of the Credit Agreement and (b) (i) the Company’s “corporate credit rating” from S&amp;P (or such other term as S&amp;P may from time to time use to describe the Company’s senior unsecured non-credit enhanced long term indebtedness, such rating, the “</w:t>
      </w:r>
      <w:r>
        <w:rPr>
          <w:rFonts w:ascii="Times New Roman;serif" w:hAnsi="Times New Roman;serif"/>
          <w:b w:val="false"/>
          <w:color w:val="000000"/>
          <w:sz w:val="22"/>
          <w:u w:val="single"/>
        </w:rPr>
        <w:t>S&amp;P Rating</w:t>
      </w:r>
      <w:r>
        <w:rPr>
          <w:color w:val="000000"/>
        </w:rPr>
        <w:t>”</w:t>
      </w:r>
      <w:r>
        <w:rPr>
          <w:rFonts w:ascii="Times New Roman;serif" w:hAnsi="Times New Roman;serif"/>
          <w:b w:val="false"/>
          <w:color w:val="000000"/>
          <w:sz w:val="22"/>
        </w:rPr>
        <w:t>) shall be at least BBB- (with a stable outlook) and the Company’s “corporate family rating” from Moody’s (or such other term as Moody’s may from time to time use to describe the Company’s senior unsecured non-credit enhanced long term indebtedness, such rating, the “</w:t>
      </w:r>
      <w:r>
        <w:rPr>
          <w:rFonts w:ascii="Times New Roman;serif" w:hAnsi="Times New Roman;serif"/>
          <w:b w:val="false"/>
          <w:color w:val="000000"/>
          <w:sz w:val="22"/>
          <w:u w:val="single"/>
        </w:rPr>
        <w:t>Moody’s Rating</w:t>
      </w:r>
      <w:r>
        <w:rPr>
          <w:color w:val="000000"/>
        </w:rPr>
        <w:t>”</w:t>
      </w:r>
      <w:r>
        <w:rPr>
          <w:rFonts w:ascii="Times New Roman;serif" w:hAnsi="Times New Roman;serif"/>
          <w:b w:val="false"/>
          <w:color w:val="000000"/>
          <w:sz w:val="22"/>
        </w:rPr>
        <w:t>) shall be at least Baa3 (with a stable outlook) or (ii) (x) the Company’s S&amp;P Rating shall be at least BBB- (with a stable outlook) or the Company’s Moody’s Rating shall be at least Baa3 (with a stable outlook) and (y) the Leverage Ratio is less than or equal to 2.50 to 1.00.</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Swap</w:t>
      </w:r>
      <w:r>
        <w:rPr>
          <w:color w:val="000000"/>
        </w:rPr>
        <w:t xml:space="preserve">” </w:t>
      </w:r>
      <w:r>
        <w:rPr>
          <w:rFonts w:ascii="Times New Roman;serif" w:hAnsi="Times New Roman;serif"/>
          <w:b w:val="false"/>
          <w:color w:val="000000"/>
          <w:sz w:val="22"/>
        </w:rPr>
        <w:t>shall mean any agreement, contract or transaction that constitutes a “swap” within the meaning of section 1a(47) of the Commodity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 Obligation</w:t>
      </w:r>
      <w:r>
        <w:rPr>
          <w:color w:val="000000"/>
        </w:rPr>
        <w:t xml:space="preserve">” </w:t>
      </w:r>
      <w:r>
        <w:rPr>
          <w:rFonts w:ascii="Times New Roman;serif" w:hAnsi="Times New Roman;serif"/>
          <w:b w:val="false"/>
          <w:color w:val="000000"/>
          <w:sz w:val="22"/>
        </w:rPr>
        <w:t>shall mean, with respect to any Person, any obligation to pay or perform under any Swap.</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Trademark Licenses</w:t>
      </w:r>
      <w:r>
        <w:rPr>
          <w:color w:val="000000"/>
        </w:rPr>
        <w:t>”</w:t>
      </w:r>
      <w:r>
        <w:rPr>
          <w:rFonts w:ascii="Times New Roman;serif" w:hAnsi="Times New Roman;serif"/>
          <w:b w:val="false"/>
          <w:color w:val="000000"/>
          <w:sz w:val="22"/>
        </w:rPr>
        <w:t xml:space="preserve">: all agreements, licenses and covenants providing for the grant to or from a Grantor of a license or other right to use or exploit any Trademark or otherwise providing for a covenant not to sue for infringement, dilution, or other violation of any Trademark or permitting co-existence with respect to a Trademark (including, without limitation, those listed on </w:t>
      </w:r>
      <w:r>
        <w:rPr>
          <w:rFonts w:ascii="Times New Roman;serif" w:hAnsi="Times New Roman;serif"/>
          <w:b w:val="false"/>
          <w:color w:val="000000"/>
          <w:sz w:val="22"/>
          <w:u w:val="single"/>
        </w:rPr>
        <w:t>Schedule 6</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Trademarks</w:t>
      </w:r>
      <w:r>
        <w:rPr>
          <w:color w:val="000000"/>
        </w:rPr>
        <w:t>”</w:t>
      </w:r>
      <w:r>
        <w:rPr>
          <w:rFonts w:ascii="Times New Roman;serif" w:hAnsi="Times New Roman;serif"/>
          <w:b w:val="false"/>
          <w:color w:val="000000"/>
          <w:sz w:val="22"/>
        </w:rPr>
        <w:t xml:space="preserve">: with respect to any Grantor, all of such Grantor’s right, title and interest in and to all trademarks, service marks, trade names, corporate names, company names, business names, fictitious business names, trade dress, trade styles, logos, Internet domain names, other indicia of origin or source identification, and general intangibles of a like nature, whether registered or unregistered, and, with respect to any and all of the foregoing, (i) all registrations and applications for registration thereof including, without limitation, the registrations and applications listed on </w:t>
      </w:r>
      <w:r>
        <w:rPr>
          <w:rFonts w:ascii="Times New Roman;serif" w:hAnsi="Times New Roman;serif"/>
          <w:b w:val="false"/>
          <w:color w:val="000000"/>
          <w:sz w:val="22"/>
          <w:u w:val="single"/>
        </w:rPr>
        <w:t>Schedule 6</w:t>
      </w:r>
      <w:r>
        <w:rPr>
          <w:rFonts w:ascii="Times New Roman;serif" w:hAnsi="Times New Roman;serif"/>
          <w:b w:val="false"/>
          <w:color w:val="000000"/>
          <w:sz w:val="22"/>
        </w:rPr>
        <w:t>, (ii) all extensions and renewals thereof, (iii) all of the goodwill of the business connected with the use of and symbolized by any of the foregoing, (iv) all rights to sue or otherwise recover for any past, present and future infringement, dilution, or other violation thereof, (v) all Proceeds of the foregoing, including, without limitation, license fees, royalties, income, payments, claims, damages, proceeds of suit and other payments now or hereafter due and/or payable with respect thereto, and (vi) all other rights of any kind accruing thereunder or pertaining thereto; but excluding any Excluded 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Trade Secret Licenses</w:t>
      </w:r>
      <w:r>
        <w:rPr>
          <w:color w:val="000000"/>
        </w:rPr>
        <w:t>”</w:t>
      </w:r>
      <w:r>
        <w:rPr>
          <w:rFonts w:ascii="Times New Roman;serif" w:hAnsi="Times New Roman;serif"/>
          <w:b w:val="false"/>
          <w:color w:val="000000"/>
          <w:sz w:val="22"/>
        </w:rPr>
        <w:t>: all agreements, licenses and covenants providing for the grant to or from a Grantor of a license or other right to use or exploit any Trade Secret or otherwise providing for a covenant not to sue for misappropriation or other violation of a Trade Secret.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Trade Secrets</w:t>
      </w:r>
      <w:r>
        <w:rPr>
          <w:color w:val="000000"/>
        </w:rPr>
        <w:t>”</w:t>
      </w:r>
      <w:r>
        <w:rPr>
          <w:rFonts w:ascii="Times New Roman;serif" w:hAnsi="Times New Roman;serif"/>
          <w:b w:val="false"/>
          <w:color w:val="000000"/>
          <w:sz w:val="22"/>
        </w:rPr>
        <w:t>: with respect to any Grantor, all of such Grantor’s right, title and interest in and to (i)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and with respect to any and all of the foregoing, (ii) all rights to sue or otherwise recover for any past, present and future misappropriation or other violation thereof, (iii) all Proceeds of the foregoing, including, without limitation, license fees, royalties, income, payments, claims, damages, proceeds of suit and other payments now or hereafter due and/or payable with respect thereto, and (iv) all other rights of any kind accruing thereunder or pertaining thereto; but excluding any Excluded 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Unsecured Period</w:t>
      </w:r>
      <w:r>
        <w:rPr>
          <w:color w:val="000000"/>
        </w:rPr>
        <w:t>”</w:t>
      </w:r>
      <w:r>
        <w:rPr>
          <w:rFonts w:ascii="Times New Roman;serif" w:hAnsi="Times New Roman;serif"/>
          <w:b w:val="false"/>
          <w:color w:val="000000"/>
          <w:sz w:val="22"/>
        </w:rPr>
        <w:t>: as defined in Section 9.15(c).</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Other Definitional Provisions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meanings given to terms defined herein shall be equally applicable to both the singular and plural forms of such terms.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Where the context requires, terms relating to the Collateral or any part thereof, when used in relation to a Grantor, shall refer to such Grantor’s Collateral or the relevant part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SECTION 2.</w:t>
      </w:r>
      <w:r>
        <w:rPr>
          <w:color w:val="000000"/>
        </w:rPr>
        <w:t>    </w:t>
      </w:r>
      <w:r>
        <w:rPr>
          <w:rFonts w:ascii="Times New Roman;serif" w:hAnsi="Times New Roman;serif"/>
          <w:b w:val="false"/>
          <w:color w:val="000000"/>
          <w:sz w:val="22"/>
        </w:rPr>
        <w:t>BORROWER GUARANTEE</w:t>
      </w:r>
    </w:p>
    <w:p>
      <w:pPr>
        <w:pStyle w:val="TextBody"/>
        <w:bidi w:val="0"/>
        <w:spacing w:lineRule="auto" w:line="288" w:before="0" w:after="240"/>
        <w:ind w:left="0" w:right="0" w:firstLine="144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Company Guarantee</w:t>
      </w:r>
      <w:r>
        <w:rPr>
          <w:color w:val="000000"/>
        </w:rPr>
        <w:t xml:space="preserve"> </w:t>
      </w:r>
      <w:r>
        <w:rPr>
          <w:rFonts w:ascii="Times New Roman;serif" w:hAnsi="Times New Roman;serif"/>
          <w:b w:val="false"/>
          <w:color w:val="000000"/>
          <w:sz w:val="22"/>
        </w:rPr>
        <w:t xml:space="preserve">(a) The Company hereby, unconditionally and irrevocably, guarantees to the Administrative Agent, for the ratable benefit of the Secured Parties and their respective successors, indorsees, transferees and assigns, the prompt and complete payment and performance by each Subsidiary when due (whether at the stated maturity, by acceleration or otherwise) of the Obligations (other than with respect to any Guarantor any Excluded Swap Obligations of such Guarantor).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Anything herein or in any other Loan Document to the contrary notwithstanding, the maximum liability of the Company hereunder and under the other Loan Documents shall in no event exceed the amount which can be guaranteed by the Company under applicable federal and state laws relating to the insolvency of debtors.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guarantee contained in this Section 2 shall remain in full force and effect until all the Obligations and the obligations of the Company under the guarantee contained in this Section 2 shall have been satisfied by payment in full, no Letter of Credit shall be outstanding and the Commitments and Loans shall be terminated, notwithstanding that from time to time during the term of the Credit Agreement each applicable Subsidiary may be free from any Obligations.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No payment made by any Subsidiary, any of the other Guarantors, any other guarantor or any other Person or received or collected by the Administrative Agent or any Lender from any Subsidiary, any of the other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the Company hereunder which shall, notwithstanding any such payment (other than any payment made by the Company in respect of the Obligations or any payment received or collected from the Company in respect of the Obligations), remain liable for the Obligations up to the maximum liability of the Company hereunder until the Obligations are paid in full, no Letter of Credit shall be outstanding and the Commitments and Loans are terminated.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No Subrogation</w:t>
      </w:r>
      <w:r>
        <w:rPr>
          <w:rFonts w:ascii="Times New Roman;serif" w:hAnsi="Times New Roman;serif"/>
          <w:b w:val="false"/>
          <w:color w:val="000000"/>
          <w:sz w:val="22"/>
        </w:rPr>
        <w:t>. Notwithstanding any payment or payments made by the Company hereunder, or any set-off or application of funds of the Company by the Administrative Agent or any Lender, the Company shall not be entitled to be subrogated to any of the rights of the Administrative Agent or any Lender against the applicable Subsidiary or against any collateral security or guarantee or right of offset held by the Administrative Agent or any Lender for the payment of the Obligations, nor shall the Company seek or be entitled to seek any contribution or reimbursement from the Subsidiaries in respect of payments made by the Company hereunder, until all amounts owing to the Administrative Agent and the Lenders by the Subsidiaries on account of the Obligations are paid in full, no Letter of Credit shall be outstanding and the Commitments and Loans are terminated. If any amount shall be paid to the Company on account of such subrogation rights at any time when all of the Obligations shall not have been paid in full, such amount shall be held by the Company in trust for the Administrative Agent and the Lenders, segregated from other funds of the Company, and shall, forthwith upon receipt by the Company, be turned over to the Administrative Agent in the exact form received by the Company (duly indorsed by the Company to the Administrative Agent, if required), to be applied against the Obligations, whether matured or unmatured, in such order as the Administrative Agent may determine.</w:t>
      </w:r>
    </w:p>
    <w:p>
      <w:pPr>
        <w:pStyle w:val="TextBody"/>
        <w:bidi w:val="0"/>
        <w:spacing w:lineRule="auto" w:line="288" w:before="0" w:after="240"/>
        <w:ind w:left="0" w:right="0" w:firstLine="1440"/>
        <w:jc w:val="both"/>
        <w:rPr/>
      </w:pPr>
      <w:r>
        <w:rPr>
          <w:rFonts w:ascii="Times New Roman;serif" w:hAnsi="Times New Roman;serif"/>
          <w:b w:val="false"/>
          <w:color w:val="000000"/>
          <w:sz w:val="22"/>
        </w:rPr>
        <w:t>2.3.    </w:t>
      </w:r>
      <w:r>
        <w:rPr>
          <w:rFonts w:ascii="Times New Roman;serif" w:hAnsi="Times New Roman;serif"/>
          <w:b w:val="false"/>
          <w:color w:val="000000"/>
          <w:sz w:val="22"/>
          <w:u w:val="single"/>
        </w:rPr>
        <w:t>Amendments, Etc. with respect to the Obligations</w:t>
      </w:r>
      <w:r>
        <w:rPr>
          <w:rFonts w:ascii="Times New Roman;serif" w:hAnsi="Times New Roman;serif"/>
          <w:b w:val="false"/>
          <w:color w:val="000000"/>
          <w:sz w:val="22"/>
        </w:rPr>
        <w:t xml:space="preserve">. The Company shall remain obligated hereunder notwithstanding that, without any reservation of rights against the Company and without notice to or further assent by the Company, any demand for payment of any of the Obligations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made by the Administrative Agent or any Lender may be rescinded by the Administrative Agent or such Lender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Obligations may be sold, exchanged, waived, surrendered or released. Neither the Administrative Agent nor any Lender shall have any obligation to protect, secure, perfect or insure any Lien at any time held by it as security for the Obligations or for the guarantee contained in this Section 2 or any property subject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2.4.    </w:t>
      </w:r>
      <w:r>
        <w:rPr>
          <w:rFonts w:ascii="Times New Roman;serif" w:hAnsi="Times New Roman;serif"/>
          <w:b w:val="false"/>
          <w:color w:val="000000"/>
          <w:sz w:val="22"/>
          <w:u w:val="single"/>
        </w:rPr>
        <w:t>Guarantee Absolute and Unconditional</w:t>
      </w:r>
      <w:r>
        <w:rPr>
          <w:rFonts w:ascii="Times New Roman;serif" w:hAnsi="Times New Roman;serif"/>
          <w:b w:val="false"/>
          <w:color w:val="000000"/>
          <w:sz w:val="22"/>
        </w:rPr>
        <w:t>. The Company waives any and all notice of the creation, renewal, extension or accrual of any of the Obligations and notice of or proof of reliance by the Administrative Agent or any Lender upon the guarantee contained in this Section 2 or acceptance of the guarantee contained in this Section 2; the Obligations, and any of them, shall conclusively be deemed to have been created, contracted or incurred, or renewed, extended, amended or waived, in reliance upon the guarantee contained in this Section 2; and all dealings between the Company and the Subsidiaries, on the one hand, and the Administrative Agent and the Lenders, on the other hand, likewise shall be conclusively presumed to have been had or consummated in reliance upon the guarantee contained in this Section 2. The Company waives diligence, presentment, protest, demand for payment and notice of default or nonpayment to or upon the Company or the applicable Subsidiary with respect to the Obligations. The Company understands and agrees that the guarantee contained in this Section 2 shall be construed as a continuing, absolute and unconditional guarantee of payment without regard to (a) the validity or enforceability of the Credit Agreement or any other Loan Document, any of the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Subsidiary or any other Person against the Administrative Agent or any Lender, or (c) any other circumstance whatsoever (with or without notice to or knowledge of the Company or any Subsidiary) which constitutes, or might be construed to constitute, an equitable or legal discharge of the Subsidiaries for the Obligations, or of the Company under the guarantee contained in this Section 2, in bankruptcy or in any other instance. When making any demand hereunder or otherwise pursuing its rights and remedies hereunder against the Company, the Administrative Agent or any Lender may, but shall be under no obligation to, make a similar demand on or otherwise pursue such rights and remedies as it may have against the Subsidiaries or any other Person or against any collateral security or guarantee for the Obligations or any right of offset with respect thereto, and any failure by the Administrative Agent or any Lender to make any such demand, to pursue such other rights or remedies or to collect any payments from the Company, any Subsidiary, or any other Person or to realize upon any such collateral security or guarantee or to exercise any such right of offset, or any release of the Company, any Subsidiary or any other Person or any such collateral security, guarantee or right of offset, shall not relieve the Company of any obligation or liability hereunder, and shall not impair or affect the rights and remedies, whether express, implied or available as a matter of law, of the Administrative Agent or any Lender against the Company. For the purposes hereof, “demand” shall include the commencement and continuance of any legal proceedings.</w:t>
      </w:r>
    </w:p>
    <w:p>
      <w:pPr>
        <w:pStyle w:val="TextBody"/>
        <w:bidi w:val="0"/>
        <w:spacing w:lineRule="auto" w:line="288" w:before="0" w:after="240"/>
        <w:ind w:left="0" w:right="0" w:firstLine="1440"/>
        <w:jc w:val="both"/>
        <w:rPr/>
      </w:pPr>
      <w:r>
        <w:rPr>
          <w:rFonts w:ascii="Times New Roman;serif" w:hAnsi="Times New Roman;serif"/>
          <w:b w:val="false"/>
          <w:color w:val="000000"/>
          <w:sz w:val="22"/>
        </w:rPr>
        <w:t>2.5.    </w:t>
      </w:r>
      <w:r>
        <w:rPr>
          <w:rFonts w:ascii="Times New Roman;serif" w:hAnsi="Times New Roman;serif"/>
          <w:b w:val="false"/>
          <w:color w:val="000000"/>
          <w:sz w:val="22"/>
          <w:u w:val="single"/>
        </w:rPr>
        <w:t>Reinstatement</w:t>
      </w:r>
      <w:r>
        <w:rPr>
          <w:rFonts w:ascii="Times New Roman;serif" w:hAnsi="Times New Roman;serif"/>
          <w:b w:val="false"/>
          <w:color w:val="000000"/>
          <w:sz w:val="22"/>
        </w:rPr>
        <w:t xml:space="preserve">. The guarantee contained in this Section 2 shall continue to be effective, or be reinstated, as the case may be, if at any time payment, or any part thereof, of any of the Obligations is rescinded or must otherwise be restored or returned by the Administrative Agent or any Lender upon the insolvency, bankruptcy, dissolution, liquidation or reorganization of the Company, any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Borrower or any other Guarantor, or upon or as a result of the appointment of a receiver, intervenor or conservator of, or trustee or similar officer for, the Company, any Borrower or any other Guarantor or any substantial part of its property, or otherwise, all as though such payments had not been made.</w:t>
      </w:r>
    </w:p>
    <w:p>
      <w:pPr>
        <w:pStyle w:val="TextBody"/>
        <w:bidi w:val="0"/>
        <w:spacing w:lineRule="auto" w:line="288" w:before="0" w:after="240"/>
        <w:ind w:left="0" w:right="0" w:firstLine="1440"/>
        <w:jc w:val="both"/>
        <w:rPr/>
      </w:pPr>
      <w:r>
        <w:rPr>
          <w:rFonts w:ascii="Times New Roman;serif" w:hAnsi="Times New Roman;serif"/>
          <w:b w:val="false"/>
          <w:color w:val="000000"/>
          <w:sz w:val="22"/>
        </w:rPr>
        <w:t>2.6.    </w:t>
      </w:r>
      <w:r>
        <w:rPr>
          <w:rFonts w:ascii="Times New Roman;serif" w:hAnsi="Times New Roman;serif"/>
          <w:b w:val="false"/>
          <w:color w:val="000000"/>
          <w:sz w:val="22"/>
          <w:u w:val="single"/>
        </w:rPr>
        <w:t>Payments</w:t>
      </w:r>
      <w:r>
        <w:rPr>
          <w:rFonts w:ascii="Times New Roman;serif" w:hAnsi="Times New Roman;serif"/>
          <w:b w:val="false"/>
          <w:color w:val="000000"/>
          <w:sz w:val="22"/>
        </w:rPr>
        <w:t>. The Company hereby guarantees that payments hereunder will be paid to the Administrative Agent without set-off or counterclaim in the applicable Agreed Currency at the office of the Administrative Agent located at 500 Stanton Christiana Road, NCC5, Floor 01, Newark, Delaware 19713-2107 or at such other place and time specified by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2.7.    </w:t>
      </w:r>
      <w:r>
        <w:rPr>
          <w:rFonts w:ascii="Times New Roman;serif" w:hAnsi="Times New Roman;serif"/>
          <w:b w:val="false"/>
          <w:color w:val="000000"/>
          <w:sz w:val="22"/>
          <w:u w:val="single"/>
        </w:rPr>
        <w:t>Keepwell</w:t>
      </w:r>
      <w:r>
        <w:rPr>
          <w:rFonts w:ascii="Times New Roman;serif" w:hAnsi="Times New Roman;serif"/>
          <w:b w:val="false"/>
          <w:color w:val="000000"/>
          <w:sz w:val="22"/>
        </w:rPr>
        <w:t>. Each Qualified Keepwell Provider hereby jointly and severally absolutely, unconditionally, and irrevocably undertakes to provide such funds or other support as may be needed from time to time by each other Loan Party to honor all of its obligations under this guarantee in respect of any Swap Obligation (provided, however, that each Qualified Keepwell Provider shall only be liable under this Section 2.7 for the maximum amount of such liability that can be hereby incurred without rendering its obligations under this Section 2.7, or otherwise under this guarantee, voidable under applicable law relating to fraudulent conveyance or fraudulent transfer, and not for any greater amount). The obligations of each Qualified Keepwell Provider under this Section 2.7 shall remain in full force and effect until such time as the Loans, the Reimbursement Obligations and the other Obligations shall have been paid in full (other than unasserted contingent obligations not yet due and payable), the Commitments have been terminated and no Letters of Credit shall be outstanding. Each Qualified Keepwell Provider intends that this Section 2.7 constitute, and this Section 2.7 shall be deemed to constitute, a “keepwell, support, or other agreement” for the benefit of each other Loan Party for all purposes of section 1a(18)(A)(v)(II) of the Commodity Exchange Act.</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SECTION 3.</w:t>
      </w:r>
      <w:r>
        <w:rPr>
          <w:color w:val="000000"/>
        </w:rPr>
        <w:t>    </w:t>
      </w:r>
      <w:r>
        <w:rPr>
          <w:rFonts w:ascii="Times New Roman;serif" w:hAnsi="Times New Roman;serif"/>
          <w:b w:val="false"/>
          <w:color w:val="000000"/>
          <w:sz w:val="22"/>
        </w:rPr>
        <w:t>DOMESTIC SUBSIDIARY GUARANTEE</w:t>
      </w:r>
    </w:p>
    <w:p>
      <w:pPr>
        <w:pStyle w:val="TextBody"/>
        <w:bidi w:val="0"/>
        <w:spacing w:lineRule="auto" w:line="288" w:before="0" w:after="240"/>
        <w:ind w:left="0" w:right="0" w:firstLine="1440"/>
        <w:jc w:val="both"/>
        <w:rPr/>
      </w:pPr>
      <w:r>
        <w:rPr>
          <w:rFonts w:ascii="Times New Roman;serif" w:hAnsi="Times New Roman;serif"/>
          <w:b w:val="false"/>
          <w:color w:val="000000"/>
          <w:sz w:val="22"/>
        </w:rPr>
        <w:t>3.1.    </w:t>
      </w:r>
      <w:r>
        <w:rPr>
          <w:rFonts w:ascii="Times New Roman;serif" w:hAnsi="Times New Roman;serif"/>
          <w:b w:val="false"/>
          <w:color w:val="000000"/>
          <w:sz w:val="22"/>
          <w:u w:val="single"/>
        </w:rPr>
        <w:t>Domestic Subsidiary Guarantee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Each of the Guarantors hereby, jointly and severally, unconditionally and irrevocably, guarantees to the Administrative Agent, for the ratable benefit of the Secured Parties and their respective successors, indorsees, transferees and assigns, the prompt and complete payment and performance by the Company and its Subsidiaries when due (whether at the stated maturity, by acceleration or otherwise) of the Obligations (other than with respect to any Guarantor any Excluded Swap Obligations of such Guarantor).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Anything herein or in any other Loan Document to the contrary notwithstanding, the maximum liability of each Guarantor hereunder and under the other Loan Documents shall in no event exceed the amount which can be guaranteed by such Guarantor under applicable federal and state laws relating to the insolvency of debtors (after giving effect to the right of contribution established in Section 3.2).</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Each Guarantor agrees that the Obligations either solely or collectively, may at any time and from time to time exceed the amount of the liability of such Guarantor hereunder without impairing the guarantee contained in this Section 3 or affecting the rights and remedies of the Administrative Agent or any Lender hereunder.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guarantees contained in this Section 3 shall remain in full force and effect until all the Obligations and the obligations of each Guarantor under the guarantees contained in this Section 3 shall have been satisfied by payment in full, no Letter of Credit shall be outstanding and the Commitments and Loans shall be terminated, notwithstanding that from time to time during the term of the Credit Agreement, the Company and its Subsidiaries may be free from any Obligations.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No payment made by the Company, any of the Guarantors, any other guarantor or any other Person or received or collected by the Administrative Agent or any Lender from the Company,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no Letter of Credit shall be outstanding and the Commitments and Loans are terminated.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3.2.    </w:t>
      </w:r>
      <w:r>
        <w:rPr>
          <w:rFonts w:ascii="Times New Roman;serif" w:hAnsi="Times New Roman;serif"/>
          <w:b w:val="false"/>
          <w:color w:val="000000"/>
          <w:sz w:val="22"/>
          <w:u w:val="single"/>
        </w:rPr>
        <w:t>Right of Contribution</w:t>
      </w:r>
      <w:r>
        <w:rPr>
          <w:rFonts w:ascii="Times New Roman;serif" w:hAnsi="Times New Roman;serif"/>
          <w:b w:val="false"/>
          <w:color w:val="000000"/>
          <w:sz w:val="22"/>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3.3. The provisions of this Section 3.2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3.3.    </w:t>
      </w:r>
      <w:r>
        <w:rPr>
          <w:rFonts w:ascii="Times New Roman;serif" w:hAnsi="Times New Roman;serif"/>
          <w:b w:val="false"/>
          <w:color w:val="000000"/>
          <w:sz w:val="22"/>
          <w:u w:val="single"/>
        </w:rPr>
        <w:t>No Subrogation</w:t>
      </w:r>
      <w:r>
        <w:rPr>
          <w:rFonts w:ascii="Times New Roman;serif" w:hAnsi="Times New Roman;serif"/>
          <w:b w:val="false"/>
          <w:color w:val="000000"/>
          <w:sz w:val="22"/>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Company or any other Guarantor or any collateral security or guarantee or right of offset held by the Administrative Agent or any Lender for the payment of the Obligations nor shall any Guarantor seek or be entitled to seek any contribution or reimbursement from the Company or any other Guarantor in respect of payments made by such Guarantor hereunder, until all amounts owing to the Administrative Agent and the Lenders by the Company or any Subsidiary on account of the Obligations are paid in full, no Letter of Credit shall be outstanding and the Commitments and Loans are terminated. If any amount shall be paid to any Guarantor on account of such subrogation rights at any time when all of the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w:t>
      </w:r>
    </w:p>
    <w:p>
      <w:pPr>
        <w:pStyle w:val="TextBody"/>
        <w:bidi w:val="0"/>
        <w:spacing w:lineRule="auto" w:line="288" w:before="0" w:after="240"/>
        <w:ind w:left="0" w:right="0" w:firstLine="1440"/>
        <w:jc w:val="both"/>
        <w:rPr/>
      </w:pPr>
      <w:r>
        <w:rPr>
          <w:rFonts w:ascii="Times New Roman;serif" w:hAnsi="Times New Roman;serif"/>
          <w:b w:val="false"/>
          <w:color w:val="000000"/>
          <w:sz w:val="22"/>
        </w:rPr>
        <w:t>3.4.    </w:t>
      </w:r>
      <w:r>
        <w:rPr>
          <w:rFonts w:ascii="Times New Roman;serif" w:hAnsi="Times New Roman;serif"/>
          <w:b w:val="false"/>
          <w:color w:val="000000"/>
          <w:sz w:val="22"/>
          <w:u w:val="single"/>
        </w:rPr>
        <w:t>Amendments, Etc. with respect to the Obligations</w:t>
      </w:r>
      <w:r>
        <w:rPr>
          <w:rFonts w:ascii="Times New Roman;serif" w:hAnsi="Times New Roman;serif"/>
          <w:b w:val="false"/>
          <w:color w:val="000000"/>
          <w:sz w:val="22"/>
        </w:rPr>
        <w:t xml:space="preserve">. Each Guarantor shall remain obligated hereunder notwithstanding that, without any reservation of rights against any Guarantor and without notice to or further assent by any Guarantor, any demand for payment of any of the Obligations made by the Administrative Agent or any Lender may be rescinded by the Administrative Agent or such Lender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Obligations may be sold, exchanged, waived, surrendered or released. Neither the Administrative Agent nor any Lender shall have any obligation to protect, secure, perfect or insure any Lien at any time held by it as security for the Obligations or for the guarantee contained in this Section 3 or any property subject thereto.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3.5.    </w:t>
      </w:r>
      <w:r>
        <w:rPr>
          <w:rFonts w:ascii="Times New Roman;serif" w:hAnsi="Times New Roman;serif"/>
          <w:b w:val="false"/>
          <w:color w:val="000000"/>
          <w:sz w:val="22"/>
          <w:u w:val="single"/>
        </w:rPr>
        <w:t>Guarantees Absolute and Unconditional</w:t>
      </w:r>
      <w:r>
        <w:rPr>
          <w:rFonts w:ascii="Times New Roman;serif" w:hAnsi="Times New Roman;serif"/>
          <w:b w:val="false"/>
          <w:color w:val="000000"/>
          <w:sz w:val="22"/>
        </w:rPr>
        <w:t>. Each Guarantor waives any and all notice of the creation, renewal, extension or accrual of any of the Obligations and notice of or proof of reliance by the Administrative Agent or any Lender upon any of the guarantees contained in this Section 3 or acceptance of the guarantees contained in this Section 3; the Obligations and any of them, shall conclusively be deemed to have been created, contracted or incurred, or renewed, extended, amended or waived, in reliance upon the guarantee contained in this Section 3; and all dealings between the Company and any of the Guarantors, on the one hand, and the Administrative Agent and the Lenders, on the other hand, likewise shall be conclusively presumed to have been had or consummated in reliance upon the guarantee contained in this Section 3. Each Guarantor waives diligence, presentment, protest, demand for payment and notice of default or nonpayment to or upon the Company or any of the Guarantors with respect to the Obligations. Each Guarantor understands and agrees that the guarantees contained in this Section 3 shall be construed as a continuing, absolute and unconditional guarantee of payment without regard to (a) the validity or enforceability of the Credit Agreement or any other Loan Document, any of the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Company or any other Person against the Administrative Agent or any Lender, or (c) any other circumstance whatsoever (with or without notice to or knowledge of the Company or such Guarantor) which constitutes, or might be construed to constitute, an equitable or legal discharge of the Obligations, or of such Guarantor under the guarantee contained in this Section 3,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Company, any other Guarantor or any other Person or against any collateral security or guarantee for the Obligations or any right of offset with respect thereto, and any failure by the Administrative Agent or any Lender to make any such demand, to pursue such other rights or remedies or to collect any payments from the Company, any other Guarantor or any other Person or to realize upon any such collateral security or guarantee or to exercise any such right of offset, or any release of the Company,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pStyle w:val="TextBody"/>
        <w:bidi w:val="0"/>
        <w:spacing w:lineRule="auto" w:line="288" w:before="0" w:after="240"/>
        <w:ind w:left="0" w:right="0" w:firstLine="1440"/>
        <w:jc w:val="both"/>
        <w:rPr/>
      </w:pPr>
      <w:r>
        <w:rPr>
          <w:rFonts w:ascii="Times New Roman;serif" w:hAnsi="Times New Roman;serif"/>
          <w:b w:val="false"/>
          <w:color w:val="000000"/>
          <w:sz w:val="22"/>
        </w:rPr>
        <w:t>3.6.    </w:t>
      </w:r>
      <w:r>
        <w:rPr>
          <w:rFonts w:ascii="Times New Roman;serif" w:hAnsi="Times New Roman;serif"/>
          <w:b w:val="false"/>
          <w:color w:val="000000"/>
          <w:sz w:val="22"/>
          <w:u w:val="single"/>
        </w:rPr>
        <w:t>Reinstatement</w:t>
      </w:r>
      <w:r>
        <w:rPr>
          <w:rFonts w:ascii="Times New Roman;serif" w:hAnsi="Times New Roman;serif"/>
          <w:b w:val="false"/>
          <w:color w:val="000000"/>
          <w:sz w:val="22"/>
        </w:rPr>
        <w:t>. The guarantees contained in this Section 3 shall continue to be effective, or be reinstated, as the case may be, if at any time payment, or any part thereof, of any of the Obligations, is rescinded or must otherwise be restored or returned by the Administrative Agent or any Lender upon the insolvency, bankruptcy, dissolution, liquidation or reorganization of the Company or any Guarantor, or upon or as a result of the appointment of a receiver, intervenor or conservator of, or trustee or similar officer for, the Company or any Guarantor or any substantial part of its property, or otherwise, all as though such payments had not been made.</w:t>
      </w:r>
    </w:p>
    <w:p>
      <w:pPr>
        <w:pStyle w:val="TextBody"/>
        <w:bidi w:val="0"/>
        <w:spacing w:lineRule="auto" w:line="288" w:before="0" w:after="240"/>
        <w:ind w:left="0" w:right="0" w:firstLine="1440"/>
        <w:jc w:val="both"/>
        <w:rPr/>
      </w:pPr>
      <w:r>
        <w:rPr>
          <w:rFonts w:ascii="Times New Roman;serif" w:hAnsi="Times New Roman;serif"/>
          <w:b w:val="false"/>
          <w:color w:val="000000"/>
          <w:sz w:val="22"/>
        </w:rPr>
        <w:t>3.7.    </w:t>
      </w:r>
      <w:r>
        <w:rPr>
          <w:rFonts w:ascii="Times New Roman;serif" w:hAnsi="Times New Roman;serif"/>
          <w:b w:val="false"/>
          <w:color w:val="000000"/>
          <w:sz w:val="22"/>
          <w:u w:val="single"/>
        </w:rPr>
        <w:t>Payments</w:t>
      </w:r>
      <w:r>
        <w:rPr>
          <w:rFonts w:ascii="Times New Roman;serif" w:hAnsi="Times New Roman;serif"/>
          <w:b w:val="false"/>
          <w:color w:val="000000"/>
          <w:sz w:val="22"/>
        </w:rPr>
        <w:t>. Each Guarantor hereby guarantees that payments hereunder will be paid to the Administrative Agent without set-off or counterclaim in Dollars or the applicable Agreed Currency at the office of the Administrative Agent located at 500 Stanton Christiana Road, NCC5, Floor 01, Newark, Delaware 19713-2107</w:t>
      </w:r>
      <w:r>
        <w:rPr>
          <w:color w:val="000000"/>
        </w:rPr>
        <w:t xml:space="preserve"> </w:t>
      </w:r>
      <w:r>
        <w:rPr>
          <w:rFonts w:ascii="Times New Roman;serif" w:hAnsi="Times New Roman;serif"/>
          <w:b w:val="false"/>
          <w:color w:val="000000"/>
          <w:sz w:val="22"/>
        </w:rPr>
        <w:t>or at such other place and time specified by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3.8.    </w:t>
      </w:r>
      <w:r>
        <w:rPr>
          <w:rFonts w:ascii="Times New Roman;serif" w:hAnsi="Times New Roman;serif"/>
          <w:b w:val="false"/>
          <w:color w:val="000000"/>
          <w:sz w:val="22"/>
          <w:u w:val="single"/>
        </w:rPr>
        <w:t>Keepwell</w:t>
      </w:r>
      <w:r>
        <w:rPr>
          <w:rFonts w:ascii="Times New Roman;serif" w:hAnsi="Times New Roman;serif"/>
          <w:b w:val="false"/>
          <w:color w:val="000000"/>
          <w:sz w:val="22"/>
        </w:rPr>
        <w:t>. Each Qualified Keepwell Provider hereby jointly and severally absolutely, unconditionally, and irrevocably undertakes to provide such funds or other support as may be needed from time to time by each other Loan Party to honor all of its obligations under this guarantee in respect of any Swap Obligation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however, that each Qualified Keepwell Provider shall only be liable under this Section 3.8 for the maximum amount of such liability that can be hereby incurred without rendering its obligations under this Section 3.8, or otherwise under this guarantee, voidable under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law relating to fraudulent conveyance or fraudulent transfer, and not for any greater amount). The obligations of each Qualified Keepwell Provider under this Section 3.8 shall remain in full force and effect until such time as the Loans, the Reimbursement Obligations and the other Obligations shall have been paid in full (other than unasserted contingent obligations not yet due and payable), the Commitments have been terminated and no Letters of Credit shall be outstanding. Each Qualified Keepwell Provider intends that this Section 3.8 constitute, and this Section 3.8 shall be deemed to constitute, a “keepwell, support, or other agreement” for the benefit of each other Loan Party for all purposes of section 1a(18)(A)(v)(II) of the Commodity Exchange Act.</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SECTION 4.</w:t>
      </w:r>
      <w:r>
        <w:rPr>
          <w:color w:val="000000"/>
        </w:rPr>
        <w:t>    </w:t>
      </w:r>
      <w:r>
        <w:rPr>
          <w:rFonts w:ascii="Times New Roman;serif" w:hAnsi="Times New Roman;serif"/>
          <w:b w:val="false"/>
          <w:color w:val="000000"/>
          <w:sz w:val="22"/>
        </w:rPr>
        <w:t>GRANT OF SECURITY INTEREST</w:t>
      </w:r>
    </w:p>
    <w:p>
      <w:pPr>
        <w:pStyle w:val="TextBody"/>
        <w:bidi w:val="0"/>
        <w:spacing w:lineRule="auto" w:line="288" w:before="0" w:after="240"/>
        <w:ind w:left="0" w:right="0" w:firstLine="1440"/>
        <w:jc w:val="both"/>
        <w:rPr/>
      </w:pPr>
      <w:r>
        <w:rPr>
          <w:rFonts w:ascii="Times New Roman;serif" w:hAnsi="Times New Roman;serif"/>
          <w:b w:val="false"/>
          <w:color w:val="000000"/>
          <w:sz w:val="22"/>
        </w:rPr>
        <w:t>Subject to Section 9.15, each Grantor hereby assigns and transfers to the Administrative Agent, and hereby grants to the Administrative Agent, for the ratable benefit of the Secured Parties, a security interest in, all of the following property now owned or at any time hereafter acquired by such Grantor or in which such Grantor now has or at any time in the future may acquire any right, title or interest (collectively, the “</w:t>
      </w:r>
      <w:r>
        <w:rPr>
          <w:rFonts w:ascii="Times New Roman;serif" w:hAnsi="Times New Roman;serif"/>
          <w:b w:val="false"/>
          <w:color w:val="000000"/>
          <w:sz w:val="22"/>
          <w:u w:val="single"/>
        </w:rPr>
        <w:t>Collateral</w:t>
      </w:r>
      <w:r>
        <w:rPr>
          <w:color w:val="000000"/>
        </w:rPr>
        <w:t>”</w:t>
      </w:r>
      <w:r>
        <w:rPr>
          <w:rFonts w:ascii="Times New Roman;serif" w:hAnsi="Times New Roman;serif"/>
          <w:b w:val="false"/>
          <w:color w:val="000000"/>
          <w:sz w:val="22"/>
        </w:rPr>
        <w:t>), as collateral security for the prompt and complete payment and performance when due (whether at the stated maturity, by acceleration or otherwise) of the Obligations: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all Receivables;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Equipment;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all Inventory;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all Pledged Stock;</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all Intellectual Property;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Pledged Notes;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all books and records pertaining to the Collateral;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to the extent not otherwise included, all Proceeds, Supporting Obligations and products of any and all of the foregoing.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Notwithstanding any of the other provisions set forth in this Section 4, this Agreement shall not constitute a grant of a security interest in any property to the extent that such grant of a security interest is prohibited by any Requirements of Law of a Governmental Authority, requires a consent not obtained of any Governmental Authority pursuant to such Requirement of Law or is prohibited by, or constitutes a breach or default under or results in the termination of or requires any consent not obtained under, any contract, license, agreement, instrument or other document evidencing or giving rise to such property or, in the case of any Pledged Stock,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For the avoidance of doubt, the grant of a security interest herein shall not be deemed to be an assignment of Intellectual Property rights owned by the Grantors.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Without limiting the foregoing, each of the Grantors that is a party to the Existing Guarantee and Collateral Agreement hereby regrants, confirms, ratifies and reaffirms the security interest granted to the Administrative Agent, for the benefit of the Secured Parties, pursuant to the Existing Guarantee and Collateral Agreement and agrees that such security interest (including, without limitation,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filings made in connection therewith) remains in full force and effect and is hereby ratified, reaffirmed and confirmed.</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REPRESENTATIONS AND WARRANTIES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To induce the Administrative Agent and the Lenders to enter into the Credit Agreement and to induce the Lenders to make their respective extensions of credit to the Company and each Subsidiary Borrower thereunder, each Grantor hereby represents and warrants to the Administrative Agent and each Lender that other than during any Unsecured Period:</w:t>
      </w:r>
    </w:p>
    <w:p>
      <w:pPr>
        <w:pStyle w:val="TextBody"/>
        <w:bidi w:val="0"/>
        <w:spacing w:lineRule="auto" w:line="288" w:before="0" w:after="240"/>
        <w:ind w:left="0" w:right="0" w:firstLine="1440"/>
        <w:jc w:val="both"/>
        <w:rPr/>
      </w:pPr>
      <w:r>
        <w:rPr>
          <w:rFonts w:ascii="Times New Roman;serif" w:hAnsi="Times New Roman;serif"/>
          <w:b w:val="false"/>
          <w:color w:val="000000"/>
          <w:sz w:val="22"/>
        </w:rPr>
        <w:t>5.1.    </w:t>
      </w:r>
      <w:r>
        <w:rPr>
          <w:rFonts w:ascii="Times New Roman;serif" w:hAnsi="Times New Roman;serif"/>
          <w:b w:val="false"/>
          <w:color w:val="000000"/>
          <w:sz w:val="22"/>
          <w:u w:val="single"/>
        </w:rPr>
        <w:t>Title; No Other Liens</w:t>
      </w:r>
      <w:r>
        <w:rPr>
          <w:rFonts w:ascii="Times New Roman;serif" w:hAnsi="Times New Roman;serif"/>
          <w:b w:val="false"/>
          <w:color w:val="000000"/>
          <w:sz w:val="22"/>
        </w:rPr>
        <w:t>. Except for the security interest granted to the Administrative Agent for the ratable benefit of the Secured Parties pursuant to this Agreement and the other Liens permitted to exist on the Collateral by the Credit Agreement, such Grantor owns each item of the Collateral free and clear of any and all Liens or claims of others. No financing statement or other public notice with respect to all or any part of the Collateral is on file or of record in any public office, except such as have been filed in favor of the Administrative Agent, for the ratable benefit of the Secured Parties, pursuant to this Agreement or as are permitted by the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5.2.    </w:t>
      </w:r>
      <w:r>
        <w:rPr>
          <w:rFonts w:ascii="Times New Roman;serif" w:hAnsi="Times New Roman;serif"/>
          <w:b w:val="false"/>
          <w:color w:val="000000"/>
          <w:sz w:val="22"/>
          <w:u w:val="single"/>
        </w:rPr>
        <w:t>Perfected First Priority Liens</w:t>
      </w:r>
      <w:r>
        <w:rPr>
          <w:rFonts w:ascii="Times New Roman;serif" w:hAnsi="Times New Roman;serif"/>
          <w:b w:val="false"/>
          <w:color w:val="000000"/>
          <w:sz w:val="22"/>
        </w:rPr>
        <w:t xml:space="preserve">. The security interests granted pursuant to this Agreement will constitute valid perfected security interests in all of the Collateral in favor of the Administrative Agent, for the ratable benefit of the Secured Parties, as collateral security for the Obligations, enforceable in accordance with the terms hereof against all creditors of such Grantor and any Persons purporting to purchase any Collateral from such Grantor (other than Inventory sold by such Grantor in the ordinary course of business and except as otherwise permitted by the Credit Agreement), to the extent that perfection or enforceability against third parties is obtainable by completion of the filings and other actions set forth on </w:t>
      </w:r>
      <w:r>
        <w:rPr>
          <w:rFonts w:ascii="Times New Roman;serif" w:hAnsi="Times New Roman;serif"/>
          <w:b w:val="false"/>
          <w:color w:val="000000"/>
          <w:sz w:val="22"/>
          <w:u w:val="single"/>
        </w:rPr>
        <w:t>Schedule 3</w:t>
      </w:r>
      <w:r>
        <w:rPr>
          <w:color w:val="000000"/>
        </w:rPr>
        <w:t xml:space="preserve"> </w:t>
      </w:r>
      <w:r>
        <w:rPr>
          <w:rFonts w:ascii="Times New Roman;serif" w:hAnsi="Times New Roman;serif"/>
          <w:b w:val="false"/>
          <w:color w:val="000000"/>
          <w:sz w:val="22"/>
        </w:rPr>
        <w:t>or any similar filings or other actions in other jurisdictions in the United States of America and are prior to all other Liens on the Collateral which have priority over the Liens on the Collateral by operation of law and other Liens on the Collateral permitted by the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5.3.    </w:t>
      </w:r>
      <w:r>
        <w:rPr>
          <w:rFonts w:ascii="Times New Roman;serif" w:hAnsi="Times New Roman;serif"/>
          <w:b w:val="false"/>
          <w:color w:val="000000"/>
          <w:sz w:val="22"/>
          <w:u w:val="single"/>
        </w:rPr>
        <w:t>Jurisdiction of Organization</w:t>
      </w:r>
      <w:r>
        <w:rPr>
          <w:rFonts w:ascii="Times New Roman;serif" w:hAnsi="Times New Roman;serif"/>
          <w:b w:val="false"/>
          <w:color w:val="000000"/>
          <w:sz w:val="22"/>
        </w:rPr>
        <w:t xml:space="preserve">. On the Effective Date, such Grantor’s jurisdiction of organization and identification number from the jurisdiction of organization (if any) are set forth on </w:t>
      </w:r>
      <w:r>
        <w:rPr>
          <w:rFonts w:ascii="Times New Roman;serif" w:hAnsi="Times New Roman;serif"/>
          <w:b w:val="false"/>
          <w:color w:val="000000"/>
          <w:sz w:val="22"/>
          <w:u w:val="single"/>
        </w:rPr>
        <w:t>Schedule 3</w:t>
      </w:r>
      <w:r>
        <w:rPr>
          <w:rFonts w:ascii="Times New Roman;serif" w:hAnsi="Times New Roman;serif"/>
          <w:b w:val="false"/>
          <w:color w:val="000000"/>
          <w:sz w:val="22"/>
        </w:rPr>
        <w:t>. Such Grantor has furnished to the Administrative Agent a certified charter, certificate of incorporation or other organizational document and good standing certificate as of a date which is recent to the Effective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5.4.    </w:t>
      </w:r>
      <w:r>
        <w:rPr>
          <w:rFonts w:ascii="Times New Roman;serif" w:hAnsi="Times New Roman;serif"/>
          <w:b w:val="false"/>
          <w:color w:val="000000"/>
          <w:sz w:val="22"/>
          <w:u w:val="single"/>
        </w:rPr>
        <w:t>Domestic Subsidiaries</w:t>
      </w:r>
      <w:r>
        <w:rPr>
          <w:rFonts w:ascii="Times New Roman;serif" w:hAnsi="Times New Roman;serif"/>
          <w:b w:val="false"/>
          <w:color w:val="000000"/>
          <w:sz w:val="22"/>
        </w:rPr>
        <w:t xml:space="preserve">. On the Effective Date, </w:t>
      </w:r>
      <w:r>
        <w:rPr>
          <w:rFonts w:ascii="Times New Roman;serif" w:hAnsi="Times New Roman;serif"/>
          <w:b w:val="false"/>
          <w:color w:val="000000"/>
          <w:sz w:val="22"/>
          <w:u w:val="single"/>
        </w:rPr>
        <w:t>Schedule 4</w:t>
      </w:r>
      <w:r>
        <w:rPr>
          <w:color w:val="000000"/>
        </w:rPr>
        <w:t xml:space="preserve"> </w:t>
      </w:r>
      <w:r>
        <w:rPr>
          <w:rFonts w:ascii="Times New Roman;serif" w:hAnsi="Times New Roman;serif"/>
          <w:b w:val="false"/>
          <w:color w:val="000000"/>
          <w:sz w:val="22"/>
        </w:rPr>
        <w:t>sets forth a true and complete list of the Domestic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5.5.    </w:t>
      </w:r>
      <w:r>
        <w:rPr>
          <w:rFonts w:ascii="Times New Roman;serif" w:hAnsi="Times New Roman;serif"/>
          <w:b w:val="false"/>
          <w:color w:val="000000"/>
          <w:sz w:val="22"/>
          <w:u w:val="single"/>
        </w:rPr>
        <w:t>Pledged Stock</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shares of the Pledged Stock pledged by such Grantor hereunder constitute all the issued and outstanding shares of all classes of the Capital Stock of each Issuer owned by such Grantor or, in the case of Foreign Subsidiary Voting Stock, if less, 65% of the outstanding Foreign Subsidiary Voting Stock of each relevant Issuer.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the shares of the Pledged Stock have been duly and validly issued and are fully paid and nonassessable.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Such Grantor is the record and beneficial owner of, and has good and marketable title to, the Pledged Stock pledged by it hereunder, free of any and all Liens or options in favor of, or claims of, any other Person, except the security interest created by this Agreement and except as permitted under Section 6.01 of the Credit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5.6.    </w:t>
      </w:r>
      <w:r>
        <w:rPr>
          <w:rFonts w:ascii="Times New Roman;serif" w:hAnsi="Times New Roman;serif"/>
          <w:b w:val="false"/>
          <w:color w:val="000000"/>
          <w:sz w:val="22"/>
          <w:u w:val="single"/>
        </w:rPr>
        <w:t>Receivables</w:t>
      </w:r>
      <w:r>
        <w:rPr>
          <w:rFonts w:ascii="Times New Roman;serif" w:hAnsi="Times New Roman;serif"/>
          <w:b w:val="false"/>
          <w:color w:val="000000"/>
          <w:sz w:val="22"/>
        </w:rPr>
        <w:t xml:space="preserve">. During any Full Security Period,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None of the obligors on any Receivables (other than Receivables which, when taken together with all other Receivables of each Grantor, have an aggregate value less than or equal to $25,000,000) is a Governmental Authority.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amounts represented by such Grantor to the Lenders from time to time as owing to such Grantor in respect of the Receivables will at such times be accurate in all material respects.</w: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5.7.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xml:space="preser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Schedule 6</w:t>
      </w:r>
      <w:r>
        <w:rPr>
          <w:color w:val="000000"/>
        </w:rPr>
        <w:t xml:space="preserve"> </w:t>
      </w:r>
      <w:r>
        <w:rPr>
          <w:rFonts w:ascii="Times New Roman;serif" w:hAnsi="Times New Roman;serif"/>
          <w:b w:val="false"/>
          <w:color w:val="000000"/>
          <w:sz w:val="22"/>
        </w:rPr>
        <w:t xml:space="preserve">lists all of the following Intellectual Property as of the Effective Date, to the extent owned by such Grantor in its own name: (i) issued Patents and pending Patent applications, (ii) trademarks, service marks and trade dress registered with the United States Patent and Trademark Office, and applications for the registration thereof, and (iii) registered Copyrights, and applications to register Copyrights. All Material Intellectual Property is recorded or in the process of being recorded in the name of such Grantor. Except as set forth on </w:t>
      </w:r>
      <w:r>
        <w:rPr>
          <w:rFonts w:ascii="Times New Roman;serif" w:hAnsi="Times New Roman;serif"/>
          <w:b w:val="false"/>
          <w:color w:val="000000"/>
          <w:sz w:val="22"/>
          <w:u w:val="single"/>
        </w:rPr>
        <w:t>Schedule 6</w:t>
      </w:r>
      <w:r>
        <w:rPr>
          <w:rFonts w:ascii="Times New Roman;serif" w:hAnsi="Times New Roman;serif"/>
          <w:b w:val="false"/>
          <w:color w:val="000000"/>
          <w:sz w:val="22"/>
        </w:rPr>
        <w:t>, such Grantor is the sole and exclusive owner of the entire and unencumbered right, title and interest in and to all Material Intellectual Property owned by such Grantor, in each case free and clear of all Liens other than Permitted Liens.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Except as set forth on </w:t>
      </w:r>
      <w:r>
        <w:rPr>
          <w:rFonts w:ascii="Times New Roman;serif" w:hAnsi="Times New Roman;serif"/>
          <w:b w:val="false"/>
          <w:color w:val="000000"/>
          <w:sz w:val="22"/>
          <w:u w:val="single"/>
        </w:rPr>
        <w:t>Schedule 6</w:t>
      </w:r>
      <w:r>
        <w:rPr>
          <w:rFonts w:ascii="Times New Roman;serif" w:hAnsi="Times New Roman;serif"/>
          <w:b w:val="false"/>
          <w:color w:val="000000"/>
          <w:sz w:val="22"/>
        </w:rPr>
        <w:t>, all Material Intellectual Property of such Grantor is subsisting and has not been adjudged invalid or unenforceable, in whole or in part, and such Grantor has performed in all material respects all acts and has paid all renewal, maintenance, and other fees and taxes required to maintain each and every registration and application of Copyrights, Patents and Trademarks of such Grantor constituting Material Intellectual Property in full force and effect, unless, to the extent that such Intellectual Property no longer constitutes Material Intellectual Property, such Grantor has reasonably determined that the preservation thereof is no longer desirable in the conduct of such Grantor’s business.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Except as could not reasonably be expected to have a Material Adverse Effect, (i) no action or proceeding is pending, or, to the knowledge of a Responsible Officer of such Grantor, threatened, alleging that such Grantor, or the conduct of such Grantor’s business, infringes, misappropriates, dilutes, or otherwise violates the intellectual property rights of any other Person, and (ii) to the knowledge of a Responsible Officer of such Grantor, no Person is engaging in any activity that infringes, misappropriates, dilutes or violates any Intellectual Property of such Grantor.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Such Grantor controls the nature and quality of all products sold and all services rendered under or in connection with all Trademarks of such Grantor that constitute Material Intellectual Property, in each case consistent with industry standards, and has taken commercially reasonable measures to ensure that all licensees of all such Trademarks comply with such Grantor’s standards of quality.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Such Grantor has been using appropriate statutory notice of registration in connection with its use of registered Trademarks, appropriate notice of its trademark rights in common law Trademarks, proper marking practices in connection with its Patents, and appropriate notice of copyright in connection with the publication of its Copyrights, in each case, to the extent such Trademarks, Patents or Copyrights constitute Material Intellectual Property.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consummation of the transactions contemplated by this Agreement will not result in the termination, limitation or other material impairment of any of such Grantor’s rights in its Material Intellectual Property.</w:t>
      </w:r>
    </w:p>
    <w:p>
      <w:pPr>
        <w:pStyle w:val="TextBody"/>
        <w:bidi w:val="0"/>
        <w:ind w:left="0" w:right="0" w:firstLine="144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Such Grantor has taken commercially reasonable steps to protect the confidentiality of its Trade Secrets in accordance with industry standards. Except as could not reasonably be expected to have a Material Adverse Effect, (i) none of the Trade Secrets of such Grantor has been used, divulged, disclosed or misappropriated to the detriment of such Grantor for the benefit of any other Person,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 agent of such Grantor is in default or breach of any term of any employment agreement, non-disclosure agreement, assignment of inventions agreement or similar agreement or contract relating in any way to the protection, ownership, development, use or transfer of such Grantor’s Intellectual Property.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5.8. </w:t>
      </w:r>
      <w:r>
        <w:rPr>
          <w:rFonts w:ascii="Times New Roman;serif" w:hAnsi="Times New Roman;serif"/>
          <w:b w:val="false"/>
          <w:color w:val="000000"/>
          <w:sz w:val="22"/>
          <w:u w:val="single"/>
        </w:rPr>
        <w:t>Pledged Notes</w:t>
      </w:r>
      <w:r>
        <w:rPr>
          <w:rFonts w:ascii="Times New Roman;serif" w:hAnsi="Times New Roman;serif"/>
          <w:b w:val="false"/>
          <w:color w:val="000000"/>
          <w:sz w:val="22"/>
        </w:rPr>
        <w:t>. Each Pledged Note has been, to the knowledge of the Company, duly authorized, authenticated, issued, and delivered and is the legal, valid and binding obligation of the issuer thereof enforceable in accordance with its terms and is not in default.</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SECTION 6.</w:t>
      </w:r>
      <w:r>
        <w:rPr>
          <w:color w:val="000000"/>
        </w:rPr>
        <w:t>    </w:t>
      </w:r>
      <w:r>
        <w:rPr>
          <w:rFonts w:ascii="Times New Roman;serif" w:hAnsi="Times New Roman;serif"/>
          <w:b w:val="false"/>
          <w:color w:val="000000"/>
          <w:sz w:val="22"/>
        </w:rPr>
        <w:t>COVENANTS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Each Grantor covenants and agrees with the Administrative Agent and the Lenders that, from and after the date of this Agreement until the Obligations shall have been paid in full, no Letter of Credit shall be outstanding and the Commitments and Loans shall have terminated (other than Unliquidated Obligations), other than during any Unsecured Period,</w:t>
      </w:r>
    </w:p>
    <w:p>
      <w:pPr>
        <w:pStyle w:val="TextBody"/>
        <w:bidi w:val="0"/>
        <w:spacing w:lineRule="auto" w:line="288" w:before="0" w:after="240"/>
        <w:ind w:left="0" w:right="0" w:firstLine="1440"/>
        <w:jc w:val="both"/>
        <w:rPr/>
      </w:pPr>
      <w:r>
        <w:rPr>
          <w:rFonts w:ascii="Times New Roman;serif" w:hAnsi="Times New Roman;serif"/>
          <w:b w:val="false"/>
          <w:color w:val="000000"/>
          <w:sz w:val="22"/>
        </w:rPr>
        <w:t>6.1.    </w:t>
      </w:r>
      <w:r>
        <w:rPr>
          <w:rFonts w:ascii="Times New Roman;serif" w:hAnsi="Times New Roman;serif"/>
          <w:b w:val="false"/>
          <w:color w:val="000000"/>
          <w:sz w:val="22"/>
          <w:u w:val="single"/>
        </w:rPr>
        <w:t>Delivery of Certificated Securities</w:t>
      </w:r>
      <w:r>
        <w:rPr>
          <w:rFonts w:ascii="Times New Roman;serif" w:hAnsi="Times New Roman;serif"/>
          <w:b w:val="false"/>
          <w:color w:val="000000"/>
          <w:sz w:val="22"/>
        </w:rPr>
        <w:t>. If any amount payable under or in connection with any of the Collateral shall be or become evidenced by any Certificated Security, such Certificated Security shall be promptly delivered to the Administrative Agent, duly indorsed (including by delivery of related stock powers) in a manner satisfactory to the Administrative Agent, to be held as Collateral pursuant to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6.2.    </w:t>
      </w:r>
      <w:r>
        <w:rPr>
          <w:rFonts w:ascii="Times New Roman;serif" w:hAnsi="Times New Roman;serif"/>
          <w:b w:val="false"/>
          <w:color w:val="000000"/>
          <w:sz w:val="22"/>
          <w:u w:val="single"/>
        </w:rPr>
        <w:t>Maintenance of Insurance</w:t>
      </w:r>
      <w:r>
        <w:rPr>
          <w:rFonts w:ascii="Times New Roman;serif" w:hAnsi="Times New Roman;serif"/>
          <w:b w:val="false"/>
          <w:color w:val="000000"/>
          <w:sz w:val="22"/>
        </w:rPr>
        <w:t>. During any Full Security Period,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Such Grantor will maintain, with financially sound and reputable companies, insurance policies (i) insuring the Inventory and Equipment against loss by fire, explosion, theft and such other casualties as may be reasonably satisfactory to the Administrative Agent and (ii) to the extent requested by the Administrative Agent, insuring such Grantor, the Administrative Agent and the Lenders against liability for personal injury and property damage relating to such Inventory and Equipment, such policies to be in such form and amounts and having such coverage as may be reasonably satisfactory to the Administrative Agent and the Lenders.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such insurance shall name the Administrative Agent as insured party or loss payee.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At the request of the Administrative Agent, the Company shall deliver to the Administrative Agent (for distribution to the Lenders) a certificate of insurance from a reputable insurance broker with respect to such insurance.</w:t>
      </w:r>
    </w:p>
    <w:p>
      <w:pPr>
        <w:pStyle w:val="TextBody"/>
        <w:bidi w:val="0"/>
        <w:spacing w:lineRule="auto" w:line="288" w:before="0" w:after="240"/>
        <w:ind w:left="0" w:right="0" w:firstLine="1440"/>
        <w:jc w:val="both"/>
        <w:rPr/>
      </w:pPr>
      <w:r>
        <w:rPr>
          <w:rFonts w:ascii="Times New Roman;serif" w:hAnsi="Times New Roman;serif"/>
          <w:b w:val="false"/>
          <w:color w:val="000000"/>
          <w:sz w:val="22"/>
        </w:rPr>
        <w:t>6.3.    </w:t>
      </w:r>
      <w:r>
        <w:rPr>
          <w:rFonts w:ascii="Times New Roman;serif" w:hAnsi="Times New Roman;serif"/>
          <w:b w:val="false"/>
          <w:color w:val="000000"/>
          <w:sz w:val="22"/>
          <w:u w:val="single"/>
        </w:rPr>
        <w:t>Payment of Obligations</w:t>
      </w:r>
      <w:r>
        <w:rPr>
          <w:rFonts w:ascii="Times New Roman;serif" w:hAnsi="Times New Roman;serif"/>
          <w:b w:val="false"/>
          <w:color w:val="000000"/>
          <w:sz w:val="22"/>
        </w:rPr>
        <w:t>. Such Grantor will pay and discharge or otherwise satisfy at or before maturity or before they become delinquent, as the case may be, all taxes, assessments and governmental charges or levies imposed upon a material portion of the Collateral or in respect of income or profits therefrom, as well as all claims of any kind against or with respect to the Collateral, except that no such charge need be paid if the amount or validity thereof is currently being contested in good faith by appropriate proceedings, reserves in conformity with GAAP with respect thereto have been provided on the books of such Grantor and such proceedings could not reasonably be expected to result in the sale, forfeiture or loss of any material portion of the Collateral or any interest therein.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6.4.    </w:t>
      </w:r>
      <w:r>
        <w:rPr>
          <w:rFonts w:ascii="Times New Roman;serif" w:hAnsi="Times New Roman;serif"/>
          <w:b w:val="false"/>
          <w:color w:val="000000"/>
          <w:sz w:val="22"/>
          <w:u w:val="single"/>
        </w:rPr>
        <w:t>Maintenance of Perfected Security Interest; Further Documentation</w:t>
      </w:r>
      <w:r>
        <w:rPr>
          <w:rFonts w:ascii="Times New Roman;serif" w:hAnsi="Times New Roman;serif"/>
          <w:b w:val="false"/>
          <w:color w:val="000000"/>
          <w:sz w:val="22"/>
        </w:rPr>
        <w:t>. Such Grantor shall maintain the security interest created by this Agreement as a perfected security interest having at least the priority described in Section 5.2 and shall take commercially reasonable steps to defend such security interest against the claims and demands of all Persons whomsoever other than with respect to liens permitted by the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6.5.    </w:t>
      </w:r>
      <w:r>
        <w:rPr>
          <w:rFonts w:ascii="Times New Roman;serif" w:hAnsi="Times New Roman;serif"/>
          <w:b w:val="false"/>
          <w:color w:val="000000"/>
          <w:sz w:val="22"/>
          <w:u w:val="single"/>
        </w:rPr>
        <w:t>Notices</w:t>
      </w:r>
      <w:r>
        <w:rPr>
          <w:rFonts w:ascii="Times New Roman;serif" w:hAnsi="Times New Roman;serif"/>
          <w:b w:val="false"/>
          <w:color w:val="000000"/>
          <w:sz w:val="22"/>
        </w:rPr>
        <w:t>. The Company will advise the Administrative Agent (who will advise the Lenders) promptly, in reasonable detail, 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Lien (other than security interests created hereby or Liens permitted under the Credit Agreement) on any material portion of the Collateral which would materially and adversely affect the ability of the Administrative Agent to exercise any of its remedies hereunder;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occurrence of any other event which could reasonably be expected to have a material adverse effect on the aggregate value of the Collateral or on the security interests created hereby.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At any time and from time to time, upon the written request of the Administrative Agent, and at the sole expense of such Grantor, such Grantor will promptly and duly execute and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with respect to the security interests created hereby and (ii) in the case of Pledged Stock and any other relevant Collateral, taking any actions necessary to enable the Administrative Agent to obtain “control” (within the meaning of the applicable Uniform Commercial Code)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6.6.    </w:t>
      </w:r>
      <w:r>
        <w:rPr>
          <w:rFonts w:ascii="Times New Roman;serif" w:hAnsi="Times New Roman;serif"/>
          <w:b w:val="false"/>
          <w:color w:val="000000"/>
          <w:sz w:val="22"/>
          <w:u w:val="single"/>
        </w:rPr>
        <w:t>Pledged Stock</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If such Grantor shall become entitled to receive or shall receive any stock certificate (including, without limitation, any certificate representing a stock dividend or a distribution in connection with any reclassification, increase or reduction of capital or any certificate issued in connection with any reorganization), option or rights in respect of the Capital Stock of any Issuer which is a direct or indirect Domestic Subsidiary of such Grantor and which is Pledged Stock, whether in addition to, in substitution of, as a conversion of, or in exchange for, any shares of the Pledged Stock, or otherwise in respect thereof, such Grantor shall accept the same as the agent of the Administrative Agent and the Lenders, hold the same in trust for the Administrative Agent and the Lenders and deliver the same forthwith to the Administrative Agent in the exact form received, duly indorsed (including by delivery of related stock or bond powers) by such Grantor to the Administrative Agent, if required by the Credit Agreement, together with an undated stock power covering such certificate duly executed in blank by such Grantor to be held by the Administrative Agent, subject to the terms hereof, as additional collateral security for the Obligations. Except as otherwise permitted by the Credit Agreement, after an Event of Default has occurred and any sums paid upon or in respect of the Collateral upon the liquidation or dissolution of any Issuer shall be paid over to the Administrative Agent to be held by it hereunder as additional collateral security for the Obligations, and in case any distribution of capital shall be made on or in respect of the Collateral or any property shall be distributed upon or with respect to the Collateral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such Obligations except to the extent permitted under Section 7.3. If any sums of money or property so paid or distributed in respect of the Collateral upon the liquidation or dissolution of any issuer not permitted by the Credit Agreement shall be received by such Grantor, such Grantor shall, until such money or property is paid or delivered to the Administrative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hold such money or property in trust for the Lenders, segregated from other funds of such Grantor, as additional collateral security for the Obligations.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Without the prior written consent of the Administrative Agent or unless not otherwise prohibited by the Credit Agreement, such Grantor will not (i) sell, assign, transfer, exchange, or otherwise dispose of, or grant any option with respect to, the Collateral (except pursuant to a transaction not prohibited by the Credit Agreement), (ii) create, incur or permit to exist any Lien or option in favor of, or any claim of any Person with respect to, any of the Collateral, or any interest therein, except for the security interests created by this Agreement or otherwise permitted by the Credit Agreement or (iii) enter into any agreement or undertaking restricting the right or ability of such Grantor or the Administrative Agent to sell, assign or transfer any of the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In the case of each Grantor which is an Issuer, such Issuer agrees that (i) it will be bound by the terms of this Agreement relating to the Pledged Stock issued by it and will comply with such terms insofar as such terms are applicable to it, (ii) it will notify the Administrative Agent promptly in writing of the occurrence of any of the events described in Section 6.5 with respect to the Pledged Stock issued by it and (iii) the terms of Sections 7.3(c) and 7.7 shall apply to it, </w:t>
      </w:r>
      <w:r>
        <w:rPr>
          <w:rFonts w:ascii="Times New Roman;serif" w:hAnsi="Times New Roman;serif"/>
          <w:b w:val="false"/>
          <w:color w:val="000000"/>
          <w:sz w:val="22"/>
          <w:u w:val="single"/>
        </w:rPr>
        <w:t>mutatis</w:t>
      </w:r>
      <w:r>
        <w:rPr>
          <w:color w:val="000000"/>
        </w:rPr>
        <w:t xml:space="preserve"> </w:t>
      </w:r>
      <w:r>
        <w:rPr>
          <w:rFonts w:ascii="Times New Roman;serif" w:hAnsi="Times New Roman;serif"/>
          <w:b w:val="false"/>
          <w:color w:val="000000"/>
          <w:sz w:val="22"/>
          <w:u w:val="single"/>
        </w:rPr>
        <w:t>mutandis</w:t>
      </w:r>
      <w:r>
        <w:rPr>
          <w:rFonts w:ascii="Times New Roman;serif" w:hAnsi="Times New Roman;serif"/>
          <w:b w:val="false"/>
          <w:color w:val="000000"/>
          <w:sz w:val="22"/>
        </w:rPr>
        <w:t>, with respect to all actions that may be required of it pursuant to Section 7.3(c) or 7.7 with respect to the Pledged Stock issued by it.</w:t>
      </w:r>
    </w:p>
    <w:p>
      <w:pPr>
        <w:pStyle w:val="TextBody"/>
        <w:bidi w:val="0"/>
        <w:spacing w:lineRule="auto" w:line="288" w:before="0" w:after="240"/>
        <w:ind w:left="0" w:right="0" w:firstLine="1440"/>
        <w:jc w:val="both"/>
        <w:rPr/>
      </w:pPr>
      <w:r>
        <w:rPr>
          <w:rFonts w:ascii="Times New Roman;serif" w:hAnsi="Times New Roman;serif"/>
          <w:b w:val="false"/>
          <w:color w:val="000000"/>
          <w:sz w:val="22"/>
        </w:rPr>
        <w:t>6.7.    </w:t>
      </w:r>
      <w:r>
        <w:rPr>
          <w:rFonts w:ascii="Times New Roman;serif" w:hAnsi="Times New Roman;serif"/>
          <w:b w:val="false"/>
          <w:color w:val="000000"/>
          <w:sz w:val="22"/>
          <w:u w:val="single"/>
        </w:rPr>
        <w:t>Receivables</w:t>
      </w:r>
      <w:r>
        <w:rPr>
          <w:rFonts w:ascii="Times New Roman;serif" w:hAnsi="Times New Roman;serif"/>
          <w:b w:val="false"/>
          <w:color w:val="000000"/>
          <w:sz w:val="22"/>
        </w:rPr>
        <w:t>. During any Full Security Period,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Other than in the ordinary course of business, such Grantor will not (i) grant any extension of the time of payment of any Receivable, (ii) compromise or settle any Receivable for less than the full amount thereof, (iii) release, wholly or partially, any Person liable for the payment of any Receivable, (iv) allow any credit or discount whatsoever on any Receivable or (v) amend, supplement or modify any Receivable, in each case, in any manner that could materially adversely affect the value thereof.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Anything contained in this Agreement to the contrary notwithstanding, the Grantors, or any of them, shall have the right to enter into one or more Receivables Purchase Facilities, as contemplated by the Credit Agreement, and the Administrative Agent shall execute any and all documents reasonably necessary to release its security interest in the Receivables which become Sold Receivables Assets upon the consummation of such Receivables Purchase Facility(ies).</w: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6.8.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Such Grantor will not do any act or omit to do any act whereby any Material Intellectual Property may lapse, become abandoned, cancelled, dedicated to the public, forfeited, or otherwise impaired, or abandon any application or any right to file an application for a Copyright, Patent, or Trademark constituting Material Intellectual Property; provided that no Grantor shall be required to preserve any Intellectual Property that no longer constitutes Material Intellectual Property if such Grantor reasonably determines that the preservation thereof is no longer desirable in the conduct of such Grantor’s business.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Such Grantor agrees that, should it hereafter (i) obtain an ownership interest in any item of Intellectual Property, (ii) file (either by itself or through any agent, employee, licensee, or designee) any application for the registration or issuance of any Intellectual Property with the United States Patent and Trademark Office or the United States Copyright Office or (iii) file an accepted Statement of Use or Amendment to Allege Use with respect to any “intent-to-use” Trademark application (the items in clauses (i), (ii) and (iii), collectively, the “</w:t>
      </w:r>
      <w:r>
        <w:rPr>
          <w:rFonts w:ascii="Times New Roman;serif" w:hAnsi="Times New Roman;serif"/>
          <w:b w:val="false"/>
          <w:color w:val="000000"/>
          <w:sz w:val="22"/>
          <w:u w:val="single"/>
        </w:rPr>
        <w:t>After-Acquired Intellectual Property</w:t>
      </w:r>
      <w:r>
        <w:rPr>
          <w:color w:val="000000"/>
        </w:rPr>
        <w:t>”</w:t>
      </w:r>
      <w:r>
        <w:rPr>
          <w:rFonts w:ascii="Times New Roman;serif" w:hAnsi="Times New Roman;serif"/>
          <w:b w:val="false"/>
          <w:color w:val="000000"/>
          <w:sz w:val="22"/>
        </w:rPr>
        <w:t xml:space="preserve">), then the provisions of Section 4 shall automatically apply thereto, and any such After-Acquired Intellectual Property shall automatically become part of the Collateral, and such Grantor shall give prompt (and, in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any event simultaneously with delivery of the compliance certificate required by Section 5.02(a) of the Credit Agreement for the fiscal quarter in which such Grantor acquires such ownership interest) written notice thereof to the Administrative Agent in accordance herewith, and shall promptly take the actions specified in Section 6.8(c) with respect thereto.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Such Grantor shall execute Intellectual Property Security Agreements with respect to the Intellectual Property included in the Collateral as of the date hereof, as well as any After-Acquired Intellectual Property, in substantially the form of Annexes 2, 3 or 4, as applicable, in order to record the security interest granted herein to the Administrative Agent for the benefit of the Secured Parties with the United States Patent and Trademark Office or the United States Copyright Office, as applicable.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Such Grantor shall use commercially reasonable efforts so as not to permit the inclusion in any contract to which it hereafter becomes a party of any provision that could or may in any way materially impair or prevent the creation of a security interest in, or the assignment of, such Grantor’s rights and interests in any property that constitutes Intellectual Property.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Such Grantor shall promptly notify the Administrative Agent if a Responsible Officer of such Grantor knows that any item of Material Intellectual Property may become (i) abandoned or dedicated to the public or placed in the public domain, (ii) invalid or unenforceable, (iii) subject to any adverse determination or development regarding such Grantor’s ownership, registration or use or the validity or enforceability of such item of Intellectual Property (including the institution of, or any adverse development with respect to, any action or proceeding in the United States Patent and Trademark Office or the United States Copyright Office, or any court) or (iv) the subject of any reversion or termination rights.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Such Grantor shall (and shall require its licensees to) use proper notice of its Intellectual Property rights in connection with the use of any of its Material Intellectual Property.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(g) Such Grantor shall not infringe, misappropriate, dilute, or otherwise violate the Intellectual Property rights of any other Person in any manner which could reasonably be expected to have a Material Adverse Effect. In the event that any Person initiates, or threatens in writing to initiate, any action or proceeding alleging that such Grantor, or the conduct of such Grantor’s business, infringes, misappropriates, dilutes, or otherwise violates the Intellectual Property of any other Person, and such action or proceeding could reasonably be expected to have a Material Adverse Effect, such Grantor shall promptly notify the Administrative Agent after a Responsible Officer of such Grantor has knowledge thereof.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(h) In the event that any Material Intellectual Property owned by or exclusively licensed to any Grantor is infringed, misappropriated, diluted or otherwise violated by another Person, such Grantor shall (i) promptly take all reasonable actions to protect and enforce its rights in such Intellectual Property and (ii) promptly notify the Administrative Agent after a Responsible Officer of such Grantor has knowledge thereof.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Such Grantor shall take commercially reasonable steps to protect the confidentiality of all Trade Secrets constituting Material Intellectual Property.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(j) [Reserved].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(k) To the extent that any Grantor’s ownership of any issued, registered or applied for Intellectual Property (other than any Intellectual Property listed under the heading “Copyrights” on </w:t>
      </w:r>
      <w:r>
        <w:rPr>
          <w:rFonts w:ascii="Times New Roman;serif" w:hAnsi="Times New Roman;serif"/>
          <w:b w:val="false"/>
          <w:color w:val="000000"/>
          <w:sz w:val="22"/>
          <w:u w:val="single"/>
        </w:rPr>
        <w:t>Schedule 6</w:t>
      </w:r>
      <w:r>
        <w:rPr>
          <w:color w:val="000000"/>
        </w:rPr>
        <w:t xml:space="preserve"> </w:t>
      </w:r>
      <w:r>
        <w:rPr>
          <w:rFonts w:ascii="Times New Roman;serif" w:hAnsi="Times New Roman;serif"/>
          <w:b w:val="false"/>
          <w:color w:val="000000"/>
          <w:sz w:val="22"/>
        </w:rPr>
        <w:t xml:space="preserve">and noted with an asterisk (*)) included in the Collateral is not accurately reflected in the public records of the United States Patent and Trademark Office or the United States Copyright Office, as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applicable, or to the extent there are any gaps or other deficiencies in the chain of title of such Intellectual Property in the public records of the United States Patent and Trademark Office or the United States Copyright Office, such Grantor agrees to use commercially reasonable efforts to promptly (i) execute and record such documents or other instruments and (ii) take such other actions reasonably required by the Administrative Agent, in each case to clean up the chain of title and to accurately reflect such Grantor’s ownership of such Intellectual Property in the public records of the United States Patent and Trademark Office and the United States Copyright Office. Each Grantor will use commercially reasonable efforts to complete the foregoing within 120 days following the Effective Date (or such later date as is agreed to by the Administrative Agent in its reasonable discretion).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6.9. </w:t>
      </w:r>
      <w:r>
        <w:rPr>
          <w:rFonts w:ascii="Times New Roman;serif" w:hAnsi="Times New Roman;serif"/>
          <w:b w:val="false"/>
          <w:color w:val="000000"/>
          <w:sz w:val="22"/>
          <w:u w:val="single"/>
        </w:rPr>
        <w:t>Pledged Notes</w:t>
      </w:r>
      <w:r>
        <w:rPr>
          <w:rFonts w:ascii="Times New Roman;serif" w:hAnsi="Times New Roman;serif"/>
          <w:b w:val="false"/>
          <w:color w:val="000000"/>
          <w:sz w:val="22"/>
        </w:rPr>
        <w:t xml:space="preserve">. Unless already delivered to the Administrative Agent prior to the Amendment No. 1 Effective Date, promptly (but in any event no later than ten (10) Business Days) following the Amendment No. 1 Effective Date, each Pledged Note shall be delivered to the Administrative Agent, duly endorsed in a manner reasonably satisfactory to the Administrative Agent, to be held as Collateral pursuant to this Agreement. Notwithstanding anything to the contrary set forth in any Loan Document, the Company and SMG Growing Media LLC, in each case, as the holder of the applicable Pledged Note listed on Schedule 9 hereto, covenants and agrees that it shall not sell, assign, convey, contribute, dispose of or otherwise transfer, or (other than pursuant to the terms of this Agreement) grant or suffer to exist any Lien upon, any of its right, title or interest in any Pledged Note to any other Grantor, any Subsidiary, any Affiliate or any other Person, in each case, without the prior written consent of the Administrative Agent (and any such sale, assignment, conveyance, contribution, disposal or other transfer or grant or suffering of a Lien on such Pledged Note without the prior written consent of the Administrative Agent shall be null and void). </w:t>
      </w:r>
    </w:p>
    <w:p>
      <w:pPr>
        <w:pStyle w:val="TextBody"/>
        <w:bidi w:val="0"/>
        <w:spacing w:lineRule="auto" w:line="288" w:before="0" w:after="0"/>
        <w:ind w:left="0" w:right="0" w:firstLine="1440"/>
        <w:jc w:val="both"/>
        <w:rPr/>
      </w:pP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REMEDIAL PROVISIONS</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7.1.    </w:t>
      </w:r>
      <w:r>
        <w:rPr>
          <w:rFonts w:ascii="Times New Roman;serif" w:hAnsi="Times New Roman;serif"/>
          <w:b w:val="false"/>
          <w:color w:val="000000"/>
          <w:sz w:val="22"/>
          <w:u w:val="single"/>
        </w:rPr>
        <w:t>Certain Matters Relating to Receivables</w:t>
      </w:r>
      <w:r>
        <w:rPr>
          <w:rFonts w:ascii="Times New Roman;serif" w:hAnsi="Times New Roman;serif"/>
          <w:b w:val="false"/>
          <w:color w:val="000000"/>
          <w:sz w:val="22"/>
        </w:rPr>
        <w:t xml:space="preserve">. During any Full Security Period,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Administrative Agent shall have the right after the occurrence and during the continuance of an Event of Default to make test verifications of the Receivables in any manner and through any medium that it reasonably considers advisable, and each Grantor shall furnish all such assistance and information as the Administrative Agent may require in connection with such test verifications. At any time and from time to time, after the occurrence and during the continuance of an Event of Default, upon the Administrative Agent’s request and at the expense of the relevant Grantor, such Grantor shall cause independent public accountants or others satisfactory to the Administrative Agent to furnish to the Administrative Agent reports showing reconciliations, aging and test verifications of, and trial balances for, the Receivables.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Administrative Agent hereby authorizes each Grantor to collect such Grantor’s Receivables, and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indorsed by such Grantor to the Administrative Agent if required, in a Collateral Account maintained under the sole dominion and control of the Administrative Agent, subject to withdrawal by the Administrative Agent for the account of the Lenders only as provided in Section 7.5, and (ii) until so turned over, shall be held by such Grantor in trust for the Administrative Agent and the Lenders, segregated from other funds of such Grantor. Each such deposit of Proceeds of Receivables shall be accompanied by a report identifying in reasonable detail the nature and source of the payments included in the deposit.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At the Administrative Agent’s request, after the occurrence and during the continuance of an Event of Default, each Grantor shall deliver to the Administrative Agent all original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other documents evidencing, and relating to, the agreements and transactions which gave rise to the Receivables, including, without limitation, all original orders, invoices and shipping receipts.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7.2.    </w:t>
      </w:r>
      <w:r>
        <w:rPr>
          <w:rFonts w:ascii="Times New Roman;serif" w:hAnsi="Times New Roman;serif"/>
          <w:b w:val="false"/>
          <w:color w:val="000000"/>
          <w:sz w:val="22"/>
          <w:u w:val="single"/>
        </w:rPr>
        <w:t>Communications with Obligors; Grantors Remain Liable</w:t>
      </w:r>
      <w:r>
        <w:rPr>
          <w:rFonts w:ascii="Times New Roman;serif" w:hAnsi="Times New Roman;serif"/>
          <w:b w:val="false"/>
          <w:color w:val="000000"/>
          <w:sz w:val="22"/>
        </w:rPr>
        <w:t xml:space="preserve">. During any Full Security Period,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Upon the written request of the Administrative Agent at any time after the occurrence and during the continuance of an Event of Default, each Grantor shall notify obligors on its Receivables that the Receivables have been assigned to the Administrative Agent for the ratable benefit of the Secured Parties and that payments in respect thereof shall be made directly to the Administrative Agent.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Anything herein to the contrary notwithstanding, each Grantor shall remain liable under each of its Receivables to observe and perform all the conditions and obligations to be observed and performed by it thereunder, all in accordance with the terms of any agreement giving rise thereto. Neither the Administrative Agent nor any Lender shall have any obligation or liability under any Receivable (or any agreement giving rise thereto) by reason of or arising out of this Agreement or the receipt by the Administrative Agent or any Lender of any payment relating thereto, nor shall the Administrative Agent or any Lender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7.3.    </w:t>
      </w:r>
      <w:r>
        <w:rPr>
          <w:rFonts w:ascii="Times New Roman;serif" w:hAnsi="Times New Roman;serif"/>
          <w:b w:val="false"/>
          <w:color w:val="000000"/>
          <w:sz w:val="22"/>
          <w:u w:val="single"/>
        </w:rPr>
        <w:t>Pledged Stock</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Unless an Event of Default shall have occurred and be continuing and the Administrative Agent shall have given notice to the relevant Grantor of the Administrative Agent’s intent to exercise its corresponding rights pursuant to Section 7.3(b), each Grantor shall be permitted to receive all cash dividends paid in respect of the Pledged Stock, to the extent not prohibited by the Credit Agreement, to pay and declare dividends to the extent permitted by the Credit Agreement and to exercise all voting and corporate rights with respect to the Pledged Stock;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vote shall be cast or corporate right exercised or other action taken which would result in any violation of any provision of the Credit Agreement, this Agreement or any other Loan Document.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If an Event of Default shall occur and be continuing and the Administrative Agent shall give written notice of its intent to exercise such rights to the relevant Grantor or Grantors, (i) the Administrative Agent shall have the right to receive any and all cash dividends, payments or other Proceeds paid in respect of the Pledged Stock and make application thereof to the Obligations in accordance with Section 7.5 below, and (ii) any or all of the Pledged Stock shall be registered in the name of the Administrative Agent or its nominee, and the Administrative Agent or its nominee may thereafter exercise (x) all voting, corporate and other rights pertaining to such Pledged Stock at any meeting of shareholders of the relevant Issuer or Issuers or otherwise and (y) any and all rights of conversion, exchange and subscription and any other rights, privileges or options pertaining to such Pledged Stock as if it were the absolute owner thereof (including, without limitation, the right to exchange at its discretion any and all of the Pledged Stock upon the merger, consolidation, reorganization, recapitalization or other fundamental change in the corporate structure of any Issuer, or upon the exercise by any Grantor or the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of any right, privilege or option pertaining to such Pledged Stock, and in connection therewith, the right to deposit and deliver any and all of the Pledged Stock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Each Grantor hereby authorizes and instructs each Issuer of any Pledged Stock or Pledged Note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Stock or any Pledged Note directly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7.4.    </w:t>
      </w:r>
      <w:r>
        <w:rPr>
          <w:rFonts w:ascii="Times New Roman;serif" w:hAnsi="Times New Roman;serif"/>
          <w:b w:val="false"/>
          <w:color w:val="000000"/>
          <w:sz w:val="22"/>
          <w:u w:val="single"/>
        </w:rPr>
        <w:t>Proceeds to be Turned Over To Administrative Agent</w:t>
      </w:r>
      <w:r>
        <w:rPr>
          <w:rFonts w:ascii="Times New Roman;serif" w:hAnsi="Times New Roman;serif"/>
          <w:b w:val="false"/>
          <w:color w:val="000000"/>
          <w:sz w:val="22"/>
        </w:rPr>
        <w:t>. If an Event of Default shall occur and be continuing, all Proceeds received by any Grantor consisting of cash, checks and other near-cash items shall be held by such Grantor in trust for the Administrative Agent and the Lenders,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under this Section 7.4 shall be held by the Administrative Agent in a Collateral Account maintained under its sole dominion and control. All Proceeds while held by the Administrative Agent in a Collateral Account (or by such Grantor in trust for the Administrative Agent and the Lenders) shall continue to be held as collateral security for all the Obligations and shall not constitute payment thereof until applied as provided in Section 7.5.</w:t>
      </w:r>
    </w:p>
    <w:p>
      <w:pPr>
        <w:pStyle w:val="TextBody"/>
        <w:bidi w:val="0"/>
        <w:spacing w:lineRule="auto" w:line="288" w:before="0" w:after="240"/>
        <w:ind w:left="0" w:right="0" w:firstLine="1440"/>
        <w:jc w:val="both"/>
        <w:rPr/>
      </w:pPr>
      <w:r>
        <w:rPr>
          <w:rFonts w:ascii="Times New Roman;serif" w:hAnsi="Times New Roman;serif"/>
          <w:b w:val="false"/>
          <w:color w:val="000000"/>
          <w:sz w:val="22"/>
        </w:rPr>
        <w:t>7.5.    </w:t>
      </w:r>
      <w:r>
        <w:rPr>
          <w:rFonts w:ascii="Times New Roman;serif" w:hAnsi="Times New Roman;serif"/>
          <w:b w:val="false"/>
          <w:color w:val="000000"/>
          <w:sz w:val="22"/>
          <w:u w:val="single"/>
        </w:rPr>
        <w:t>Application of Proceeds.</w:t>
      </w:r>
      <w:r>
        <w:rPr>
          <w:color w:val="000000"/>
        </w:rPr>
        <w:t xml:space="preserve"> </w:t>
      </w:r>
      <w:r>
        <w:rPr>
          <w:rFonts w:ascii="Times New Roman;serif" w:hAnsi="Times New Roman;serif"/>
          <w:b w:val="false"/>
          <w:color w:val="000000"/>
          <w:sz w:val="22"/>
        </w:rPr>
        <w:t>At such intervals as may be agreed upon by the Company and the Administrative Agent, or, if an Event of Default shall have occurred and be continuing, at any time at the Administrative Agent's election, the Administrative Agent may apply all or any part of Proceeds constituting Collateral, whether or not held in any Collateral Account, and any proceeds of the guarantee set forth in Section 2, in payment of the Obligations in the following order:</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First</w:t>
      </w:r>
      <w:r>
        <w:rPr>
          <w:rFonts w:ascii="Times New Roman;serif" w:hAnsi="Times New Roman;serif"/>
          <w:b w:val="false"/>
          <w:color w:val="000000"/>
          <w:sz w:val="22"/>
        </w:rPr>
        <w:t>, to pay incurred and unpaid fees and expenses of the Administrative Agent under the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Second</w:t>
      </w:r>
      <w:r>
        <w:rPr>
          <w:rFonts w:ascii="Times New Roman;serif" w:hAnsi="Times New Roman;serif"/>
          <w:b w:val="false"/>
          <w:color w:val="000000"/>
          <w:sz w:val="22"/>
        </w:rPr>
        <w:t>, to the Administrative Agent, for application by it towards payment of amounts then due and owing and remaining unpaid in respect of the Obligations, pro rata among the Secured Parties according to the amounts of the Obligations then due and owing and remaining unpaid to the Secured Parties;</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Third</w:t>
      </w:r>
      <w:r>
        <w:rPr>
          <w:rFonts w:ascii="Times New Roman;serif" w:hAnsi="Times New Roman;serif"/>
          <w:b w:val="false"/>
          <w:color w:val="000000"/>
          <w:sz w:val="22"/>
        </w:rPr>
        <w:t>, to the Administrative Agent, for application by it towards prepayment of the Obligations, pro rata among the Secured Parties according to the amounts of the Obligations then held by the Secured Parties; and</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Fourth</w:t>
      </w:r>
      <w:r>
        <w:rPr>
          <w:rFonts w:ascii="Times New Roman;serif" w:hAnsi="Times New Roman;serif"/>
          <w:b w:val="false"/>
          <w:color w:val="000000"/>
          <w:sz w:val="22"/>
        </w:rPr>
        <w:t>, any balance remaining after the Obligations shall have been paid in full, no Letters of Credit shall be outstanding and the Commitments shall have been terminated shall be paid over to the Company or to whomsoever may be lawfully entitled to receive the same.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no amounts received from any Guarantor shall be applied to any Excluded Swap Obligations of such Guarantor.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7.6.    </w:t>
      </w:r>
      <w:r>
        <w:rPr>
          <w:rFonts w:ascii="Times New Roman;serif" w:hAnsi="Times New Roman;serif"/>
          <w:b w:val="false"/>
          <w:color w:val="000000"/>
          <w:sz w:val="22"/>
          <w:u w:val="single"/>
        </w:rPr>
        <w:t>Code and Other Remedies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If an Event of Default shall occur and be continuing, the Administrative Agent, on behalf of the Lenders,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Section 7.6, after deducting all reasonable costs and expenses of every kind incurred in connection therewith or incidental to the care or safekeeping of any of the Collateral or in any way relating to the Collateral or the rights of the Administrative Agent and the Lenders hereunder, including, without limitation, reasonable attorneys’ fees and disbursements, in accordance with Section 7.5 of this Agreement, and only after such application and after the payment by the Administrative Agent of any other amount required by any provision of law, including, without limitation, Section 9-615(a)(3) of the New York UCC, need the Administrative Agent account for the surplus, if any, to any Grantor. To the extent permitted by applicable law, each Grantor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In the event of any Disposition of any of the Intellectual Property, the goodwill of the business connected with and symbolized by any Trademarks subject to such Disposition shall be included, and the applicable Grantor shall supply the Administrative Agent or its designee with such Grantor’s know-how and expertise, and with documents and things embodying the same, relating to the exploitation of such Intellectual Property, including the manufacture, distribution, advertising and sale of products or the provision of services under such Intellectual Property, and such Grantor’s customer lists and other records and documents relating to such Intellectual Property and to the manufacture, distribution, advertising and sale of such products and services.</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For the purpose of enabling the Administrative Agent to exercise rights and remedies under this Section 7.6 (including in order to take possession of, collect, receive, assemble, process, appropriate, remove, realize upon, sell, assign, license out, convey, transfer or grant options to purchase any Collateral) at such time as the Administrative Agent shall be lawfully entitled to exercise such rights and remedies, each Grantor hereby grants to the Administrative Agent, for the benefit of the Secured Parties, to the extent it has the right to do so (i) an irrevocable, nonexclusive, and assignable license (exercisable without payment of royalty or other compensation to such Grantor), subject, in the case of Trademarks, to sufficient rights to quality control and inspection in favor of such Grantor to avoid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risk of invalidation of such Trademarks, to use, practice, license, sublicense, and otherwise exploit any and all intellectual property now or hereafter owned or licensed by such Grantor (which license shall include access to all media in which any of the licensed items may be recorded or stored and to all software and programs used for the compilation or printout thereof) and (ii) an irrevocable license (without payment of rent or other compensation to such Grantor) to use, operate and occupy all real property owned, operated, leased, subleased, or otherwise occupied by such Grantor.</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7.7.    </w:t>
      </w:r>
      <w:r>
        <w:rPr>
          <w:rFonts w:ascii="Times New Roman;serif" w:hAnsi="Times New Roman;serif"/>
          <w:b w:val="false"/>
          <w:color w:val="000000"/>
          <w:sz w:val="22"/>
          <w:u w:val="single"/>
        </w:rPr>
        <w:t>Registration Rights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If the Administrative Agent shall determine to exercise its right to sell any or all of the Pledged Stock pursuant to Section 7.6, and if in the opinion of the Administrative Agent it is necessary or advisable to have the Pledged Stock, or that portion thereof to be sold, registered under the provisions of the Securities Act, the relevant Grantor will cause the Issuer thereof to (i) execute and deliver, and cause the directors and officers of such Issuer to execute and deliver, all such instruments and documents, and do or cause to be done all such other acts as may be, in the opinion of the Administrative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Administrative Agent, are necessary or advisable, all in conformity with the requirements of the Securities Act and the rules and regulations of the Securities and Exchange Commission applicable thereto. Each Grantor agrees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Each Grantor recognizes that the Administrative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Each Grantor agrees to use its best efforts to do or cause to be done all such other acts as may be necessary to make such sale or sales of all or any portion of the Pledged Stock pursuant to this Section 7.7 valid and binding and in compliance with any and all other applicable Requirements of Law. Each Grantor further agrees that a breach of any of the covenants contained in this Section 7.7 will cause irreparable injury to the Administrative Agent and the Lenders, that the Administrative Agent and the Lenders have no adequate remedy at law in respect of such breach and, as a consequence, that each and every covenant contained in this Section 7.7 shall be specifically enforceable against such Grantor, and such Grantor hereby waives and agrees not to assert any defenses against an action for specific performance of such covenants except for a defense that no Event of Default has occurred under the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7.8.    </w:t>
      </w:r>
      <w:r>
        <w:rPr>
          <w:rFonts w:ascii="Times New Roman;serif" w:hAnsi="Times New Roman;serif"/>
          <w:b w:val="false"/>
          <w:color w:val="000000"/>
          <w:sz w:val="22"/>
          <w:u w:val="single"/>
        </w:rPr>
        <w:t>Deficiency.</w:t>
      </w:r>
      <w:r>
        <w:rPr>
          <w:color w:val="000000"/>
        </w:rPr>
        <w:t xml:space="preserve"> </w:t>
      </w:r>
      <w:r>
        <w:rPr>
          <w:rFonts w:ascii="Times New Roman;serif" w:hAnsi="Times New Roman;serif"/>
          <w:b w:val="false"/>
          <w:color w:val="000000"/>
          <w:sz w:val="22"/>
        </w:rPr>
        <w:t xml:space="preserve">Grantor shall remain liable for any deficiency if the proceeds of any sale or other disposition of the Collateral are insufficient to pay its Obligations and the fees and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disbursements of any attorneys employed by the Administrative Agent or any Lender to collect such deficiency.</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SECTION 8.</w:t>
      </w:r>
      <w:r>
        <w:rPr>
          <w:color w:val="000000"/>
        </w:rPr>
        <w:t>    </w:t>
      </w:r>
      <w:r>
        <w:rPr>
          <w:rFonts w:ascii="Times New Roman;serif" w:hAnsi="Times New Roman;serif"/>
          <w:b w:val="false"/>
          <w:color w:val="000000"/>
          <w:sz w:val="22"/>
        </w:rPr>
        <w:t>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8.1.    </w:t>
      </w:r>
      <w:r>
        <w:rPr>
          <w:rFonts w:ascii="Times New Roman;serif" w:hAnsi="Times New Roman;serif"/>
          <w:b w:val="false"/>
          <w:color w:val="000000"/>
          <w:sz w:val="22"/>
          <w:u w:val="single"/>
        </w:rPr>
        <w:t>Administrative Agent’s Appointment as Attorney-in-Fact, Etc.</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in the case of any Intellectual Property, execute and deliver, and have recorded, any and all agreements, instruments, documents and papers as the Administrative Agent may request to evidence the Secured Parties’ security interest in such Intellectual Property and the goodwill and general intangibles of such Grantor relating thereto or represented thereby;</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pay or discharge taxes and Liens levied or placed on or threatened against the Collateral, effect any repairs or any insurance called for by the terms of this Agreement and pay all or any part of the premiums therefor and the costs thereof;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execute, in connection with any sale provided for in Section 7.6 or 7.7, any indorsements, assignments or other instruments of conveyance or transfer with respect to the Collateral; and</w:t>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    (1) direct any party liable for any payment under any of the Collateral to make payment of any and all moneys due or to become due thereunder directly to the Administrative Agent or as the Administrative Agent shall direct; (2) ask or demand for, collect, and receive payment of and receipt for, any and all moneys, claims and other amounts due or to become due at any time in respect of or arising out of any Collateral; (3) sign and indorse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Administrative Agent may deem appropriate; ; (7) assign any Copyright, Patent or Trademark (along with the goodwill of the business to which any such Copyright, Patent or Trademark pertains), throughout the world for such term or terms, on such conditions, and in such manner, as the Administrative Agent shall in its sole discretion determine; and (8) generally, sell, transfer, pledge and make any agreement with respect to or otherwise deal with any of the Collateral as fully and completely as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Lenders’ security interests therein and to effect the intent of this Agreement, all as fully and effectively as such Grantor might do.</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Anything in this Section 8.1(a) to the contrary notwithstanding, the Administrative Agent agrees that it will not exercise any rights under the power of attorney provided for in this Section 8.1(a) unless an Event of Default shall have occurred and be continuing.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If any Grantor fails to perform or comply with any of its agreements contained herein, the Administrative Agent, at its option, but without any obligation so to do, may perform or comply, or otherwise cause performance or compliance, with such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expenses of the Administrative Agent incurred in connection with actions undertaken as provided in this Section 8.1, together with interest thereon at a rate per annum equal to the highest rate per annum at which interest would then be payable on any category of past due ABR Loans under the Credit Agreement, from the date of payment by the Administrative Agent to the date reimbursed by the relevant Grantor, shall be payable by such Grantor to the Administrative Agent on demand.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All powers, authorizations and agencies contained in this Agreement are coupled with an interest and are irrevocable until this Agreement is terminated and the security interests created hereby are released.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8.2.    </w:t>
      </w:r>
      <w:r>
        <w:rPr>
          <w:rFonts w:ascii="Times New Roman;serif" w:hAnsi="Times New Roman;serif"/>
          <w:b w:val="false"/>
          <w:color w:val="000000"/>
          <w:sz w:val="22"/>
          <w:u w:val="single"/>
        </w:rPr>
        <w:t>Duty of Administrative Agent.</w:t>
      </w:r>
      <w:r>
        <w:rPr>
          <w:color w:val="000000"/>
        </w:rPr>
        <w:t xml:space="preserve"> </w:t>
      </w:r>
      <w:r>
        <w:rPr>
          <w:rFonts w:ascii="Times New Roman;serif" w:hAnsi="Times New Roman;serif"/>
          <w:b w:val="false"/>
          <w:color w:val="000000"/>
          <w:sz w:val="22"/>
        </w:rPr>
        <w:t>The Administrative Agent’s sole duty with respect to the custody, safekeeping and physical preservation of the Collateral in its possession is to comply with Section 9-207 of the New York UCC. Neither the Administrative Agent, any Lender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Lenders hereunder are solely to protect the Administrative Agent’s and the Lenders’ interests in the Collateral and shall not impose any duty upon the Administrative Agent or any Lender to exercise any such powers. The Administrative Agent and the Lenders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8.3.    </w:t>
      </w:r>
      <w:r>
        <w:rPr>
          <w:rFonts w:ascii="Times New Roman;serif" w:hAnsi="Times New Roman;serif"/>
          <w:b w:val="false"/>
          <w:color w:val="000000"/>
          <w:sz w:val="22"/>
          <w:u w:val="single"/>
        </w:rPr>
        <w:t>Execution of Financing Statements.</w:t>
      </w:r>
      <w:r>
        <w:rPr>
          <w:color w:val="000000"/>
        </w:rPr>
        <w:t xml:space="preserve"> </w:t>
      </w:r>
      <w:r>
        <w:rPr>
          <w:rFonts w:ascii="Times New Roman;serif" w:hAnsi="Times New Roman;serif"/>
          <w:b w:val="false"/>
          <w:color w:val="000000"/>
          <w:sz w:val="22"/>
        </w:rPr>
        <w:t>Pursuant to any applicable law, each Grantor authorizes the Administrative Agent to file or record financing statements and other filing or recording documents or instruments with respect to the Collateral without the signature of such Grantor in such form and in such offices as the Administrative Agent determines appropriate to perfect the security interests of the Administrative Agent under this Agreement. Each Grantor hereby ratifies and authorizes the filing by the Administrative Agent of any financing statement solely with respect to the Collateral made prior to the Effective Date. A photographic or other reproduction of this Agreement shall be sufficient as a financing statement or other filing or recording document or instrument for filing or recording in any jurisdiction.</w:t>
      </w:r>
    </w:p>
    <w:p>
      <w:pPr>
        <w:pStyle w:val="TextBody"/>
        <w:bidi w:val="0"/>
        <w:spacing w:lineRule="auto" w:line="288"/>
        <w:ind w:left="0" w:right="0" w:firstLine="1440"/>
        <w:jc w:val="both"/>
        <w:rPr/>
      </w:pPr>
      <w:r>
        <w:rPr>
          <w:rFonts w:ascii="Times New Roman;serif" w:hAnsi="Times New Roman;serif"/>
          <w:b w:val="false"/>
          <w:color w:val="000000"/>
          <w:sz w:val="22"/>
        </w:rPr>
        <w:t xml:space="preserve">8.4.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xml:space="preserve">. Each Grantor agrees that from time to time, at the expense of such Grantor, it shall promptly execute and deliver all further instruments and documents and take all further action that may be necessary or desirable, or that the Administrative Agent may reasonably request, in order to create and/or maintain the validity, perfection or priority of and protect any security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25</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interest granted or purported to be granted hereby or to enable the Administrative Agent to exercise and enforce its rights and remedies hereunder in respect of any Collateral. Without limiting the generality of the foregoing, each Grantor shall: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file such financing or continuation statements, or amendments thereto, record security interests in Intellectual Property and execute and deliver such other agreements, instruments, endorsements, powers of attorney or notices, as may be necessary or desirable, or as the Administrative Agent may reasonably request, in order to effect, reflect, perfect and preserve the security interests granted or purported to be granted hereby;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take all actions necessary to ensure the recordation of appropriate evidence of the liens and security interest granted hereunder in any Intellectual Property with any intellectual property registry in which said Intellectual Property is registered or issued or in which an application for registration or issuance is pending, including, without limitation, the United States Patent and Trademark Office and the United States Copyright Office.</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8.5.    </w:t>
      </w:r>
      <w:r>
        <w:rPr>
          <w:rFonts w:ascii="Times New Roman;serif" w:hAnsi="Times New Roman;serif"/>
          <w:b w:val="false"/>
          <w:color w:val="000000"/>
          <w:sz w:val="22"/>
          <w:u w:val="single"/>
        </w:rPr>
        <w:t>Authority of Administrative Agent.</w:t>
      </w:r>
      <w:r>
        <w:rPr>
          <w:color w:val="000000"/>
        </w:rPr>
        <w:t xml:space="preserve"> </w:t>
      </w:r>
      <w:r>
        <w:rPr>
          <w:rFonts w:ascii="Times New Roman;serif" w:hAnsi="Times New Roman;serif"/>
          <w:b w:val="false"/>
          <w:color w:val="000000"/>
          <w:sz w:val="22"/>
        </w:rPr>
        <w:t>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the Grantors, the Administrative Agent shall be conclusively presumed to be acting as agent for the Lenders with full and valid authority so to act or refrain from acting, and no Grantor shall be under any obligation, or entitlement, to make any inquiry respecting such authority.</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SECTION 9.</w:t>
      </w:r>
      <w:r>
        <w:rPr>
          <w:color w:val="000000"/>
        </w:rPr>
        <w:t>    </w:t>
      </w:r>
      <w:r>
        <w:rPr>
          <w:rFonts w:ascii="Times New Roman;serif" w:hAnsi="Times New Roman;serif"/>
          <w:b w:val="false"/>
          <w:color w:val="000000"/>
          <w:sz w:val="22"/>
        </w:rPr>
        <w:t>MISCELLANEOUS</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9.1.    </w:t>
      </w:r>
      <w:r>
        <w:rPr>
          <w:rFonts w:ascii="Times New Roman;serif" w:hAnsi="Times New Roman;serif"/>
          <w:b w:val="false"/>
          <w:color w:val="000000"/>
          <w:sz w:val="22"/>
          <w:u w:val="single"/>
        </w:rPr>
        <w:t>Amendments in Writing</w:t>
      </w:r>
      <w:r>
        <w:rPr>
          <w:rFonts w:ascii="Times New Roman;serif" w:hAnsi="Times New Roman;serif"/>
          <w:b w:val="false"/>
          <w:color w:val="000000"/>
          <w:sz w:val="22"/>
        </w:rPr>
        <w:t>. None of the terms or provisions of this Agreement may be waived, amended, supplemented or otherwise modified except in accordance with Section 9.02 of the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9.2.    </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All notices, requests and demands to or upon the Administrative Agent or any Grantor hereunder shall be effected in the manner provided for in Section 9.01 of the Credit Agreement; provided that any such notice, request or demand to or upon any Guarantor shall be addressed to such Guarantor at its notice address set forth on </w:t>
      </w:r>
      <w:r>
        <w:rPr>
          <w:rFonts w:ascii="Times New Roman;serif" w:hAnsi="Times New Roman;serif"/>
          <w:b w:val="false"/>
          <w:color w:val="000000"/>
          <w:sz w:val="22"/>
          <w:u w:val="single"/>
        </w:rPr>
        <w:t>Schedule 1</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9.3.    </w:t>
      </w:r>
      <w:r>
        <w:rPr>
          <w:rFonts w:ascii="Times New Roman;serif" w:hAnsi="Times New Roman;serif"/>
          <w:b w:val="false"/>
          <w:color w:val="000000"/>
          <w:sz w:val="22"/>
          <w:u w:val="single"/>
        </w:rPr>
        <w:t>No Waiver by Course of Conduct; Cumulative Remedies</w:t>
      </w:r>
      <w:r>
        <w:rPr>
          <w:rFonts w:ascii="Times New Roman;serif" w:hAnsi="Times New Roman;serif"/>
          <w:b w:val="false"/>
          <w:color w:val="000000"/>
          <w:sz w:val="22"/>
        </w:rPr>
        <w:t>. Neither the Administrative Agent nor any Lender shall by any act (except by a written instrument pursuant to Section 9.1),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9.4.    </w:t>
      </w:r>
      <w:r>
        <w:rPr>
          <w:rFonts w:ascii="Times New Roman;serif" w:hAnsi="Times New Roman;serif"/>
          <w:b w:val="false"/>
          <w:color w:val="000000"/>
          <w:sz w:val="22"/>
          <w:u w:val="single"/>
        </w:rPr>
        <w:t>Expenses; Indemnity</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26</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Each Grantor agrees to pay or reimburse each Lender and the Administrative Agent and its Affiliates for all its reasonable and documented out-of-pocket expenses incurred in collecting against such Grantor under the guarantees contained in Section 2 or 3, as applicable, or otherwise enforcing or preserving any rights under this Agreement and the other Loan Documents to which such Grantor is a party, including, without limitation, the reasonable and documented fees, charges and disbursements of one primary counsel (and specialist counsel as may reasonably be required by the Administrative Agent and one additional local counsel in each applicable jurisdiction) for the Administrative Agent (whether or not the transactions contemplated hereby shall be consummated).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Each Grantor agrees to pay, and to save the Administrative Agent and the Lenders harmless from, any and all losses, claims, damages, liabilities and related expenses, including the fees, charges and disbursements of any counsel, incurred by or asserted against any such Grantor arising out of, in connection with, or as a result the execution, delivery, enforcement, performance and administration of this Agreement to the extent the Company would be required to do so pursuant to Section 9.03 of the Credit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agreements in this Section 9.4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9.5.    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This provisions of this Agreement shall be binding upon and inure to the benefit of the parties hereto and their respective successors and assigns permitted hereby or by the express terms of the Credit Agreement; provided that no Grantor may assign, transfer or delegate any of its rights or obligations under this Agreement without the prior written consent of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9.6.    </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If an Event of Default shall have occurred and be continuing, the Administrative Agent and each Lender and their Affiliates, is hereby authorized at any time and from time to time, to the fullest extent permitted by law, to set-off and apply any and all deposits (general or special, time or demand, provisional or final and in whatever currency denominated), at any time held and the other obligations at any time owing by the Administrative Agent or such Lender or their respective Affiliates to or for the credit or the account of such Grantor, or any part thereof in such amounts as the Administrative Agent or such Lender may elect, against and on account of the obligations and liabilities of such Grantor to the Administrative Agent or such Lender hereunder and claims of every nature and description of the Administrative Agent or such Lender against such Grantor, in any currency, whether arising hereunder, under the Credit Agreement, any other Loan Document or otherwise, as the Administrative Agent or such Lender may elect. The Administrative Agent and each Lender shall notify such Grantor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9.6 are in addition to other rights and remedies (including, without limitation, other rights of set-off) which the Administrative Agent or such Lender may have;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to the extent prohibited by applicable law as described in the definition of “Excluded Swap Obligation”, no amounts received from , or set off with respect to, any Guarantor shall be applied to any Excluded Swap Obligations of such Guarantor. </w:t>
      </w:r>
    </w:p>
    <w:p>
      <w:pPr>
        <w:pStyle w:val="TextBody"/>
        <w:bidi w:val="0"/>
        <w:spacing w:lineRule="auto" w:line="268"/>
        <w:ind w:left="0" w:right="0" w:firstLine="1440"/>
        <w:jc w:val="both"/>
        <w:rPr/>
      </w:pPr>
      <w:r>
        <w:rPr>
          <w:rFonts w:ascii="Times New Roman;serif" w:hAnsi="Times New Roman;serif"/>
          <w:b w:val="false"/>
          <w:color w:val="000000"/>
          <w:sz w:val="22"/>
        </w:rPr>
        <w:t>9.7.    </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27</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erif" w:hAnsi="Times New Roman;serif"/>
          <w:b w:val="false"/>
          <w:color w:val="000000"/>
          <w:sz w:val="22"/>
          <w:u w:val="single"/>
        </w:rPr>
        <w:t>Electronic Signatures</w:t>
      </w:r>
      <w:r>
        <w:rPr>
          <w:color w:val="000000"/>
        </w:rPr>
        <w:t xml:space="preserve">” </w:t>
      </w:r>
      <w:r>
        <w:rPr>
          <w:rFonts w:ascii="Times New Roman;serif" w:hAnsi="Times New Roman;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9.8.    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9.9.    </w:t>
      </w:r>
      <w:r>
        <w:rPr>
          <w:rFonts w:ascii="Times New Roman;serif" w:hAnsi="Times New Roman;serif"/>
          <w:b w:val="false"/>
          <w:color w:val="000000"/>
          <w:sz w:val="22"/>
          <w:u w:val="single"/>
        </w:rPr>
        <w:t>Section Headings</w:t>
      </w:r>
      <w:r>
        <w:rPr>
          <w:rFonts w:ascii="Times New Roman;serif" w:hAnsi="Times New Roman;serif"/>
          <w:b w:val="false"/>
          <w:color w:val="000000"/>
          <w:sz w:val="22"/>
        </w:rPr>
        <w:t>. The Section headings used herein are for convenience of reference only, are not part of this Agreement and shall not affect the construction of, or be taken into consideration in interpreting,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9.10.    </w:t>
      </w:r>
      <w:r>
        <w:rPr>
          <w:rFonts w:ascii="Times New Roman;serif" w:hAnsi="Times New Roman;serif"/>
          <w:b w:val="false"/>
          <w:color w:val="000000"/>
          <w:sz w:val="22"/>
          <w:u w:val="single"/>
        </w:rPr>
        <w:t>Integration</w:t>
      </w:r>
      <w:r>
        <w:rPr>
          <w:rFonts w:ascii="Times New Roman;serif" w:hAnsi="Times New Roman;serif"/>
          <w:b w:val="false"/>
          <w:color w:val="000000"/>
          <w:sz w:val="22"/>
        </w:rPr>
        <w:t>. This Agreement and the other Loan Documents constitute the entire contract among the parties relating to the subject matter hereof and thereof, and supersede any and all previous agreements and understandings, oral or written, relating to the matter hereof. There are no promises, undertakings, representations or warranties by the Administrative Agent or any Lender relative to subject matter hereof and thereof not expressly set forth or referred to herein or in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9.11.    </w:t>
      </w:r>
      <w:r>
        <w:rPr>
          <w:rFonts w:ascii="Times New Roman;serif" w:hAnsi="Times New Roman;serif"/>
          <w:b/>
          <w:color w:val="000000"/>
          <w:sz w:val="22"/>
          <w:u w:val="single"/>
        </w:rPr>
        <w:t>GOVERNING LAW</w:t>
      </w:r>
      <w:r>
        <w:rPr>
          <w:rFonts w:ascii="Times New Roman;serif" w:hAnsi="Times New Roman;serif"/>
          <w:b w:val="false"/>
          <w:color w:val="000000"/>
          <w:sz w:val="22"/>
        </w:rPr>
        <w:t>. THIS AGREEMENT SHALL BE CONSTRUED IN ACCORDANCE WITH AND GOVERNED BY THE LAW OF THE STATE OF NEW YORK.</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9.12.    </w:t>
      </w:r>
      <w:r>
        <w:rPr>
          <w:rFonts w:ascii="Times New Roman;serif" w:hAnsi="Times New Roman;serif"/>
          <w:b w:val="false"/>
          <w:color w:val="000000"/>
          <w:sz w:val="22"/>
          <w:u w:val="single"/>
        </w:rPr>
        <w:t>Submission To Jurisdiction; Waivers</w:t>
      </w:r>
      <w:r>
        <w:rPr>
          <w:rFonts w:ascii="Times New Roman;serif" w:hAnsi="Times New Roman;serif"/>
          <w:b w:val="false"/>
          <w:color w:val="000000"/>
          <w:sz w:val="22"/>
        </w:rPr>
        <w:t>. Each Grantor hereby irrevocably and unconditionally: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(a) of this Section. Each Grantor hereto hereby irrevocably waives, to the fullest extent permitted by law, the defense of an inconvenient forum to the maintenance of such action or proceeding in any such court;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agrees that service of process in any such action or proceeding may be effected by mailing a copy thereof by registered or certified mail (or any substantially similar form of mail), postage prepaid, return receipt requested, to such Grantor at its address referred to in Section 9.2 or at such other address of which the Administrative Agent shall have been notified pursuant thereto;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agrees that nothing herein shall affect the right to effect service of process in any other manner permitted by law or shall limit the right to sue in any other jurisdiction; and</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28</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waives, to the maximum extent not prohibited by law, any right it may have to claim or recover in any legal action or proceeding referred to in this Section any special, indirect, consequential or punitive damages.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9.13.    </w:t>
      </w:r>
      <w:r>
        <w:rPr>
          <w:rFonts w:ascii="Times New Roman;serif" w:hAnsi="Times New Roman;serif"/>
          <w:b w:val="false"/>
          <w:color w:val="000000"/>
          <w:sz w:val="22"/>
          <w:u w:val="single"/>
        </w:rPr>
        <w:t>Acknowledgments</w:t>
      </w:r>
      <w:r>
        <w:rPr>
          <w:rFonts w:ascii="Times New Roman;serif" w:hAnsi="Times New Roman;serif"/>
          <w:b w:val="false"/>
          <w:color w:val="000000"/>
          <w:sz w:val="22"/>
        </w:rPr>
        <w:t>. Each Grantor hereby acknowledges that: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it has been advised by counsel in the negotiation, execution and delivery of this Agreement and the other Loan Documents to which it is a party;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neither the Administrative Agent nor any Lender has any fiduciary relationship with or duty to any Grantor arising out of or in connection with this Agreement or any of the other Loan Documents, and the relationship between the Grantors, on the one hand, and the Administrative Agent and Lenders, on the other hand, in connection herewith or therewith is solely that of debtor and creditor;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no joint venture is created hereby or by the other Loan Documents or otherwise exists by virtue of the transactions contemplated hereby among the Lenders or among the Grantors and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9.14.    </w:t>
      </w:r>
      <w:r>
        <w:rPr>
          <w:rFonts w:ascii="Times New Roman;serif" w:hAnsi="Times New Roman;serif"/>
          <w:b w:val="false"/>
          <w:color w:val="000000"/>
          <w:sz w:val="22"/>
          <w:u w:val="single"/>
        </w:rPr>
        <w:t>Additional Guarantors and Grantors</w:t>
      </w:r>
      <w:r>
        <w:rPr>
          <w:rFonts w:ascii="Times New Roman;serif" w:hAnsi="Times New Roman;serif"/>
          <w:b w:val="false"/>
          <w:color w:val="000000"/>
          <w:sz w:val="22"/>
        </w:rPr>
        <w:t>. Each Domestic Subsidiary that is required to become a party to this Agreement pursuant to Section 5.11(b) of the Credit Agreement shall become a Guarantor and Grantor for all purposes of this Agreement upon execution and delivery by such Domestic Subsidiary of an Assumption Agreement in the form of Annex 1 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9.15.    </w:t>
      </w:r>
      <w:r>
        <w:rPr>
          <w:rFonts w:ascii="Times New Roman;serif" w:hAnsi="Times New Roman;serif"/>
          <w:b w:val="false"/>
          <w:color w:val="000000"/>
          <w:sz w:val="22"/>
          <w:u w:val="single"/>
        </w:rPr>
        <w:t>Releases; Reinstatement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At such time as the Loans, the Reimbursement Obligations and the other Obligations shall have been paid in full (other than unasserted contingent obligations not yet due and payable), the Commitments have been terminated and no Letters of Credit shall be outstanding, the Collateral shall be released from the Liens created hereby, and this Agreement and all obligations (other than those expressly stated to survive such termination) of the Administrative Agent and each Grantor hereunder shall terminate, all without delivery of any instrument or performance of any act by any party, and all rights to the Collateral shall revert to the Grantors. At the request and sole expense of any Grantor following any such termination, the Administrative Agent shall deliver to such Grantor any Collateral held by the Administrative Agent hereunder, and execute and deliver to such Grantor such documents as such Grantor shall reasonably request to evidence such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If any of the Collateral shall be sold, transferred or otherwise disposed of by any Grantor in a transaction permitted by the Credit Agreement, then such Collateral shall be sold free and clear of any liens created by this Agreement and the Administrative Agent, at the request and sole expense of such Grantor, shall execute and deliver to such Grantor all releases or other documents reasonably necessary or desirable for the release of the Liens created hereby on such Collateral. At the request and sole expense of the Company, a Subsidiary Guarantor shall be released from its obligations hereunder in the event that all the Capital Stock of such Subsidiary Guarantor shall be sold, transferred or otherwise disposed of in a transaction permitted by the Credit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Company shall have delivered to the Administrative Agent, at least ten Business Days prior to the date of the proposed release, a written request for release identifying the relevant Subsidiary Guarantor and the terms of the sale or other disposition in reasonable detail, including the price thereof and any expenses in connection therewith, together with a certification by the Company stating that such transaction is in compliance with the Credit Agreement and the other Loan Documents.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At such time as the Specified Conditions shall be in effect, the Company shall have the right by written notice to the Administrative Agent to require all Collateral be released from any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29</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security interest created hereby. On any such date (a “</w:t>
      </w:r>
      <w:r>
        <w:rPr>
          <w:rFonts w:ascii="Times New Roman;serif" w:hAnsi="Times New Roman;serif"/>
          <w:b w:val="false"/>
          <w:color w:val="000000"/>
          <w:sz w:val="22"/>
          <w:u w:val="single"/>
        </w:rPr>
        <w:t>Ratings Release Date</w:t>
      </w:r>
      <w:r>
        <w:rPr>
          <w:color w:val="000000"/>
        </w:rPr>
        <w:t>”</w:t>
      </w:r>
      <w:r>
        <w:rPr>
          <w:rFonts w:ascii="Times New Roman;serif" w:hAnsi="Times New Roman;serif"/>
          <w:b w:val="false"/>
          <w:color w:val="000000"/>
          <w:sz w:val="22"/>
        </w:rPr>
        <w:t>), all rights to the Collateral shall transfer and revert to the Company and the Guarantors (the period from and after any such date (and prior to a reinstatement required pursuant to Section 9.15(d)), an “</w:t>
      </w:r>
      <w:r>
        <w:rPr>
          <w:rFonts w:ascii="Times New Roman;serif" w:hAnsi="Times New Roman;serif"/>
          <w:b w:val="false"/>
          <w:color w:val="000000"/>
          <w:sz w:val="22"/>
          <w:u w:val="single"/>
        </w:rPr>
        <w:t>Unsecured Period</w:t>
      </w:r>
      <w:r>
        <w:rPr>
          <w:color w:val="000000"/>
        </w:rPr>
        <w:t>”</w:t>
      </w:r>
      <w:r>
        <w:rPr>
          <w:rFonts w:ascii="Times New Roman;serif" w:hAnsi="Times New Roman;serif"/>
          <w:b w:val="false"/>
          <w:color w:val="000000"/>
          <w:sz w:val="22"/>
        </w:rPr>
        <w:t>). On any such Ratings Release Date, the Grantors shall be authorized and the Administrative Agent hereby authorizes each Grantor, to prepare and record UCC termination statements with respect to any financing statements recorded by the Administrative Agent hereunder. At the request and sole expense of the Company following a Ratings Release Date, the Administrative Agent shall deliver to the Company any Collateral (including certificates representing the Pledged Stock) held by the Administrative Agent hereunder, and execute and deliver to the Company such documents as the Company shall reasonably request to evidence such termination.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Notwithstanding clause (c) of this Section 9.15, in the event that the Specified Conditions shall no longer be in effect at any time during an Unsecured Period, the Collateral shall be reinstated in full within sixty days of such event, along with any necessary UCC filings, modifications to the Schedules hereto and such other actions requested by the Administrative Agent as are reasonably necessary to grant a first priority perfected security interest (subject to Liens otherwise permitted by this Agreement and the Credit Agreement) in such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9.16.    </w:t>
      </w:r>
      <w:r>
        <w:rPr>
          <w:rFonts w:ascii="Times New Roman;serif" w:hAnsi="Times New Roman;serif"/>
          <w:b w:val="false"/>
          <w:color w:val="000000"/>
          <w:sz w:val="22"/>
          <w:u w:val="single"/>
        </w:rPr>
        <w:t>Conflict of Laws</w:t>
      </w:r>
      <w:r>
        <w:rPr>
          <w:rFonts w:ascii="Times New Roman;serif" w:hAnsi="Times New Roman;serif"/>
          <w:b w:val="false"/>
          <w:color w:val="000000"/>
          <w:sz w:val="22"/>
        </w:rPr>
        <w:t>. Notwithstanding anything to the contrary herein, in the event that any provision of any pledge, charge or foreign equivalent executed by any Foreign Subsidiary and governed by the laws of the applicable foreign jurisdiction is inconsistent with any corresponding provision in this Agreement, the provision in such pledge, charge or foreign equivalent shall govern.</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9.17.    </w:t>
      </w:r>
      <w:r>
        <w:rPr>
          <w:rFonts w:ascii="Times New Roman;serif" w:hAnsi="Times New Roman;serif"/>
          <w:b/>
          <w:color w:val="000000"/>
          <w:sz w:val="22"/>
          <w:u w:val="single"/>
        </w:rPr>
        <w:t>WAIVER OF JURY TRIAL</w:t>
      </w:r>
      <w:r>
        <w:rPr>
          <w:rFonts w:ascii="Times New Roman;serif" w:hAnsi="Times New Roman;serif"/>
          <w:b w:val="false"/>
          <w:color w:val="000000"/>
          <w:sz w:val="22"/>
        </w:rPr>
        <w:t>. EACH GRANTOR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w:t>
      </w:r>
    </w:p>
    <w:p>
      <w:pPr>
        <w:pStyle w:val="TextBody"/>
        <w:bidi w:val="0"/>
        <w:spacing w:lineRule="auto" w:line="288" w:before="0" w:after="240"/>
        <w:ind w:left="0" w:right="0" w:firstLine="1440"/>
        <w:jc w:val="both"/>
        <w:rPr/>
      </w:pPr>
      <w:r>
        <w:rPr>
          <w:rFonts w:ascii="Times New Roman;serif" w:hAnsi="Times New Roman;serif"/>
          <w:b w:val="false"/>
          <w:color w:val="000000"/>
          <w:sz w:val="22"/>
        </w:rPr>
        <w:t>9.18    </w:t>
      </w:r>
      <w:r>
        <w:rPr>
          <w:rFonts w:ascii="Times New Roman;serif" w:hAnsi="Times New Roman;serif"/>
          <w:b w:val="false"/>
          <w:color w:val="000000"/>
          <w:sz w:val="22"/>
          <w:u w:val="single"/>
        </w:rPr>
        <w:t>Amendment and Restatement</w:t>
      </w:r>
      <w:r>
        <w:rPr>
          <w:rFonts w:ascii="Times New Roman;serif" w:hAnsi="Times New Roman;serif"/>
          <w:b w:val="false"/>
          <w:color w:val="000000"/>
          <w:sz w:val="22"/>
        </w:rPr>
        <w:t>. Each Grantor party to the Existing Guarantee and Collateral Agreement affirms its duties and obligations under the terms and conditions of the Existing Guarantee and Collateral Agreement, and agrees that its obligations outstanding under the Existing Guarantee and Collateral Agreement, as amended and restated as of the date hereof by this Agreement, remain in full force and effect and are hereby ratified, reaffirmed and confirmed. Each Grantor acknowledges and agrees with the Administrative Agent that the Existing Guarantee and Collateral Agreement is amended, restated, and superseded in its entirety pursuant to the terms hereof.</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[Remainder of page intentionally left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undersigned has caused this Seventh Amended and Restated Guarantee and Collateral Agreement to be duly executed and delivered as of the date first above written.</w:t>
      </w:r>
    </w:p>
    <w:p>
      <w:pPr>
        <w:pStyle w:val="TextBody"/>
        <w:bidi w:val="0"/>
        <w:spacing w:before="100" w:after="283"/>
        <w:ind w:left="0" w:right="0" w:firstLine="1440"/>
        <w:jc w:val="both"/>
        <w:rPr/>
      </w:pPr>
      <w:r>
        <w:rPr/>
      </w:r>
    </w:p>
    <w:tbl>
      <w:tblPr>
        <w:tblW w:w="6134" w:type="dxa"/>
        <w:jc w:val="left"/>
        <w:tblInd w:w="0" w:type="dxa"/>
        <w:tblLayout w:type="fixed"/>
        <w:tblCellMar>
          <w:top w:w="28" w:type="dxa"/>
          <w:left w:w="28" w:type="dxa"/>
          <w:bottom w:w="28" w:type="dxa"/>
          <w:right w:w="28" w:type="dxa"/>
        </w:tblCellMar>
      </w:tblPr>
      <w:tblGrid>
        <w:gridCol w:w="1965"/>
        <w:gridCol w:w="1725"/>
        <w:gridCol w:w="2444"/>
      </w:tblGrid>
      <w:tr>
        <w:trPr/>
        <w:tc>
          <w:tcPr>
            <w:tcW w:w="196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erif" w:hAnsi="Times New Roman;serif"/>
                <w:b w:val="false"/>
                <w:color w:val="000000"/>
                <w:sz w:val="24"/>
              </w:rPr>
            </w:pPr>
            <w:r>
              <w:rPr>
                <w:rFonts w:ascii="Times New Roman;serif" w:hAnsi="Times New Roman;serif"/>
                <w:b w:val="false"/>
                <w:color w:val="000000"/>
                <w:sz w:val="24"/>
              </w:rPr>
              <w:t>JPMORGAN CHASE BANK, N.A., as Administrative Agent</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45"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ableContents"/>
              <w:bidi w:val="0"/>
              <w:spacing w:lineRule="auto" w:line="345"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ableContents"/>
              <w:bidi w:val="0"/>
              <w:spacing w:lineRule="auto" w:line="345" w:before="0" w:after="4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140"/>
        <w:ind w:left="0" w:right="0" w:firstLine="1440"/>
        <w:jc w:val="right"/>
        <w:rPr/>
      </w:pPr>
      <w:r>
        <w:rPr/>
      </w:r>
    </w:p>
    <w:p>
      <w:pPr>
        <w:pStyle w:val="TextBody"/>
        <w:bidi w:val="0"/>
        <w:spacing w:before="100" w:after="283"/>
        <w:jc w:val="right"/>
        <w:rPr/>
      </w:pPr>
      <w:r>
        <w:rPr/>
      </w:r>
    </w:p>
    <w:tbl>
      <w:tblPr>
        <w:tblW w:w="4664" w:type="dxa"/>
        <w:jc w:val="left"/>
        <w:tblInd w:w="0" w:type="dxa"/>
        <w:tblLayout w:type="fixed"/>
        <w:tblCellMar>
          <w:top w:w="28" w:type="dxa"/>
          <w:left w:w="28" w:type="dxa"/>
          <w:bottom w:w="28" w:type="dxa"/>
          <w:right w:w="28" w:type="dxa"/>
        </w:tblCellMar>
      </w:tblPr>
      <w:tblGrid>
        <w:gridCol w:w="1494"/>
        <w:gridCol w:w="1313"/>
        <w:gridCol w:w="1857"/>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45"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ableContents"/>
              <w:bidi w:val="0"/>
              <w:spacing w:lineRule="auto" w:line="345"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ableContents"/>
              <w:bidi w:val="0"/>
              <w:spacing w:lineRule="auto" w:line="345" w:before="0" w:after="4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345" w:before="0" w:after="283"/>
              <w:jc w:val="left"/>
              <w:rPr>
                <w:rFonts w:ascii="Times New Roman;serif" w:hAnsi="Times New Roman;serif"/>
                <w:b w:val="false"/>
                <w:color w:val="000000"/>
                <w:sz w:val="24"/>
              </w:rPr>
            </w:pPr>
            <w:r>
              <w:rPr>
                <w:rFonts w:ascii="Times New Roman;serif" w:hAnsi="Times New Roman;serif"/>
                <w:b w:val="false"/>
                <w:color w:val="000000"/>
                <w:sz w:val="24"/>
              </w:rPr>
              <w:t>[OTHER GRANTORS]</w:t>
            </w:r>
          </w:p>
        </w:tc>
      </w:tr>
    </w:tbl>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440"/>
        <w:jc w:val="right"/>
        <w:rPr>
          <w:rFonts w:ascii="Times New Roman;serif" w:hAnsi="Times New Roman;serif"/>
          <w:b w:val="false"/>
          <w:color w:val="000000"/>
          <w:sz w:val="22"/>
        </w:rPr>
      </w:pPr>
      <w:r>
        <w:rPr>
          <w:rFonts w:ascii="Times New Roman;serif" w:hAnsi="Times New Roman;serif"/>
          <w:b w:val="false"/>
          <w:color w:val="000000"/>
          <w:sz w:val="22"/>
        </w:rPr>
        <w:t>Annex 1 to</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Seventh Amended and Restated Guarantee and Collateral Agreement</w:t>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ASSUMPTION AGREEMENT, dated as of ________________, 20__, made by ______________________________, a ______________ corporation (the “</w:t>
      </w:r>
      <w:r>
        <w:rPr>
          <w:rFonts w:ascii="Times New Roman;serif" w:hAnsi="Times New Roman;serif"/>
          <w:b w:val="false"/>
          <w:color w:val="000000"/>
          <w:sz w:val="22"/>
          <w:u w:val="single"/>
        </w:rPr>
        <w:t>Additional Grantor</w:t>
      </w:r>
      <w:r>
        <w:rPr>
          <w:color w:val="000000"/>
        </w:rPr>
        <w:t>”</w:t>
      </w:r>
      <w:r>
        <w:rPr>
          <w:rFonts w:ascii="Times New Roman;serif" w:hAnsi="Times New Roman;serif"/>
          <w:b w:val="false"/>
          <w:color w:val="000000"/>
          <w:sz w:val="22"/>
        </w:rPr>
        <w:t>), in favor of JPMorgan Chase Bank, N.A.,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for the banks and other financial institutions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parties to the Credit Agreement referred to below. All capitalized terms not defined herein shall have the meaning ascribed to them in such Credit Agreement.</w:t>
      </w:r>
    </w:p>
    <w:p>
      <w:pPr>
        <w:pStyle w:val="TextBody"/>
        <w:bidi w:val="0"/>
        <w:spacing w:lineRule="auto" w:line="288" w:before="0" w:after="240"/>
        <w:jc w:val="center"/>
        <w:rPr/>
      </w:pPr>
      <w:r>
        <w:rPr>
          <w:rFonts w:ascii="Times New Roman;serif" w:hAnsi="Times New Roman;serif"/>
          <w:b w:val="false"/>
          <w:color w:val="000000"/>
          <w:sz w:val="22"/>
          <w:u w:val="single"/>
        </w:rPr>
        <w:t xml:space="preserve">W I T N E S S E T H </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Scotts Miracle-Gro Company, an Ohio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Subsidiary Borrowers, the Lenders, the Administrative Agent, the Documentation Agent and the Syndication Agent have entered into a Seventh Amended and Restated Credit Agreement, dated as of November 21, 2025 (as amended,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in connection with the Credit Agreement, the Company and certain of its Affiliates (other than the Additional Grantor) have entered into the Seventh Amended and Restated Guarantee and Collateral Agreement, dated as of November 21, 2025 (as amended, supplemented or otherwise modified from time to time, the “</w:t>
      </w:r>
      <w:r>
        <w:rPr>
          <w:rFonts w:ascii="Times New Roman;serif" w:hAnsi="Times New Roman;serif"/>
          <w:b w:val="false"/>
          <w:color w:val="000000"/>
          <w:sz w:val="22"/>
          <w:u w:val="single"/>
        </w:rPr>
        <w:t>Guarantee and Collateral Agreement</w:t>
      </w:r>
      <w:r>
        <w:rPr>
          <w:color w:val="000000"/>
        </w:rPr>
        <w:t>”</w:t>
      </w:r>
      <w:r>
        <w:rPr>
          <w:rFonts w:ascii="Times New Roman;serif" w:hAnsi="Times New Roman;serif"/>
          <w:b w:val="false"/>
          <w:color w:val="000000"/>
          <w:sz w:val="22"/>
        </w:rPr>
        <w:t xml:space="preserve">) in favor of the Administrative Agent for the ratable benefit of the Secured Parties;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Credit Agreement requires the Additional Grantor to become a party to the Guarantee and Collateral Agreement; and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Additional Grantor has agreed to execute and deliver this Assumption Agreement in order to become a party to the Guarantee and Collateral Agreement;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IT IS AGREED: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Guarantee and Collateral Agreement</w:t>
      </w:r>
      <w:r>
        <w:rPr>
          <w:rFonts w:ascii="Times New Roman;serif" w:hAnsi="Times New Roman;serif"/>
          <w:b w:val="false"/>
          <w:color w:val="000000"/>
          <w:sz w:val="22"/>
        </w:rPr>
        <w:t>. By executing and delivering this Assumption Agreement, the Additional Grantor, as provided in Section 9.14 of the Guarantee and Collateral Agreement, hereby becomes a party to the Guarantee and Collateral Agreement as a Guarantor and as a Grantor thereunder with the same force and effect as if originally named therein as a as a Guarantor and Grantor and, without limiting the generality of the foregoing, hereby expressly assumes all obligations and liabilities of a Guarantor and a Grantor thereunder. The information set forth in Annex 1-A hereto is hereby added to the information set forth in the Schedules to the Guarantee and Collateral Agreement. The Additional Grantor hereby represents and warrants that each of the representations and warranties contained in Section 5 of the Guarantee and Collateral Agreement is true and correct on and as the date hereof (after giving effect to this Assumption Agreement) as if made on and as of such date.</w:t>
      </w:r>
    </w:p>
    <w:p>
      <w:pPr>
        <w:pStyle w:val="TextBody"/>
        <w:bidi w:val="0"/>
        <w:spacing w:lineRule="auto" w:line="288" w:before="0" w:after="240"/>
        <w:ind w:left="0" w:right="0" w:firstLine="1440"/>
        <w:jc w:val="both"/>
        <w:rPr/>
      </w:pPr>
      <w:r>
        <w:rPr>
          <w:rFonts w:ascii="Times New Roman;serif" w:hAnsi="Times New Roman;serif"/>
          <w:b/>
          <w:color w:val="000000"/>
          <w:sz w:val="22"/>
        </w:rPr>
        <w:t>2.    </w:t>
      </w:r>
      <w:r>
        <w:rPr>
          <w:rFonts w:ascii="Times New Roman;serif" w:hAnsi="Times New Roman;serif"/>
          <w:b/>
          <w:color w:val="000000"/>
          <w:sz w:val="22"/>
          <w:u w:val="single"/>
        </w:rPr>
        <w:t>Governing Law</w:t>
      </w:r>
      <w:r>
        <w:rPr>
          <w:rFonts w:ascii="Times New Roman;serif" w:hAnsi="Times New Roman;serif"/>
          <w:b/>
          <w:color w:val="000000"/>
          <w:sz w:val="22"/>
        </w:rPr>
        <w:t>. THIS ASSUMPTION AGREEMENT SHALL BE CONSTRUED IN ACCORDANCE WITH AND GOVERNED BY THE LAW OF THE STATE OF NEW YORK.</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[Remainder of page intentionally left blank]</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Assumption Agreement to be duly executed and delivered as of 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[ADDITIONAL GRANTOR]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val="false"/>
          <w:color w:val="000000"/>
          <w:sz w:val="22"/>
        </w:rPr>
      </w:pPr>
      <w:r>
        <w:rPr>
          <w:rFonts w:ascii="Times New Roman;serif" w:hAnsi="Times New Roman;serif"/>
          <w:b w:val="false"/>
          <w:color w:val="000000"/>
          <w:sz w:val="22"/>
        </w:rPr>
        <w:t>Annex 1-A to</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Assumption Agreement</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Supplement to Schedule 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Supplement to Schedule 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Supplement to Schedule 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Supplement to Schedule 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Supplement to Schedule 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Supplement to Schedule 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Supplement to Schedule 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Supplement to Schedule 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Supplement to Schedule 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Annex 2 to</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Seventh Amended and Restated Guarantee and Collateral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OF] COPYRIGHT SECURITY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COPYRIGHT SECURITY AGREEMENT, dated as of [__], 202[_]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by each of the signatories hereto indicated as a “Grantor” (each, a “</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Grantors</w:t>
      </w:r>
      <w:r>
        <w:rPr>
          <w:color w:val="000000"/>
        </w:rPr>
        <w:t>”</w:t>
      </w:r>
      <w:r>
        <w:rPr>
          <w:rFonts w:ascii="Times New Roman;serif" w:hAnsi="Times New Roman;serif"/>
          <w:b w:val="false"/>
          <w:color w:val="000000"/>
          <w:sz w:val="22"/>
        </w:rPr>
        <w:t>) in favor of JPMORGAN CHASE BANK, N.A., as administrative agent for the Secured Parties (in such capacity and together with its successors and assigns in such capacity, the “Administrative Agent”).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pursuant to that certain Seventh Amended and Restated Credit Agreement, dated as of November 21, 2025 (as amended, restated, amended and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as a condition precedent to the obligation of the Lenders to make their respective extension of credit to the Borrowers under the Credit Agreement, the Grantors entered into a Seventh Amended and Restated Guarantee and Collateral, dated as of November 21, 2025 (as amended, restated, amended and restated, supplemented or otherwise modified from time to time, the “</w:t>
      </w:r>
      <w:r>
        <w:rPr>
          <w:rFonts w:ascii="Times New Roman;serif" w:hAnsi="Times New Roman;serif"/>
          <w:b w:val="false"/>
          <w:color w:val="000000"/>
          <w:sz w:val="22"/>
          <w:u w:val="single"/>
        </w:rPr>
        <w:t>Guarantee and Collateral Agreement</w:t>
      </w:r>
      <w:r>
        <w:rPr>
          <w:color w:val="000000"/>
        </w:rPr>
        <w:t>”</w:t>
      </w:r>
      <w:r>
        <w:rPr>
          <w:rFonts w:ascii="Times New Roman;serif" w:hAnsi="Times New Roman;serif"/>
          <w:b w:val="false"/>
          <w:color w:val="000000"/>
          <w:sz w:val="22"/>
        </w:rPr>
        <w:t>), between each of the Grantors and the Administrative Agent, pursuant to which each of the Grantors assigned, transferred and granted to the Administrative Agent, for the benefit of the Secured Parties, a security interest in the Copyright Collateral (as defined below);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pursuant to the Guarantee and Collateral Agreement, each Grantor agreed to execute and this Agreement, in order to record the security interest granted to the Administrative Agent for the benefit of the Secured Parties with the United States Copyright Office.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for other good and valuable consideration, the receipt and sufficiency of which is hereby acknowledged, the Grantors hereby agree with the Administrative Agent as follows: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1. Defined Terms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herein shall have the respective meanings given thereto in the Guarantee and Collateral Agreement, and if not defined therein, shall have the respective meanings given thereto in the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2. Grant of Security Interest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w:t>
      </w:r>
      <w:r>
        <w:rPr>
          <w:rFonts w:ascii="Times New Roman;serif" w:hAnsi="Times New Roman;serif"/>
          <w:b w:val="false"/>
          <w:color w:val="000000"/>
          <w:sz w:val="22"/>
          <w:u w:val="single"/>
        </w:rPr>
        <w:t>Copyright Collateral</w:t>
      </w:r>
      <w:r>
        <w:rPr>
          <w:color w:val="000000"/>
        </w:rPr>
        <w:t>”</w:t>
      </w:r>
      <w:r>
        <w:rPr>
          <w:rFonts w:ascii="Times New Roman;serif" w:hAnsi="Times New Roman;serif"/>
          <w:b w:val="false"/>
          <w:color w:val="000000"/>
          <w:sz w:val="22"/>
        </w:rPr>
        <w:t xml:space="preserve">) as collateral security for the prompt and complete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payment and performance when due (whether at the stated maturity, by acceleration or otherwise) of such Grantor’s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all works of authorship and all intellectual property rights therein, all copyrights (whether or not the underlying works of authorship have been published), including but not limited to copyrights in software and databases, all designs (including but not limited to all industrial designs, “Protected Designs” within the meaning of 17 U.S.C. 1301 et. Seq. and Community designs), and all “Mask Works” (as defined in 17 U.S.C. 901 of the U.S. Copyright Act), whether registered or unregistered, and with respect to any and all of the foregoing: (i) all registrations and applications for registration thereof including, without limitation, the registrations and applications in the United States Copyright Office listed in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 (ii) all extensions, renewals, and restorations thereof, (iii) all rights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but excluding any Excluded IP.</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3. Guarantee and Collateral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4. Governing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SHALL BE CONSTRUED IN ACCORDANCE WITH AND GOVERNED BY THE LAW OF THE STATE OF NEW YORK.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5. Counterparts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erif" w:hAnsi="Times New Roman;serif"/>
          <w:b w:val="false"/>
          <w:color w:val="000000"/>
          <w:sz w:val="22"/>
          <w:u w:val="single"/>
        </w:rPr>
        <w:t>Electronic Signatures</w:t>
      </w:r>
      <w:r>
        <w:rPr>
          <w:color w:val="000000"/>
        </w:rPr>
        <w:t xml:space="preserve">” </w:t>
      </w:r>
      <w:r>
        <w:rPr>
          <w:rFonts w:ascii="Times New Roman;serif" w:hAnsi="Times New Roman;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firstLine="720"/>
        <w:jc w:val="both"/>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Grantor has caused this Agreement to be executed and delivered by its duly authorized officer as of the date first set forth above.</w:t>
      </w:r>
    </w:p>
    <w:p>
      <w:pPr>
        <w:pStyle w:val="TextBody"/>
        <w:bidi w:val="0"/>
        <w:spacing w:before="0" w:after="0"/>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 xml:space="preserve">[NAME OF GRANTOR], </w:t>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as a Grantor</w:t>
      </w:r>
    </w:p>
    <w:p>
      <w:pPr>
        <w:pStyle w:val="TextBody"/>
        <w:bidi w:val="0"/>
        <w:spacing w:before="0" w:after="0"/>
        <w:jc w:val="left"/>
        <w:rPr/>
      </w:pPr>
      <w:r>
        <w:rPr/>
      </w:r>
    </w:p>
    <w:p>
      <w:pPr>
        <w:pStyle w:val="TextBody"/>
        <w:bidi w:val="0"/>
        <w:spacing w:lineRule="auto" w:line="288" w:before="0" w:after="0"/>
        <w:ind w:left="0" w:right="0" w:firstLine="4320"/>
        <w:jc w:val="left"/>
        <w:rPr/>
      </w:pPr>
      <w:r>
        <w:rPr>
          <w:rFonts w:ascii="Times New Roman;serif" w:hAnsi="Times New Roman;serif"/>
          <w:b w:val="false"/>
          <w:color w:val="000000"/>
          <w:sz w:val="22"/>
        </w:rPr>
        <w:t xml:space="preserve">By: </w:t>
      </w:r>
      <w:r>
        <w:rPr>
          <w:color w:val="000000"/>
          <w:u w:val="single"/>
        </w:rPr>
        <w:t>        </w:t>
      </w:r>
      <w:r>
        <w:rPr>
          <w:color w:val="000000"/>
        </w:rPr>
        <w:t xml:space="preserve"> </w:t>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Copyright Security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Copyright Security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COPYRIGHT SECURITY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COPYRIGHT REGISTRATIONS</w:t>
      </w:r>
    </w:p>
    <w:p>
      <w:pPr>
        <w:pStyle w:val="TextBody"/>
        <w:bidi w:val="0"/>
        <w:spacing w:before="0" w:after="0"/>
        <w:jc w:val="center"/>
        <w:rPr/>
      </w:pPr>
      <w:r>
        <w:rPr/>
      </w:r>
    </w:p>
    <w:tbl>
      <w:tblPr>
        <w:tblW w:w="3944" w:type="dxa"/>
        <w:jc w:val="center"/>
        <w:tblInd w:w="0" w:type="dxa"/>
        <w:tblLayout w:type="fixed"/>
        <w:tblCellMar>
          <w:top w:w="28" w:type="dxa"/>
          <w:left w:w="28" w:type="dxa"/>
          <w:bottom w:w="28" w:type="dxa"/>
          <w:right w:w="28" w:type="dxa"/>
        </w:tblCellMar>
      </w:tblPr>
      <w:tblGrid>
        <w:gridCol w:w="196"/>
        <w:gridCol w:w="172"/>
        <w:gridCol w:w="173"/>
        <w:gridCol w:w="544"/>
        <w:gridCol w:w="544"/>
        <w:gridCol w:w="546"/>
        <w:gridCol w:w="517"/>
        <w:gridCol w:w="517"/>
        <w:gridCol w:w="73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63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No.</w:t>
            </w:r>
          </w:p>
        </w:tc>
        <w:tc>
          <w:tcPr>
            <w:tcW w:w="1769"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COPYRIGHT APPLICATIONS</w:t>
      </w:r>
    </w:p>
    <w:p>
      <w:pPr>
        <w:pStyle w:val="TextBody"/>
        <w:bidi w:val="0"/>
        <w:spacing w:before="0" w:after="0"/>
        <w:jc w:val="center"/>
        <w:rPr/>
      </w:pPr>
      <w:r>
        <w:rPr/>
      </w:r>
    </w:p>
    <w:tbl>
      <w:tblPr>
        <w:tblW w:w="3959" w:type="dxa"/>
        <w:jc w:val="left"/>
        <w:tblInd w:w="0" w:type="dxa"/>
        <w:tblLayout w:type="fixed"/>
        <w:tblCellMar>
          <w:top w:w="28" w:type="dxa"/>
          <w:left w:w="28" w:type="dxa"/>
          <w:bottom w:w="28" w:type="dxa"/>
          <w:right w:w="28" w:type="dxa"/>
        </w:tblCellMar>
      </w:tblPr>
      <w:tblGrid>
        <w:gridCol w:w="196"/>
        <w:gridCol w:w="172"/>
        <w:gridCol w:w="173"/>
        <w:gridCol w:w="744"/>
        <w:gridCol w:w="744"/>
        <w:gridCol w:w="746"/>
        <w:gridCol w:w="346"/>
        <w:gridCol w:w="346"/>
        <w:gridCol w:w="492"/>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3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 Case No.</w:t>
            </w:r>
          </w:p>
        </w:tc>
        <w:tc>
          <w:tcPr>
            <w:tcW w:w="1184"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Filing Date</w:t>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Annex 3 to</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Seventh Amended and Restated Guarantee and Collateral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OF] PATENT SECURITY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PATENT SECURITY AGREEMENT, dated as of [__], 202[_]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by each of the signatories hereto indicated as a Grantor (each, a “</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Grantors</w:t>
      </w:r>
      <w:r>
        <w:rPr>
          <w:color w:val="000000"/>
        </w:rPr>
        <w:t>”</w:t>
      </w:r>
      <w:r>
        <w:rPr>
          <w:rFonts w:ascii="Times New Roman;serif" w:hAnsi="Times New Roman;serif"/>
          <w:b w:val="false"/>
          <w:color w:val="000000"/>
          <w:sz w:val="22"/>
        </w:rPr>
        <w:t>) in favor of JPMORGAN CHASE BANK, N.A., as administrative agent for the Secured Parties (in such capacity and together with its successors and assigns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pursuant to that certain Seventh Amended and Restated Credit Agreement, dated as of November 21, 2025 (as amended, restated, amended and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as a condition precedent to the obligation of the Lenders to make their respective extension of credit to the Borrowers under the Credit Agreement, the Grantors entered into a Seventh Amended and Restated Guarantee and Collateral, dated as of November 21, 2025 (as amended, restated, amended and restated, supplemented or otherwise modified from time to time, the “</w:t>
      </w:r>
      <w:r>
        <w:rPr>
          <w:rFonts w:ascii="Times New Roman;serif" w:hAnsi="Times New Roman;serif"/>
          <w:b w:val="false"/>
          <w:color w:val="000000"/>
          <w:sz w:val="22"/>
          <w:u w:val="single"/>
        </w:rPr>
        <w:t>Guarantee and Collateral Agreement</w:t>
      </w:r>
      <w:r>
        <w:rPr>
          <w:color w:val="000000"/>
        </w:rPr>
        <w:t>”</w:t>
      </w:r>
      <w:r>
        <w:rPr>
          <w:rFonts w:ascii="Times New Roman;serif" w:hAnsi="Times New Roman;serif"/>
          <w:b w:val="false"/>
          <w:color w:val="000000"/>
          <w:sz w:val="22"/>
        </w:rPr>
        <w:t>), between each of the Grantors and the Administrative Agent, pursuant to which each of the Grantors assigned, transferred and granted to the Administrative Agent, for the benefit of the Secured Parties, a security interest in the Patent Collateral (as defined below);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pursuant to the Guarantee and Collateral Agreement, each Grantor agreed to execute and this Agreement, in order to record the security interest granted to the Administrative Agent for the benefit of the Secured Parties with the United States Patent and Trademark Office.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for other good and valuable consideration, the receipt and sufficiency of which is hereby acknowledged, the Grantors hereby agree with the Administrative Agent as follows: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1. Defined Terms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herein shall have the respective meanings given thereto in the Guarantee and Collateral Agreement, and if not defined therein, shall have the respective meanings given thereto in the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2. Grant of Security Interest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w:t>
      </w:r>
      <w:r>
        <w:rPr>
          <w:rFonts w:ascii="Times New Roman;serif" w:hAnsi="Times New Roman;serif"/>
          <w:b w:val="false"/>
          <w:color w:val="000000"/>
          <w:sz w:val="22"/>
          <w:u w:val="single"/>
        </w:rPr>
        <w:t>Patent Collateral</w:t>
      </w:r>
      <w:r>
        <w:rPr>
          <w:color w:val="000000"/>
        </w:rPr>
        <w:t>”</w:t>
      </w:r>
      <w:r>
        <w:rPr>
          <w:rFonts w:ascii="Times New Roman;serif" w:hAnsi="Times New Roman;serif"/>
          <w:b w:val="false"/>
          <w:color w:val="000000"/>
          <w:sz w:val="22"/>
        </w:rPr>
        <w:t xml:space="preserve">) as collateral security for the prompt and complete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and performance when due (whether at the stated maturity, by acceleration or otherwise) of such Grantor’s Obligations: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all patentable inventions and designs, all patents, certificates of invention, and similar industrial property rights, and applications for any of the foregoing, including without limitation: (i) each patent and patent application in the United States Patent and Trademark Office listed in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 (ii) all reissues, substitutes, divisions, continuations, continuations-in-part, extensions, renewals, and reexaminations thereof, (iii) all inventions and improvements described and claimed therein, (iv) all rights to sue or otherwise recover for any past, present and future infringement or other violation thereof, (v) all Proceeds of the foregoing, including, without limitation, license fees, royalties, income, payments, claims, damages, and proceeds of suit now or hereafter due and/or payable with respect thereto, income, royalties, damages and other payments now and hereafter due and/or payable with respect thereto, and (vi) all other rights of any accruing thereunder or pertaining thereto; but excluding any Excluded IP.</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3. Guarantee and Collateral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4. Governing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SHALL BE CONSTRUED IN ACCORDANCE WITH AND GOVERNED BY THE LAW OF THE STATE OF NEW YORK.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5. Counterparts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erif" w:hAnsi="Times New Roman;serif"/>
          <w:b w:val="false"/>
          <w:color w:val="000000"/>
          <w:sz w:val="22"/>
          <w:u w:val="single"/>
        </w:rPr>
        <w:t>Electronic Signatures</w:t>
      </w:r>
      <w:r>
        <w:rPr>
          <w:color w:val="000000"/>
        </w:rPr>
        <w:t xml:space="preserve">” </w:t>
      </w:r>
      <w:r>
        <w:rPr>
          <w:rFonts w:ascii="Times New Roman;serif" w:hAnsi="Times New Roman;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firstLine="720"/>
        <w:jc w:val="both"/>
        <w:rPr/>
      </w:pPr>
      <w:r>
        <w:rPr/>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Grantor has caused this Agreement to be executed and delivered by its duly authorized officer as of the date first set forth above.</w:t>
      </w:r>
    </w:p>
    <w:p>
      <w:pPr>
        <w:pStyle w:val="TextBody"/>
        <w:bidi w:val="0"/>
        <w:spacing w:before="0" w:after="0"/>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[NAME OF GRANTOR],</w:t>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as a Grantor</w:t>
      </w:r>
    </w:p>
    <w:p>
      <w:pPr>
        <w:pStyle w:val="TextBody"/>
        <w:bidi w:val="0"/>
        <w:spacing w:before="0" w:after="0"/>
        <w:jc w:val="left"/>
        <w:rPr/>
      </w:pPr>
      <w:r>
        <w:rPr/>
      </w:r>
    </w:p>
    <w:p>
      <w:pPr>
        <w:pStyle w:val="TextBody"/>
        <w:bidi w:val="0"/>
        <w:spacing w:lineRule="auto" w:line="288" w:before="0" w:after="0"/>
        <w:ind w:left="0" w:right="0" w:firstLine="4320"/>
        <w:jc w:val="left"/>
        <w:rPr/>
      </w:pPr>
      <w:r>
        <w:rPr>
          <w:rFonts w:ascii="Times New Roman;serif" w:hAnsi="Times New Roman;serif"/>
          <w:b w:val="false"/>
          <w:color w:val="000000"/>
          <w:sz w:val="22"/>
        </w:rPr>
        <w:t xml:space="preserve">By: </w:t>
      </w:r>
      <w:r>
        <w:rPr>
          <w:color w:val="000000"/>
          <w:u w:val="single"/>
        </w:rPr>
        <w:t>        </w:t>
      </w:r>
      <w:r>
        <w:rPr>
          <w:color w:val="000000"/>
        </w:rPr>
        <w:t xml:space="preserve"> </w:t>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Patent Security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Patent Security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PATENT SECURITY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PATENTS AND PATENT APPLICATIONS</w:t>
      </w:r>
    </w:p>
    <w:p>
      <w:pPr>
        <w:pStyle w:val="TextBody"/>
        <w:bidi w:val="0"/>
        <w:spacing w:before="0" w:after="0"/>
        <w:jc w:val="center"/>
        <w:rPr/>
      </w:pPr>
      <w:r>
        <w:rPr/>
      </w:r>
    </w:p>
    <w:tbl>
      <w:tblPr>
        <w:tblW w:w="5488" w:type="dxa"/>
        <w:jc w:val="center"/>
        <w:tblInd w:w="0" w:type="dxa"/>
        <w:tblLayout w:type="fixed"/>
        <w:tblCellMar>
          <w:top w:w="28" w:type="dxa"/>
          <w:left w:w="28" w:type="dxa"/>
          <w:bottom w:w="28" w:type="dxa"/>
          <w:right w:w="28" w:type="dxa"/>
        </w:tblCellMar>
      </w:tblPr>
      <w:tblGrid>
        <w:gridCol w:w="196"/>
        <w:gridCol w:w="172"/>
        <w:gridCol w:w="173"/>
        <w:gridCol w:w="534"/>
        <w:gridCol w:w="534"/>
        <w:gridCol w:w="536"/>
        <w:gridCol w:w="379"/>
        <w:gridCol w:w="379"/>
        <w:gridCol w:w="381"/>
        <w:gridCol w:w="359"/>
        <w:gridCol w:w="359"/>
        <w:gridCol w:w="361"/>
        <w:gridCol w:w="328"/>
        <w:gridCol w:w="328"/>
        <w:gridCol w:w="46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60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No.</w:t>
            </w:r>
          </w:p>
        </w:tc>
        <w:tc>
          <w:tcPr>
            <w:tcW w:w="1139"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Filing Date</w:t>
            </w:r>
          </w:p>
        </w:tc>
        <w:tc>
          <w:tcPr>
            <w:tcW w:w="1079"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Patent No.</w:t>
            </w:r>
          </w:p>
        </w:tc>
        <w:tc>
          <w:tcPr>
            <w:tcW w:w="1125"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Issue Date</w:t>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Annex 4 to</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Seventh Amended and Restated Guarantee and Collateral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OF] TRADEMARK SECURITY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TRADEMARK SECURITY AGREEMENT, dated as of [__], 202[_]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by each of the signatories hereto indicated as a Grantor (each, a “</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Grantors</w:t>
      </w:r>
      <w:r>
        <w:rPr>
          <w:color w:val="000000"/>
        </w:rPr>
        <w:t>”</w:t>
      </w:r>
      <w:r>
        <w:rPr>
          <w:rFonts w:ascii="Times New Roman;serif" w:hAnsi="Times New Roman;serif"/>
          <w:b w:val="false"/>
          <w:color w:val="000000"/>
          <w:sz w:val="22"/>
        </w:rPr>
        <w:t>) in favor of JPMORGAN CHASE BANK, N.A., as administrative agent for the Secured Parties (in such capacity and together with its successors and assigns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pursuant to that certain Seventh Amended and Restated Credit Agreement, dated as of November 21, 2025 (as amended, restated, amended and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as a condition precedent to the obligation of the Lenders to make their respective extension of credit to the Borrowers under the Credit Agreement, the Grantors entered into a Seventh Amended and Restated Guarantee and Collateral, dated as of November 21, 2025 (as amended, restated, amended and restated, supplemented or otherwise modified from time to time, the “</w:t>
      </w:r>
      <w:r>
        <w:rPr>
          <w:rFonts w:ascii="Times New Roman;serif" w:hAnsi="Times New Roman;serif"/>
          <w:b w:val="false"/>
          <w:color w:val="000000"/>
          <w:sz w:val="22"/>
          <w:u w:val="single"/>
        </w:rPr>
        <w:t>Guarantee and Collateral Agreement</w:t>
      </w:r>
      <w:r>
        <w:rPr>
          <w:color w:val="000000"/>
        </w:rPr>
        <w:t>”</w:t>
      </w:r>
      <w:r>
        <w:rPr>
          <w:rFonts w:ascii="Times New Roman;serif" w:hAnsi="Times New Roman;serif"/>
          <w:b w:val="false"/>
          <w:color w:val="000000"/>
          <w:sz w:val="22"/>
        </w:rPr>
        <w:t>), between each of the Grantors and the Administrative Agent, pursuant to which each of the Grantors assigned, transferred and granted to the Administrative Agent, for the benefit of the Secured Parties, a security interest in the Trademark Collateral (as defined below);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pursuant to the Guarantee and Collateral Agreement, each Grantor agreed to execute and this Agreement, in order to record the security interest granted to the Administrative Agent for the benefit of the Secured Parties with the United States Patent and Trademark Office.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for other good and valuable consideration, the receipt and sufficiency of which is hereby acknowledged, the Grantors hereby agree with the Administrative Agent as follows: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1. Defined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herein shall have the respective meanings given thereto in the Guarantee and Collateral Agreement, and if not defined therein, shall have the respective meanings given thereto in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2. Grant of Security Interest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SECTION 2.1 Grant of Security</w:t>
      </w:r>
      <w:r>
        <w:rPr>
          <w:rFonts w:ascii="Times New Roman;serif" w:hAnsi="Times New Roman;serif"/>
          <w:b w:val="false"/>
          <w:color w:val="000000"/>
          <w:sz w:val="22"/>
        </w:rPr>
        <w:t>. 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w:t>
      </w:r>
      <w:r>
        <w:rPr>
          <w:rFonts w:ascii="Times New Roman;serif" w:hAnsi="Times New Roman;serif"/>
          <w:b w:val="false"/>
          <w:color w:val="000000"/>
          <w:sz w:val="22"/>
          <w:u w:val="single"/>
        </w:rPr>
        <w:t>Trademark Collateral</w:t>
      </w:r>
      <w:r>
        <w:rPr>
          <w:color w:val="000000"/>
        </w:rPr>
        <w:t>”</w:t>
      </w:r>
      <w:r>
        <w:rPr>
          <w:rFonts w:ascii="Times New Roman;serif" w:hAnsi="Times New Roman;serif"/>
          <w:b w:val="false"/>
          <w:color w:val="000000"/>
          <w:sz w:val="22"/>
        </w:rPr>
        <w:t xml:space="preserve">) as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security for the prompt and complete payment and performance when due (whether at the stated maturity, by acceleration or otherwise) of such Grantor’s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all trademarks, service marks, trade names, corporate names, company names, business names, fictitious business names, trade dress, trade styles, logos, Internet domain names, other indicia of origin or source identification, and general intangibles of a like nature, whether registered or unregistered, and with respect to any and all of the foregoing: (i) all registrations and applications for registration thereof including, without limitation, the registrations and applications in the United States Patent and Trademark Office listed in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 (ii) all extension and renewals thereof, (iii) all of the goodwill of the business connected with the use of and symbolized by any of the foregoing, (iv) all rights to sue or otherwise recover for any past, present and future infringement, dilution,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throughout the world.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2"/>
        </w:rPr>
        <w:t>SECTION 2.2 Certain Limited Exclusions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herein to the contrary, in no event shall the Trademark Collateral include or the security interest granted under Section 2.1 hereof attach to (i) any “intent-to-use” application for registration of a Trademark filed pursuant to Section 1(b) of the Lanham Act, 15 U.S.C. § 1051, prior to the filing and acceptance of a “Statement of Use” or an “Amendment to Allege Use”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and (ii) any other Excluded IP.</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3. Guarantee and Collateral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4. Governing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SHALL BE CONSTRUED IN ACCORDANCE WITH AND GOVERNED BY THE LAW OF THE STATE OF NEW YORK.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5. Counterparts</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erif" w:hAnsi="Times New Roman;serif"/>
          <w:b w:val="false"/>
          <w:color w:val="000000"/>
          <w:sz w:val="22"/>
          <w:u w:val="single"/>
        </w:rPr>
        <w:t>Electronic Signatures</w:t>
      </w:r>
      <w:r>
        <w:rPr>
          <w:color w:val="000000"/>
        </w:rPr>
        <w:t xml:space="preserve">” </w:t>
      </w:r>
      <w:r>
        <w:rPr>
          <w:rFonts w:ascii="Times New Roman;serif" w:hAnsi="Times New Roman;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firstLine="720"/>
        <w:jc w:val="both"/>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Grantor has caused this Agreement to be executed and delivered by its duly authorized officer as of the date first set forth above.</w:t>
      </w:r>
    </w:p>
    <w:p>
      <w:pPr>
        <w:pStyle w:val="TextBody"/>
        <w:bidi w:val="0"/>
        <w:spacing w:before="0" w:after="0"/>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[NAME OF GRANTOR],</w:t>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as a Grantor</w:t>
      </w:r>
    </w:p>
    <w:p>
      <w:pPr>
        <w:pStyle w:val="TextBody"/>
        <w:bidi w:val="0"/>
        <w:spacing w:before="0" w:after="0"/>
        <w:jc w:val="left"/>
        <w:rPr/>
      </w:pPr>
      <w:r>
        <w:rPr/>
      </w:r>
    </w:p>
    <w:p>
      <w:pPr>
        <w:pStyle w:val="TextBody"/>
        <w:bidi w:val="0"/>
        <w:spacing w:lineRule="auto" w:line="288" w:before="0" w:after="0"/>
        <w:ind w:left="0" w:right="0" w:firstLine="4320"/>
        <w:jc w:val="left"/>
        <w:rPr/>
      </w:pPr>
      <w:r>
        <w:rPr>
          <w:rFonts w:ascii="Times New Roman;serif" w:hAnsi="Times New Roman;serif"/>
          <w:b w:val="false"/>
          <w:color w:val="000000"/>
          <w:sz w:val="22"/>
        </w:rPr>
        <w:t xml:space="preserve">By: </w:t>
      </w:r>
      <w:r>
        <w:rPr>
          <w:color w:val="000000"/>
          <w:u w:val="single"/>
        </w:rPr>
        <w:t>                            </w:t>
      </w:r>
      <w:r>
        <w:rPr>
          <w:color w:val="000000"/>
        </w:rPr>
        <w:t xml:space="preserve"> </w:t>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Trademark Security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Trademark Security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TRADEMARK SECURITY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TRADEMARK REGISTRATIONS AND APPLICATIONS</w:t>
      </w:r>
    </w:p>
    <w:p>
      <w:pPr>
        <w:pStyle w:val="TextBody"/>
        <w:bidi w:val="0"/>
        <w:spacing w:before="0" w:after="0"/>
        <w:jc w:val="center"/>
        <w:rPr/>
      </w:pPr>
      <w:r>
        <w:rPr/>
      </w:r>
    </w:p>
    <w:tbl>
      <w:tblPr>
        <w:tblW w:w="6192" w:type="dxa"/>
        <w:jc w:val="center"/>
        <w:tblInd w:w="0" w:type="dxa"/>
        <w:tblLayout w:type="fixed"/>
        <w:tblCellMar>
          <w:top w:w="28" w:type="dxa"/>
          <w:left w:w="28" w:type="dxa"/>
          <w:bottom w:w="28" w:type="dxa"/>
          <w:right w:w="28" w:type="dxa"/>
        </w:tblCellMar>
      </w:tblPr>
      <w:tblGrid>
        <w:gridCol w:w="223"/>
        <w:gridCol w:w="196"/>
        <w:gridCol w:w="197"/>
        <w:gridCol w:w="344"/>
        <w:gridCol w:w="344"/>
        <w:gridCol w:w="346"/>
        <w:gridCol w:w="379"/>
        <w:gridCol w:w="379"/>
        <w:gridCol w:w="381"/>
        <w:gridCol w:w="544"/>
        <w:gridCol w:w="544"/>
        <w:gridCol w:w="546"/>
        <w:gridCol w:w="517"/>
        <w:gridCol w:w="517"/>
        <w:gridCol w:w="73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Mark</w:t>
            </w:r>
          </w:p>
        </w:tc>
        <w:tc>
          <w:tcPr>
            <w:tcW w:w="103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Serial No.</w:t>
            </w:r>
          </w:p>
        </w:tc>
        <w:tc>
          <w:tcPr>
            <w:tcW w:w="1139"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Filing Date</w:t>
            </w:r>
          </w:p>
        </w:tc>
        <w:tc>
          <w:tcPr>
            <w:tcW w:w="163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No.</w:t>
            </w:r>
          </w:p>
        </w:tc>
        <w:tc>
          <w:tcPr>
            <w:tcW w:w="1769"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r>
      <w:tr>
        <w:trPr/>
        <w:tc>
          <w:tcPr>
            <w:tcW w:w="6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ANNEX B</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 OF PLEDGED STOCK</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Pledged Stock of Domestic Subsidiaries</w:t>
      </w:r>
    </w:p>
    <w:tbl>
      <w:tblPr>
        <w:tblW w:w="10205" w:type="dxa"/>
        <w:jc w:val="left"/>
        <w:tblInd w:w="0" w:type="dxa"/>
        <w:tblLayout w:type="fixed"/>
        <w:tblCellMar>
          <w:top w:w="28" w:type="dxa"/>
          <w:left w:w="28" w:type="dxa"/>
          <w:bottom w:w="28" w:type="dxa"/>
          <w:right w:w="28" w:type="dxa"/>
        </w:tblCellMar>
      </w:tblPr>
      <w:tblGrid>
        <w:gridCol w:w="929"/>
        <w:gridCol w:w="676"/>
        <w:gridCol w:w="684"/>
        <w:gridCol w:w="870"/>
        <w:gridCol w:w="755"/>
        <w:gridCol w:w="762"/>
        <w:gridCol w:w="1080"/>
        <w:gridCol w:w="996"/>
        <w:gridCol w:w="907"/>
        <w:gridCol w:w="457"/>
        <w:gridCol w:w="457"/>
        <w:gridCol w:w="458"/>
        <w:gridCol w:w="341"/>
        <w:gridCol w:w="341"/>
        <w:gridCol w:w="492"/>
      </w:tblGrid>
      <w:tr>
        <w:trPr/>
        <w:tc>
          <w:tcPr>
            <w:tcW w:w="92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Issuer</w:t>
            </w:r>
          </w:p>
        </w:tc>
        <w:tc>
          <w:tcPr>
            <w:tcW w:w="23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Owner</w:t>
            </w:r>
          </w:p>
        </w:tc>
        <w:tc>
          <w:tcPr>
            <w:tcW w:w="29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Class of Stock</w:t>
            </w:r>
          </w:p>
        </w:tc>
        <w:tc>
          <w:tcPr>
            <w:tcW w:w="13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Certificate No.</w:t>
            </w:r>
          </w:p>
        </w:tc>
        <w:tc>
          <w:tcPr>
            <w:tcW w:w="1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No. of Shares</w:t>
            </w:r>
          </w:p>
        </w:tc>
      </w:tr>
      <w:tr>
        <w:trPr/>
        <w:tc>
          <w:tcPr>
            <w:tcW w:w="2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Company LLC</w:t>
            </w:r>
          </w:p>
        </w:tc>
        <w:tc>
          <w:tcPr>
            <w:tcW w:w="23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29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Limited liability company interest (not certificated)</w:t>
            </w:r>
          </w:p>
        </w:tc>
        <w:tc>
          <w:tcPr>
            <w:tcW w:w="13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c>
          <w:tcPr>
            <w:tcW w:w="1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AeroGrow International, Inc.</w:t>
            </w:r>
          </w:p>
        </w:tc>
        <w:tc>
          <w:tcPr>
            <w:tcW w:w="23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SMG Growing Media LLC</w:t>
            </w:r>
          </w:p>
        </w:tc>
        <w:tc>
          <w:tcPr>
            <w:tcW w:w="29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without par value</w:t>
            </w:r>
          </w:p>
        </w:tc>
        <w:tc>
          <w:tcPr>
            <w:tcW w:w="13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1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GenSource, Inc.</w:t>
            </w:r>
          </w:p>
        </w:tc>
        <w:tc>
          <w:tcPr>
            <w:tcW w:w="23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29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without par value</w:t>
            </w:r>
          </w:p>
        </w:tc>
        <w:tc>
          <w:tcPr>
            <w:tcW w:w="13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1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Hyponex Corporation</w:t>
            </w:r>
          </w:p>
        </w:tc>
        <w:tc>
          <w:tcPr>
            <w:tcW w:w="23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SMG Growing Media LLC</w:t>
            </w:r>
          </w:p>
        </w:tc>
        <w:tc>
          <w:tcPr>
            <w:tcW w:w="29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$.01 par value</w:t>
            </w:r>
          </w:p>
        </w:tc>
        <w:tc>
          <w:tcPr>
            <w:tcW w:w="13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1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289" w:type="dxa"/>
            <w:gridSpan w:val="3"/>
            <w:vMerge w:val="restart"/>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Miracle-Gro Lawn Products, Inc.</w:t>
            </w:r>
          </w:p>
        </w:tc>
        <w:tc>
          <w:tcPr>
            <w:tcW w:w="2387"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Scotts Manufacturing Company</w:t>
            </w:r>
          </w:p>
        </w:tc>
        <w:tc>
          <w:tcPr>
            <w:tcW w:w="29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Voting common stock, without par value</w:t>
            </w:r>
          </w:p>
        </w:tc>
        <w:tc>
          <w:tcPr>
            <w:tcW w:w="13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V14</w:t>
            </w:r>
          </w:p>
        </w:tc>
        <w:tc>
          <w:tcPr>
            <w:tcW w:w="1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1,000</w:t>
            </w:r>
          </w:p>
        </w:tc>
      </w:tr>
      <w:tr>
        <w:trPr/>
        <w:tc>
          <w:tcPr>
            <w:tcW w:w="2289" w:type="dxa"/>
            <w:gridSpan w:val="3"/>
            <w:vMerge w:val="continue"/>
            <w:tcBorders>
              <w:left w:val="single" w:sz="8" w:space="0" w:color="000000"/>
              <w:right w:val="single" w:sz="8" w:space="0" w:color="000000"/>
            </w:tcBorders>
            <w:tcMar>
              <w:top w:w="0" w:type="dxa"/>
              <w:bottom w:w="0" w:type="dxa"/>
            </w:tcMar>
            <w:vAlign w:val="center"/>
          </w:tcPr>
          <w:p>
            <w:pPr>
              <w:pStyle w:val="Normal"/>
              <w:bidi w:val="0"/>
              <w:jc w:val="left"/>
              <w:rPr/>
            </w:pPr>
            <w:r>
              <w:rPr/>
            </w:r>
          </w:p>
        </w:tc>
        <w:tc>
          <w:tcPr>
            <w:tcW w:w="238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9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Non-voting common stock, without par value</w:t>
            </w:r>
          </w:p>
        </w:tc>
        <w:tc>
          <w:tcPr>
            <w:tcW w:w="13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NV12</w:t>
            </w:r>
          </w:p>
        </w:tc>
        <w:tc>
          <w:tcPr>
            <w:tcW w:w="1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999.8</w:t>
            </w:r>
          </w:p>
        </w:tc>
      </w:tr>
      <w:tr>
        <w:trPr/>
        <w:tc>
          <w:tcPr>
            <w:tcW w:w="2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OMS Investments, Inc.</w:t>
            </w:r>
          </w:p>
        </w:tc>
        <w:tc>
          <w:tcPr>
            <w:tcW w:w="23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29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$.01 par value</w:t>
            </w:r>
          </w:p>
        </w:tc>
        <w:tc>
          <w:tcPr>
            <w:tcW w:w="13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1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Rod McLellan Company</w:t>
            </w:r>
          </w:p>
        </w:tc>
        <w:tc>
          <w:tcPr>
            <w:tcW w:w="23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SMG Growing Media LLC</w:t>
            </w:r>
          </w:p>
        </w:tc>
        <w:tc>
          <w:tcPr>
            <w:tcW w:w="29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$.01 par value</w:t>
            </w:r>
          </w:p>
        </w:tc>
        <w:tc>
          <w:tcPr>
            <w:tcW w:w="137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190</w:t>
            </w:r>
          </w:p>
        </w:tc>
        <w:tc>
          <w:tcPr>
            <w:tcW w:w="11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88"/>
        <w:gridCol w:w="823"/>
        <w:gridCol w:w="827"/>
        <w:gridCol w:w="883"/>
        <w:gridCol w:w="878"/>
        <w:gridCol w:w="881"/>
        <w:gridCol w:w="1288"/>
        <w:gridCol w:w="1187"/>
        <w:gridCol w:w="1191"/>
        <w:gridCol w:w="154"/>
        <w:gridCol w:w="154"/>
        <w:gridCol w:w="155"/>
        <w:gridCol w:w="200"/>
        <w:gridCol w:w="200"/>
        <w:gridCol w:w="296"/>
      </w:tblGrid>
      <w:tr>
        <w:trPr/>
        <w:tc>
          <w:tcPr>
            <w:tcW w:w="108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Sanford Scientific, Inc.</w:t>
            </w:r>
          </w:p>
        </w:tc>
        <w:tc>
          <w:tcPr>
            <w:tcW w:w="2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36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without par value</w:t>
            </w:r>
          </w:p>
        </w:tc>
        <w:tc>
          <w:tcPr>
            <w:tcW w:w="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6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99</w:t>
            </w:r>
          </w:p>
        </w:tc>
      </w:tr>
      <w:tr>
        <w:trPr/>
        <w:tc>
          <w:tcPr>
            <w:tcW w:w="27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Scotts Live Goods Holdings, Inc.</w:t>
            </w:r>
          </w:p>
        </w:tc>
        <w:tc>
          <w:tcPr>
            <w:tcW w:w="2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36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without par value</w:t>
            </w:r>
          </w:p>
        </w:tc>
        <w:tc>
          <w:tcPr>
            <w:tcW w:w="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6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7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Scotts Manufacturing Company</w:t>
            </w:r>
          </w:p>
        </w:tc>
        <w:tc>
          <w:tcPr>
            <w:tcW w:w="2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36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shares, $.01 par value</w:t>
            </w:r>
          </w:p>
        </w:tc>
        <w:tc>
          <w:tcPr>
            <w:tcW w:w="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6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1,000</w:t>
            </w:r>
          </w:p>
        </w:tc>
      </w:tr>
      <w:tr>
        <w:trPr/>
        <w:tc>
          <w:tcPr>
            <w:tcW w:w="27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Scotts Products Co.</w:t>
            </w:r>
          </w:p>
        </w:tc>
        <w:tc>
          <w:tcPr>
            <w:tcW w:w="2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36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without par value</w:t>
            </w:r>
          </w:p>
        </w:tc>
        <w:tc>
          <w:tcPr>
            <w:tcW w:w="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6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7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Scotts Professional Products Co.</w:t>
            </w:r>
          </w:p>
        </w:tc>
        <w:tc>
          <w:tcPr>
            <w:tcW w:w="2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36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without par value</w:t>
            </w:r>
          </w:p>
        </w:tc>
        <w:tc>
          <w:tcPr>
            <w:tcW w:w="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6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7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Scotts Temecula Operations, LLC</w:t>
            </w:r>
          </w:p>
        </w:tc>
        <w:tc>
          <w:tcPr>
            <w:tcW w:w="2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OMS Investments, Inc.</w:t>
            </w:r>
          </w:p>
        </w:tc>
        <w:tc>
          <w:tcPr>
            <w:tcW w:w="36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Limited liability company interest (not certificated)</w:t>
            </w:r>
          </w:p>
        </w:tc>
        <w:tc>
          <w:tcPr>
            <w:tcW w:w="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c>
          <w:tcPr>
            <w:tcW w:w="6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7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Scotts-Sierra Investments LLC</w:t>
            </w:r>
          </w:p>
        </w:tc>
        <w:tc>
          <w:tcPr>
            <w:tcW w:w="2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SMGM LLC</w:t>
            </w:r>
          </w:p>
        </w:tc>
        <w:tc>
          <w:tcPr>
            <w:tcW w:w="36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Membership Units</w:t>
            </w:r>
          </w:p>
        </w:tc>
        <w:tc>
          <w:tcPr>
            <w:tcW w:w="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6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27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SMG Growing Media LLC</w:t>
            </w:r>
          </w:p>
        </w:tc>
        <w:tc>
          <w:tcPr>
            <w:tcW w:w="26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36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Limited liability company interest (not certificated)</w:t>
            </w:r>
          </w:p>
        </w:tc>
        <w:tc>
          <w:tcPr>
            <w:tcW w:w="4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c>
          <w:tcPr>
            <w:tcW w:w="69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0"/>
        <w:gridCol w:w="706"/>
        <w:gridCol w:w="713"/>
        <w:gridCol w:w="955"/>
        <w:gridCol w:w="955"/>
        <w:gridCol w:w="957"/>
        <w:gridCol w:w="1343"/>
        <w:gridCol w:w="1343"/>
        <w:gridCol w:w="1347"/>
        <w:gridCol w:w="160"/>
        <w:gridCol w:w="160"/>
        <w:gridCol w:w="162"/>
        <w:gridCol w:w="166"/>
        <w:gridCol w:w="166"/>
        <w:gridCol w:w="232"/>
      </w:tblGrid>
      <w:tr>
        <w:trPr/>
        <w:tc>
          <w:tcPr>
            <w:tcW w:w="8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SMGM LLC</w:t>
            </w:r>
          </w:p>
        </w:tc>
        <w:tc>
          <w:tcPr>
            <w:tcW w:w="28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40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Limited liability company interest (not certificated)</w:t>
            </w:r>
          </w:p>
        </w:tc>
        <w:tc>
          <w:tcPr>
            <w:tcW w:w="4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c>
          <w:tcPr>
            <w:tcW w:w="5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Swiss Farms Products, Inc</w:t>
            </w:r>
          </w:p>
        </w:tc>
        <w:tc>
          <w:tcPr>
            <w:tcW w:w="28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w:t>
            </w:r>
          </w:p>
        </w:tc>
        <w:tc>
          <w:tcPr>
            <w:tcW w:w="40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$1.00 par value</w:t>
            </w:r>
          </w:p>
        </w:tc>
        <w:tc>
          <w:tcPr>
            <w:tcW w:w="4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5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    Pledged Stock of Foreign Subsidiaries</w:t>
      </w:r>
    </w:p>
    <w:p>
      <w:pPr>
        <w:pStyle w:val="TextBody"/>
        <w:bidi w:val="0"/>
        <w:spacing w:before="0" w:after="0"/>
        <w:jc w:val="left"/>
        <w:rPr/>
      </w:pPr>
      <w:r>
        <w:rPr/>
      </w:r>
    </w:p>
    <w:tbl>
      <w:tblPr>
        <w:tblW w:w="9749" w:type="dxa"/>
        <w:jc w:val="left"/>
        <w:tblInd w:w="0" w:type="dxa"/>
        <w:tblLayout w:type="fixed"/>
        <w:tblCellMar>
          <w:top w:w="28" w:type="dxa"/>
          <w:left w:w="28" w:type="dxa"/>
          <w:bottom w:w="28" w:type="dxa"/>
          <w:right w:w="28" w:type="dxa"/>
        </w:tblCellMar>
      </w:tblPr>
      <w:tblGrid>
        <w:gridCol w:w="802"/>
        <w:gridCol w:w="705"/>
        <w:gridCol w:w="713"/>
        <w:gridCol w:w="977"/>
        <w:gridCol w:w="977"/>
        <w:gridCol w:w="986"/>
        <w:gridCol w:w="1344"/>
        <w:gridCol w:w="1344"/>
        <w:gridCol w:w="1901"/>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Issuer</w:t>
            </w:r>
          </w:p>
        </w:tc>
        <w:tc>
          <w:tcPr>
            <w:tcW w:w="2940"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Owner</w:t>
            </w:r>
          </w:p>
        </w:tc>
        <w:tc>
          <w:tcPr>
            <w:tcW w:w="458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Percentage Pledged</w:t>
            </w:r>
          </w:p>
        </w:tc>
      </w:tr>
      <w:tr>
        <w:trPr/>
        <w:tc>
          <w:tcPr>
            <w:tcW w:w="222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Scotts Canada Limited</w:t>
            </w:r>
          </w:p>
        </w:tc>
        <w:tc>
          <w:tcPr>
            <w:tcW w:w="294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Scotts-Sierra Investments LLC</w:t>
            </w:r>
          </w:p>
        </w:tc>
        <w:tc>
          <w:tcPr>
            <w:tcW w:w="4589"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65% of Voting Capital Stock, without par value</w:t>
            </w:r>
          </w:p>
        </w:tc>
      </w:tr>
    </w:tbl>
    <w:p>
      <w:pPr>
        <w:pStyle w:val="TextBody"/>
        <w:bidi w:val="0"/>
        <w:spacing w:before="0" w:after="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ANNEX C</w: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9</w: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Pledged Note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46"/>
        <w:gridCol w:w="744"/>
        <w:gridCol w:w="753"/>
        <w:gridCol w:w="1322"/>
        <w:gridCol w:w="1322"/>
        <w:gridCol w:w="1340"/>
        <w:gridCol w:w="773"/>
        <w:gridCol w:w="773"/>
        <w:gridCol w:w="782"/>
        <w:gridCol w:w="465"/>
        <w:gridCol w:w="465"/>
        <w:gridCol w:w="620"/>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Grantor</w:t>
            </w:r>
          </w:p>
        </w:tc>
        <w:tc>
          <w:tcPr>
            <w:tcW w:w="39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Issuer</w:t>
            </w:r>
          </w:p>
        </w:tc>
        <w:tc>
          <w:tcPr>
            <w:tcW w:w="23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Payee</w:t>
            </w:r>
          </w:p>
        </w:tc>
        <w:tc>
          <w:tcPr>
            <w:tcW w:w="1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Amount</w:t>
            </w:r>
          </w:p>
        </w:tc>
      </w:tr>
      <w:tr>
        <w:trPr/>
        <w:tc>
          <w:tcPr>
            <w:tcW w:w="23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c>
          <w:tcPr>
            <w:tcW w:w="39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Bad Dog Holdings LLC, a Delaware limited liability company</w:t>
            </w:r>
          </w:p>
        </w:tc>
        <w:tc>
          <w:tcPr>
            <w:tcW w:w="23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c>
          <w:tcPr>
            <w:tcW w:w="1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$39,000,000.00</w:t>
            </w:r>
          </w:p>
        </w:tc>
      </w:tr>
      <w:tr>
        <w:trPr/>
        <w:tc>
          <w:tcPr>
            <w:tcW w:w="23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SMG Growing Media LLC</w:t>
            </w:r>
          </w:p>
        </w:tc>
        <w:tc>
          <w:tcPr>
            <w:tcW w:w="39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Good Dog Holdings LLC, a Delaware limited liability company</w:t>
            </w:r>
          </w:p>
        </w:tc>
        <w:tc>
          <w:tcPr>
            <w:tcW w:w="23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SMG Growing Media LLC</w:t>
            </w:r>
          </w:p>
        </w:tc>
        <w:tc>
          <w:tcPr>
            <w:tcW w:w="15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$67,000,000.00</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 AND INDIRECT SUBSIDIARIES 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Directly owned subsidiaries, as of June 27, 2026, are located at the left margin, each subsidiary tier thereunder is indented. Subsidiaries are listed under the names of their respective parent entities. Unless otherwise noted, the subsidiaries are wholly-owned.</w:t>
      </w:r>
    </w:p>
    <w:tbl>
      <w:tblPr>
        <w:tblW w:w="8247" w:type="dxa"/>
        <w:jc w:val="left"/>
        <w:tblInd w:w="0" w:type="dxa"/>
        <w:tblLayout w:type="fixed"/>
        <w:tblCellMar>
          <w:top w:w="28" w:type="dxa"/>
          <w:left w:w="28" w:type="dxa"/>
          <w:bottom w:w="28" w:type="dxa"/>
          <w:right w:w="28" w:type="dxa"/>
        </w:tblCellMar>
      </w:tblPr>
      <w:tblGrid>
        <w:gridCol w:w="1731"/>
        <w:gridCol w:w="1526"/>
        <w:gridCol w:w="1543"/>
        <w:gridCol w:w="109"/>
        <w:gridCol w:w="109"/>
        <w:gridCol w:w="109"/>
        <w:gridCol w:w="912"/>
        <w:gridCol w:w="912"/>
        <w:gridCol w:w="1296"/>
      </w:tblGrid>
      <w:tr>
        <w:trPr/>
        <w:tc>
          <w:tcPr>
            <w:tcW w:w="173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JURISDICTION OF FORMATION</w:t>
            </w:r>
          </w:p>
        </w:tc>
      </w:tr>
      <w:tr>
        <w:trPr/>
        <w:tc>
          <w:tcPr>
            <w:tcW w:w="4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Global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Bonnie Plants,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Oregon Research Station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Scotts Servicios, S.A. de C.V.</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Miracle-Gro Tecnología &amp; Servicios, S de R.L. de C.V.</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Scotts Servicios, S.A. de C.V.2</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Miracle-Gro Tecnología &amp; Servicios, S de R.L. de C.V.</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SMG Growing Media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Hawthorne Gardening II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Agrolux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Hawthorne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565"/>
              <w:jc w:val="left"/>
              <w:rPr>
                <w:color w:val="000000"/>
              </w:rPr>
            </w:pPr>
            <w:r>
              <w:rPr>
                <w:color w:val="000000"/>
              </w:rPr>
              <w:t>     </w:t>
            </w:r>
            <w:r>
              <w:rPr>
                <w:rFonts w:ascii="Times New Roman;serif" w:hAnsi="Times New Roman;serif"/>
                <w:b w:val="false"/>
                <w:color w:val="000000"/>
                <w:sz w:val="20"/>
              </w:rPr>
              <w:t>Scotts Sierra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Scotts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Laketon Peat Moss Inc.</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Scotts de Mexico SA de CV</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SMG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SMG Gardening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The Scotts Miracle-Gro Foundation</w:t>
            </w:r>
            <w:r>
              <w:rPr>
                <w:rFonts w:ascii="Times New Roman;serif" w:hAnsi="Times New Roman;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bl>
    <w:p>
      <w:pPr>
        <w:pStyle w:val="TextBody"/>
        <w:bidi w:val="0"/>
        <w:spacing w:before="0" w:after="0"/>
        <w:jc w:val="center"/>
        <w:rPr/>
      </w:pPr>
      <w:r>
        <w:rPr/>
      </w:r>
    </w:p>
    <w:tbl>
      <w:tblPr>
        <w:tblW w:w="8444" w:type="dxa"/>
        <w:jc w:val="left"/>
        <w:tblInd w:w="0" w:type="dxa"/>
        <w:tblLayout w:type="fixed"/>
        <w:tblCellMar>
          <w:top w:w="28" w:type="dxa"/>
          <w:left w:w="28" w:type="dxa"/>
          <w:bottom w:w="28" w:type="dxa"/>
          <w:right w:w="28" w:type="dxa"/>
        </w:tblCellMar>
      </w:tblPr>
      <w:tblGrid>
        <w:gridCol w:w="2706"/>
        <w:gridCol w:w="2378"/>
        <w:gridCol w:w="3360"/>
      </w:tblGrid>
      <w:tr>
        <w:trPr/>
        <w:tc>
          <w:tcPr>
            <w:tcW w:w="270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tc>
      </w:tr>
      <w:tr>
        <w:trPr/>
        <w:tc>
          <w:tcPr>
            <w:tcW w:w="8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Scotts Live Goods Holdings, Inc.’s ownership is 50.0%.</w:t>
            </w:r>
          </w:p>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Scotts Professional Products Co. owns 50% and Scotts Products Co. owns 50.0%.</w:t>
            </w:r>
          </w:p>
          <w:p>
            <w:pPr>
              <w:pStyle w:val="TableContents"/>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Scotts Canada Ltd.'s ownership is 50.0%.</w:t>
            </w:r>
          </w:p>
          <w:p>
            <w:pPr>
              <w:pStyle w:val="TableContents"/>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The Scotts Company LLC owns 0.5% and Scotts-Sierra Investments LLC owns the remaining 99.5%.</w:t>
            </w:r>
          </w:p>
          <w:p>
            <w:pPr>
              <w:pStyle w:val="TableContents"/>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The Scotts Miracle-Gro Foundation is a 501(c)(3) corporation.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22</w:t>
      </w:r>
    </w:p>
    <w:p>
      <w:pPr>
        <w:pStyle w:val="TextBody"/>
        <w:bidi w:val="0"/>
        <w:spacing w:before="0" w:after="200"/>
        <w:jc w:val="right"/>
        <w:rPr/>
      </w:pPr>
      <w:r>
        <w:rPr/>
      </w:r>
    </w:p>
    <w:p>
      <w:pPr>
        <w:pStyle w:val="TextBody"/>
        <w:bidi w:val="0"/>
        <w:spacing w:lineRule="auto" w:line="288" w:before="0" w:after="0"/>
        <w:jc w:val="center"/>
        <w:rPr>
          <w:rFonts w:ascii="Times New Roman;serif" w:hAnsi="Times New Roman;serif"/>
          <w:b w:val="false"/>
          <w:color w:val="333333"/>
          <w:sz w:val="20"/>
          <w:shd w:fill="FFFFFF" w:val="clear"/>
        </w:rPr>
      </w:pPr>
      <w:r>
        <w:rPr>
          <w:rFonts w:ascii="Times New Roman;serif" w:hAnsi="Times New Roman;serif"/>
          <w:b w:val="false"/>
          <w:color w:val="333333"/>
          <w:sz w:val="20"/>
          <w:shd w:fill="FFFFFF" w:val="clear"/>
        </w:rPr>
        <w:t>LIST OF GUARANTOR SUBSIDIARIES</w:t>
      </w:r>
    </w:p>
    <w:p>
      <w:pPr>
        <w:pStyle w:val="TextBody"/>
        <w:bidi w:val="0"/>
        <w:spacing w:before="0" w:after="200"/>
        <w:jc w:val="center"/>
        <w:rPr/>
      </w:pPr>
      <w:r>
        <w:rPr/>
      </w:r>
    </w:p>
    <w:p>
      <w:pPr>
        <w:pStyle w:val="TextBody"/>
        <w:bidi w:val="0"/>
        <w:spacing w:lineRule="auto" w:line="288" w:before="0" w:after="200"/>
        <w:jc w:val="left"/>
        <w:rPr>
          <w:rFonts w:ascii="Times New Roman;serif" w:hAnsi="Times New Roman;serif"/>
          <w:b w:val="false"/>
          <w:color w:val="333333"/>
          <w:sz w:val="20"/>
        </w:rPr>
      </w:pPr>
      <w:r>
        <w:rPr>
          <w:rFonts w:ascii="Times New Roman;serif" w:hAnsi="Times New Roman;serif"/>
          <w:b w:val="false"/>
          <w:color w:val="333333"/>
          <w:sz w:val="20"/>
        </w:rPr>
        <w:t>The following subsidiaries of The Scotts Miracle-Gro Company (the "Company") were, as of June 27, 2026, guarantors of the Company's 5.250% Senior Notes due 2026, 4.500% Senior Notes due 2029, 4.000% Senior Notes due 2031 and 4.375% Senior Notes due 2032:</w:t>
      </w:r>
    </w:p>
    <w:tbl>
      <w:tblPr>
        <w:tblW w:w="6971" w:type="dxa"/>
        <w:jc w:val="left"/>
        <w:tblInd w:w="0" w:type="dxa"/>
        <w:tblLayout w:type="fixed"/>
        <w:tblCellMar>
          <w:top w:w="28" w:type="dxa"/>
          <w:left w:w="28" w:type="dxa"/>
          <w:bottom w:w="28" w:type="dxa"/>
          <w:right w:w="28" w:type="dxa"/>
        </w:tblCellMar>
      </w:tblPr>
      <w:tblGrid>
        <w:gridCol w:w="1277"/>
        <w:gridCol w:w="1122"/>
        <w:gridCol w:w="1125"/>
        <w:gridCol w:w="109"/>
        <w:gridCol w:w="109"/>
        <w:gridCol w:w="109"/>
        <w:gridCol w:w="912"/>
        <w:gridCol w:w="912"/>
        <w:gridCol w:w="1296"/>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GUARANTOR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JURISDICTION OF FORMATION</w:t>
            </w:r>
          </w:p>
        </w:tc>
      </w:tr>
      <w:tr>
        <w:trPr/>
        <w:tc>
          <w:tcPr>
            <w:tcW w:w="35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SMG Growing Media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bl>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Nathan E. Baxter,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Scotts Miracle-Gro Company for the fiscal quarter ended June 27, 2026;</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645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09"/>
        <w:gridCol w:w="109"/>
        <w:gridCol w:w="109"/>
        <w:gridCol w:w="1038"/>
        <w:gridCol w:w="1038"/>
        <w:gridCol w:w="147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E. BAXTER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Nathan E. Baxter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&amp;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J. Scheiwer,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Scotts Miracle-Gro Company for the fiscal quarter ended June 27, 2026;</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983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09"/>
        <w:gridCol w:w="109"/>
        <w:gridCol w:w="109"/>
        <w:gridCol w:w="2026"/>
        <w:gridCol w:w="2026"/>
        <w:gridCol w:w="28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1350 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Scotts Miracle-Gro Company (the “Company”) for the fiscal quarter ended June 27, 2026 as filed with the Securities and Exchange Commission on the date hereof (the “Report”), the undersigned Nathan E. Baxter, President &amp; Chief Executive Officer of the Company, and Mark J. Scheiwer, Executive Vice President, Chief Financial Officer &amp; Chief Accounting Officer of the Company, certify, pursuant to Section 1350 of Chapter 63 of Title 18 of the United States Code, as adopted pursuant to Section 906 of the Sarbanes-Oxley Act of 2002, that, to the best of their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consolidated financial condition and results of operations of the Company and its subsidiaries.</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47"/>
        <w:gridCol w:w="1040"/>
        <w:gridCol w:w="1043"/>
        <w:gridCol w:w="109"/>
        <w:gridCol w:w="109"/>
        <w:gridCol w:w="109"/>
        <w:gridCol w:w="109"/>
        <w:gridCol w:w="109"/>
        <w:gridCol w:w="109"/>
        <w:gridCol w:w="1777"/>
        <w:gridCol w:w="1777"/>
        <w:gridCol w:w="25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E.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Nathan E.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spacing w:lineRule="auto" w:line="288" w:before="0" w:after="0"/>
        <w:ind w:left="0" w:right="0" w:hanging="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5542/000144398413000030/smg2013-12x178kex101.htm" TargetMode="External"/><Relationship Id="rId3" Type="http://schemas.openxmlformats.org/officeDocument/2006/relationships/hyperlink" Target="https://www.sec.gov/Archives/edgar/data/825542/000082554226000032/exhibit102smg2026-07x018x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51098</Words>
  <Characters>276983</Characters>
  <CharactersWithSpaces>326266</CharactersWithSpaces>
  <Paragraphs>4478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