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4"/>
          <w:szCs w:val="24"/>
          <w:color w:val="auto"/>
        </w:rPr>
      </w:pPr>
      <w:r>
        <w:rPr>
          <w:sz w:val="24"/>
          <w:szCs w:val="24"/>
          <w:color w:val="auto"/>
        </w:rPr>
        <w:br w:type="column"/>
      </w:r>
    </w:p>
    <w:p>
      <w:pPr>
        <w:jc w:val="right"/>
        <w:ind w:right="1999"/>
        <w:spacing w:after="0"/>
        <w:rPr>
          <w:sz w:val="20"/>
          <w:szCs w:val="20"/>
          <w:color w:val="auto"/>
        </w:rPr>
      </w:pPr>
      <w:r>
        <w:rPr>
          <w:rFonts w:ascii="Courier New" w:cs="Courier New" w:eastAsia="Courier New" w:hAnsi="Courier New"/>
          <w:sz w:val="16"/>
          <w:szCs w:val="16"/>
          <w:color w:val="auto"/>
        </w:rPr>
        <w:t>Filed Pursuant to Rule 424(b)(4)</w:t>
      </w:r>
    </w:p>
    <w:p>
      <w:pPr>
        <w:spacing w:after="0" w:line="16"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Registration No. 333-92186</w:t>
      </w:r>
    </w:p>
    <w:p>
      <w:pPr>
        <w:spacing w:after="0" w:line="1" w:lineRule="exact"/>
        <w:rPr>
          <w:sz w:val="24"/>
          <w:szCs w:val="24"/>
          <w:color w:val="auto"/>
        </w:rPr>
      </w:pPr>
    </w:p>
    <w:p>
      <w:pPr>
        <w:sectPr>
          <w:pgSz w:w="11900" w:h="16838" w:orient="portrait"/>
          <w:cols w:equalWidth="0" w:num="2">
            <w:col w:w="4140" w:space="720"/>
            <w:col w:w="5359"/>
          </w:cols>
          <w:pgMar w:left="240" w:top="655"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[Scotts Logo]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$70,000,000</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OFFER TO EXCHANGE ITS</w:t>
      </w:r>
    </w:p>
    <w:p>
      <w:pPr>
        <w:ind w:left="2000"/>
        <w:spacing w:after="0" w:line="238" w:lineRule="auto"/>
        <w:rPr>
          <w:sz w:val="20"/>
          <w:szCs w:val="20"/>
          <w:color w:val="auto"/>
        </w:rPr>
      </w:pPr>
      <w:r>
        <w:rPr>
          <w:rFonts w:ascii="Courier New" w:cs="Courier New" w:eastAsia="Courier New" w:hAnsi="Courier New"/>
          <w:sz w:val="18"/>
          <w:szCs w:val="18"/>
          <w:color w:val="auto"/>
        </w:rPr>
        <w:t>8.625% SENIOR SUBORDINATED NOTES DUE 2009,</w:t>
      </w:r>
    </w:p>
    <w:p>
      <w:pPr>
        <w:ind w:left="2860"/>
        <w:spacing w:after="0"/>
        <w:rPr>
          <w:sz w:val="20"/>
          <w:szCs w:val="20"/>
          <w:color w:val="auto"/>
        </w:rPr>
      </w:pPr>
      <w:r>
        <w:rPr>
          <w:rFonts w:ascii="Courier New" w:cs="Courier New" w:eastAsia="Courier New" w:hAnsi="Courier New"/>
          <w:sz w:val="18"/>
          <w:szCs w:val="18"/>
          <w:color w:val="auto"/>
        </w:rPr>
        <w:t>WHICH HAVE BEEN REGISTERED</w:t>
      </w:r>
    </w:p>
    <w:p>
      <w:pPr>
        <w:spacing w:after="0" w:line="3"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UNDER THE SECURITIES ACT OF 1933, AS AMENDED,</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AN EQUAL PRINCIPAL AMOUNT OF ITS</w:t>
      </w:r>
    </w:p>
    <w:p>
      <w:pPr>
        <w:ind w:left="2000"/>
        <w:spacing w:after="0" w:line="238" w:lineRule="auto"/>
        <w:rPr>
          <w:sz w:val="20"/>
          <w:szCs w:val="20"/>
          <w:color w:val="auto"/>
        </w:rPr>
      </w:pPr>
      <w:r>
        <w:rPr>
          <w:rFonts w:ascii="Courier New" w:cs="Courier New" w:eastAsia="Courier New" w:hAnsi="Courier New"/>
          <w:sz w:val="18"/>
          <w:szCs w:val="18"/>
          <w:color w:val="auto"/>
        </w:rPr>
        <w:t>8.625% SENIOR SUBORDINATED NOTES DUE 2009,</w:t>
      </w:r>
    </w:p>
    <w:p>
      <w:pPr>
        <w:ind w:left="2640"/>
        <w:spacing w:after="0"/>
        <w:rPr>
          <w:sz w:val="20"/>
          <w:szCs w:val="20"/>
          <w:color w:val="auto"/>
        </w:rPr>
      </w:pPr>
      <w:r>
        <w:rPr>
          <w:rFonts w:ascii="Courier New" w:cs="Courier New" w:eastAsia="Courier New" w:hAnsi="Courier New"/>
          <w:sz w:val="18"/>
          <w:szCs w:val="18"/>
          <w:color w:val="auto"/>
        </w:rPr>
        <w:t>WHICH HAVE NOT BEEN REGISTERED</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MATERIAL TERMS OF THE EXCHANGE OFFER:</w:t>
      </w:r>
    </w:p>
    <w:p>
      <w:pPr>
        <w:spacing w:after="0" w:line="207" w:lineRule="exact"/>
        <w:rPr>
          <w:sz w:val="24"/>
          <w:szCs w:val="24"/>
          <w:color w:val="auto"/>
        </w:rPr>
      </w:pPr>
    </w:p>
    <w:p>
      <w:pPr>
        <w:ind w:left="740" w:right="1779" w:firstLine="5"/>
        <w:spacing w:after="0" w:line="235" w:lineRule="auto"/>
        <w:tabs>
          <w:tab w:leader="none" w:pos="9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expires at 5:00 p.m., New York City time, on Monday, October 28, 2002, unless extended.</w:t>
      </w:r>
    </w:p>
    <w:p>
      <w:pPr>
        <w:spacing w:after="0" w:line="208" w:lineRule="exact"/>
        <w:rPr>
          <w:rFonts w:ascii="Courier New" w:cs="Courier New" w:eastAsia="Courier New" w:hAnsi="Courier New"/>
          <w:sz w:val="18"/>
          <w:szCs w:val="18"/>
          <w:color w:val="auto"/>
        </w:rPr>
      </w:pPr>
    </w:p>
    <w:p>
      <w:pPr>
        <w:ind w:left="740" w:right="2099" w:firstLine="5"/>
        <w:spacing w:after="0" w:line="275" w:lineRule="auto"/>
        <w:tabs>
          <w:tab w:leader="none" w:pos="9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exchange all outstanding original 8.625% Series A senior subordinated notes that are validly tendered and not validly withdrawn for an equal principal amount of our new 8.625% Series B senior subordinated notes which are registered under the Securities Act.</w:t>
      </w:r>
    </w:p>
    <w:p>
      <w:pPr>
        <w:spacing w:after="0" w:line="182" w:lineRule="exact"/>
        <w:rPr>
          <w:rFonts w:ascii="Courier New" w:cs="Courier New" w:eastAsia="Courier New" w:hAnsi="Courier New"/>
          <w:sz w:val="16"/>
          <w:szCs w:val="16"/>
          <w:color w:val="auto"/>
        </w:rPr>
      </w:pPr>
    </w:p>
    <w:p>
      <w:pPr>
        <w:jc w:val="both"/>
        <w:ind w:left="740" w:right="1879" w:firstLine="5"/>
        <w:spacing w:after="0" w:line="236" w:lineRule="auto"/>
        <w:tabs>
          <w:tab w:leader="none" w:pos="9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is not subject to any conditions other than that it not violate applicable law or any applicable interpretation of the staff of the SEC.</w:t>
      </w:r>
    </w:p>
    <w:p>
      <w:pPr>
        <w:spacing w:after="0" w:line="208" w:lineRule="exact"/>
        <w:rPr>
          <w:rFonts w:ascii="Courier New" w:cs="Courier New" w:eastAsia="Courier New" w:hAnsi="Courier New"/>
          <w:sz w:val="18"/>
          <w:szCs w:val="18"/>
          <w:color w:val="auto"/>
        </w:rPr>
      </w:pPr>
    </w:p>
    <w:p>
      <w:pPr>
        <w:ind w:left="740" w:right="2319" w:firstLine="5"/>
        <w:spacing w:after="0" w:line="237" w:lineRule="auto"/>
        <w:tabs>
          <w:tab w:leader="none" w:pos="9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new 8.625% Series B senior subordinated notes are substantially identical to the original 8.625% Series A senior subordinated notes, except that the original notes contain transfer restrictions and registration rights that the exchange notes do not contain.</w:t>
      </w:r>
    </w:p>
    <w:p>
      <w:pPr>
        <w:spacing w:after="0" w:line="208"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withdraw tenders of original notes at any time before the exchange offer expires.</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tender outstanding original notes only in denominations of</w:t>
      </w:r>
    </w:p>
    <w:p>
      <w:pPr>
        <w:ind w:left="740"/>
        <w:spacing w:after="0" w:line="238" w:lineRule="auto"/>
        <w:rPr>
          <w:sz w:val="20"/>
          <w:szCs w:val="20"/>
          <w:color w:val="auto"/>
        </w:rPr>
      </w:pPr>
      <w:r>
        <w:rPr>
          <w:rFonts w:ascii="Courier New" w:cs="Courier New" w:eastAsia="Courier New" w:hAnsi="Courier New"/>
          <w:sz w:val="18"/>
          <w:szCs w:val="18"/>
          <w:color w:val="auto"/>
        </w:rPr>
        <w:t>$1,000 and multiples of $1,000.</w:t>
      </w:r>
    </w:p>
    <w:p>
      <w:pPr>
        <w:spacing w:after="0" w:line="207" w:lineRule="exact"/>
        <w:rPr>
          <w:sz w:val="24"/>
          <w:szCs w:val="24"/>
          <w:color w:val="auto"/>
        </w:rPr>
      </w:pPr>
    </w:p>
    <w:p>
      <w:pPr>
        <w:ind w:left="740" w:right="1999" w:firstLine="5"/>
        <w:spacing w:after="0" w:line="235" w:lineRule="auto"/>
        <w:tabs>
          <w:tab w:leader="none" w:pos="95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not receive any proceeds from the exchange offer, and we will pay all expenses of the exchange offer.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affiliates may not participate in the exchange offer.</w:t>
      </w:r>
    </w:p>
    <w:p>
      <w:pPr>
        <w:spacing w:after="0" w:line="207" w:lineRule="exact"/>
        <w:rPr>
          <w:sz w:val="24"/>
          <w:szCs w:val="24"/>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PLEASE REFER TO THE SECTION ENTITLED "RISK FACTORS" BEGINNING ON PAGE 12 FOR A DESCRIPTION OF RISKS THAT YOU SHOULD CONSIDER WHEN EVALUATING THIS INVESTMENT.</w:t>
      </w:r>
    </w:p>
    <w:p>
      <w:pPr>
        <w:spacing w:after="0" w:line="170"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27, 2002</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IN MAKING YOUR INVESTMENT DECISION, YOU SHOULD RELY ONLY ON THE INFORMATION CONTAINED IN THIS PROSPECTUS. WE HAVE NOT AUTHORIZED ANYONE TO PROVIDE YOU WITH OTHER INFORMATION. IF YOU RECEIVE ANY OTHER INFORMATION, YOU SHOULD NOT RELY ON IT. WE ARE NOT MAKING AN OFFER OF THESE NOTES IN ANY STATE WHERE THE OFFER IS NOT PERMITTED. YOU SHOULD ASSUME THAT THE INFORMATION APPEARING IN THIS PROSPECTUS IS ACCURATE AS OF THE DATE ON THE FRONT COVER OF THIS PROSPECTUS ONLY. OUR BUSINESS, FINANCIAL CONDITION, RESULTS OF OPERATIONS AND PROSPECTS MAY HAVE CHANGED SINCE THAT DATE. THE DELIVERY OF THIS PROSPECTUS SHALL UNDER NO CIRCUMSTANCES IMPLY THAT THE INFORMATION HEREIN IS CORRECT AS OF ANY DATE SUBSEQUENT TO THE DATE ON THE COVER OF THIS PROSPECTUS.</w:t>
      </w:r>
    </w:p>
    <w:p>
      <w:pPr>
        <w:spacing w:after="0" w:line="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PAGE Disclosure regarding forward-</w:t>
      </w:r>
    </w:p>
    <w:p>
      <w:pPr>
        <w:jc w:val="center"/>
        <w:ind w:right="6219"/>
        <w:spacing w:after="0" w:line="238" w:lineRule="auto"/>
        <w:rPr>
          <w:sz w:val="20"/>
          <w:szCs w:val="20"/>
          <w:color w:val="auto"/>
        </w:rPr>
      </w:pPr>
      <w:r>
        <w:rPr>
          <w:rFonts w:ascii="Courier New" w:cs="Courier New" w:eastAsia="Courier New" w:hAnsi="Courier New"/>
          <w:sz w:val="18"/>
          <w:szCs w:val="18"/>
          <w:color w:val="auto"/>
        </w:rPr>
        <w:t>looking</w:t>
      </w:r>
    </w:p>
    <w:p>
      <w:pPr>
        <w:jc w:val="center"/>
        <w:ind w:right="6219"/>
        <w:spacing w:after="0"/>
        <w:rPr>
          <w:sz w:val="20"/>
          <w:szCs w:val="20"/>
          <w:color w:val="auto"/>
        </w:rPr>
      </w:pPr>
      <w:r>
        <w:rPr>
          <w:rFonts w:ascii="Courier New" w:cs="Courier New" w:eastAsia="Courier New" w:hAnsi="Courier New"/>
          <w:sz w:val="18"/>
          <w:szCs w:val="18"/>
          <w:color w:val="auto"/>
        </w:rPr>
        <w:t>statements..........................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i Prospectus</w:t>
      </w:r>
    </w:p>
    <w:p>
      <w:pPr>
        <w:jc w:val="center"/>
        <w:ind w:right="6219"/>
        <w:spacing w:after="0" w:line="238" w:lineRule="auto"/>
        <w:rPr>
          <w:sz w:val="20"/>
          <w:szCs w:val="20"/>
          <w:color w:val="auto"/>
        </w:rPr>
      </w:pPr>
      <w:r>
        <w:rPr>
          <w:rFonts w:ascii="Courier New" w:cs="Courier New" w:eastAsia="Courier New" w:hAnsi="Courier New"/>
          <w:sz w:val="18"/>
          <w:szCs w:val="18"/>
          <w:color w:val="auto"/>
        </w:rPr>
        <w:t>summary.................... 2 Risk</w:t>
      </w:r>
    </w:p>
    <w:p>
      <w:pPr>
        <w:jc w:val="center"/>
        <w:ind w:right="6219"/>
        <w:spacing w:after="0"/>
        <w:rPr>
          <w:sz w:val="20"/>
          <w:szCs w:val="20"/>
          <w:color w:val="auto"/>
        </w:rPr>
      </w:pPr>
      <w:r>
        <w:rPr>
          <w:rFonts w:ascii="Courier New" w:cs="Courier New" w:eastAsia="Courier New" w:hAnsi="Courier New"/>
          <w:sz w:val="18"/>
          <w:szCs w:val="18"/>
          <w:color w:val="auto"/>
        </w:rPr>
        <w:t>factors.......................... 12</w:t>
      </w:r>
    </w:p>
    <w:p>
      <w:pPr>
        <w:jc w:val="center"/>
        <w:ind w:right="6219"/>
        <w:spacing w:after="0" w:line="237" w:lineRule="auto"/>
        <w:rPr>
          <w:sz w:val="20"/>
          <w:szCs w:val="20"/>
          <w:color w:val="auto"/>
        </w:rPr>
      </w:pPr>
      <w:r>
        <w:rPr>
          <w:rFonts w:ascii="Courier New" w:cs="Courier New" w:eastAsia="Courier New" w:hAnsi="Courier New"/>
          <w:sz w:val="18"/>
          <w:szCs w:val="18"/>
          <w:color w:val="auto"/>
        </w:rPr>
        <w:t>The exchange</w:t>
      </w:r>
    </w:p>
    <w:p>
      <w:pPr>
        <w:jc w:val="center"/>
        <w:ind w:right="6219"/>
        <w:spacing w:after="0"/>
        <w:rPr>
          <w:sz w:val="20"/>
          <w:szCs w:val="20"/>
          <w:color w:val="auto"/>
        </w:rPr>
      </w:pPr>
      <w:r>
        <w:rPr>
          <w:rFonts w:ascii="Courier New" w:cs="Courier New" w:eastAsia="Courier New" w:hAnsi="Courier New"/>
          <w:sz w:val="18"/>
          <w:szCs w:val="18"/>
          <w:color w:val="auto"/>
        </w:rPr>
        <w:t>offer.................... 22 Ratio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earnings to fixed charges.... 31 Use</w:t>
      </w:r>
    </w:p>
    <w:p>
      <w:pPr>
        <w:jc w:val="center"/>
        <w:ind w:right="6219"/>
        <w:spacing w:after="0"/>
        <w:rPr>
          <w:sz w:val="20"/>
          <w:szCs w:val="20"/>
          <w:color w:val="auto"/>
        </w:rPr>
      </w:pPr>
      <w:r>
        <w:rPr>
          <w:rFonts w:ascii="Courier New" w:cs="Courier New" w:eastAsia="Courier New" w:hAnsi="Courier New"/>
          <w:sz w:val="18"/>
          <w:szCs w:val="18"/>
          <w:color w:val="auto"/>
        </w:rPr>
        <w:t>of proceeds....................... 31</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32 Selected consolidated financial</w:t>
      </w:r>
    </w:p>
    <w:p>
      <w:pPr>
        <w:ind w:left="120"/>
        <w:spacing w:after="0" w:line="238" w:lineRule="auto"/>
        <w:rPr>
          <w:sz w:val="20"/>
          <w:szCs w:val="20"/>
          <w:color w:val="auto"/>
        </w:rPr>
      </w:pPr>
      <w:r>
        <w:rPr>
          <w:rFonts w:ascii="Courier New" w:cs="Courier New" w:eastAsia="Courier New" w:hAnsi="Courier New"/>
          <w:sz w:val="18"/>
          <w:szCs w:val="18"/>
          <w:color w:val="auto"/>
        </w:rPr>
        <w:t>data................................</w:t>
      </w:r>
    </w:p>
    <w:p>
      <w:pPr>
        <w:jc w:val="center"/>
        <w:ind w:right="6219"/>
        <w:spacing w:after="0"/>
        <w:rPr>
          <w:sz w:val="20"/>
          <w:szCs w:val="20"/>
          <w:color w:val="auto"/>
        </w:rPr>
      </w:pPr>
      <w:r>
        <w:rPr>
          <w:rFonts w:ascii="Courier New" w:cs="Courier New" w:eastAsia="Courier New" w:hAnsi="Courier New"/>
          <w:sz w:val="18"/>
          <w:szCs w:val="18"/>
          <w:color w:val="auto"/>
        </w:rPr>
        <w:t>33 Description of certain other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indebtedness........................</w:t>
      </w:r>
    </w:p>
    <w:p>
      <w:pPr>
        <w:spacing w:after="0" w:line="200" w:lineRule="exact"/>
        <w:rPr>
          <w:sz w:val="20"/>
          <w:szCs w:val="20"/>
          <w:color w:val="auto"/>
        </w:rPr>
      </w:pP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PAGE Description of</w:t>
      </w:r>
    </w:p>
    <w:p>
      <w:pPr>
        <w:jc w:val="center"/>
        <w:ind w:right="6219"/>
        <w:spacing w:after="0" w:line="238" w:lineRule="auto"/>
        <w:rPr>
          <w:sz w:val="20"/>
          <w:szCs w:val="20"/>
          <w:color w:val="auto"/>
        </w:rPr>
      </w:pPr>
      <w:r>
        <w:rPr>
          <w:rFonts w:ascii="Courier New" w:cs="Courier New" w:eastAsia="Courier New" w:hAnsi="Courier New"/>
          <w:sz w:val="18"/>
          <w:szCs w:val="18"/>
          <w:color w:val="auto"/>
        </w:rPr>
        <w:t>notes.................. 38 Book-</w:t>
      </w:r>
    </w:p>
    <w:p>
      <w:pPr>
        <w:jc w:val="center"/>
        <w:ind w:right="6219"/>
        <w:spacing w:after="0"/>
        <w:rPr>
          <w:sz w:val="20"/>
          <w:szCs w:val="20"/>
          <w:color w:val="auto"/>
        </w:rPr>
      </w:pPr>
      <w:r>
        <w:rPr>
          <w:rFonts w:ascii="Courier New" w:cs="Courier New" w:eastAsia="Courier New" w:hAnsi="Courier New"/>
          <w:sz w:val="18"/>
          <w:szCs w:val="18"/>
          <w:color w:val="auto"/>
        </w:rPr>
        <w:t>entry, settlement and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clearance...........................</w:t>
      </w:r>
    </w:p>
    <w:p>
      <w:pPr>
        <w:jc w:val="center"/>
        <w:ind w:right="6219"/>
        <w:spacing w:after="0" w:line="238" w:lineRule="auto"/>
        <w:rPr>
          <w:sz w:val="20"/>
          <w:szCs w:val="20"/>
          <w:color w:val="auto"/>
        </w:rPr>
      </w:pPr>
      <w:r>
        <w:rPr>
          <w:rFonts w:ascii="Courier New" w:cs="Courier New" w:eastAsia="Courier New" w:hAnsi="Courier New"/>
          <w:sz w:val="18"/>
          <w:szCs w:val="18"/>
          <w:color w:val="auto"/>
        </w:rPr>
        <w:t>76 Certain U.S. federal tax</w:t>
      </w:r>
    </w:p>
    <w:p>
      <w:pPr>
        <w:ind w:left="120"/>
        <w:spacing w:after="0"/>
        <w:rPr>
          <w:sz w:val="20"/>
          <w:szCs w:val="20"/>
          <w:color w:val="auto"/>
        </w:rPr>
      </w:pPr>
      <w:r>
        <w:rPr>
          <w:rFonts w:ascii="Courier New" w:cs="Courier New" w:eastAsia="Courier New" w:hAnsi="Courier New"/>
          <w:sz w:val="18"/>
          <w:szCs w:val="18"/>
          <w:color w:val="auto"/>
        </w:rPr>
        <w:t>considerations......................</w:t>
      </w:r>
    </w:p>
    <w:p>
      <w:pPr>
        <w:ind w:left="1580"/>
        <w:spacing w:after="0" w:line="237" w:lineRule="auto"/>
        <w:rPr>
          <w:sz w:val="20"/>
          <w:szCs w:val="20"/>
          <w:color w:val="auto"/>
        </w:rPr>
      </w:pPr>
      <w:r>
        <w:rPr>
          <w:rFonts w:ascii="Courier New" w:cs="Courier New" w:eastAsia="Courier New" w:hAnsi="Courier New"/>
          <w:sz w:val="18"/>
          <w:szCs w:val="18"/>
          <w:color w:val="auto"/>
        </w:rPr>
        <w:t>79 ERISA</w:t>
      </w:r>
    </w:p>
    <w:tbl>
      <w:tblPr>
        <w:tblLayout w:type="fixed"/>
        <w:tblInd w:w="160" w:type="dxa"/>
        <w:tblCellMar>
          <w:top w:w="0" w:type="dxa"/>
          <w:left w:w="0" w:type="dxa"/>
          <w:bottom w:w="0" w:type="dxa"/>
          <w:right w:w="0" w:type="dxa"/>
        </w:tblCellMar>
      </w:tblP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considerations</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6"/>
              </w:rPr>
              <w:t>.................. 83</w:t>
            </w:r>
          </w:p>
        </w:tc>
      </w:tr>
      <w:tr>
        <w:trPr>
          <w:trHeight w:val="203"/>
        </w:trPr>
        <w:tc>
          <w:tcPr>
            <w:tcW w:w="1480" w:type="dxa"/>
            <w:vAlign w:val="bottom"/>
          </w:tcPr>
          <w:p>
            <w:pPr>
              <w:spacing w:after="0"/>
              <w:rPr>
                <w:sz w:val="17"/>
                <w:szCs w:val="17"/>
                <w:color w:val="auto"/>
              </w:rPr>
            </w:pPr>
          </w:p>
        </w:tc>
        <w:tc>
          <w:tcPr>
            <w:tcW w:w="2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Plan of</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1"/>
                <w:szCs w:val="11"/>
                <w:color w:val="auto"/>
                <w:w w:val="73"/>
              </w:rPr>
              <w:t>distribution..................</w:t>
            </w:r>
          </w:p>
        </w:tc>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480" w:type="dxa"/>
            <w:vAlign w:val="bottom"/>
          </w:tcPr>
          <w:p>
            <w:pPr>
              <w:spacing w:after="0"/>
              <w:rPr>
                <w:sz w:val="17"/>
                <w:szCs w:val="17"/>
                <w:color w:val="auto"/>
              </w:rPr>
            </w:pPr>
          </w:p>
        </w:tc>
        <w:tc>
          <w:tcPr>
            <w:tcW w:w="22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Legal</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0"/>
                <w:szCs w:val="10"/>
                <w:color w:val="auto"/>
                <w:w w:val="76"/>
              </w:rPr>
              <w:t>matters.........................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bl>
    <w:p>
      <w:pPr>
        <w:spacing w:after="0" w:line="238" w:lineRule="auto"/>
        <w:rPr>
          <w:sz w:val="20"/>
          <w:szCs w:val="20"/>
          <w:color w:val="auto"/>
        </w:rPr>
      </w:pPr>
      <w:r>
        <w:rPr>
          <w:rFonts w:ascii="Courier New" w:cs="Courier New" w:eastAsia="Courier New" w:hAnsi="Courier New"/>
          <w:sz w:val="18"/>
          <w:szCs w:val="18"/>
          <w:color w:val="auto"/>
        </w:rPr>
        <w:t>Experts...............................</w:t>
      </w:r>
    </w:p>
    <w:p>
      <w:pPr>
        <w:jc w:val="center"/>
        <w:ind w:right="6219"/>
        <w:spacing w:after="0"/>
        <w:rPr>
          <w:sz w:val="20"/>
          <w:szCs w:val="20"/>
          <w:color w:val="auto"/>
        </w:rPr>
      </w:pPr>
      <w:r>
        <w:rPr>
          <w:rFonts w:ascii="Courier New" w:cs="Courier New" w:eastAsia="Courier New" w:hAnsi="Courier New"/>
          <w:sz w:val="18"/>
          <w:szCs w:val="18"/>
          <w:color w:val="auto"/>
        </w:rPr>
        <w:t>86 Where you can find more</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information... 86 Incorporation by</w:t>
      </w:r>
    </w:p>
    <w:p>
      <w:pPr>
        <w:jc w:val="center"/>
        <w:ind w:right="6219"/>
        <w:spacing w:after="0" w:line="238" w:lineRule="auto"/>
        <w:rPr>
          <w:sz w:val="20"/>
          <w:szCs w:val="20"/>
          <w:color w:val="auto"/>
        </w:rPr>
      </w:pPr>
      <w:r>
        <w:rPr>
          <w:rFonts w:ascii="Courier New" w:cs="Courier New" w:eastAsia="Courier New" w:hAnsi="Courier New"/>
          <w:sz w:val="18"/>
          <w:szCs w:val="18"/>
          <w:color w:val="auto"/>
        </w:rPr>
        <w:t>reference............ 86</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Scotts Company is an Ohio corporation. Our principal executive offices are located at 14111 Scottslawn Road, Marysville, Ohio 43041, and our telephone number at that address is (937) 644-0011. Our World Wide Web site address is http://www.scotts.com. The information on our website is not part of this prospectus.</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Roundup(R) is a registered trademark of Monsanto Technology LLC (an affiliate of Monsanto Company). Unless otherwise indicated, all other trademarks, service marks or brand names appearing in this prospectus are the property of Scotts.</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This prospectus includes, and incorporates by reference, "forward looking statements" within the meaning of Section 27A of the Securities Act and Section 21E of the Securities Exchange Act, including, in particular, the statements about Scotts'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 looking statements we make in, or incorporate by reference into, this prospectus are set forth under the caption "Risk factors" and elsewhere in this prospectus or the documents incorporated by reference herein. All forward-looking statements are expressly qualified in their entirety by those cautionary statements.</w:t>
      </w: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23" w:right="1440" w:bottom="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following summary is qualified in its entirety by the more detailed information and consolidated financial statements and their notes appearing elsewhere in, or incorporated by reference into, this prospectus. This prospectus includes, or incorporates by reference, the specific terms of the exchange offer and the notes, as well as information regarding our business and risk factors. Because this is only a summary it may not contain all of the information important to you or that you should consider before making an investment decision. Therefore, we urge you to read this prospectus and the documents to which we have referred you. Unless the context otherwise requires, "Scotts," "we," "us," "our" and similar terms refer to The Scotts Company and its subsidiaries. We will refer to the $70 million aggregate principal amount of our outstanding 8.625% Series A senior subordinated notes as the "original notes," and will refer to the 8.625% Series B senior subordinated notes as the "exchange notes." Unless indicated otherwise, the term "notes" refers to both the original notes and the exchange notes.</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this prospectus, we rely on and refer to information regarding the lawn and garden market and its segments in the United States provided by Triad Systems Corporation market research reports covering the period January 2001 through June 2002 and, with regard to other market share data, other publicly available sources. Although we believe this information is reliable, we cannot guarantee the accuracy and completeness of the information and have not independently verified it. Wal,Mart, one of our largest customers, stopped reporting sales data to Triad in July 2001. Triad independently projected Wal,Mart sales data for the period August 2001 through October 2001. Therefore, market share data for periods after October 2001 exclude Wal,Mart.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OVERVIEW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Scotts Company, an Ohio corporation, traces its heritage back to a company founded by O.M. Scott in Marysville, Ohio in 1868. In the mid 1900's, we became widely known for the innovation and development of quality lawn fertilizers and grass seeds that led to the creation of a new industry -- consumer lawn care. Today, the Scotts(R), Miracle-Gro(R), Ortho(R) and Roundup(R) brands make us one of the most widely recognized companies in lawn and garden care in the United States. For our fiscal year ended September 30, 2001, revenues, net income and adjusted EBITDA (as defined herein) were $1.7 billion, $15.5 million and $255.7 million, respectively.</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1990's, we significantly expanded our product offering by acquiring two additional leading brands in the U.S. consumer lawn and garden industry. In fiscal 1995, through a merger, we acquired the Miracle-Gro(R) brand, the industry leader in water-soluble garden plant foods. In fiscal 1999, we acquired the Ortho(R) brand and exclusive rights to market the consumer Roundup(R)brand, thereby adding industry-leading pesticides and herbicides to our controls portfolio. We are among the most widely recognized marketers and manufacturers of products for lawns, gardens and professional horticulture, and we are rapidly expanding into the lawn care service industry through our Scotts LawnService(R). We believe that our market leadership is driven by our leading brands, consumer-focused advertising, superior product performance and the strength of our extensive relationships with major U.S. retailers in our categories.</w:t>
      </w:r>
    </w:p>
    <w:p>
      <w:pPr>
        <w:spacing w:after="0" w:line="18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In 1997, our presence in Europe expanded with the acquisition of several established brands. We now have a strong presence in the consumer lawn and garden business in the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United Kingdom, France and Germany, and expect to increase our share in these markets through consumer-focused marketing, a model we have successfully followed in the United States. We also have a presence in the remaining European countries, Australia, the Far East, Latin America and South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w:t>
      </w:r>
    </w:p>
    <w:p>
      <w:pPr>
        <w:spacing w:after="0" w:line="207" w:lineRule="exact"/>
        <w:rPr>
          <w:sz w:val="20"/>
          <w:szCs w:val="20"/>
          <w:color w:val="auto"/>
        </w:rPr>
      </w:pPr>
    </w:p>
    <w:p>
      <w:pPr>
        <w:ind w:left="740" w:right="1779" w:firstLine="5"/>
        <w:spacing w:after="0" w:line="273" w:lineRule="auto"/>
        <w:tabs>
          <w:tab w:leader="none" w:pos="95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Strong Portfolio of Brand Names. We are the world's largest marketer of consumer lawn and garden fertilizer, controls and value-added growing media products. We have been able to achieve this market-leading position through a combination of internal growth driven by product line extensions, award-winning advertising campaigns, and acquisitions.</w:t>
      </w:r>
    </w:p>
    <w:p>
      <w:pPr>
        <w:spacing w:after="0" w:line="185"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The following table shows our portfolio of consumer brands that we believe hold the leading market share position in their respective U.S. markets: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MARKET SHARE*</w:t>
      </w:r>
    </w:p>
    <w:p>
      <w:pPr>
        <w:ind w:left="220"/>
        <w:spacing w:after="0" w:line="237" w:lineRule="auto"/>
        <w:rPr>
          <w:sz w:val="20"/>
          <w:szCs w:val="20"/>
          <w:color w:val="auto"/>
        </w:rPr>
      </w:pPr>
      <w:r>
        <w:rPr>
          <w:rFonts w:ascii="Courier New" w:cs="Courier New" w:eastAsia="Courier New" w:hAnsi="Courier New"/>
          <w:sz w:val="18"/>
          <w:szCs w:val="18"/>
          <w:color w:val="auto"/>
        </w:rPr>
        <w:t>----------- CATEGORY 1998 2002</w:t>
      </w:r>
    </w:p>
    <w:p>
      <w:pPr>
        <w:ind w:left="60"/>
        <w:spacing w:after="0" w:line="238" w:lineRule="auto"/>
        <w:rPr>
          <w:sz w:val="20"/>
          <w:szCs w:val="20"/>
          <w:color w:val="auto"/>
        </w:rPr>
      </w:pPr>
      <w:r>
        <w:rPr>
          <w:rFonts w:ascii="Courier New" w:cs="Courier New" w:eastAsia="Courier New" w:hAnsi="Courier New"/>
          <w:sz w:val="18"/>
          <w:szCs w:val="18"/>
          <w:color w:val="auto"/>
        </w:rPr>
        <w:t>LEADING BRANDS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Lawns</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3"/>
              </w:rPr>
              <w:t>.............................</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56% 63% Scotts(R)</w:t>
            </w:r>
          </w:p>
        </w:tc>
        <w:tc>
          <w:tcPr>
            <w:tcW w:w="420" w:type="dxa"/>
            <w:vAlign w:val="bottom"/>
          </w:tcPr>
          <w:p>
            <w:pPr>
              <w:spacing w:after="0"/>
              <w:rPr>
                <w:sz w:val="17"/>
                <w:szCs w:val="17"/>
                <w:color w:val="auto"/>
              </w:rPr>
            </w:pP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Gardens...........................</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55% 60% Miracle-Gro(R);</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Osmocote(R) Growing</w:t>
            </w:r>
          </w:p>
        </w:tc>
        <w:tc>
          <w:tcPr>
            <w:tcW w:w="420" w:type="dxa"/>
            <w:vAlign w:val="bottom"/>
          </w:tcPr>
          <w:p>
            <w:pPr>
              <w:spacing w:after="0"/>
              <w:rPr>
                <w:sz w:val="17"/>
                <w:szCs w:val="17"/>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media.....................</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71%</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Miracle-Gro(R); Scotts(R);</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Hyponex(R) Grass</w:t>
            </w:r>
          </w:p>
        </w:tc>
        <w:tc>
          <w:tcPr>
            <w:tcW w:w="42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seed........................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49% Scotts(R)</w:t>
            </w:r>
          </w:p>
        </w:tc>
        <w:tc>
          <w:tcPr>
            <w:tcW w:w="4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Controls..........................</w:t>
      </w:r>
    </w:p>
    <w:p>
      <w:pPr>
        <w:ind w:left="280"/>
        <w:spacing w:after="0"/>
        <w:rPr>
          <w:sz w:val="20"/>
          <w:szCs w:val="20"/>
          <w:color w:val="auto"/>
        </w:rPr>
      </w:pPr>
      <w:r>
        <w:rPr>
          <w:rFonts w:ascii="Courier New" w:cs="Courier New" w:eastAsia="Courier New" w:hAnsi="Courier New"/>
          <w:sz w:val="18"/>
          <w:szCs w:val="18"/>
          <w:color w:val="auto"/>
        </w:rPr>
        <w:t>41% 46% Ortho(R) (owned since</w:t>
      </w:r>
    </w:p>
    <w:p>
      <w:pPr>
        <w:ind w:left="120"/>
        <w:spacing w:after="0" w:line="237" w:lineRule="auto"/>
        <w:rPr>
          <w:sz w:val="20"/>
          <w:szCs w:val="20"/>
          <w:color w:val="auto"/>
        </w:rPr>
      </w:pPr>
      <w:r>
        <w:rPr>
          <w:rFonts w:ascii="Courier New" w:cs="Courier New" w:eastAsia="Courier New" w:hAnsi="Courier New"/>
          <w:sz w:val="18"/>
          <w:szCs w:val="18"/>
          <w:color w:val="auto"/>
        </w:rPr>
        <w:t>Jan. 1999); Roundup(R) (marketed</w:t>
      </w:r>
    </w:p>
    <w:p>
      <w:pPr>
        <w:ind w:left="60"/>
        <w:spacing w:after="0" w:line="238" w:lineRule="auto"/>
        <w:rPr>
          <w:sz w:val="20"/>
          <w:szCs w:val="20"/>
          <w:color w:val="auto"/>
        </w:rPr>
      </w:pPr>
      <w:r>
        <w:rPr>
          <w:rFonts w:ascii="Courier New" w:cs="Courier New" w:eastAsia="Courier New" w:hAnsi="Courier New"/>
          <w:sz w:val="18"/>
          <w:szCs w:val="18"/>
          <w:color w:val="auto"/>
        </w:rPr>
        <w:t>since Sept. 1998)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740" w:right="2199" w:firstLine="5"/>
        <w:spacing w:after="0" w:line="235" w:lineRule="auto"/>
        <w:tabs>
          <w:tab w:leader="none" w:pos="9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Triad Systems market research reports for 1998 and January 2001 through June 2002.</w:t>
      </w:r>
    </w:p>
    <w:p>
      <w:pPr>
        <w:spacing w:after="0" w:line="208" w:lineRule="exact"/>
        <w:rPr>
          <w:sz w:val="20"/>
          <w:szCs w:val="20"/>
          <w:color w:val="auto"/>
        </w:rPr>
      </w:pPr>
    </w:p>
    <w:p>
      <w:pPr>
        <w:ind w:left="640" w:right="1779"/>
        <w:spacing w:after="0" w:line="272" w:lineRule="auto"/>
        <w:rPr>
          <w:sz w:val="20"/>
          <w:szCs w:val="20"/>
          <w:color w:val="auto"/>
        </w:rPr>
      </w:pPr>
      <w:r>
        <w:rPr>
          <w:rFonts w:ascii="Courier New" w:cs="Courier New" w:eastAsia="Courier New" w:hAnsi="Courier New"/>
          <w:sz w:val="16"/>
          <w:szCs w:val="16"/>
          <w:color w:val="auto"/>
        </w:rPr>
        <w:t>In addition, we have the following significant brands in Europe, which vary from country to country: Miracle-Gro(R) plant fertilizers, Weedol(R) and Pathclear(R) herbicides, EverGreen(R) lawn fertilizer and Levington(R) growing media in the United Kingdom; KB(R) and Fertiligene(R) in France; Celaflor(R), Nexa-Lotte(R) and Substral(R) in Germany and Austria; and ASEF(R), KB(R) and Substral(R) in the Benelux countries.</w:t>
      </w:r>
    </w:p>
    <w:p>
      <w:pPr>
        <w:spacing w:after="0" w:line="186" w:lineRule="exact"/>
        <w:rPr>
          <w:sz w:val="20"/>
          <w:szCs w:val="20"/>
          <w:color w:val="auto"/>
        </w:rPr>
      </w:pPr>
    </w:p>
    <w:p>
      <w:pPr>
        <w:ind w:left="740" w:right="1779" w:hanging="20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Diverse Product Offering. Through new product introductions, product line extensions, acquisitions and licensing agreements, we have broadened our product portfolio, so that we offer leading products across all four major categories including lawn care, garden care, growing media and controls. We also provide residential lawn care, tree and shrub care and perimeter pest control services through our Scotts LawnService(R). With a broad portfolio of products and services, we have increased our geographic presence, improved our earnings and are well positioned to meet consumers' lawn and garden needs.</w:t>
      </w:r>
    </w:p>
    <w:p>
      <w:pPr>
        <w:spacing w:after="0" w:line="213"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Proven Brand Leverage Capability. We have demonstrated success in leveraging the power of our brands through introduction of new products and product line extensions. For example, in Growing Media, we introduced Miracle-Gro(R) Potting Mix, Miracle-Gro(R) Garden Soil and Scotts(R) Lawn Soil(TM), thereby creating a value-added product in what was once a commodity category. By leveraging our brands, the Growing Media business is now second to our Lawn's business in profitability. Introduced in</w:t>
      </w:r>
    </w:p>
    <w:p>
      <w:pPr>
        <w:spacing w:after="0" w:line="1" w:lineRule="exact"/>
        <w:rPr>
          <w:sz w:val="20"/>
          <w:szCs w:val="20"/>
          <w:color w:val="auto"/>
        </w:rPr>
      </w:pPr>
    </w:p>
    <w:p>
      <w:pPr>
        <w:ind w:left="740" w:right="2519"/>
        <w:spacing w:after="0" w:line="235" w:lineRule="auto"/>
        <w:rPr>
          <w:sz w:val="20"/>
          <w:szCs w:val="20"/>
          <w:color w:val="auto"/>
        </w:rPr>
      </w:pPr>
      <w:r>
        <w:rPr>
          <w:rFonts w:ascii="Courier New" w:cs="Courier New" w:eastAsia="Courier New" w:hAnsi="Courier New"/>
          <w:sz w:val="18"/>
          <w:szCs w:val="18"/>
          <w:color w:val="auto"/>
        </w:rPr>
        <w:t>1997, Miracle-Gro(R) Potting Mix alone has recently surpassed $100 million in annual revenues.</w:t>
      </w: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767" w:gutter="0" w:footer="0" w:header="0"/>
        </w:sectPr>
      </w:pPr>
    </w:p>
    <w:bookmarkStart w:id="4" w:name="page5"/>
    <w:bookmarkEnd w:id="4"/>
    <w:p>
      <w:pPr>
        <w:ind w:left="740" w:right="1779" w:hanging="205"/>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Relationships with Key U.S. Retailers. We believe that our leading brands and our industry-leading media advertising make our products "traffic builders" at the retail locations. This, in addition to our position as the leading nationwide supplier of a full line of consumer lawn and garden products, gives us an advantage in selling to retailers, who value the efficiency of dealing with a limited number of suppliers. We are the largest vendor to the lawn and garden departments at Home Depot, Wal*Mart, Lowe's, Kmart and the hardware co-ops (e.g., Ace Hardware Corporation, TruServ Corporation and Do It Best Corp.), and we have business development teams in place at each of these retailers to work with their buyers and supply chain management to maximize mutual sales opportunities and efficient distribution of products. In addition, we serve as the lawn and garden category manager for Wal*Mart and Kmart. In fiscal 2001, in order to help meet the changing needs of our key customers and efficiently operate our business, we completed implementation of an enterprise resource planning (or ERP) software system in North America and realigned our sales force with our "one face to the customer" initiative.</w:t>
      </w:r>
    </w:p>
    <w:p>
      <w:pPr>
        <w:spacing w:after="0" w:line="209"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Supply Chain Expertise. In North America, over the past several years, we have focused on building world-class manufacturing and distribution capabilities and expertise to handle the seasonal demands of our business. We have invested, and continue to invest, in systems to allow us to better capture and analyze supply chain information, which has permitted the incorporation of supply chain related metrics into our key business and incentive measures. For instance, in fiscal 2001, we completed the implementation of an ERP system for our North American businesses at a cost of approximately $55 million. In addition, we have invested over $100 million over the past three years to upgrade our North American manufacturing facilities. This level of investment and focus has allowed us to develop what we believe is a significant competitive advantage in serving our retail customers and to improve our customer service rates. This, coupled with shipments more closely tied to actual consumer purchases, has allowed our customers to increase inventory turns and reduce average inventory levels. Further, the investments in our production facilities have enhanced our manufacturing flexibility, allowing us to increase our inventory turns and reduce our average inventory levels as well.</w:t>
      </w:r>
    </w:p>
    <w:p>
      <w:pPr>
        <w:spacing w:after="0" w:line="209"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Experienced and Incentivized Management Team. Our senior management team has significant experience in the lawn and garden industry. Additionally, as of August 30, 2002, our chief executive officer, together with his family, collectively beneficially owned, with the other executive officers and directors, more than 39% of our common shares.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left="740" w:right="1779" w:hanging="205"/>
        <w:spacing w:after="0" w:line="270"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Enhance Market Leadership Through Consumer-focused Brand Management. We intend to continue to execute our successful push-pull marketing strategy to strengthen our leading market positions. For example, in fiscal 2001, we spent over $73 million in advertising in North America alone, and we have begun to leverage the current media market for more targeted exposure to the key consumer audience primarily through prime time television spots with a focus on Scotts' product superiority. We believe this approach to marketing, which balances consumer-directed, pull advertising with retailer-oriented promotions, builds brand awareness and drives product sales growth. In North America, we have grown sales, increased market share and expanded the lawn and garden category over the</w:t>
      </w:r>
    </w:p>
    <w:p>
      <w:pPr>
        <w:spacing w:after="0" w:line="189" w:lineRule="exact"/>
        <w:rPr>
          <w:sz w:val="20"/>
          <w:szCs w:val="20"/>
          <w:color w:val="auto"/>
        </w:rPr>
      </w:pPr>
    </w:p>
    <w:p>
      <w:pPr>
        <w:ind w:left="740" w:right="2199"/>
        <w:spacing w:after="0" w:line="236" w:lineRule="auto"/>
        <w:rPr>
          <w:sz w:val="20"/>
          <w:szCs w:val="20"/>
          <w:color w:val="auto"/>
        </w:rPr>
      </w:pPr>
      <w:r>
        <w:rPr>
          <w:rFonts w:ascii="Courier New" w:cs="Courier New" w:eastAsia="Courier New" w:hAnsi="Courier New"/>
          <w:sz w:val="18"/>
          <w:szCs w:val="18"/>
          <w:color w:val="auto"/>
        </w:rPr>
        <w:t>past five years through successful execution of this strategy for our four principal brands -- Scotts(R), Miracle-Gro(R), Ortho(R) and Roundup(R).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 w:name="page6"/>
    <w:bookmarkEnd w:id="5"/>
    <w:p>
      <w:pPr>
        <w:ind w:left="205" w:right="1779" w:hanging="205"/>
        <w:spacing w:after="0" w:line="238" w:lineRule="auto"/>
        <w:tabs>
          <w:tab w:leader="none" w:pos="20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Sales by Growing the Overall Consumer Lawn and Garden Market. Our strategy is to grow the overall consumer lawn and garden category and to capture substantially all of this growth. In recent years, we have increased consumer advertising, expanded our range of products while reducing our number of product listings (or SKUs), enhanced product packaging and emphasized multiple fertilizer applications to drive category growth. For example, in 2001, we introduced Turf Builder(R) Grass Seed, which, according to Triad Systems data, helped increase the category by 12% and increase our market share by 19%. Moreover, we believe that the lawn and garden market should experience growth due to favorable demographic trends. Based on industry sources, people between the ages of 45-64 are more likely to engage in gardening, and census data indicates this age group is the fastest growing segment of the U.S. population. Overall, gardening is the third most popular leisure activity in the U.S.</w:t>
      </w:r>
    </w:p>
    <w:p>
      <w:pPr>
        <w:spacing w:after="0" w:line="208" w:lineRule="exact"/>
        <w:rPr>
          <w:rFonts w:ascii="Courier New" w:cs="Courier New" w:eastAsia="Courier New" w:hAnsi="Courier New"/>
          <w:sz w:val="18"/>
          <w:szCs w:val="18"/>
          <w:color w:val="auto"/>
        </w:rPr>
      </w:pPr>
    </w:p>
    <w:p>
      <w:pPr>
        <w:ind w:left="205" w:right="1879" w:hanging="205"/>
        <w:spacing w:after="0" w:line="237" w:lineRule="auto"/>
        <w:tabs>
          <w:tab w:leader="none" w:pos="20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Pursue Attractive Growth Initiatives. We believe that the power of our portfolio of brands provides us with significant opportunities to extend our business to new products and channels. To further pursue these opportunities, we recently announced the creation of a new Business Development Group within North America. This group's focus is on extending our brands into adjacent consumer lawn and garden categories that are currently not characterized by branded, value-added products, and exploiting underdeveloped sales channels, such as grocery and drug stores. In addition, it will seek to improve our business with independent retailers through a combination of tailored programs and unique products or packaging.</w:t>
      </w:r>
    </w:p>
    <w:p>
      <w:pPr>
        <w:spacing w:after="0" w:line="215" w:lineRule="exact"/>
        <w:rPr>
          <w:rFonts w:ascii="Courier New" w:cs="Courier New" w:eastAsia="Courier New" w:hAnsi="Courier New"/>
          <w:sz w:val="18"/>
          <w:szCs w:val="18"/>
          <w:color w:val="auto"/>
        </w:rPr>
      </w:pPr>
    </w:p>
    <w:p>
      <w:pPr>
        <w:ind w:left="205" w:right="1879" w:hanging="205"/>
        <w:spacing w:after="0" w:line="270" w:lineRule="auto"/>
        <w:tabs>
          <w:tab w:leader="none" w:pos="20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 our Lawn Service Business. The number of lawn owners who want lawn care but do not want to do it themselves represents a significant portion of the total market. We have recognized that our Scotts(R) brand provides us with a unique ability to extend our brands into the lawn service business. We believe that the strength of our Scotts(R) brand provides us with a significant competitive advantage in acquiring new customers and have spent the past several years developing our business model to exploit this advantage. The business is now growing significantly, with sales of $45 million for the first nine months of fiscal 2002 (an 83% increase over the same period in the prior year). We expect to continue our aggressive growth strategy for the business to expand both sales and profits which, given the high margins enjoyed by this business, should enhance our overall profitability.</w:t>
      </w:r>
    </w:p>
    <w:p>
      <w:pPr>
        <w:spacing w:after="0" w:line="389" w:lineRule="exact"/>
        <w:rPr>
          <w:rFonts w:ascii="Courier New" w:cs="Courier New" w:eastAsia="Courier New" w:hAnsi="Courier New"/>
          <w:sz w:val="16"/>
          <w:szCs w:val="16"/>
          <w:color w:val="auto"/>
        </w:rPr>
      </w:pPr>
    </w:p>
    <w:p>
      <w:pPr>
        <w:ind w:left="205" w:right="1779" w:hanging="205"/>
        <w:spacing w:after="0" w:line="268" w:lineRule="auto"/>
        <w:tabs>
          <w:tab w:leader="none" w:pos="20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 Our Return on Invested Capital. Entering fiscal 2001, we began a company-wide initiative to improve our return on the capital invested in the business (or ROIC). We have enhanced, and expect to continue to enhance, our ROIC by significantly increasing the operating profitability of our business through supply chain cost reductions, tight control of selling, general and administrative costs and pursuit of higher-margin businesses such as our Scotts LawnService(R) business. We have also improved our ROIC through increased focus on managing our balance sheet, particularly working capital, which has increased operating cash flows</w:t>
      </w:r>
    </w:p>
    <w:p>
      <w:pPr>
        <w:ind w:left="205"/>
        <w:spacing w:after="0" w:line="235" w:lineRule="auto"/>
        <w:rPr>
          <w:sz w:val="20"/>
          <w:szCs w:val="20"/>
          <w:color w:val="auto"/>
        </w:rPr>
      </w:pPr>
      <w:r>
        <w:rPr>
          <w:rFonts w:ascii="Courier New" w:cs="Courier New" w:eastAsia="Courier New" w:hAnsi="Courier New"/>
          <w:sz w:val="18"/>
          <w:szCs w:val="18"/>
          <w:color w:val="auto"/>
        </w:rPr>
        <w:t>and reduced indebtedness.</w:t>
      </w:r>
    </w:p>
    <w:p>
      <w:pPr>
        <w:ind w:left="3685"/>
        <w:spacing w:after="0" w:line="238" w:lineRule="auto"/>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723"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ORIGINAL NOTES....... We issued and sold $70 million in principal amount of</w:t>
      </w:r>
    </w:p>
    <w:p>
      <w:pPr>
        <w:spacing w:after="0" w:line="21" w:lineRule="exact"/>
        <w:rPr>
          <w:sz w:val="20"/>
          <w:szCs w:val="20"/>
          <w:color w:val="auto"/>
        </w:rPr>
      </w:pPr>
    </w:p>
    <w:p>
      <w:pPr>
        <w:ind w:left="2740" w:right="1779"/>
        <w:spacing w:after="0" w:line="271" w:lineRule="auto"/>
        <w:rPr>
          <w:sz w:val="20"/>
          <w:szCs w:val="20"/>
          <w:color w:val="auto"/>
        </w:rPr>
      </w:pPr>
      <w:r>
        <w:rPr>
          <w:rFonts w:ascii="Courier New" w:cs="Courier New" w:eastAsia="Courier New" w:hAnsi="Courier New"/>
          <w:sz w:val="16"/>
          <w:szCs w:val="16"/>
          <w:color w:val="auto"/>
        </w:rPr>
        <w:t>our 8.625% Series A senior subordinated notes due 2009 to J.P. Morgan Securities, Inc.; Banc of America Securities LLC; First Union Securities, Inc.; ABN AMRO Incorporated and Credit Lyonnais Securities (USA) Inc. on February 6, 2002. These initial purchasers subsequently resold our Series A notes under Rule 144A and Regulation S under the Securities Act. The purchasers of our Series A notes agreed to comply with transfer restrictions and other conditions.</w:t>
      </w:r>
    </w:p>
    <w:p>
      <w:pPr>
        <w:spacing w:after="0" w:line="388"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The original notes are represented by three permanent, global notes which are registered in the name of a nominee of The Depository Trust Company. Participants in the DTC system who have accounts with DTC hold interests in the global notes in book-entry form. Accordingly, ownership of beneficial interests in the original notes is limited to DTC participants or person who hold their interests through DTC participants.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 We are offering to exchange up to $70 million in</w:t>
      </w:r>
    </w:p>
    <w:p>
      <w:pPr>
        <w:spacing w:after="0" w:line="4"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principal amount of our exchange notes which have been registered under the Securities Act for a like amount of our outstanding original notes that are properly tendered and accepted.</w:t>
      </w:r>
    </w:p>
    <w:p>
      <w:pPr>
        <w:spacing w:after="0" w:line="207"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You may tender outstanding original notes only in denominations of $1,000 and multiples of $1,000. We will issue the exchange notes on or promptly after the exchange offer expires.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This exchange offer will expire at 5:00 p.m., New York</w:t>
      </w:r>
    </w:p>
    <w:p>
      <w:pPr>
        <w:spacing w:after="0" w:line="21" w:lineRule="exact"/>
        <w:rPr>
          <w:sz w:val="20"/>
          <w:szCs w:val="20"/>
          <w:color w:val="auto"/>
        </w:rPr>
      </w:pPr>
    </w:p>
    <w:p>
      <w:pPr>
        <w:ind w:left="2740" w:right="1779"/>
        <w:spacing w:after="0" w:line="236" w:lineRule="auto"/>
        <w:rPr>
          <w:sz w:val="20"/>
          <w:szCs w:val="20"/>
          <w:color w:val="auto"/>
        </w:rPr>
      </w:pPr>
      <w:r>
        <w:rPr>
          <w:rFonts w:ascii="Courier New" w:cs="Courier New" w:eastAsia="Courier New" w:hAnsi="Courier New"/>
          <w:sz w:val="18"/>
          <w:szCs w:val="18"/>
          <w:color w:val="auto"/>
        </w:rPr>
        <w:t>City time, on October 28, 2002, unless extended, in which case the expiration date will be the latest date and time to which we extend 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w:t>
      </w:r>
    </w:p>
    <w:p>
      <w:pPr>
        <w:spacing w:after="0" w:line="238" w:lineRule="auto"/>
        <w:rPr>
          <w:sz w:val="20"/>
          <w:szCs w:val="20"/>
          <w:color w:val="auto"/>
        </w:rPr>
      </w:pPr>
      <w:r>
        <w:rPr>
          <w:rFonts w:ascii="Courier New" w:cs="Courier New" w:eastAsia="Courier New" w:hAnsi="Courier New"/>
          <w:sz w:val="18"/>
          <w:szCs w:val="18"/>
          <w:color w:val="auto"/>
        </w:rPr>
        <w:t>EXCHANGE OFFER........... The exchange offer is not subject to any condition</w:t>
      </w:r>
    </w:p>
    <w:p>
      <w:pPr>
        <w:spacing w:after="0" w:line="5" w:lineRule="exact"/>
        <w:rPr>
          <w:sz w:val="20"/>
          <w:szCs w:val="20"/>
          <w:color w:val="auto"/>
        </w:rPr>
      </w:pPr>
    </w:p>
    <w:p>
      <w:pPr>
        <w:ind w:left="2740" w:right="1779"/>
        <w:spacing w:after="0" w:line="275" w:lineRule="auto"/>
        <w:rPr>
          <w:sz w:val="20"/>
          <w:szCs w:val="20"/>
          <w:color w:val="auto"/>
        </w:rPr>
      </w:pPr>
      <w:r>
        <w:rPr>
          <w:rFonts w:ascii="Courier New" w:cs="Courier New" w:eastAsia="Courier New" w:hAnsi="Courier New"/>
          <w:sz w:val="16"/>
          <w:szCs w:val="16"/>
          <w:color w:val="auto"/>
        </w:rPr>
        <w:t>other than it will not violate applicable law or any applicable interpretation of the staff of the SEC. The exchange offer is not conditioned upon the tender of any minimum principal amount of original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38" w:lineRule="auto"/>
        <w:rPr>
          <w:sz w:val="20"/>
          <w:szCs w:val="20"/>
          <w:color w:val="auto"/>
        </w:rPr>
      </w:pPr>
      <w:r>
        <w:rPr>
          <w:rFonts w:ascii="Courier New" w:cs="Courier New" w:eastAsia="Courier New" w:hAnsi="Courier New"/>
          <w:sz w:val="18"/>
          <w:szCs w:val="18"/>
          <w:color w:val="auto"/>
        </w:rPr>
        <w:t>NOTES.................... If you want to accept the exchange offer, you must</w:t>
      </w:r>
    </w:p>
    <w:p>
      <w:pPr>
        <w:spacing w:after="0" w:line="5" w:lineRule="exact"/>
        <w:rPr>
          <w:sz w:val="20"/>
          <w:szCs w:val="20"/>
          <w:color w:val="auto"/>
        </w:rPr>
      </w:pPr>
    </w:p>
    <w:p>
      <w:pPr>
        <w:ind w:left="2740" w:right="1999"/>
        <w:spacing w:after="0" w:line="236" w:lineRule="auto"/>
        <w:rPr>
          <w:sz w:val="20"/>
          <w:szCs w:val="20"/>
          <w:color w:val="auto"/>
        </w:rPr>
      </w:pPr>
      <w:r>
        <w:rPr>
          <w:rFonts w:ascii="Courier New" w:cs="Courier New" w:eastAsia="Courier New" w:hAnsi="Courier New"/>
          <w:sz w:val="18"/>
          <w:szCs w:val="18"/>
          <w:color w:val="auto"/>
        </w:rPr>
        <w:t>transmit to State Street Bank and Trust Company, the exchange agent, on or before the expiration date, either</w:t>
      </w:r>
    </w:p>
    <w:p>
      <w:pPr>
        <w:spacing w:after="0" w:line="209" w:lineRule="exact"/>
        <w:rPr>
          <w:sz w:val="20"/>
          <w:szCs w:val="20"/>
          <w:color w:val="auto"/>
        </w:rPr>
      </w:pPr>
    </w:p>
    <w:p>
      <w:pPr>
        <w:ind w:left="2740" w:right="1779" w:firstLine="7"/>
        <w:spacing w:after="0" w:line="272" w:lineRule="auto"/>
        <w:tabs>
          <w:tab w:leader="none" w:pos="295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computer generated message transmitted through The Depository Trust Company's Automated Tender Offer Program system and received by the exchange agent and forming a part of a confirmation of book-entry transfer in which you acknowledge and agree to be bound by the terms of the letter of transmittal; or</w:t>
      </w:r>
    </w:p>
    <w:p>
      <w:pPr>
        <w:spacing w:after="0" w:line="185" w:lineRule="exact"/>
        <w:rPr>
          <w:rFonts w:ascii="Courier New" w:cs="Courier New" w:eastAsia="Courier New" w:hAnsi="Courier New"/>
          <w:sz w:val="16"/>
          <w:szCs w:val="16"/>
          <w:color w:val="auto"/>
        </w:rPr>
      </w:pPr>
    </w:p>
    <w:p>
      <w:pPr>
        <w:ind w:left="2740" w:right="1879" w:firstLine="7"/>
        <w:spacing w:after="0" w:line="237" w:lineRule="auto"/>
        <w:tabs>
          <w:tab w:leader="none" w:pos="295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properly completed and duly executed letter of transmittal, which accompanies this prospectus, or a facsimile of the letter of transmittal, together with your original notes and any other required documentation, to the exchange agent at the address listed in this prospectus and on the front cover of the letter of transmittal.</w:t>
      </w:r>
    </w:p>
    <w:p>
      <w:pPr>
        <w:spacing w:after="0" w:line="211"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If you cannot satisfy either of these procedures on a timely basis, then you should comply with the guaranteed delivery procedures described below. By executing the letter of transmittal, you will make the representations to us described in the section entitled "The exchange offer -- Procedures for tendering."</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362"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SPECIAL PROCEDURES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 If you are a beneficial owner whose original notes are</w:t>
      </w:r>
    </w:p>
    <w:p>
      <w:pPr>
        <w:spacing w:after="0" w:line="21" w:lineRule="exact"/>
        <w:rPr>
          <w:sz w:val="20"/>
          <w:szCs w:val="20"/>
          <w:color w:val="auto"/>
        </w:rPr>
      </w:pPr>
    </w:p>
    <w:p>
      <w:pPr>
        <w:ind w:left="2740" w:right="1779"/>
        <w:spacing w:after="0" w:line="238" w:lineRule="auto"/>
        <w:rPr>
          <w:sz w:val="20"/>
          <w:szCs w:val="20"/>
          <w:color w:val="auto"/>
        </w:rPr>
      </w:pPr>
      <w:r>
        <w:rPr>
          <w:rFonts w:ascii="Courier New" w:cs="Courier New" w:eastAsia="Courier New" w:hAnsi="Courier New"/>
          <w:sz w:val="18"/>
          <w:szCs w:val="18"/>
          <w:color w:val="auto"/>
        </w:rPr>
        <w:t>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you must either (1) make appropriate arrangements to register ownership of the original notes in your name or (2) obtain a properly completed bond power from the registered holder, before completing and executing the letter of transmittal and delivering your original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w:t>
      </w:r>
    </w:p>
    <w:p>
      <w:pPr>
        <w:spacing w:after="0" w:line="238" w:lineRule="auto"/>
        <w:rPr>
          <w:sz w:val="20"/>
          <w:szCs w:val="20"/>
          <w:color w:val="auto"/>
        </w:rPr>
      </w:pPr>
      <w:r>
        <w:rPr>
          <w:rFonts w:ascii="Courier New" w:cs="Courier New" w:eastAsia="Courier New" w:hAnsi="Courier New"/>
          <w:sz w:val="18"/>
          <w:szCs w:val="18"/>
          <w:color w:val="auto"/>
        </w:rPr>
        <w:t>PROCEDURES............... If you want to tender your original notes and time</w:t>
      </w:r>
    </w:p>
    <w:p>
      <w:pPr>
        <w:spacing w:after="0" w:line="5"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will not permit the documents required by the letter of transmittal to reach the exchange agent before the expiration date, or the procedure for book-entry transfer cannot be completed on a timely basis, you must tender your original notes according to the guaranteed delivery procedures described in the section entitled "The exchange offer -- Guaranteed delivery procedures."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ACCEPTANCE OF ORIGINAL</w:t>
      </w:r>
    </w:p>
    <w:p>
      <w:pPr>
        <w:spacing w:after="0" w:line="238" w:lineRule="auto"/>
        <w:rPr>
          <w:sz w:val="20"/>
          <w:szCs w:val="20"/>
          <w:color w:val="auto"/>
        </w:rPr>
      </w:pPr>
      <w:r>
        <w:rPr>
          <w:rFonts w:ascii="Courier New" w:cs="Courier New" w:eastAsia="Courier New" w:hAnsi="Courier New"/>
          <w:sz w:val="18"/>
          <w:szCs w:val="18"/>
          <w:color w:val="auto"/>
        </w:rPr>
        <w:t>NOTES AND DELIVERY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NOTES........... Subject to the satisfaction or waiver of the condition</w:t>
      </w:r>
    </w:p>
    <w:p>
      <w:pPr>
        <w:spacing w:after="0" w:line="21" w:lineRule="exact"/>
        <w:rPr>
          <w:sz w:val="20"/>
          <w:szCs w:val="20"/>
          <w:color w:val="auto"/>
        </w:rPr>
      </w:pPr>
    </w:p>
    <w:p>
      <w:pPr>
        <w:ind w:left="2740" w:right="1779"/>
        <w:spacing w:after="0" w:line="275" w:lineRule="auto"/>
        <w:rPr>
          <w:sz w:val="20"/>
          <w:szCs w:val="20"/>
          <w:color w:val="auto"/>
        </w:rPr>
      </w:pPr>
      <w:r>
        <w:rPr>
          <w:rFonts w:ascii="Courier New" w:cs="Courier New" w:eastAsia="Courier New" w:hAnsi="Courier New"/>
          <w:sz w:val="16"/>
          <w:szCs w:val="16"/>
          <w:color w:val="auto"/>
        </w:rPr>
        <w:t>to the exchange offer, we will accept for exchange any and all original notes which are validly tendered in the exchange offer and not withdrawn before 5:00 p.m., New York City time, on the expiration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 You may withdraw the tender of your original notes at</w:t>
      </w:r>
    </w:p>
    <w:p>
      <w:pPr>
        <w:spacing w:after="0" w:line="21"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any time before 5:00 p.m., New York City time, on the expiration date, by complying with the procedures for withdrawal described in this prospectus in the section entitled "The exchange offer -- Withdrawal of tenders."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U.S. FEDERAL</w:t>
      </w:r>
    </w:p>
    <w:p>
      <w:pPr>
        <w:spacing w:after="0" w:line="238" w:lineRule="auto"/>
        <w:rPr>
          <w:sz w:val="20"/>
          <w:szCs w:val="20"/>
          <w:color w:val="auto"/>
        </w:rPr>
      </w:pPr>
      <w:r>
        <w:rPr>
          <w:rFonts w:ascii="Courier New" w:cs="Courier New" w:eastAsia="Courier New" w:hAnsi="Courier New"/>
          <w:sz w:val="18"/>
          <w:szCs w:val="18"/>
          <w:color w:val="auto"/>
        </w:rPr>
        <w:t>INCOME TAX</w:t>
      </w:r>
    </w:p>
    <w:p>
      <w:pPr>
        <w:spacing w:after="0"/>
        <w:rPr>
          <w:sz w:val="20"/>
          <w:szCs w:val="20"/>
          <w:color w:val="auto"/>
        </w:rPr>
      </w:pPr>
      <w:r>
        <w:rPr>
          <w:rFonts w:ascii="Courier New" w:cs="Courier New" w:eastAsia="Courier New" w:hAnsi="Courier New"/>
          <w:sz w:val="18"/>
          <w:szCs w:val="18"/>
          <w:color w:val="auto"/>
        </w:rPr>
        <w:t>CONSIDERATIONS........... The exchange of notes should not be a taxable event</w:t>
      </w:r>
    </w:p>
    <w:p>
      <w:pPr>
        <w:spacing w:after="0" w:line="3"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for U.S. federal income tax purposes. For a discussion of the material federal income tax consequences relating to the exchange of notes, see the section entitled "Material U.S. federal income tax considerations."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 State Street Bank and Trust Company, the trustee under</w:t>
      </w:r>
    </w:p>
    <w:p>
      <w:pPr>
        <w:spacing w:after="0" w:line="21" w:lineRule="exact"/>
        <w:rPr>
          <w:sz w:val="20"/>
          <w:szCs w:val="20"/>
          <w:color w:val="auto"/>
        </w:rPr>
      </w:pPr>
    </w:p>
    <w:p>
      <w:pPr>
        <w:ind w:left="2740" w:right="1999"/>
        <w:spacing w:after="0" w:line="235" w:lineRule="auto"/>
        <w:rPr>
          <w:sz w:val="20"/>
          <w:szCs w:val="20"/>
          <w:color w:val="auto"/>
        </w:rPr>
      </w:pPr>
      <w:r>
        <w:rPr>
          <w:rFonts w:ascii="Courier New" w:cs="Courier New" w:eastAsia="Courier New" w:hAnsi="Courier New"/>
          <w:sz w:val="18"/>
          <w:szCs w:val="18"/>
          <w:color w:val="auto"/>
        </w:rPr>
        <w:t>the indenture governing the notes, is serving as the exchange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FAILURE</w:t>
      </w:r>
    </w:p>
    <w:p>
      <w:pPr>
        <w:spacing w:after="0" w:line="238" w:lineRule="auto"/>
        <w:rPr>
          <w:sz w:val="20"/>
          <w:szCs w:val="20"/>
          <w:color w:val="auto"/>
        </w:rPr>
      </w:pPr>
      <w:r>
        <w:rPr>
          <w:rFonts w:ascii="Courier New" w:cs="Courier New" w:eastAsia="Courier New" w:hAnsi="Courier New"/>
          <w:sz w:val="18"/>
          <w:szCs w:val="18"/>
          <w:color w:val="auto"/>
        </w:rPr>
        <w:t>TO EXCHANGE ORIGINAL</w:t>
      </w:r>
    </w:p>
    <w:p>
      <w:pPr>
        <w:spacing w:after="0"/>
        <w:rPr>
          <w:sz w:val="20"/>
          <w:szCs w:val="20"/>
          <w:color w:val="auto"/>
        </w:rPr>
      </w:pPr>
      <w:r>
        <w:rPr>
          <w:rFonts w:ascii="Courier New" w:cs="Courier New" w:eastAsia="Courier New" w:hAnsi="Courier New"/>
          <w:sz w:val="18"/>
          <w:szCs w:val="18"/>
          <w:color w:val="auto"/>
        </w:rPr>
        <w:t>NOTES.................... If you do not exchange your original notes for</w:t>
      </w:r>
    </w:p>
    <w:p>
      <w:pPr>
        <w:spacing w:after="0" w:line="3" w:lineRule="exact"/>
        <w:rPr>
          <w:sz w:val="20"/>
          <w:szCs w:val="20"/>
          <w:color w:val="auto"/>
        </w:rPr>
      </w:pPr>
    </w:p>
    <w:p>
      <w:pPr>
        <w:ind w:left="2740" w:right="1779"/>
        <w:spacing w:after="0" w:line="238" w:lineRule="auto"/>
        <w:rPr>
          <w:sz w:val="20"/>
          <w:szCs w:val="20"/>
          <w:color w:val="auto"/>
        </w:rPr>
      </w:pPr>
      <w:r>
        <w:rPr>
          <w:rFonts w:ascii="Courier New" w:cs="Courier New" w:eastAsia="Courier New" w:hAnsi="Courier New"/>
          <w:sz w:val="18"/>
          <w:szCs w:val="18"/>
          <w:color w:val="auto"/>
        </w:rPr>
        <w:t>exchange notes, you will continue to be subject to the restrictions on transfer provided in the original notes and in the indenture governing the original notes. In general, the original notes may not be offered or sold, unless registered under the Securities Act, except pursuant to an exemption from, or in a transaction not subject to, the Securities Act and applicable state securities laws. We do not currently plan to register the original notes under the Securities Act. See "Risk factors -- If you do not exchange your original notes pursuant to this exchange offer, you may never be able to sell your original notes."</w:t>
      </w: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REGISTRATION RIGHTS</w:t>
      </w:r>
    </w:p>
    <w:p>
      <w:pPr>
        <w:spacing w:after="0" w:line="238" w:lineRule="auto"/>
        <w:rPr>
          <w:sz w:val="20"/>
          <w:szCs w:val="20"/>
          <w:color w:val="auto"/>
        </w:rPr>
      </w:pPr>
      <w:r>
        <w:rPr>
          <w:rFonts w:ascii="Courier New" w:cs="Courier New" w:eastAsia="Courier New" w:hAnsi="Courier New"/>
          <w:sz w:val="18"/>
          <w:szCs w:val="18"/>
          <w:color w:val="auto"/>
        </w:rPr>
        <w:t>AGREEMENT................ If you are a holder of original notes, you are</w:t>
      </w:r>
    </w:p>
    <w:p>
      <w:pPr>
        <w:spacing w:after="0" w:line="5"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entitled to exchange your original notes for exchange notes with substantially identical terms. The exchange offer satisfies this right. After the exchange offer is completed, you will no longer be entitled to any exchange or registration rights with respect to your original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EXPLAIN THE EXCHANGE OFFER IN GREATER DETAIL BEGINNING ON PAGE 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form and terms of the exchange notes are the same as the form and terms of the original notes, except that the exchange notes will be registered under the Securities Act and, therefore, will not be subject to the transfer restrictions, registration rights and provisions for an increase in interest rate applicable to the original notes. The exchange notes will evidence the same debt as the original notes. The indenture governing the exchange notes is the same indenture that governs our the exchange notes, and both series of notes will be entitled to the benefits of the indenture and treated as a single class of debt securities. The indenture also governs $330 million in principal amount of our 8.625% Series B senior subordinated notes due 2009 which are currently outstanding, which are identical to the exchange notes and which rank on a parity with the original notes and will rank on a parity with the exchange notes.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ISSUER...................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Scotts Company</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SECURITIES...............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$70</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million</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6"/>
              </w:rPr>
              <w:t>in principal amount of 8.625% Series B</w:t>
            </w:r>
          </w:p>
        </w:tc>
      </w:tr>
      <w:tr>
        <w:trPr>
          <w:trHeight w:val="203"/>
        </w:trPr>
        <w:tc>
          <w:tcPr>
            <w:tcW w:w="2700" w:type="dxa"/>
            <w:vAlign w:val="bottom"/>
          </w:tcPr>
          <w:p>
            <w:pPr>
              <w:spacing w:after="0"/>
              <w:rPr>
                <w:sz w:val="17"/>
                <w:szCs w:val="17"/>
                <w:color w:val="auto"/>
              </w:rPr>
            </w:pP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senior subordinated notes due 2009.</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MATURITY.................</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January 15,</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2009.</w:t>
            </w:r>
          </w:p>
        </w:tc>
      </w:tr>
    </w:tbl>
    <w:p>
      <w:pPr>
        <w:spacing w:after="0" w:line="207" w:lineRule="exact"/>
        <w:rPr>
          <w:sz w:val="20"/>
          <w:szCs w:val="20"/>
          <w:color w:val="auto"/>
        </w:rPr>
      </w:pPr>
    </w:p>
    <w:p>
      <w:pPr>
        <w:ind w:left="2740" w:right="2519" w:hanging="2738"/>
        <w:spacing w:after="0" w:line="235" w:lineRule="auto"/>
        <w:rPr>
          <w:sz w:val="20"/>
          <w:szCs w:val="20"/>
          <w:color w:val="auto"/>
        </w:rPr>
      </w:pPr>
      <w:r>
        <w:rPr>
          <w:rFonts w:ascii="Courier New" w:cs="Courier New" w:eastAsia="Courier New" w:hAnsi="Courier New"/>
          <w:sz w:val="18"/>
          <w:szCs w:val="18"/>
          <w:color w:val="auto"/>
        </w:rPr>
        <w:t>INTEREST PAYMENT DATES... January 15 and July 15 of each year, commencing January 15,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GUARANTORS.... Each subsidiary guarantor is a wholly-owned domestic</w:t>
      </w:r>
    </w:p>
    <w:p>
      <w:pPr>
        <w:spacing w:after="0" w:line="4"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subsidiary of Scotts. In the future, our non-wholly owned, restricted domestic subsidiaries that are significant subsidiaries and that guarantee other indebtedness will be required to guarantee the notes. Our foreign subsidiaries are not subsidiary guarantors of the notes. If we cannot make payments on the notes when they are due, the subsidiary guarantors must make them instead.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 The notes and the subsidiary guarantees are senior</w:t>
      </w:r>
    </w:p>
    <w:p>
      <w:pPr>
        <w:spacing w:after="0" w:line="4" w:lineRule="exact"/>
        <w:rPr>
          <w:sz w:val="20"/>
          <w:szCs w:val="20"/>
          <w:color w:val="auto"/>
        </w:rPr>
      </w:pPr>
    </w:p>
    <w:p>
      <w:pPr>
        <w:ind w:left="2740" w:right="1879"/>
        <w:spacing w:after="0" w:line="273" w:lineRule="auto"/>
        <w:rPr>
          <w:sz w:val="20"/>
          <w:szCs w:val="20"/>
          <w:color w:val="auto"/>
        </w:rPr>
      </w:pPr>
      <w:r>
        <w:rPr>
          <w:rFonts w:ascii="Courier New" w:cs="Courier New" w:eastAsia="Courier New" w:hAnsi="Courier New"/>
          <w:sz w:val="16"/>
          <w:szCs w:val="16"/>
          <w:color w:val="auto"/>
        </w:rPr>
        <w:t>subordinated obligations. They rank behind all of our and our subsidiary guarantors' current and future indebtedness (other than trade payables), except indebtedness that expressly provides that it is not senior to the notes and the subsidiary guarantees.</w:t>
      </w:r>
    </w:p>
    <w:p>
      <w:pPr>
        <w:spacing w:after="0" w:line="185" w:lineRule="exact"/>
        <w:rPr>
          <w:sz w:val="20"/>
          <w:szCs w:val="20"/>
          <w:color w:val="auto"/>
        </w:rPr>
      </w:pPr>
    </w:p>
    <w:p>
      <w:pPr>
        <w:jc w:val="both"/>
        <w:ind w:left="2740" w:right="2319"/>
        <w:spacing w:after="0" w:line="236" w:lineRule="auto"/>
        <w:rPr>
          <w:sz w:val="20"/>
          <w:szCs w:val="20"/>
          <w:color w:val="auto"/>
        </w:rPr>
      </w:pPr>
      <w:r>
        <w:rPr>
          <w:rFonts w:ascii="Courier New" w:cs="Courier New" w:eastAsia="Courier New" w:hAnsi="Courier New"/>
          <w:sz w:val="18"/>
          <w:szCs w:val="18"/>
          <w:color w:val="auto"/>
        </w:rPr>
        <w:t>As of June 29, 2002, the notes and the subsidiary guarantees were subordinated to $383.7 million of senior debt.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ind w:left="2740" w:right="1779"/>
        <w:spacing w:after="0" w:line="237" w:lineRule="auto"/>
        <w:rPr>
          <w:sz w:val="20"/>
          <w:szCs w:val="20"/>
          <w:color w:val="auto"/>
        </w:rPr>
      </w:pPr>
      <w:r>
        <w:rPr>
          <w:rFonts w:ascii="Courier New" w:cs="Courier New" w:eastAsia="Courier New" w:hAnsi="Courier New"/>
          <w:sz w:val="18"/>
          <w:szCs w:val="18"/>
          <w:color w:val="auto"/>
        </w:rPr>
        <w:t>In addition, the subsidiary guarantees were structurally subordinated to $203.9 million of current operating liabilities of the non-guarantor subsidiaries as of June 29,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On or after January 15, 2004, we may redeem some or</w:t>
      </w:r>
    </w:p>
    <w:p>
      <w:pPr>
        <w:spacing w:after="0" w:line="4" w:lineRule="exact"/>
        <w:rPr>
          <w:sz w:val="20"/>
          <w:szCs w:val="20"/>
          <w:color w:val="auto"/>
        </w:rPr>
      </w:pPr>
    </w:p>
    <w:p>
      <w:pPr>
        <w:ind w:left="2740" w:right="1779"/>
        <w:spacing w:after="0" w:line="236" w:lineRule="auto"/>
        <w:rPr>
          <w:sz w:val="20"/>
          <w:szCs w:val="20"/>
          <w:color w:val="auto"/>
        </w:rPr>
      </w:pPr>
      <w:r>
        <w:rPr>
          <w:rFonts w:ascii="Courier New" w:cs="Courier New" w:eastAsia="Courier New" w:hAnsi="Courier New"/>
          <w:sz w:val="18"/>
          <w:szCs w:val="18"/>
          <w:color w:val="auto"/>
        </w:rPr>
        <w:t>all of the notes at any time at the redemption prices listed in the "Description of notes" section under the heading "Optional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MANDATORY OFFER TO</w:t>
      </w:r>
    </w:p>
    <w:p>
      <w:pPr>
        <w:spacing w:after="0" w:line="238" w:lineRule="auto"/>
        <w:rPr>
          <w:sz w:val="20"/>
          <w:szCs w:val="20"/>
          <w:color w:val="auto"/>
        </w:rPr>
      </w:pPr>
      <w:r>
        <w:rPr>
          <w:rFonts w:ascii="Courier New" w:cs="Courier New" w:eastAsia="Courier New" w:hAnsi="Courier New"/>
          <w:sz w:val="18"/>
          <w:szCs w:val="18"/>
          <w:color w:val="auto"/>
        </w:rPr>
        <w:t>REPURCHASE............... If we sell certain assets or experience specified</w:t>
      </w:r>
    </w:p>
    <w:p>
      <w:pPr>
        <w:ind w:left="2740"/>
        <w:spacing w:after="0"/>
        <w:rPr>
          <w:sz w:val="20"/>
          <w:szCs w:val="20"/>
          <w:color w:val="auto"/>
        </w:rPr>
      </w:pPr>
      <w:r>
        <w:rPr>
          <w:rFonts w:ascii="Courier New" w:cs="Courier New" w:eastAsia="Courier New" w:hAnsi="Courier New"/>
          <w:sz w:val="18"/>
          <w:szCs w:val="18"/>
          <w:color w:val="auto"/>
        </w:rPr>
        <w:t>kinds of changes of control, we must offer to</w:t>
      </w:r>
    </w:p>
    <w:p>
      <w:pPr>
        <w:ind w:left="2740"/>
        <w:spacing w:after="0" w:line="237" w:lineRule="auto"/>
        <w:rPr>
          <w:sz w:val="20"/>
          <w:szCs w:val="20"/>
          <w:color w:val="auto"/>
        </w:rPr>
      </w:pPr>
      <w:r>
        <w:rPr>
          <w:rFonts w:ascii="Courier New" w:cs="Courier New" w:eastAsia="Courier New" w:hAnsi="Courier New"/>
          <w:sz w:val="18"/>
          <w:szCs w:val="18"/>
          <w:color w:val="auto"/>
        </w:rPr>
        <w:t>repurchase the notes at the prices listed in the</w:t>
      </w:r>
    </w:p>
    <w:p>
      <w:pPr>
        <w:ind w:left="2740"/>
        <w:spacing w:after="0" w:line="238" w:lineRule="auto"/>
        <w:rPr>
          <w:sz w:val="20"/>
          <w:szCs w:val="20"/>
          <w:color w:val="auto"/>
        </w:rPr>
      </w:pPr>
      <w:r>
        <w:rPr>
          <w:rFonts w:ascii="Courier New" w:cs="Courier New" w:eastAsia="Courier New" w:hAnsi="Courier New"/>
          <w:sz w:val="18"/>
          <w:szCs w:val="18"/>
          <w:color w:val="auto"/>
        </w:rPr>
        <w:t>"Description of notes" section under the heading</w:t>
      </w:r>
    </w:p>
    <w:p>
      <w:pPr>
        <w:ind w:left="2740"/>
        <w:spacing w:after="0"/>
        <w:rPr>
          <w:sz w:val="20"/>
          <w:szCs w:val="20"/>
          <w:color w:val="auto"/>
        </w:rPr>
      </w:pPr>
      <w:r>
        <w:rPr>
          <w:rFonts w:ascii="Courier New" w:cs="Courier New" w:eastAsia="Courier New" w:hAnsi="Courier New"/>
          <w:sz w:val="18"/>
          <w:szCs w:val="18"/>
          <w:color w:val="auto"/>
        </w:rPr>
        <w:t>"Repurchase at the option of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COVENANTS.......... The indenture governing the exchange notes contains</w:t>
      </w:r>
    </w:p>
    <w:p>
      <w:pPr>
        <w:spacing w:after="0" w:line="4" w:lineRule="exact"/>
        <w:rPr>
          <w:sz w:val="20"/>
          <w:szCs w:val="20"/>
          <w:color w:val="auto"/>
        </w:rPr>
      </w:pPr>
    </w:p>
    <w:p>
      <w:pPr>
        <w:ind w:left="2740" w:right="1779"/>
        <w:spacing w:after="0" w:line="235" w:lineRule="auto"/>
        <w:rPr>
          <w:sz w:val="20"/>
          <w:szCs w:val="20"/>
          <w:color w:val="auto"/>
        </w:rPr>
      </w:pPr>
      <w:r>
        <w:rPr>
          <w:rFonts w:ascii="Courier New" w:cs="Courier New" w:eastAsia="Courier New" w:hAnsi="Courier New"/>
          <w:sz w:val="18"/>
          <w:szCs w:val="18"/>
          <w:color w:val="auto"/>
        </w:rPr>
        <w:t>covenants that restrict our ability and the ability of our subsidiaries to:</w:t>
      </w:r>
    </w:p>
    <w:p>
      <w:pPr>
        <w:spacing w:after="0" w:line="203" w:lineRule="exact"/>
        <w:rPr>
          <w:sz w:val="20"/>
          <w:szCs w:val="20"/>
          <w:color w:val="auto"/>
        </w:rPr>
      </w:pPr>
    </w:p>
    <w:p>
      <w:pPr>
        <w:ind w:left="2960" w:hanging="213"/>
        <w:spacing w:after="0"/>
        <w:tabs>
          <w:tab w:leader="none" w:pos="2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 money;</w:t>
      </w:r>
    </w:p>
    <w:p>
      <w:pPr>
        <w:spacing w:after="0" w:line="201" w:lineRule="exact"/>
        <w:rPr>
          <w:rFonts w:ascii="Courier New" w:cs="Courier New" w:eastAsia="Courier New" w:hAnsi="Courier New"/>
          <w:sz w:val="18"/>
          <w:szCs w:val="18"/>
          <w:color w:val="auto"/>
        </w:rPr>
      </w:pPr>
    </w:p>
    <w:p>
      <w:pPr>
        <w:ind w:left="2960" w:hanging="213"/>
        <w:spacing w:after="0"/>
        <w:tabs>
          <w:tab w:leader="none" w:pos="2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on stock or purchase stock;</w:t>
      </w:r>
    </w:p>
    <w:p>
      <w:pPr>
        <w:spacing w:after="0" w:line="201" w:lineRule="exact"/>
        <w:rPr>
          <w:rFonts w:ascii="Courier New" w:cs="Courier New" w:eastAsia="Courier New" w:hAnsi="Courier New"/>
          <w:sz w:val="18"/>
          <w:szCs w:val="18"/>
          <w:color w:val="auto"/>
        </w:rPr>
      </w:pPr>
    </w:p>
    <w:p>
      <w:pPr>
        <w:ind w:left="2960" w:hanging="213"/>
        <w:spacing w:after="0"/>
        <w:tabs>
          <w:tab w:leader="none" w:pos="2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w:t>
      </w:r>
    </w:p>
    <w:p>
      <w:pPr>
        <w:spacing w:after="0" w:line="201" w:lineRule="exact"/>
        <w:rPr>
          <w:rFonts w:ascii="Courier New" w:cs="Courier New" w:eastAsia="Courier New" w:hAnsi="Courier New"/>
          <w:sz w:val="18"/>
          <w:szCs w:val="18"/>
          <w:color w:val="auto"/>
        </w:rPr>
      </w:pPr>
    </w:p>
    <w:p>
      <w:pPr>
        <w:ind w:left="2960" w:hanging="213"/>
        <w:spacing w:after="0"/>
        <w:tabs>
          <w:tab w:leader="none" w:pos="2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assets as security in other transactions; and</w:t>
      </w:r>
    </w:p>
    <w:p>
      <w:pPr>
        <w:spacing w:after="0" w:line="206" w:lineRule="exact"/>
        <w:rPr>
          <w:rFonts w:ascii="Courier New" w:cs="Courier New" w:eastAsia="Courier New" w:hAnsi="Courier New"/>
          <w:sz w:val="18"/>
          <w:szCs w:val="18"/>
          <w:color w:val="auto"/>
        </w:rPr>
      </w:pPr>
    </w:p>
    <w:p>
      <w:pPr>
        <w:ind w:left="2960" w:right="2319" w:hanging="213"/>
        <w:spacing w:after="0" w:line="235" w:lineRule="auto"/>
        <w:tabs>
          <w:tab w:leader="none" w:pos="2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certain assets or merge with or into other companies.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 more details, see the "Description of notes"</w:t>
      </w:r>
    </w:p>
    <w:p>
      <w:pPr>
        <w:ind w:left="2740"/>
        <w:spacing w:after="0" w:line="238" w:lineRule="auto"/>
        <w:rPr>
          <w:sz w:val="20"/>
          <w:szCs w:val="20"/>
          <w:color w:val="auto"/>
        </w:rPr>
      </w:pPr>
      <w:r>
        <w:rPr>
          <w:rFonts w:ascii="Courier New" w:cs="Courier New" w:eastAsia="Courier New" w:hAnsi="Courier New"/>
          <w:sz w:val="18"/>
          <w:szCs w:val="18"/>
          <w:color w:val="auto"/>
        </w:rPr>
        <w:t>section under the heading "Certain covenants."</w:t>
      </w:r>
    </w:p>
    <w:p>
      <w:pPr>
        <w:spacing w:after="0" w:line="207" w:lineRule="exact"/>
        <w:rPr>
          <w:sz w:val="20"/>
          <w:szCs w:val="20"/>
          <w:color w:val="auto"/>
        </w:rPr>
      </w:pPr>
    </w:p>
    <w:p>
      <w:pPr>
        <w:ind w:left="2740" w:right="1879" w:hanging="2738"/>
        <w:spacing w:after="0" w:line="270" w:lineRule="auto"/>
        <w:rPr>
          <w:sz w:val="20"/>
          <w:szCs w:val="20"/>
          <w:color w:val="auto"/>
        </w:rPr>
      </w:pPr>
      <w:r>
        <w:rPr>
          <w:rFonts w:ascii="Courier New" w:cs="Courier New" w:eastAsia="Courier New" w:hAnsi="Courier New"/>
          <w:sz w:val="16"/>
          <w:szCs w:val="16"/>
          <w:color w:val="auto"/>
        </w:rPr>
        <w:t>FORM OF EXCHANGE NOTES... The exchange notes will be represented by one or more permanent global certificates, in fully registered form, deposited with a custodian for, and registered in the name of a nominee of, The Depository Trust Company, as depositary. You will not receive exchange notes in certificated form unless one of the events described in the section entitled "Book-entry, settlement and clearance" occurs. Instead, beneficial interests in the exchange notes will be shown on, and transfers of these notes will be effected only through, records maintained in book-entry form by The Depository Trust Company and its participants.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 We will not receive any cash proceeds in the exchange</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In evaluating an investment in the notes, you should</w:t>
      </w:r>
    </w:p>
    <w:p>
      <w:pPr>
        <w:spacing w:after="0" w:line="4"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carefully consider, along with the other information set forth in, or incorporated by reference into, this prospectus, specific factors set forth under the section entitled "Risk factors" for risks involved with an investment in the notes.</w:t>
      </w: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SUMMARY CONSOLIDATED FINANCIAL DATA</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following summary consolidated operating and balance sheet data for, and as of the end of, each of the fiscal years in the three year period ended September 30, 2001, have been derived from our audited consolidated financial statements, and for, and as of the end of, each of the nine month periods ended June 30, 2001 and June 29, 2002, have been derived from our unaudited consolidated financial statements. The following other financial data have been derived from our audited and unaudited consolidated financial statements and accounting records for the respective periods. You should read the following information in conjunction with "Management's discussion and analysis of financial condition and results of operations," "Selected consolidated financial data" and our consolidated financial statements and related notes, which are included in, or incorporated by reference into, this prospectus.</w:t>
      </w:r>
    </w:p>
    <w:p>
      <w:pPr>
        <w:spacing w:after="0" w:line="385" w:lineRule="exact"/>
        <w:rPr>
          <w:sz w:val="20"/>
          <w:szCs w:val="20"/>
          <w:color w:val="auto"/>
        </w:rPr>
      </w:pPr>
    </w:p>
    <w:p>
      <w:pPr>
        <w:ind w:left="280" w:hanging="220"/>
        <w:spacing w:after="0"/>
        <w:tabs>
          <w:tab w:leader="none" w:pos="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NINE MONTHS ENDED YEAR ENDED SEPTEMBER 30, -------</w:t>
      </w:r>
    </w:p>
    <w:p>
      <w:pPr>
        <w:ind w:left="160"/>
        <w:spacing w:after="0"/>
        <w:rPr>
          <w:sz w:val="20"/>
          <w:szCs w:val="20"/>
          <w:color w:val="auto"/>
        </w:rPr>
      </w:pPr>
      <w:r>
        <w:rPr>
          <w:rFonts w:ascii="Courier New" w:cs="Courier New" w:eastAsia="Courier New" w:hAnsi="Courier New"/>
          <w:sz w:val="18"/>
          <w:szCs w:val="18"/>
          <w:color w:val="auto"/>
        </w:rPr>
        <w:t>------------------ ------------------------------ JUNE 30, JUNE 29, 1999</w:t>
      </w:r>
    </w:p>
    <w:p>
      <w:pPr>
        <w:ind w:left="60"/>
        <w:spacing w:after="0" w:line="237" w:lineRule="auto"/>
        <w:rPr>
          <w:sz w:val="20"/>
          <w:szCs w:val="20"/>
          <w:color w:val="auto"/>
        </w:rPr>
      </w:pPr>
      <w:r>
        <w:rPr>
          <w:rFonts w:ascii="Courier New" w:cs="Courier New" w:eastAsia="Courier New" w:hAnsi="Courier New"/>
          <w:sz w:val="18"/>
          <w:szCs w:val="18"/>
          <w:color w:val="auto"/>
        </w:rPr>
        <w:t>2000 2001 2001 2002 - ----------------------------------------------------</w:t>
      </w:r>
    </w:p>
    <w:p>
      <w:pPr>
        <w:ind w:left="220"/>
        <w:spacing w:after="0" w:line="238" w:lineRule="auto"/>
        <w:rPr>
          <w:sz w:val="20"/>
          <w:szCs w:val="20"/>
          <w:color w:val="auto"/>
        </w:rPr>
      </w:pPr>
      <w:r>
        <w:rPr>
          <w:rFonts w:ascii="Courier New" w:cs="Courier New" w:eastAsia="Courier New" w:hAnsi="Courier New"/>
          <w:sz w:val="18"/>
          <w:szCs w:val="18"/>
          <w:color w:val="auto"/>
        </w:rPr>
        <w:t>------------------------------------------- (UNAUDITED) (UNAUDITED) (IN</w:t>
      </w:r>
    </w:p>
    <w:p>
      <w:pPr>
        <w:ind w:left="1220"/>
        <w:spacing w:after="0"/>
        <w:rPr>
          <w:sz w:val="20"/>
          <w:szCs w:val="20"/>
          <w:color w:val="auto"/>
        </w:rPr>
      </w:pPr>
      <w:r>
        <w:rPr>
          <w:rFonts w:ascii="Courier New" w:cs="Courier New" w:eastAsia="Courier New" w:hAnsi="Courier New"/>
          <w:sz w:val="18"/>
          <w:szCs w:val="18"/>
          <w:color w:val="auto"/>
        </w:rPr>
        <w:t>MILLIONS, EXCEPT PER SHARE DATA) OPERATING DATA: Net</w:t>
      </w:r>
    </w:p>
    <w:tbl>
      <w:tblPr>
        <w:tblLayout w:type="fixed"/>
        <w:tblInd w:w="60" w:type="dxa"/>
        <w:tblCellMar>
          <w:top w:w="0" w:type="dxa"/>
          <w:left w:w="0" w:type="dxa"/>
          <w:bottom w:w="0" w:type="dxa"/>
          <w:right w:w="0" w:type="dxa"/>
        </w:tblCellMar>
      </w:tblPr>
      <w:tr>
        <w:trPr>
          <w:trHeight w:val="202"/>
        </w:trPr>
        <w:tc>
          <w:tcPr>
            <w:tcW w:w="34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sales(1).......................</w:t>
            </w:r>
          </w:p>
        </w:tc>
        <w:tc>
          <w:tcPr>
            <w:tcW w:w="11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$1,550.6</w:t>
            </w:r>
          </w:p>
        </w:tc>
        <w:tc>
          <w:tcPr>
            <w:tcW w:w="9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$1,655.4</w:t>
            </w:r>
          </w:p>
        </w:tc>
        <w:tc>
          <w:tcPr>
            <w:tcW w:w="2260" w:type="dxa"/>
            <w:vAlign w:val="bottom"/>
            <w:gridSpan w:val="2"/>
          </w:tcPr>
          <w:p>
            <w:pPr>
              <w:jc w:val="right"/>
              <w:ind w:right="292"/>
              <w:spacing w:after="0" w:line="202" w:lineRule="exact"/>
              <w:rPr>
                <w:sz w:val="20"/>
                <w:szCs w:val="20"/>
                <w:color w:val="auto"/>
              </w:rPr>
            </w:pPr>
            <w:r>
              <w:rPr>
                <w:rFonts w:ascii="Courier New" w:cs="Courier New" w:eastAsia="Courier New" w:hAnsi="Courier New"/>
                <w:sz w:val="18"/>
                <w:szCs w:val="18"/>
                <w:color w:val="auto"/>
              </w:rPr>
              <w:t>$1,696.6 $1,459.1</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$1,457.3 Gross profit(1)....................</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563.3 603.0 597.2(2) 541.6(2)</w:t>
            </w:r>
          </w:p>
        </w:tc>
      </w:tr>
      <w:tr>
        <w:trPr>
          <w:trHeight w:val="203"/>
        </w:trPr>
        <w:tc>
          <w:tcPr>
            <w:tcW w:w="44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541.6(2) Roundup(R) marketing</w:t>
            </w:r>
          </w:p>
        </w:tc>
        <w:tc>
          <w:tcPr>
            <w:tcW w:w="3320" w:type="dxa"/>
            <w:vAlign w:val="bottom"/>
            <w:gridSpan w:val="5"/>
          </w:tcPr>
          <w:p>
            <w:pPr>
              <w:jc w:val="right"/>
              <w:ind w:right="1232"/>
              <w:spacing w:after="0" w:line="203" w:lineRule="exact"/>
              <w:rPr>
                <w:sz w:val="20"/>
                <w:szCs w:val="20"/>
                <w:color w:val="auto"/>
              </w:rPr>
            </w:pPr>
            <w:r>
              <w:rPr>
                <w:rFonts w:ascii="Courier New" w:cs="Courier New" w:eastAsia="Courier New" w:hAnsi="Courier New"/>
                <w:sz w:val="18"/>
                <w:szCs w:val="18"/>
                <w:color w:val="auto"/>
                <w:w w:val="96"/>
              </w:rPr>
              <w:t>agreement(3): Gross</w:t>
            </w:r>
          </w:p>
        </w:tc>
      </w:tr>
      <w:tr>
        <w:trPr>
          <w:trHeight w:val="203"/>
        </w:trPr>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commission.................</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30.3 39.2</w:t>
            </w:r>
          </w:p>
        </w:tc>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39.1</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30.8</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Contribution</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expenses(4).........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9.9</w:t>
            </w:r>
          </w:p>
        </w:tc>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18.3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17.5</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commission...................</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28.7 29.3</w:t>
            </w:r>
          </w:p>
        </w:tc>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20.8</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13.3</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Advertising(1)</w:t>
            </w:r>
          </w:p>
        </w:tc>
      </w:tr>
      <w:tr>
        <w:trPr>
          <w:trHeight w:val="203"/>
        </w:trPr>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5120" w:type="dxa"/>
            <w:vAlign w:val="bottom"/>
            <w:gridSpan w:val="8"/>
          </w:tcPr>
          <w:p>
            <w:pPr>
              <w:jc w:val="right"/>
              <w:ind w:right="292"/>
              <w:spacing w:after="0" w:line="203" w:lineRule="exact"/>
              <w:rPr>
                <w:sz w:val="20"/>
                <w:szCs w:val="20"/>
                <w:color w:val="auto"/>
              </w:rPr>
            </w:pPr>
            <w:r>
              <w:rPr>
                <w:rFonts w:ascii="Courier New" w:cs="Courier New" w:eastAsia="Courier New" w:hAnsi="Courier New"/>
                <w:sz w:val="18"/>
                <w:szCs w:val="18"/>
                <w:color w:val="auto"/>
                <w:w w:val="97"/>
              </w:rPr>
              <w:t>87.0 89.0 89.9 77.2 68.6 Selling, general and</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administrative(1)................</w:t>
            </w:r>
          </w:p>
        </w:tc>
        <w:tc>
          <w:tcPr>
            <w:tcW w:w="620" w:type="dxa"/>
            <w:vAlign w:val="bottom"/>
          </w:tcPr>
          <w:p>
            <w:pPr>
              <w:spacing w:after="0"/>
              <w:rPr>
                <w:sz w:val="17"/>
                <w:szCs w:val="17"/>
                <w:color w:val="auto"/>
              </w:rPr>
            </w:pPr>
          </w:p>
        </w:tc>
        <w:tc>
          <w:tcPr>
            <w:tcW w:w="1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285.5 312.0 324.1</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253.3 245.9</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Restructuring and other charges....</w:t>
            </w:r>
          </w:p>
        </w:tc>
        <w:tc>
          <w:tcPr>
            <w:tcW w:w="43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1.4 -- 68.4 15.1 1.8 Amortization of</w:t>
            </w:r>
          </w:p>
        </w:tc>
      </w:tr>
      <w:tr>
        <w:trPr>
          <w:trHeight w:val="203"/>
        </w:trPr>
        <w:tc>
          <w:tcPr>
            <w:tcW w:w="4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1"/>
              </w:rPr>
              <w:t>goodwill and other intangibles......................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25.6 27.1 27.7 21.1</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3.8 Other income, net..................</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(3.6) (6.0) (8.5) (8.6) (8.9)</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Income from operations.............</w:t>
            </w:r>
          </w:p>
        </w:tc>
        <w:tc>
          <w:tcPr>
            <w:tcW w:w="43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196.1 210.2 116.4 206.9 243.7 Interest</w:t>
            </w: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expense(6)................</w:t>
            </w:r>
          </w:p>
        </w:tc>
        <w:tc>
          <w:tcPr>
            <w:tcW w:w="5120" w:type="dxa"/>
            <w:vAlign w:val="bottom"/>
            <w:gridSpan w:val="8"/>
          </w:tcPr>
          <w:p>
            <w:pPr>
              <w:jc w:val="right"/>
              <w:ind w:right="12"/>
              <w:spacing w:after="0" w:line="203" w:lineRule="exact"/>
              <w:rPr>
                <w:sz w:val="20"/>
                <w:szCs w:val="20"/>
                <w:color w:val="auto"/>
              </w:rPr>
            </w:pPr>
            <w:r>
              <w:rPr>
                <w:rFonts w:ascii="Courier New" w:cs="Courier New" w:eastAsia="Courier New" w:hAnsi="Courier New"/>
                <w:sz w:val="18"/>
                <w:szCs w:val="18"/>
                <w:color w:val="auto"/>
              </w:rPr>
              <w:t>79.1 93.9 87.7 69.7 58.8 Income before income</w:t>
            </w: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116.3</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28.7</w:t>
            </w:r>
          </w:p>
        </w:tc>
        <w:tc>
          <w:tcPr>
            <w:tcW w:w="3200" w:type="dxa"/>
            <w:vAlign w:val="bottom"/>
            <w:gridSpan w:val="4"/>
          </w:tcPr>
          <w:p>
            <w:pPr>
              <w:jc w:val="right"/>
              <w:ind w:right="1172"/>
              <w:spacing w:after="0" w:line="203" w:lineRule="exact"/>
              <w:rPr>
                <w:sz w:val="20"/>
                <w:szCs w:val="20"/>
                <w:color w:val="auto"/>
              </w:rPr>
            </w:pPr>
            <w:r>
              <w:rPr>
                <w:rFonts w:ascii="Courier New" w:cs="Courier New" w:eastAsia="Courier New" w:hAnsi="Courier New"/>
                <w:sz w:val="18"/>
                <w:szCs w:val="18"/>
                <w:color w:val="auto"/>
                <w:w w:val="98"/>
              </w:rPr>
              <w:t>137.2 184.9 Income</w:t>
            </w:r>
          </w:p>
        </w:tc>
      </w:tr>
      <w:tr>
        <w:trPr>
          <w:trHeight w:val="203"/>
        </w:trPr>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47.9 43.2</w:t>
            </w:r>
          </w:p>
        </w:tc>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13.2</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71.2</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Income before</w:t>
            </w:r>
          </w:p>
        </w:tc>
      </w:tr>
      <w:tr>
        <w:trPr>
          <w:trHeight w:val="203"/>
        </w:trPr>
        <w:tc>
          <w:tcPr>
            <w:tcW w:w="46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78"/>
              </w:rPr>
              <w:t>cumulative effect of accounting change(7).............</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63.2 73.1 15.5 78.9</w:t>
            </w:r>
          </w:p>
        </w:tc>
      </w:tr>
    </w:tbl>
    <w:p>
      <w:pPr>
        <w:ind w:left="60"/>
        <w:spacing w:after="0" w:line="238" w:lineRule="auto"/>
        <w:rPr>
          <w:sz w:val="20"/>
          <w:szCs w:val="20"/>
          <w:color w:val="auto"/>
        </w:rPr>
      </w:pPr>
      <w:r>
        <w:rPr>
          <w:rFonts w:ascii="Courier New" w:cs="Courier New" w:eastAsia="Courier New" w:hAnsi="Courier New"/>
          <w:sz w:val="18"/>
          <w:szCs w:val="18"/>
          <w:color w:val="auto"/>
        </w:rPr>
        <w:t>113.7 Cumulative effect of accounting change for intangible assets, net of</w:t>
      </w:r>
    </w:p>
    <w:tbl>
      <w:tblPr>
        <w:tblLayout w:type="fixed"/>
        <w:tblInd w:w="220" w:type="dxa"/>
        <w:tblCellMar>
          <w:top w:w="0" w:type="dxa"/>
          <w:left w:w="0" w:type="dxa"/>
          <w:bottom w:w="0" w:type="dxa"/>
          <w:right w:w="0" w:type="dxa"/>
        </w:tblCellMar>
      </w:tblP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8"/>
              </w:rPr>
              <w:t>tax...........................</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 -- -- --</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(18.5) Net</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income(7)......................</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73.1 15.5 78.9</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95.2 Basic earnings</w:t>
            </w:r>
          </w:p>
        </w:tc>
      </w:tr>
      <w:tr>
        <w:trPr>
          <w:trHeight w:val="203"/>
        </w:trPr>
        <w:tc>
          <w:tcPr>
            <w:tcW w:w="2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 share(8)(9).....</w:t>
            </w:r>
          </w:p>
        </w:tc>
        <w:tc>
          <w:tcPr>
            <w:tcW w:w="74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w w:val="95"/>
              </w:rPr>
              <w:t>$ 2.93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$ 2.39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$ 0.55 $ 2.79</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$ 3.27(10) Diluted</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earnings per share(9)(11)</w:t>
            </w:r>
          </w:p>
        </w:tc>
        <w:tc>
          <w:tcPr>
            <w:tcW w:w="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w:t>
            </w:r>
          </w:p>
        </w:tc>
        <w:tc>
          <w:tcPr>
            <w:tcW w:w="3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2.08 2.25 0.51 2.61</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3.01(12) Common shares used</w:t>
            </w:r>
          </w:p>
        </w:tc>
        <w:tc>
          <w:tcPr>
            <w:tcW w:w="4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in basic earnings per share calculation...</w:t>
            </w:r>
          </w:p>
        </w:tc>
      </w:tr>
    </w:tbl>
    <w:p>
      <w:pPr>
        <w:ind w:left="60"/>
        <w:spacing w:after="0" w:line="238" w:lineRule="auto"/>
        <w:rPr>
          <w:sz w:val="20"/>
          <w:szCs w:val="20"/>
          <w:color w:val="auto"/>
        </w:rPr>
      </w:pPr>
      <w:r>
        <w:rPr>
          <w:rFonts w:ascii="Courier New" w:cs="Courier New" w:eastAsia="Courier New" w:hAnsi="Courier New"/>
          <w:sz w:val="18"/>
          <w:szCs w:val="18"/>
          <w:color w:val="auto"/>
        </w:rPr>
        <w:t>18.3 27.9 28.4 28.3 29.1 Common shares and potential common shares used in</w:t>
      </w:r>
    </w:p>
    <w:tbl>
      <w:tblPr>
        <w:tblLayout w:type="fixed"/>
        <w:tblInd w:w="0" w:type="dxa"/>
        <w:tblCellMar>
          <w:top w:w="0" w:type="dxa"/>
          <w:left w:w="0" w:type="dxa"/>
          <w:bottom w:w="0" w:type="dxa"/>
          <w:right w:w="0" w:type="dxa"/>
        </w:tblCellMar>
      </w:tblPr>
      <w:tr>
        <w:trPr>
          <w:trHeight w:val="203"/>
        </w:trPr>
        <w:tc>
          <w:tcPr>
            <w:tcW w:w="5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8"/>
              </w:rPr>
              <w:t>diluted earnings per share calculation............</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30.5 29.6 30.4</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30.3</w:t>
            </w:r>
          </w:p>
        </w:tc>
        <w:tc>
          <w:tcPr>
            <w:tcW w:w="220" w:type="dxa"/>
            <w:vAlign w:val="bottom"/>
          </w:tcPr>
          <w:p>
            <w:pPr>
              <w:spacing w:after="0"/>
              <w:rPr>
                <w:sz w:val="17"/>
                <w:szCs w:val="17"/>
                <w:color w:val="auto"/>
              </w:rPr>
            </w:pPr>
          </w:p>
        </w:tc>
      </w:tr>
      <w:tr>
        <w:trPr>
          <w:trHeight w:val="203"/>
        </w:trPr>
        <w:tc>
          <w:tcPr>
            <w:tcW w:w="5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31.6 OTHER FINANCIAL DATA: Adjusted EBITDA(13)................</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$ 253.7</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271.2 $ 255.7</w:t>
            </w:r>
          </w:p>
        </w:tc>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$ 270.9 $ 279.3 Depreciation.......................</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29.0</w:t>
            </w:r>
          </w:p>
        </w:tc>
        <w:tc>
          <w:tcPr>
            <w:tcW w:w="220" w:type="dxa"/>
            <w:vAlign w:val="bottom"/>
          </w:tcPr>
          <w:p>
            <w:pPr>
              <w:spacing w:after="0"/>
              <w:rPr>
                <w:sz w:val="17"/>
                <w:szCs w:val="17"/>
                <w:color w:val="auto"/>
              </w:rPr>
            </w:pPr>
          </w:p>
        </w:tc>
      </w:tr>
      <w:tr>
        <w:trPr>
          <w:trHeight w:val="203"/>
        </w:trPr>
        <w:tc>
          <w:tcPr>
            <w:tcW w:w="5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29.0 32.6 24.4 26.0 Capital expenditures...............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66.7 72.5</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63.4</w:t>
            </w:r>
          </w:p>
        </w:tc>
        <w:tc>
          <w:tcPr>
            <w:tcW w:w="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5440" w:type="dxa"/>
            <w:vAlign w:val="bottom"/>
            <w:gridSpan w:val="2"/>
          </w:tcPr>
          <w:p>
            <w:pPr>
              <w:jc w:val="center"/>
              <w:ind w:right="932"/>
              <w:spacing w:after="0" w:line="203" w:lineRule="exact"/>
              <w:rPr>
                <w:sz w:val="20"/>
                <w:szCs w:val="20"/>
                <w:color w:val="auto"/>
              </w:rPr>
            </w:pPr>
            <w:r>
              <w:rPr>
                <w:rFonts w:ascii="Courier New" w:cs="Courier New" w:eastAsia="Courier New" w:hAnsi="Courier New"/>
                <w:sz w:val="18"/>
                <w:szCs w:val="18"/>
                <w:color w:val="auto"/>
                <w:w w:val="97"/>
              </w:rPr>
              <w:t>36.2 33.9 BALANCE SHEET DATA: Working</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capital..................................................................</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90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$ 321.2 Total</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assets.....................................................................</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90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2,070.1 Total</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debt.......................................................................</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90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836.0 Total shareholders'</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equity.......................................................</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621.8</w:t>
            </w:r>
          </w:p>
        </w:tc>
        <w:tc>
          <w:tcPr>
            <w:tcW w:w="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 w:name="page12"/>
    <w:bookmarkEnd w:id="11"/>
    <w:p>
      <w:pPr>
        <w:ind w:right="177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2002, we adopted an accounting policy that requires that certain consideration from a vendor to a retailer be classified as a reduction in sales. Like many other companies, we have historically classified these as advertising and promotion costs. The information for all periods presented reflects this new method of presentation. The amounts reclassified for the fiscal years ended September 30, 1999, 2000 and 2001 and for the nine month period ended June 30,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are as follows: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YEAR ENDED SEPTEMBER 30, ----------------</w:t>
      </w:r>
    </w:p>
    <w:p>
      <w:pPr>
        <w:ind w:left="280" w:hanging="220"/>
        <w:spacing w:after="0" w:line="238" w:lineRule="auto"/>
        <w:tabs>
          <w:tab w:leader="none" w:pos="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JUNE 30, 1999 2000 2001 2001</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(UNAUDITED) Net</w:t>
      </w:r>
    </w:p>
    <w:p>
      <w:pPr>
        <w:jc w:val="center"/>
        <w:ind w:right="3879"/>
        <w:spacing w:after="0"/>
        <w:rPr>
          <w:sz w:val="20"/>
          <w:szCs w:val="20"/>
          <w:color w:val="auto"/>
        </w:rPr>
      </w:pPr>
      <w:r>
        <w:rPr>
          <w:rFonts w:ascii="Courier New" w:cs="Courier New" w:eastAsia="Courier New" w:hAnsi="Courier New"/>
          <w:sz w:val="18"/>
          <w:szCs w:val="18"/>
          <w:color w:val="auto"/>
        </w:rPr>
        <w:t>sales...................................................</w:t>
      </w:r>
    </w:p>
    <w:p>
      <w:pPr>
        <w:jc w:val="center"/>
        <w:ind w:right="3879"/>
        <w:spacing w:after="0" w:line="237" w:lineRule="auto"/>
        <w:rPr>
          <w:sz w:val="20"/>
          <w:szCs w:val="20"/>
          <w:color w:val="auto"/>
        </w:rPr>
      </w:pPr>
      <w:r>
        <w:rPr>
          <w:rFonts w:ascii="Courier New" w:cs="Courier New" w:eastAsia="Courier New" w:hAnsi="Courier New"/>
          <w:sz w:val="18"/>
          <w:szCs w:val="18"/>
          <w:color w:val="auto"/>
        </w:rPr>
        <w:t>$(51.9) $(53.6) $(51.1) $(40.3) Gross</w:t>
      </w:r>
    </w:p>
    <w:p>
      <w:pPr>
        <w:jc w:val="center"/>
        <w:ind w:right="3879"/>
        <w:spacing w:after="0" w:line="238" w:lineRule="auto"/>
        <w:rPr>
          <w:sz w:val="20"/>
          <w:szCs w:val="20"/>
          <w:color w:val="auto"/>
        </w:rPr>
      </w:pPr>
      <w:r>
        <w:rPr>
          <w:rFonts w:ascii="Courier New" w:cs="Courier New" w:eastAsia="Courier New" w:hAnsi="Courier New"/>
          <w:sz w:val="18"/>
          <w:szCs w:val="18"/>
          <w:color w:val="auto"/>
        </w:rPr>
        <w:t>profit................................................</w:t>
      </w:r>
    </w:p>
    <w:p>
      <w:pPr>
        <w:jc w:val="center"/>
        <w:ind w:right="3879"/>
        <w:spacing w:after="0"/>
        <w:rPr>
          <w:sz w:val="20"/>
          <w:szCs w:val="20"/>
          <w:color w:val="auto"/>
        </w:rPr>
      </w:pPr>
      <w:r>
        <w:rPr>
          <w:rFonts w:ascii="Courier New" w:cs="Courier New" w:eastAsia="Courier New" w:hAnsi="Courier New"/>
          <w:sz w:val="18"/>
          <w:szCs w:val="18"/>
          <w:color w:val="auto"/>
        </w:rPr>
        <w:t>(51.9) (55.5) (54.2) (42.8)</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Advertising.................................................</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(56.2) (64.8) (61.1) (50.6) Selling, general and</w:t>
      </w:r>
    </w:p>
    <w:p>
      <w:pPr>
        <w:jc w:val="center"/>
        <w:ind w:right="3879"/>
        <w:spacing w:after="0" w:line="238" w:lineRule="auto"/>
        <w:rPr>
          <w:sz w:val="20"/>
          <w:szCs w:val="20"/>
          <w:color w:val="auto"/>
        </w:rPr>
      </w:pPr>
      <w:r>
        <w:rPr>
          <w:rFonts w:ascii="Courier New" w:cs="Courier New" w:eastAsia="Courier New" w:hAnsi="Courier New"/>
          <w:sz w:val="18"/>
          <w:szCs w:val="18"/>
          <w:color w:val="auto"/>
        </w:rPr>
        <w:t>administrative......................... 4.3 9.3 6.9 7.8</w:t>
      </w:r>
    </w:p>
    <w:p>
      <w:pPr>
        <w:spacing w:after="0" w:line="200" w:lineRule="exact"/>
        <w:rPr>
          <w:sz w:val="20"/>
          <w:szCs w:val="20"/>
          <w:color w:val="auto"/>
        </w:rPr>
      </w:pPr>
    </w:p>
    <w:p>
      <w:pPr>
        <w:spacing w:after="0" w:line="210" w:lineRule="exact"/>
        <w:rPr>
          <w:sz w:val="20"/>
          <w:szCs w:val="20"/>
          <w:color w:val="auto"/>
        </w:rPr>
      </w:pPr>
    </w:p>
    <w:p>
      <w:pPr>
        <w:ind w:right="1879" w:firstLine="8"/>
        <w:spacing w:after="0" w:line="236"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$7.3 million of restructuring and other charges for the year ended September 30, 2001, $0.9 million for the nine months ended June 30, 2001 and $1.5 million for the nine months ended June 29, 2002.</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commissions received and contribution expenses paid under the marketing agreement with Monsanto relating to the marketing and distribution of consumer Roundup(R) products in the United States and other countries around the world. For more information, see "Business -- Roundup(R) Marketing Agreement" in our Form 10-K for the fiscal year ended September 30, 2001, which is incorporated by reference into this prospectus.</w:t>
      </w:r>
    </w:p>
    <w:p>
      <w:pPr>
        <w:spacing w:after="0" w:line="209" w:lineRule="exact"/>
        <w:rPr>
          <w:rFonts w:ascii="Courier New" w:cs="Courier New" w:eastAsia="Courier New" w:hAnsi="Courier New"/>
          <w:sz w:val="18"/>
          <w:szCs w:val="18"/>
          <w:color w:val="auto"/>
        </w:rPr>
      </w:pPr>
    </w:p>
    <w:p>
      <w:pPr>
        <w:ind w:right="1779" w:firstLine="8"/>
        <w:spacing w:after="0" w:line="275"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amortization expense associated with the amortization of the $32 million marketing fee under the Roundup(R) marketing agreement of $1.6 million, $4.9 million and $3.3 million for 1999, 2000 and 2001, respectively, and $2.5 million in each of the nine month periods ended June 30, 2001 and June 29, 2002.</w:t>
      </w:r>
    </w:p>
    <w:p>
      <w:pPr>
        <w:spacing w:after="0" w:line="182" w:lineRule="exact"/>
        <w:rPr>
          <w:rFonts w:ascii="Courier New" w:cs="Courier New" w:eastAsia="Courier New" w:hAnsi="Courier New"/>
          <w:sz w:val="16"/>
          <w:szCs w:val="16"/>
          <w:color w:val="auto"/>
        </w:rPr>
      </w:pPr>
    </w:p>
    <w:p>
      <w:pPr>
        <w:ind w:right="241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represents the cost of Scotts' external media campaign and related fees and expenses.</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of deferred financing costs, interest rate locks and debt discount.</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$5.9 million, net of income tax benefit, for fiscal 1999.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$0.32 per share for fiscal 1999.</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available to common shareholders and basic and diluted earnings per share would have been as follows if the accounting change for intangible assets adopted in the fiscal year beginning October 1, 2001, had been adopted as of October 1, 1998:</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YEAR ENDED SEPTEMBER 30, ----------</w:t>
      </w:r>
    </w:p>
    <w:p>
      <w:pPr>
        <w:ind w:left="120"/>
        <w:spacing w:after="0" w:line="238" w:lineRule="auto"/>
        <w:rPr>
          <w:sz w:val="20"/>
          <w:szCs w:val="20"/>
          <w:color w:val="auto"/>
        </w:rPr>
      </w:pPr>
      <w:r>
        <w:rPr>
          <w:rFonts w:ascii="Courier New" w:cs="Courier New" w:eastAsia="Courier New" w:hAnsi="Courier New"/>
          <w:sz w:val="18"/>
          <w:szCs w:val="18"/>
          <w:color w:val="auto"/>
        </w:rPr>
        <w:t>------- ------------------------- JUNE 30, 1999 2000</w:t>
      </w:r>
    </w:p>
    <w:tbl>
      <w:tblPr>
        <w:tblLayout w:type="fixed"/>
        <w:tblInd w:w="0" w:type="dxa"/>
        <w:tblCellMar>
          <w:top w:w="0" w:type="dxa"/>
          <w:left w:w="0" w:type="dxa"/>
          <w:bottom w:w="0" w:type="dxa"/>
          <w:right w:w="0" w:type="dxa"/>
        </w:tblCellMar>
      </w:tblP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2001 2001 ----- ----- -----</w:t>
            </w:r>
          </w:p>
        </w:tc>
        <w:tc>
          <w:tcPr>
            <w:tcW w:w="2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 (UNAUDITED)</w:t>
            </w: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Income available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common</w:t>
            </w: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shareholders.....................</w:t>
            </w:r>
          </w:p>
        </w:tc>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$68.5(7) $83.4</w:t>
            </w:r>
          </w:p>
        </w:tc>
      </w:tr>
      <w:tr>
        <w:trPr>
          <w:trHeight w:val="203"/>
        </w:trPr>
        <w:tc>
          <w:tcPr>
            <w:tcW w:w="25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$32.1</w:t>
            </w:r>
          </w:p>
        </w:tc>
        <w:tc>
          <w:tcPr>
            <w:tcW w:w="2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$91.2 Basic</w:t>
            </w:r>
          </w:p>
        </w:tc>
      </w:t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EPS...................................................</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$3.76(8) $2.98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$3.22 Diluted</w:t>
            </w:r>
          </w:p>
        </w:tc>
      </w:t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EPS.................................................</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2.57(11)</w:t>
            </w: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2.81 1.05</w:t>
            </w:r>
          </w:p>
        </w:tc>
        <w:tc>
          <w:tcPr>
            <w:tcW w:w="18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3.01</w:t>
            </w:r>
          </w:p>
        </w:tc>
      </w:tr>
    </w:tbl>
    <w:p>
      <w:pPr>
        <w:spacing w:after="0" w:line="200" w:lineRule="exact"/>
        <w:rPr>
          <w:sz w:val="20"/>
          <w:szCs w:val="20"/>
          <w:color w:val="auto"/>
        </w:rPr>
      </w:pPr>
    </w:p>
    <w:p>
      <w:pPr>
        <w:spacing w:after="0" w:line="209" w:lineRule="exact"/>
        <w:rPr>
          <w:sz w:val="20"/>
          <w:szCs w:val="20"/>
          <w:color w:val="auto"/>
        </w:rPr>
      </w:pPr>
    </w:p>
    <w:p>
      <w:pPr>
        <w:ind w:right="199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$(0.64) per share.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$0.19 per share for fiscal 1999.</w:t>
      </w:r>
    </w:p>
    <w:p>
      <w:pPr>
        <w:spacing w:after="0" w:line="206"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$(0.59) per share.</w:t>
      </w:r>
    </w:p>
    <w:p>
      <w:pPr>
        <w:spacing w:after="0" w:line="208" w:lineRule="exact"/>
        <w:rPr>
          <w:rFonts w:ascii="Courier New" w:cs="Courier New" w:eastAsia="Courier New" w:hAnsi="Courier New"/>
          <w:sz w:val="18"/>
          <w:szCs w:val="18"/>
          <w:color w:val="auto"/>
        </w:rPr>
      </w:pPr>
    </w:p>
    <w:p>
      <w:pPr>
        <w:ind w:right="1779" w:firstLine="8"/>
        <w:spacing w:after="0" w:line="272"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EBITDA is defined as income from operations, plus restructuring and other charges, depreciation and amortization. Adjusted EBITDA is not intended to represent cash flow from operations as defined by generally accepted accounting principles and should not be used as an alternative to net income as an indicator of operating performance or to cash flow as a measure of liquidity. Adjusted EBITDA is included in this prospectus because it is a basis upon which</w:t>
      </w:r>
    </w:p>
    <w:p>
      <w:pPr>
        <w:sectPr>
          <w:pgSz w:w="11900" w:h="16838" w:orient="portrait"/>
          <w:cols w:equalWidth="0" w:num="1">
            <w:col w:w="10219"/>
          </w:cols>
          <w:pgMar w:left="240" w:top="723" w:right="1440" w:bottom="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as well as other information and data included in the prospectus and in the documents incorporated by reference before making a decision to tender your original notes in the exchange offer. The risk factors set forth below, other than the first risk factor set forth below, are generally applicable to the original notes as well as the exchange notes. If any of the following risks actually occur, our business, financial condition, operating results and prospects could be materially adversely affected, which in turn could adversely affect our ability to repay the notes.</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YOU DO NOT EXCHANGE YOUR ORIGINAL NOTES PURSUANT TO THIS EXCHANGE OFFER, YOU MAY NEVER BE ABLE TO SELL YOUR ORIGINAL NOTES.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may be difficult for you to sell original notes that are not exchanged in the exchange offer. Those notes may not be offered or sold unless they are registered or they are exempt from the registration requirements under the Securities Act and applicable state securities laws. The restrictions on transfer of your original notes arise because we issued the original notes pursuant to an exemption from the registration requirements of the Securities Act and applicable state securities laws. We do not intend to register the original notes under the Securities Act.</w:t>
      </w:r>
    </w:p>
    <w:p>
      <w:pPr>
        <w:spacing w:after="0" w:line="21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If you do not tender your original notes or if we do not accept some of your original notes, those notes will continue to be subject to the transfer and exchange restrictions in:</w:t>
      </w:r>
    </w:p>
    <w:p>
      <w:pPr>
        <w:spacing w:after="0" w:line="203" w:lineRule="exact"/>
        <w:rPr>
          <w:sz w:val="20"/>
          <w:szCs w:val="20"/>
          <w:color w:val="auto"/>
        </w:rPr>
      </w:pPr>
    </w:p>
    <w:p>
      <w:pPr>
        <w:ind w:left="960" w:hanging="21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legend on the original notes; and</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memorandum relating to the original notes.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Moreover, to the extent original notes are tendered and accepted in the exchange offer, the trading market, if any, for the original notes would be adversely affected.</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SUBSTANTIAL INDEBTEDNESS COULD ADVERSELY AFFECT OUR FINANCIAL HEALTH AND PREVENT US FROM FULFILLING OUR OBLIGATIONS.</w:t>
      </w:r>
    </w:p>
    <w:p>
      <w:pPr>
        <w:spacing w:after="0" w:line="20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We have a significant amount of debt. As of June 29, 2002, we had approximately $836.0 million of total indebtedness, approximately $383.7 million of which was senior or secured debt.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Our substantial indebtedness could have important consequences for you. For example, it could:</w:t>
      </w:r>
    </w:p>
    <w:p>
      <w:pPr>
        <w:spacing w:after="0" w:line="208" w:lineRule="exact"/>
        <w:rPr>
          <w:sz w:val="20"/>
          <w:szCs w:val="20"/>
          <w:color w:val="auto"/>
        </w:rPr>
      </w:pPr>
    </w:p>
    <w:p>
      <w:pPr>
        <w:ind w:left="740" w:right="2319" w:firstLine="5"/>
        <w:spacing w:after="0" w:line="235" w:lineRule="auto"/>
        <w:tabs>
          <w:tab w:leader="none" w:pos="95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satisfy our obligations under the notes and otherwise;</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vulnerability to general adverse economic and industry conditions;</w:t>
      </w:r>
    </w:p>
    <w:p>
      <w:pPr>
        <w:spacing w:after="0" w:line="208" w:lineRule="exact"/>
        <w:rPr>
          <w:rFonts w:ascii="Courier New" w:cs="Courier New" w:eastAsia="Courier New" w:hAnsi="Courier New"/>
          <w:sz w:val="18"/>
          <w:szCs w:val="18"/>
          <w:color w:val="auto"/>
        </w:rPr>
      </w:pPr>
    </w:p>
    <w:p>
      <w:pPr>
        <w:ind w:left="740" w:right="1999" w:firstLine="5"/>
        <w:spacing w:after="0" w:line="275" w:lineRule="auto"/>
        <w:tabs>
          <w:tab w:leader="none" w:pos="95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82" w:lineRule="exact"/>
        <w:rPr>
          <w:rFonts w:ascii="Courier New" w:cs="Courier New" w:eastAsia="Courier New" w:hAnsi="Courier New"/>
          <w:sz w:val="16"/>
          <w:szCs w:val="16"/>
          <w:color w:val="auto"/>
        </w:rPr>
      </w:pPr>
    </w:p>
    <w:p>
      <w:pPr>
        <w:ind w:left="740" w:right="1999" w:firstLine="5"/>
        <w:spacing w:after="0" w:line="235" w:lineRule="auto"/>
        <w:tabs>
          <w:tab w:leader="none" w:pos="95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flexibility in planning for, or reacting to, changes in our business and the industry in which we operate;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4" w:name="page15"/>
    <w:bookmarkEnd w:id="14"/>
    <w:p>
      <w:pPr>
        <w:ind w:left="740" w:right="1779" w:firstLine="5"/>
        <w:spacing w:after="0" w:line="235" w:lineRule="auto"/>
        <w:tabs>
          <w:tab w:leader="none" w:pos="95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us at a competitive disadvantage compared to our competitors that have less debt;</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ability to borrow additional funds; and</w:t>
      </w:r>
    </w:p>
    <w:p>
      <w:pPr>
        <w:spacing w:after="0" w:line="206" w:lineRule="exact"/>
        <w:rPr>
          <w:rFonts w:ascii="Courier New" w:cs="Courier New" w:eastAsia="Courier New" w:hAnsi="Courier New"/>
          <w:sz w:val="18"/>
          <w:szCs w:val="18"/>
          <w:color w:val="auto"/>
        </w:rPr>
      </w:pPr>
    </w:p>
    <w:p>
      <w:pPr>
        <w:ind w:left="740" w:right="1879" w:firstLine="5"/>
        <w:spacing w:after="0" w:line="279" w:lineRule="auto"/>
        <w:tabs>
          <w:tab w:leader="none" w:pos="95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expose us to risks inherent in interest rate fluctuations because some of our borrowings are at variable rates of interest, which could result in higher interest expense in the event of increases in interest rates.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including the notes, or to fund our other liquidity needs. We may need to refinance all or a portion of our indebtedness, on or before maturity. We cannot assure that we will be able to refinance any of our indebtedness on commercially reasonable terms or at all.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RESTRICTIVE COVENANTS MAY ADVERSELY AFFECT 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indenture governing the notes contains various covenants that limit our ability to engage in specified types of transactions. These covenants limit our ability to:</w:t>
      </w:r>
    </w:p>
    <w:p>
      <w:pPr>
        <w:spacing w:after="0" w:line="209" w:lineRule="exact"/>
        <w:rPr>
          <w:sz w:val="20"/>
          <w:szCs w:val="20"/>
          <w:color w:val="auto"/>
        </w:rPr>
      </w:pPr>
    </w:p>
    <w:p>
      <w:pPr>
        <w:ind w:left="740" w:right="1779" w:firstLine="5"/>
        <w:spacing w:after="0" w:line="235" w:lineRule="auto"/>
        <w:tabs>
          <w:tab w:leader="none" w:pos="95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debt or issue redeemable preferred stock or subsidiary preferred stock;</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liens;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repurchase capital stock or subordinated debt;</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transactions with affiliates;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businesses unrelated to our current businesses;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some types of investments or sell assets; or</w:t>
      </w:r>
    </w:p>
    <w:p>
      <w:pPr>
        <w:spacing w:after="0" w:line="206"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 or merge with or into, or sell substantially all of our assets to, another person.</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our credit facility contains restrictive covenants and requires us to maintain specified financial ratios and satisfy other financial condition tests. See "Description of certain other indebtedness -- Credit facility." Our ability to meet those financial ratios and tests can be affected by events beyond our control, and we cannot assure you that we will meet those tests. A breach of any of these covenants could result in a default under our credit facility and/or the notes. Upon the occurrence of an event of default under our credit facility, the lenders could elect to declare all amounts outstanding under our credit facility to be immediately due and payable and terminate all commitments to extend further credit. If we were unable to repay those amounts, the lenders under the credit facility could proceed against the collateral granted to them to secure that indebtedness. We have pledged a significant portion of our assets as security under our credit facility. If the lenders under the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5" w:name="page16"/>
    <w:bookmarkEnd w:id="15"/>
    <w:p>
      <w:pPr>
        <w:ind w:right="1999"/>
        <w:spacing w:after="0" w:line="236" w:lineRule="auto"/>
        <w:rPr>
          <w:sz w:val="20"/>
          <w:szCs w:val="20"/>
          <w:color w:val="auto"/>
        </w:rPr>
      </w:pPr>
      <w:r>
        <w:rPr>
          <w:rFonts w:ascii="Courier New" w:cs="Courier New" w:eastAsia="Courier New" w:hAnsi="Courier New"/>
          <w:sz w:val="18"/>
          <w:szCs w:val="18"/>
          <w:color w:val="auto"/>
        </w:rPr>
        <w:t>credit facility accelerate the repayment of borrowings, we cannot assure you that we will have sufficient assets to repay our credit facility and our other indebtedness, including the notes.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September 30, 2001, we were not in compliance with the covenants pertaining to net worth, leverage and interest coverage under our credit facility. A waiver of non-compliance for these covenant violations was received in October 2001. In December 2001, we amended our credit facility resulting in the elimination or resetting of certain negative and affirmative covenants. We were in compliance with all covenants at June 29, 2002.</w:t>
      </w: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DESPITE CURRENT INDEBTEDNESS LEVELS, WE MAY STILL BE ABLE TO INCUR SUBSTANTIALLY MORE DEBT. THIS COULD FURTHER EXACERBATE THE RISKS DESCRIBED ABOVE.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and our subsidiaries may be able to incur substantial additional indebtedness in the future. The terms of the indenture do not fully prohibit us or our subsidiaries from doing so. Our credit facility permits additional borrowings of up to $1.1 billion. All of those borrowings would be senior to the notes and the subsidiary guarantees. If new debt is added to our current debt levels, the related risks that we and they now face could intensify.</w:t>
      </w:r>
    </w:p>
    <w:p>
      <w:pPr>
        <w:spacing w:after="0" w:line="210"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YOUR RIGHT TO RECEIVE PAYMENTS ON THE NOTES IS JUNIOR TO OUR EXISTING INDEBTEDNESS AND, POSSIBLY, ALL OF OUR FUTURE BORROWINGS.</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notes and the subsidiary guarantees rank behind all of our and the subsidiary guarantors' existing indebtedness and all of our and their future borrowings, except:</w:t>
      </w:r>
    </w:p>
    <w:p>
      <w:pPr>
        <w:spacing w:after="0" w:line="203" w:lineRule="exact"/>
        <w:rPr>
          <w:sz w:val="20"/>
          <w:szCs w:val="20"/>
          <w:color w:val="auto"/>
        </w:rPr>
      </w:pPr>
    </w:p>
    <w:p>
      <w:pPr>
        <w:ind w:left="960" w:hanging="215"/>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payables; and</w:t>
      </w:r>
    </w:p>
    <w:p>
      <w:pPr>
        <w:spacing w:after="0" w:line="206" w:lineRule="exact"/>
        <w:rPr>
          <w:rFonts w:ascii="Courier New" w:cs="Courier New" w:eastAsia="Courier New" w:hAnsi="Courier New"/>
          <w:sz w:val="18"/>
          <w:szCs w:val="18"/>
          <w:color w:val="auto"/>
        </w:rPr>
      </w:pPr>
    </w:p>
    <w:p>
      <w:pPr>
        <w:ind w:left="740" w:right="2199" w:firstLine="5"/>
        <w:spacing w:after="0" w:line="236" w:lineRule="auto"/>
        <w:tabs>
          <w:tab w:leader="none" w:pos="95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future indebtedness that expressly provides that it ranks equal with, or is subordinated in right of payment to, the notes and the subsidiary guarantees.</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all payments on the notes and the subsidiary guarantees will be blocked in the event of a payment default on senior debt and may be blocked for up to 179 of 360 consecutive days in the event of certain non-payment defaults on senior debt.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event of a bankruptcy, liquidation or reorganization or similar proceeding relating to Scotts or the subsidiary guarantors, holders of the notes will participate with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 We will be permitted to borrow substantial additional indebtedness, including senior debt, in the future under the terms of the indenture.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NOTES WILL BE STRUCTURALLY JUNIOR TO ALL INDEBTEDNESS OF OUR SUBSIDIARIES THAT ARE NOT GUARANTORS OF THE NOTES.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You will not have any claim as a creditor against our subsidiaries that are not guarantors of the notes, and indebtedness and other liabilities, including trade payables, whether secured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6" w:name="page17"/>
    <w:bookmarkEnd w:id="16"/>
    <w:p>
      <w:pPr>
        <w:ind w:right="1779"/>
        <w:spacing w:after="0" w:line="270" w:lineRule="auto"/>
        <w:rPr>
          <w:sz w:val="20"/>
          <w:szCs w:val="20"/>
          <w:color w:val="auto"/>
        </w:rPr>
      </w:pPr>
      <w:r>
        <w:rPr>
          <w:rFonts w:ascii="Courier New" w:cs="Courier New" w:eastAsia="Courier New" w:hAnsi="Courier New"/>
          <w:sz w:val="16"/>
          <w:szCs w:val="16"/>
          <w:color w:val="auto"/>
        </w:rPr>
        <w:t>unsecured, of those subsidiaries will effectively be senior to your claims against those subsidiaries. For the year ended September 30, 2001, non-guarantor subsidiaries represent approximately 11.7% of our EBITDA but did not represent a positive percentage of our operating income or earnings before taxes. At September 30, 2001 and June 29, 2002, respectively, these subsidiaries represented approximately 26.9% and 28.9% of our total assets. As of September 30, 2001 and June 29, 2002, respectively, these subsidiaries had approximately $411 million and $380 million of outstanding liabilities, including trade payables, but excluding intercompany obligations. In addition, the indenture permits, subject to certain limitations, these subsidiaries to incur additional indebtedness and does not contain any limitation on the amount of other liabilities, such as trade payables, that may be incurred by these subsidiaries.</w:t>
      </w:r>
    </w:p>
    <w:p>
      <w:pPr>
        <w:spacing w:after="0" w:line="39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YOUR ABILITY TO RECEIVE PAYMENTS ON THESE NOTES IS JUNIOR TO THOSE LENDERS WHO HAVE A SECURITY INTEREST IN OUR ASSETS.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notes will not be secured by any of our assets. However, our obligations under our credit facility are, subject to certain exceptions, secured by a first priority security interest in substantially all of our assets. If we become insolvent or are liquidated, or if payments under our credit facility are accelerated, the lenders under our credit facility would be entitled to exercise the remedies available to secured lenders. Accordingly, these lenders will have a claim on substantially all of our assets and will have priority over any claim for payment under the notes or the guarantees. In any such event, because the notes will not be secured by any of our assets, it is possible that there would be no assets remaining from which claims of the holders of the notes could be satisfied or, if any assets remained, they might be insufficient to satisfy such claims 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ADVERSE WEATHER CONDITIONS COULD ADVERSELY IMPACT FINANCIAL RESULTS.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HISTORICAL SEASONALITY COULD IMPAIR OUR ABILITY TO PAY OBLIGATIONS AS THEY COME DUE IN ADDITION TO OUR OPERATING EXPENSES.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Because our products are used primarily in the spring and summer, our business is highly seasonal. For the past two fiscal years, more than 75%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21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PUBLIC PERCEPTIONS THAT THE PRODUCTS WE PRODUCE AND MARKET ARE NOT SAFE COULD ADVERSELY AFFECT US.</w:t>
      </w:r>
    </w:p>
    <w:p>
      <w:pPr>
        <w:spacing w:after="0" w:line="208"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We manufacture and market a number of complex chemical products, such as fertilizers, growing media, herbicides and pesticides, bearing one of our brands. On occasion, customers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BECAUSE OF THE CONCENTRATION OF OUR SALES TO A SMALL NUMBER OF RETAIL CUSTOMERS, THE LOSS OF ONE OR MORE OF OUR TOP CUSTOMERS COULD ADVERSELY AFFECT OUR FINANCIAL RESULTS.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top 10 North American retail customers together accounted for approximately 70% of our fiscal year 2001 net sales and 35% of our outstanding accounts receivable for the past couple of fiscal years. Our top four customers, Home Depot, Wal-Mart, Lowe's and Kmart, hold significant positions in the retail lawn and garden market.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payment terms.</w:t>
      </w:r>
    </w:p>
    <w:p>
      <w:pPr>
        <w:spacing w:after="0" w:line="21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18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MONSANTO WERE TO TERMINATE THE MARKETING AGREEMENT FOR CONSUMER ROUNDUP(R) PRODUCTS, WITHOUT BEING REQUIRED TO PAY ANY TERMINATION FEE, WE WOULD LOSE A SUBSTANTIAL SOURCE OF FUTURE EARNINGS.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80" w:lineRule="exact"/>
        <w:rPr>
          <w:sz w:val="20"/>
          <w:szCs w:val="20"/>
          <w:color w:val="auto"/>
        </w:rPr>
      </w:pPr>
    </w:p>
    <w:p>
      <w:pPr>
        <w:ind w:left="960" w:hanging="215"/>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a cumulative three fiscal year period; or</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more than 5% for each of two consecutive fiscal years.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EXPIRATION OF PATENTS RELATING TO ROUNDUP(R) AND THE SCOTTS TURF BUILDER(R) LINE OF PRODUCTS COULD SUBSTANTIALLY INCREASE OUR COMPETITION IN THE UNITED STATES.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Glyphosate, the active ingredient in Roundup(R), was subject to a patent in the United States that expired in September 2000. We cannot predict the success of Roundup(R) now that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 w:name="page19"/>
    <w:bookmarkEnd w:id="18"/>
    <w:p>
      <w:pPr>
        <w:ind w:right="1779"/>
        <w:spacing w:after="0" w:line="238" w:lineRule="auto"/>
        <w:rPr>
          <w:sz w:val="20"/>
          <w:szCs w:val="20"/>
          <w:color w:val="auto"/>
        </w:rPr>
      </w:pPr>
      <w:r>
        <w:rPr>
          <w:rFonts w:ascii="Courier New" w:cs="Courier New" w:eastAsia="Courier New" w:hAnsi="Courier New"/>
          <w:sz w:val="18"/>
          <w:szCs w:val="18"/>
          <w:color w:val="auto"/>
        </w:rPr>
        <w:t>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 Kill(R) and No-Pest(R) brand names, respectively, in fiscal year 2001. Additional competitive products have been introduced in fiscal year 2002. It is too early to determine whether these product introductions will have a material adverse effect on our sales of Roundup(R).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Builder(R)products after the expiration of the methylene-urea product composition patent could adversely affect our financial results.</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HAGEDORN PARTNERSHIP L.P. BENEFICIALLY OWNS APPROXIMATELY 38% OF THE OUTSTANDING COMMON SHARES OF SCOTTS ON A FULLY DILUTED BASIS.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Hagedorn Partnership L.P. beneficially owns approximately 38% of the outstanding common shares of Scotts on a fully diluted basis and has sufficient voting power to significantly influence the election of directors and the approval of other actions requiring the approval of our shareholders.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COMPLIANCE WITH ENVIRONMENTAL AND OTHER PUBLIC HEALTH REGULATIONS COULD INCREASE OUR COST OF DOING BUSINESS.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08"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3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For the nine months ended June 29, 2002, we made approximately $1.9 million in environmental capital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84" w:lineRule="exact"/>
        <w:rPr>
          <w:sz w:val="20"/>
          <w:szCs w:val="20"/>
          <w:color w:val="auto"/>
        </w:rPr>
      </w:pPr>
    </w:p>
    <w:p>
      <w:pPr>
        <w:ind w:left="740" w:right="2419" w:firstLine="5"/>
        <w:spacing w:after="0" w:line="235" w:lineRule="auto"/>
        <w:tabs>
          <w:tab w:leader="none" w:pos="95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identified all of the significant sites that must be remediated;</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there are no significant conditions of potential contamination that are unknown to us; and</w:t>
      </w:r>
    </w:p>
    <w:p>
      <w:pPr>
        <w:spacing w:after="0" w:line="208" w:lineRule="exact"/>
        <w:rPr>
          <w:rFonts w:ascii="Courier New" w:cs="Courier New" w:eastAsia="Courier New" w:hAnsi="Courier New"/>
          <w:sz w:val="18"/>
          <w:szCs w:val="18"/>
          <w:color w:val="auto"/>
        </w:rPr>
      </w:pPr>
    </w:p>
    <w:p>
      <w:pPr>
        <w:ind w:left="740" w:right="2099" w:firstLine="5"/>
        <w:spacing w:after="0" w:line="237" w:lineRule="auto"/>
        <w:tabs>
          <w:tab w:leader="none" w:pos="95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there is a significant change in the facts and circumstances surrounding these assumptions or if we are found not to be in substantial compliance with applicable environmental and public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0" w:name="page21"/>
    <w:bookmarkEnd w:id="20"/>
    <w:p>
      <w:pPr>
        <w:ind w:right="2319"/>
        <w:spacing w:after="0" w:line="236" w:lineRule="auto"/>
        <w:rPr>
          <w:sz w:val="20"/>
          <w:szCs w:val="20"/>
          <w:color w:val="auto"/>
        </w:rPr>
      </w:pPr>
      <w:r>
        <w:rPr>
          <w:rFonts w:ascii="Courier New" w:cs="Courier New" w:eastAsia="Courier New" w:hAnsi="Courier New"/>
          <w:sz w:val="18"/>
          <w:szCs w:val="18"/>
          <w:color w:val="auto"/>
        </w:rPr>
        <w:t>health laws and regulations, it could have a material impact on future environmental capital expenditures and other environmental expenses and our results of operations, financial position and cash flows.</w:t>
      </w:r>
    </w:p>
    <w:p>
      <w:pPr>
        <w:spacing w:after="0" w:line="209"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OUR SIGNIFICANT INTERNATIONAL OPERATIONS MAKE US MORE SUSCEPTIBLE TO FLUCTUATIONS IN CURRENCY EXCHANGE RATES AND TO THE COSTS OF INTERNATIONAL REGULATION.</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207" w:lineRule="exact"/>
        <w:rPr>
          <w:sz w:val="20"/>
          <w:szCs w:val="20"/>
          <w:color w:val="auto"/>
        </w:rPr>
      </w:pPr>
    </w:p>
    <w:p>
      <w:pPr>
        <w:ind w:left="960" w:hanging="21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currency exchange rates;</w:t>
      </w:r>
    </w:p>
    <w:p>
      <w:pPr>
        <w:spacing w:after="0" w:line="206"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223" w:lineRule="exact"/>
        <w:rPr>
          <w:rFonts w:ascii="Courier New" w:cs="Courier New" w:eastAsia="Courier New" w:hAnsi="Courier New"/>
          <w:sz w:val="16"/>
          <w:szCs w:val="16"/>
          <w:color w:val="auto"/>
        </w:rPr>
      </w:pPr>
    </w:p>
    <w:p>
      <w:pPr>
        <w:ind w:left="740" w:right="2519" w:firstLine="5"/>
        <w:spacing w:after="0" w:line="235" w:lineRule="auto"/>
        <w:tabs>
          <w:tab w:leader="none" w:pos="95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remittance of dividends and other payments by foreign subsidiaries;</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costs of compliance with local regulations; and</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historically, higher rates of inflation than in the United States.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NOT HAVE THE ABILITY TO RAISE THE FUNDS NECESSARY TO FINANCE THE CHANGE OF CONTROL OFFER REQUIRED BY THE INDENTURE.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Upon the occurrence of specific kinds of change of control events, we will be required to offer to repurchase all outstanding notes at 101% of their principal amount. It is possible that we will not have sufficient funds at the time of the change of control to make the required repurchase of notes or that restrictions in our credit facility will not allow repurchases. Accordingly, we may not be able to satisfy our obligations to purchase your notes unless we are able to refinance or obtain waivers under our credit facility. Our credit agreement also provides that a change of control will be a default that permits lenders to accelerate the maturity of all borrowings thereunder. Any of our future debt agreements may contain similar provisions. In addition, important corporate events, such as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For more detail, see the "Description of notes" section under the heading "Repurchase at the option of holders -- Change of control."</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FEDERAL AND STATE STATUTES ALLOW COURTS, UNDER SPECIFIC CIRCUMSTANCES, TO VOID THE GUARANTEES AND REQUIRE NOTEHOLDERS TO RETURN PAYMENTS RECEIVED FROM SUBSIDIARY GUARANTORS.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Under the federal bankruptcy law and comparable provisions of state fraudulent transfer laws, the subsidiary guarantees could be voided. Alternatively, claims in respect of the subsidiary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guarantees could be subordinated to all other debts of any subsidiary guarantor. Either of these events could occur if the subsidiary guarantor, at the time it incurred the indebtedness evidenced by its subsidiary guarantee, received less than reasonably equivalent value or fair consideration for the incurrence of such indebtedness, and:</w:t>
      </w:r>
    </w:p>
    <w:p>
      <w:pPr>
        <w:spacing w:after="0" w:line="209" w:lineRule="exact"/>
        <w:rPr>
          <w:sz w:val="20"/>
          <w:szCs w:val="20"/>
          <w:color w:val="auto"/>
        </w:rPr>
      </w:pPr>
    </w:p>
    <w:p>
      <w:pPr>
        <w:ind w:left="740" w:right="1879" w:firstLine="5"/>
        <w:spacing w:after="0" w:line="235" w:lineRule="auto"/>
        <w:tabs>
          <w:tab w:leader="none" w:pos="95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insolvent or rendered insolvent by reason of the incurrence of the indebtedness; or</w:t>
      </w:r>
    </w:p>
    <w:p>
      <w:pPr>
        <w:spacing w:after="0" w:line="208" w:lineRule="exact"/>
        <w:rPr>
          <w:rFonts w:ascii="Courier New" w:cs="Courier New" w:eastAsia="Courier New" w:hAnsi="Courier New"/>
          <w:sz w:val="18"/>
          <w:szCs w:val="18"/>
          <w:color w:val="auto"/>
        </w:rPr>
      </w:pPr>
    </w:p>
    <w:p>
      <w:pPr>
        <w:ind w:left="740" w:right="1999" w:firstLine="5"/>
        <w:spacing w:after="0" w:line="290" w:lineRule="auto"/>
        <w:tabs>
          <w:tab w:leader="none" w:pos="95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in a business or transaction for which the subsidiary guarantor's remaining assets constituted unreasonably small capital; or</w:t>
      </w:r>
    </w:p>
    <w:p>
      <w:pPr>
        <w:spacing w:after="0" w:line="169" w:lineRule="exact"/>
        <w:rPr>
          <w:rFonts w:ascii="Courier New" w:cs="Courier New" w:eastAsia="Courier New" w:hAnsi="Courier New"/>
          <w:sz w:val="16"/>
          <w:szCs w:val="16"/>
          <w:color w:val="auto"/>
        </w:rPr>
      </w:pPr>
    </w:p>
    <w:p>
      <w:pPr>
        <w:ind w:left="740" w:right="2099" w:firstLine="5"/>
        <w:spacing w:after="0" w:line="235" w:lineRule="auto"/>
        <w:tabs>
          <w:tab w:leader="none" w:pos="95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intended to incur, or believed that it would incur, debts beyond its ability to pay as they mature.</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addition, any payment by any subsidiary guarantor under a subsidiary guarantee could be voided and required to be returned to the subsidiary guarantor, or to a fund for the benefit of the creditors of the subsidiary guarantor.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measures of insolvency for purposes of these fraudulent transfer laws will vary depending upon the law applied in any proceeding to determine whether a fraudulent transfer has occurred. Generally, however, a subsidiary guarantor would be considered insolvent if:</w:t>
      </w:r>
    </w:p>
    <w:p>
      <w:pPr>
        <w:spacing w:after="0" w:line="207" w:lineRule="exact"/>
        <w:rPr>
          <w:sz w:val="20"/>
          <w:szCs w:val="20"/>
          <w:color w:val="auto"/>
        </w:rPr>
      </w:pPr>
    </w:p>
    <w:p>
      <w:pPr>
        <w:ind w:left="740" w:right="2099" w:firstLine="5"/>
        <w:spacing w:after="0" w:line="235" w:lineRule="auto"/>
        <w:tabs>
          <w:tab w:leader="none" w:pos="95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its debts, including contingent liabilities, were greater than the fair salable value of all of its assets; or</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95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could not pay its debts as they become due.</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cannot be certain as to the standards a court would use to determine whether or not the subsidiary guarantors were solvent at the relevant time, or regardless of the standard that a court uses, that the issuance of the guarantees would not be subordinated to the subsidiary guarantor's other debt.</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subsidiary guarantees were legally challenged, any guarantee could also be subject to the claim that, since the guarantee was incurred for our benefit, and only indirectly for the benefit of the subsidiary guarantor, the obligations of the applicable subsidiary guarantor were incurred for less than fair consideration.</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 court could thus void the obligations under the subsidiary guarantees, subordinate them to the applicable subsidiary guarantor's other debt or take other action detrimental to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CANNOT BE SURE THAT AN ACTIVE TRADING MARKET WILL DEVELOP FOR THE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are a new issue of securities with no established trading market and will not be listed on any securities exchange. We have been informed by the initial purchasers that they intend to make a market in the exchange notes if the exchange offer is completed. However, they may cease their market-making at any time. In addition, the liquidity of the trading 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 Historically,</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2" w:name="page23"/>
    <w:bookmarkEnd w:id="22"/>
    <w:p>
      <w:pPr>
        <w:ind w:right="2099"/>
        <w:spacing w:after="0" w:line="237" w:lineRule="auto"/>
        <w:rPr>
          <w:sz w:val="20"/>
          <w:szCs w:val="20"/>
          <w:color w:val="auto"/>
        </w:rPr>
      </w:pPr>
      <w:r>
        <w:rPr>
          <w:rFonts w:ascii="Courier New" w:cs="Courier New" w:eastAsia="Courier New" w:hAnsi="Courier New"/>
          <w:sz w:val="18"/>
          <w:szCs w:val="18"/>
          <w:color w:val="auto"/>
        </w:rPr>
        <w:t>the market for non-investment grade debt has been subject to disruptions that have caused volatility in prices. It is possible that the market for the exchange notes will be subject to disruptions. Any such disruption may have a negative effect on you as the holder of the note or, if issued, the exchange note, regardless of our prospects or financial performance.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23" w:name="page24"/>
    <w:bookmarkEnd w:id="23"/>
    <w:p>
      <w:pPr>
        <w:ind w:left="3280"/>
        <w:spacing w:after="0"/>
        <w:rPr>
          <w:sz w:val="20"/>
          <w:szCs w:val="20"/>
          <w:color w:val="auto"/>
        </w:rPr>
      </w:pPr>
      <w:r>
        <w:rPr>
          <w:rFonts w:ascii="Courier New" w:cs="Courier New" w:eastAsia="Courier New" w:hAnsi="Courier New"/>
          <w:sz w:val="18"/>
          <w:szCs w:val="18"/>
          <w:color w:val="auto"/>
        </w:rPr>
        <w:t>THE EXCHANGE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EXCHANGE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issued the original notes on February 6, 2002 to J.P. Morgan Securities Inc., Banc of America Securities LLC; First Union Securities, Inc.; ABN AMRO Incorporated and Credit Lyonnais Securities (USA) Inc., the initial purchasers, pursuant to a purchase agreement. The initial purchasers subsequently sold the original notes to "qualified institutional buyers," as defined in Rule 144A under the Securities Act, in reliance on Rule 144A, and outside the United States under Regulation S of the Securities Act. As a condition to the sale of the original notes, we entered into a registration rights agreement with the initial purchasers on February 6, 2002.</w:t>
      </w:r>
    </w:p>
    <w:p>
      <w:pPr>
        <w:spacing w:after="0" w:line="21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Pursuant to the registration rights agreement, we agreed that we would use our reasonable best efforts (1) to file with the SEC and cause to become effective a registration statement with respect to an exchange offer for the original notes,</w:t>
      </w:r>
    </w:p>
    <w:p>
      <w:pPr>
        <w:spacing w:after="0" w:line="1" w:lineRule="exact"/>
        <w:rPr>
          <w:sz w:val="20"/>
          <w:szCs w:val="20"/>
          <w:color w:val="auto"/>
        </w:rPr>
      </w:pPr>
    </w:p>
    <w:p>
      <w:pPr>
        <w:ind w:right="177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keep the exchange offer open for at least 20 business days after the date we mail notice of the exchange offer to the noteholders and (3) to complete the exchange offer within 30 days after the effective date of the registration statement.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We filed a copy of the registration rights agreement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THE EXCHANGE NOTES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Based upon an interpretation by the staff of the SEC contained in no-action letters issued to third parties, we believe that you may exchange original notes for exchange notes in the ordinary course of business. For further information on the SEC's position, see Exxon Capital Holdings Corporation, available May 13, 1988, Morgan Stanley &amp; Co. Incorporated, available June 5, 1991 and Shearman &amp; Sterling, available July 2, 1993, and other interpretive letters to similar effect. You will be allowed to resell exchange notes to the public without further registration under the Securities Act and without delivering to purchasers of the exchange notes a prospectus that satisfies the requirements of Section 10 of the Securities Act so long as you do not participate, do not intend to participate, and have no arrangement with any person to participate, in a distribution of the exchange notes. However, the foregoing does not apply to you if you are:</w:t>
      </w:r>
    </w:p>
    <w:p>
      <w:pPr>
        <w:spacing w:after="0" w:line="207" w:lineRule="exact"/>
        <w:rPr>
          <w:sz w:val="20"/>
          <w:szCs w:val="20"/>
          <w:color w:val="auto"/>
        </w:rPr>
      </w:pPr>
    </w:p>
    <w:p>
      <w:pPr>
        <w:ind w:left="740" w:right="1999" w:firstLine="5"/>
        <w:spacing w:after="0" w:line="236" w:lineRule="auto"/>
        <w:tabs>
          <w:tab w:leader="none" w:pos="95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broker-dealer who purchased the exchange notes directly from us to resell pursuant to Rule 144A or any other available exemption under the Securities Act; or</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95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an "affiliate" of ours within the meaning of Rule 405 under the Securities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if:</w:t>
      </w:r>
    </w:p>
    <w:p>
      <w:pPr>
        <w:spacing w:after="0" w:line="201" w:lineRule="exact"/>
        <w:rPr>
          <w:sz w:val="20"/>
          <w:szCs w:val="20"/>
          <w:color w:val="auto"/>
        </w:rPr>
      </w:pPr>
    </w:p>
    <w:p>
      <w:pPr>
        <w:ind w:left="960" w:hanging="215"/>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 broker-dealer; or</w:t>
      </w:r>
    </w:p>
    <w:p>
      <w:pPr>
        <w:spacing w:after="0" w:line="206" w:lineRule="exact"/>
        <w:rPr>
          <w:rFonts w:ascii="Courier New" w:cs="Courier New" w:eastAsia="Courier New" w:hAnsi="Courier New"/>
          <w:sz w:val="18"/>
          <w:szCs w:val="18"/>
          <w:color w:val="auto"/>
        </w:rPr>
      </w:pPr>
    </w:p>
    <w:p>
      <w:pPr>
        <w:ind w:left="740" w:right="1879" w:firstLine="5"/>
        <w:spacing w:after="0" w:line="290" w:lineRule="auto"/>
        <w:tabs>
          <w:tab w:leader="none" w:pos="95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acquire exchange notes in the exchange offer for the purpose of distributing or participating in the distribution of the exchange notes,</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cannot rely on the position of the staff of the SEC contained in the no-action letters mentioned above and must comply with the registration and prospectus delivery requirements of the Securities Act in connection with any resale transaction, unless an exemption from registration is otherwise available.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Each broker-dealer that receives exchange notes for its own account in exchange for original notes, which the broker-dealer acquired as a result of market-making activities or other trading activities, must acknowledge that it will deliver a prospectus in connection with any resale of the exchange notes. The letter of transmittal states that by so acknowledging and by delivering a prospectus, a broker-dealer will not be deemed to admit that it is an "underwriter" within the meaning of the Securities Act. A broker-dealer may use this prospectus, as it may be amended or supplemented from time to time, in connection with resales of exchange notes received in exchange for original notes which the broker-dealer acquired as a result of market-making or other trading activities.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EXCHANGE OFFER</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Upon the terms and subject to the conditions described in this prospectus and in the letter of transmittal, we will accept any and all original notes validly tendered and not withdrawn before the expiration date. We will issue $1,000 principal amount of exchange notes in exchange for each $1,000 principal amount of outstanding original notes surrendered pursuant to the exchange offer. You may tender original notes only in integral multiples of $1,000.</w:t>
      </w:r>
    </w:p>
    <w:p>
      <w:pPr>
        <w:spacing w:after="0" w:line="18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form and terms of the exchange notes are the same as the form and terms of the original notes except that:</w:t>
      </w:r>
    </w:p>
    <w:p>
      <w:pPr>
        <w:spacing w:after="0" w:line="203" w:lineRule="exact"/>
        <w:rPr>
          <w:sz w:val="20"/>
          <w:szCs w:val="20"/>
          <w:color w:val="auto"/>
        </w:rPr>
      </w:pPr>
    </w:p>
    <w:p>
      <w:pPr>
        <w:ind w:left="960" w:hanging="215"/>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register the exchange notes under the Securities Act and,</w:t>
      </w:r>
    </w:p>
    <w:p>
      <w:pPr>
        <w:spacing w:after="0" w:line="4" w:lineRule="exact"/>
        <w:rPr>
          <w:rFonts w:ascii="Courier New" w:cs="Courier New" w:eastAsia="Courier New" w:hAnsi="Courier New"/>
          <w:sz w:val="18"/>
          <w:szCs w:val="18"/>
          <w:color w:val="auto"/>
        </w:rPr>
      </w:pPr>
    </w:p>
    <w:p>
      <w:pPr>
        <w:ind w:left="7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therefore, the exchange notes will not bear legends restricting their transfer; and</w:t>
      </w:r>
    </w:p>
    <w:p>
      <w:pPr>
        <w:spacing w:after="0" w:line="208" w:lineRule="exact"/>
        <w:rPr>
          <w:rFonts w:ascii="Courier New" w:cs="Courier New" w:eastAsia="Courier New" w:hAnsi="Courier New"/>
          <w:sz w:val="18"/>
          <w:szCs w:val="18"/>
          <w:color w:val="auto"/>
        </w:rPr>
      </w:pPr>
    </w:p>
    <w:p>
      <w:pPr>
        <w:ind w:left="740" w:right="1779" w:firstLine="5"/>
        <w:spacing w:after="0" w:line="279" w:lineRule="auto"/>
        <w:tabs>
          <w:tab w:leader="none" w:pos="95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the exchange notes will not be entitled to any of the rights of holders of original note under the registration rights agreement, which rights will terminate upon the completion of the exchange offer.</w:t>
      </w:r>
    </w:p>
    <w:p>
      <w:pPr>
        <w:spacing w:after="0" w:line="17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exchange notes will evidence the same debt as the original notes. The indenture governing the exchange notes is the same indenture that governs the original notes.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As of the date of this prospectus, $70,000,000 in aggregate principal amount of the original notes are outstanding and registered in the name of Cede &amp; Co., as nominee for The Depository Trust Company. Only registered holders of the original notes, or their legal representative or attorney-in-fact, as reflected on the records of the trustee under the indentures, may participate in the exchange offer. We will not set a fixed record date for determining registered holders of the original notes entitled to participate in the exchange offer.</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do not have any appraisal or dissenters' rights under the indenture or applicable law in connection with the exchange offer. We intend to conduct the exchange offer in accordance with the provisions of the registration rights agreement and the applicable requirements of the Securities Act, the Exchange Act and the rules and regulations of the SEC.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be deemed to have accepted validly tendered original notes when, as and if we had given oral or written notice of acceptance to the exchange agent. The exchange agent will act as your agent for the purposes of receiving the exchange notes from us.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If you tender original notes in the exchange offer you will not be required to pay brokerage commissions or fees or, subject to the instructions in the letter of transmittal, transfer taxes with respect to the exchange of original notes pursuant to the exchange offer. We will pay all charges and expenses, other than the applicable taxes described below, in connection with the exchange offer.</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EXPIRATION DATE; EXTENSIONS; AMENDMENTS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term expiration date will mean 5:00 p.m., New York City time on Monday, October 28, 2002, unless we, in our sole discretion, extend the exchange offer, in which case the term expiration date will mean the latest date and time to which we extend the exchange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extend the exchange offer, we will:</w:t>
      </w:r>
    </w:p>
    <w:p>
      <w:pPr>
        <w:spacing w:after="0" w:line="201" w:lineRule="exact"/>
        <w:rPr>
          <w:sz w:val="20"/>
          <w:szCs w:val="20"/>
          <w:color w:val="auto"/>
        </w:rPr>
      </w:pPr>
    </w:p>
    <w:p>
      <w:pPr>
        <w:ind w:left="960" w:hanging="215"/>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the exchange agent of any extension orally or in writing; and</w:t>
      </w:r>
    </w:p>
    <w:p>
      <w:pPr>
        <w:spacing w:after="0" w:line="206" w:lineRule="exact"/>
        <w:rPr>
          <w:rFonts w:ascii="Courier New" w:cs="Courier New" w:eastAsia="Courier New" w:hAnsi="Courier New"/>
          <w:sz w:val="18"/>
          <w:szCs w:val="18"/>
          <w:color w:val="auto"/>
        </w:rPr>
      </w:pPr>
    </w:p>
    <w:p>
      <w:pPr>
        <w:ind w:left="740" w:right="1779" w:firstLine="5"/>
        <w:spacing w:after="0" w:line="290" w:lineRule="auto"/>
        <w:tabs>
          <w:tab w:leader="none" w:pos="95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to each registered holder an announcement that will include disclosure of the approximate number of original notes deposited to date,</w:t>
      </w:r>
    </w:p>
    <w:p>
      <w:pPr>
        <w:spacing w:after="0" w:line="17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each before 9:00 a.m., New York City time, on the next business day after the previously scheduled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reserve the right, in our reasonable discretion:</w:t>
      </w:r>
    </w:p>
    <w:p>
      <w:pPr>
        <w:spacing w:after="0" w:line="201" w:lineRule="exact"/>
        <w:rPr>
          <w:sz w:val="20"/>
          <w:szCs w:val="20"/>
          <w:color w:val="auto"/>
        </w:rPr>
      </w:pPr>
    </w:p>
    <w:p>
      <w:pPr>
        <w:ind w:left="960" w:hanging="21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delay accepting any original notes;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exchange offer; or</w:t>
      </w:r>
    </w:p>
    <w:p>
      <w:pPr>
        <w:spacing w:after="0" w:line="206"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conditions listed below under "-- Conditions" are not satisfied, to terminate the exchange offer by giving oral or written notice of the delay, extension or termination to the exchange agent.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follow any delay in acceptance, extension or termination as promptly as practicable by oral or written notice to the registered holders. If we amend the exchange offer in a manner we determine constitutes a material change, we will promptly disclose the amendment in a prospectus supplement that we will distribute to the registered holders. We will also extend the exchange offer for a period of five to ten business days, depending upon the significance of the amendment and the manner of disclosure, if the exchange offer would otherwise expire during the five to ten business day period.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exchange notes will bear interest at the same rate and on the same terms as the original notes. Consequently, the exchange notes will bear interest at a rate equal to 8.625% per annum (calculated using a 360-day year). Interest will be payable semi-annually on each January 15 and July 15.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will receive interest on the exchange notes on January 15, 2003 in an amount equal to the accrued interest on the original notes from the date of the last interest payment date, July 15, 2002. We will deem the right to receive any interest on the original notes waived by you if we accept your original notes for exchange.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You may tender original notes in the exchange offer only if you are a registered holder of original notes. To tender in the exchange offer, you must:</w:t>
      </w:r>
    </w:p>
    <w:p>
      <w:pPr>
        <w:spacing w:after="0" w:line="170" w:lineRule="exact"/>
        <w:rPr>
          <w:sz w:val="20"/>
          <w:szCs w:val="20"/>
          <w:color w:val="auto"/>
        </w:rPr>
      </w:pPr>
    </w:p>
    <w:p>
      <w:pPr>
        <w:ind w:left="740" w:right="1779" w:firstLine="5"/>
        <w:spacing w:after="0" w:line="235" w:lineRule="auto"/>
        <w:tabs>
          <w:tab w:leader="none" w:pos="95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sign and date the letter of transmittal or a facsimile of the letter of transmittal;</w:t>
      </w:r>
    </w:p>
    <w:p>
      <w:pPr>
        <w:spacing w:after="0" w:line="208" w:lineRule="exact"/>
        <w:rPr>
          <w:rFonts w:ascii="Courier New" w:cs="Courier New" w:eastAsia="Courier New" w:hAnsi="Courier New"/>
          <w:sz w:val="18"/>
          <w:szCs w:val="18"/>
          <w:color w:val="auto"/>
        </w:rPr>
      </w:pPr>
    </w:p>
    <w:p>
      <w:pPr>
        <w:ind w:left="740" w:right="3039" w:firstLine="5"/>
        <w:spacing w:after="0" w:line="235" w:lineRule="auto"/>
        <w:tabs>
          <w:tab w:leader="none" w:pos="95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signatures guaranteed if required by the letter of transmittal;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6" w:name="page27"/>
    <w:bookmarkEnd w:id="26"/>
    <w:p>
      <w:pPr>
        <w:ind w:left="740" w:right="1779" w:firstLine="5"/>
        <w:spacing w:after="0" w:line="236" w:lineRule="auto"/>
        <w:tabs>
          <w:tab w:leader="none" w:pos="95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 or otherwise deliver the letter of transmittal or the facsimile to the exchange agent at the address listed below under "-- Exchange agent" for receipt before the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either:</w:t>
      </w:r>
    </w:p>
    <w:p>
      <w:pPr>
        <w:spacing w:after="0" w:line="201" w:lineRule="exact"/>
        <w:rPr>
          <w:sz w:val="20"/>
          <w:szCs w:val="20"/>
          <w:color w:val="auto"/>
        </w:rPr>
      </w:pPr>
    </w:p>
    <w:p>
      <w:pPr>
        <w:ind w:left="960" w:hanging="21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agent must receive certificates for the original notes</w:t>
      </w:r>
    </w:p>
    <w:p>
      <w:pPr>
        <w:spacing w:after="0" w:line="4" w:lineRule="exact"/>
        <w:rPr>
          <w:rFonts w:ascii="Courier New" w:cs="Courier New" w:eastAsia="Courier New" w:hAnsi="Courier New"/>
          <w:sz w:val="18"/>
          <w:szCs w:val="18"/>
          <w:color w:val="auto"/>
        </w:rPr>
      </w:pPr>
    </w:p>
    <w:p>
      <w:pPr>
        <w:ind w:left="7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along with the letter of transmittal into its account at the depositary pursuant to the procedure for book-entry transfer described below before the expiration date;</w:t>
      </w:r>
    </w:p>
    <w:p>
      <w:pPr>
        <w:spacing w:after="0" w:line="208" w:lineRule="exact"/>
        <w:rPr>
          <w:rFonts w:ascii="Courier New" w:cs="Courier New" w:eastAsia="Courier New" w:hAnsi="Courier New"/>
          <w:sz w:val="18"/>
          <w:szCs w:val="18"/>
          <w:color w:val="auto"/>
        </w:rPr>
      </w:pPr>
    </w:p>
    <w:p>
      <w:pPr>
        <w:jc w:val="both"/>
        <w:ind w:left="740" w:right="1999" w:firstLine="5"/>
        <w:spacing w:after="0" w:line="237" w:lineRule="auto"/>
        <w:tabs>
          <w:tab w:leader="none" w:pos="95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agent must receive a timely confirmation of a book-entry transfer of the original notes, if the procedure is available, into its account at the depositary pursuant to the procedure for book-entry transfer described below before the expiration date; or</w:t>
      </w:r>
    </w:p>
    <w:p>
      <w:pPr>
        <w:spacing w:after="0" w:line="207"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comply with the guaranteed delivery procedures described below.</w:t>
      </w:r>
    </w:p>
    <w:p>
      <w:pPr>
        <w:spacing w:after="0" w:line="208" w:lineRule="exact"/>
        <w:rPr>
          <w:sz w:val="20"/>
          <w:szCs w:val="20"/>
          <w:color w:val="auto"/>
        </w:rPr>
      </w:pPr>
    </w:p>
    <w:p>
      <w:pPr>
        <w:jc w:val="both"/>
        <w:ind w:right="2199"/>
        <w:spacing w:after="0" w:line="279" w:lineRule="auto"/>
        <w:rPr>
          <w:sz w:val="20"/>
          <w:szCs w:val="20"/>
          <w:color w:val="auto"/>
        </w:rPr>
      </w:pPr>
      <w:r>
        <w:rPr>
          <w:rFonts w:ascii="Courier New" w:cs="Courier New" w:eastAsia="Courier New" w:hAnsi="Courier New"/>
          <w:sz w:val="16"/>
          <w:szCs w:val="16"/>
          <w:color w:val="auto"/>
        </w:rPr>
        <w:t>Your tender, if not withdrawn before the expiration date, will constitute an agreement between you and us in accordance with the terms and subject to the conditions described in this prospectus and in the letter of transmittal.</w:t>
      </w:r>
    </w:p>
    <w:p>
      <w:pPr>
        <w:spacing w:after="0" w:line="17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method of delivery of original notes and the letter of transmittal and all other required documents to the exchange agent is at your election and risk. We recommend that instead of delivery by mail, you use an overnight or hand delivery service, properly insured. In all cases, you should allow sufficient time to assure delivery to the exchange agent before the expiration date. You should not send letters of transmittal or original notes to us. You may request your respective brokers, dealers, commercial banks, trust companies or nominees to effect the transactions described above for you.</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are a beneficial owner of original notes whose original notes are registered in the name of a broker, dealer, commercial bank, trust company or other nominee and you wish to tender your notes, you should contact the registered holder promptly and instruct the registered holder to tender on your behalf. If you wish to tender on your own behalf, before completing and executing the letter of transmittal and delivering the original notes you must either:</w:t>
      </w:r>
    </w:p>
    <w:p>
      <w:pPr>
        <w:spacing w:after="0" w:line="211" w:lineRule="exact"/>
        <w:rPr>
          <w:sz w:val="20"/>
          <w:szCs w:val="20"/>
          <w:color w:val="auto"/>
        </w:rPr>
      </w:pPr>
    </w:p>
    <w:p>
      <w:pPr>
        <w:ind w:left="740" w:right="2199" w:firstLine="5"/>
        <w:spacing w:after="0" w:line="235" w:lineRule="auto"/>
        <w:tabs>
          <w:tab w:leader="none" w:pos="95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appropriate arrangements to register ownership of the original notes in your name; or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 properly completed bond power from the registered holder.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transfer of registered ownership may take considerable time. Unless the original notes are tendered:</w:t>
      </w:r>
    </w:p>
    <w:p>
      <w:pPr>
        <w:spacing w:after="0" w:line="203" w:lineRule="exact"/>
        <w:rPr>
          <w:sz w:val="20"/>
          <w:szCs w:val="20"/>
          <w:color w:val="auto"/>
        </w:rPr>
      </w:pPr>
    </w:p>
    <w:p>
      <w:pPr>
        <w:ind w:left="1380" w:hanging="424"/>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registered holder who has not completed the box entitled</w:t>
      </w:r>
    </w:p>
    <w:p>
      <w:pPr>
        <w:spacing w:after="0" w:line="4" w:lineRule="exact"/>
        <w:rPr>
          <w:rFonts w:ascii="Courier New" w:cs="Courier New" w:eastAsia="Courier New" w:hAnsi="Courier New"/>
          <w:sz w:val="18"/>
          <w:szCs w:val="18"/>
          <w:color w:val="auto"/>
        </w:rPr>
      </w:pPr>
    </w:p>
    <w:p>
      <w:pPr>
        <w:ind w:left="9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"Special Issuance Instructions" or the box entitled "Special Delivery Instructions" on the letter of transmittal; or</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account of:</w:t>
      </w:r>
    </w:p>
    <w:p>
      <w:pPr>
        <w:spacing w:after="0" w:line="206" w:lineRule="exact"/>
        <w:rPr>
          <w:rFonts w:ascii="Courier New" w:cs="Courier New" w:eastAsia="Courier New" w:hAnsi="Courier New"/>
          <w:sz w:val="18"/>
          <w:szCs w:val="18"/>
          <w:color w:val="auto"/>
        </w:rPr>
      </w:pPr>
    </w:p>
    <w:p>
      <w:pPr>
        <w:ind w:left="1480" w:right="1779" w:firstLine="3"/>
        <w:spacing w:after="0" w:line="235" w:lineRule="auto"/>
        <w:tabs>
          <w:tab w:leader="none" w:pos="169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firm of a registered national securities exchange or of the National Association of Securities Dealers, Inc.;</w:t>
      </w:r>
    </w:p>
    <w:p>
      <w:pPr>
        <w:spacing w:after="0" w:line="208" w:lineRule="exact"/>
        <w:rPr>
          <w:rFonts w:ascii="Courier New" w:cs="Courier New" w:eastAsia="Courier New" w:hAnsi="Courier New"/>
          <w:sz w:val="18"/>
          <w:szCs w:val="18"/>
          <w:color w:val="auto"/>
        </w:rPr>
      </w:pPr>
    </w:p>
    <w:p>
      <w:pPr>
        <w:ind w:left="1480" w:right="2839" w:firstLine="3"/>
        <w:spacing w:after="0" w:line="235" w:lineRule="auto"/>
        <w:tabs>
          <w:tab w:leader="none" w:pos="169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commercial bank or trust company having an office or correspondent in the United States;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7" w:name="page28"/>
    <w:bookmarkEnd w:id="27"/>
    <w:p>
      <w:pPr>
        <w:ind w:left="1480" w:right="1999" w:firstLine="3"/>
        <w:spacing w:after="0" w:line="237" w:lineRule="auto"/>
        <w:tabs>
          <w:tab w:leader="none" w:pos="169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"eligible guarantor institution" within the meaning of Rule 17Ad-15 under the Exchange Act that is a member of one of the recognized signature guarantee programs identified in the letter of transmittal,</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 eligible guarantor institution must guarantee the signatures on a letter of transmittal or a notice of withdrawal described below under "-- Withdrawal of tenders."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the letter of transmittal is signed by a person other than the registered holder, the original notes must be endorsed or accompanied by a properly completed bond power, signed by the registered holder as the registered holder's name appears on the original notes. If the letter of transmittal or any original notes or bond powers are signed by trustees, executors, administrators, guardians, attorneys-in-fact, officers of corporations or others acting in a fiduciary or representative capacity, they should so indicate when signing, and unless waived by us, they must submit evidence satisfactory to us of their authority to so act with the letter of transmittal.</w:t>
      </w:r>
    </w:p>
    <w:p>
      <w:pPr>
        <w:spacing w:after="0" w:line="38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exchange agent and the depositary have confirmed that any financial institution that is a participant in the depositary's system may utilize the depositary's Automated Tender Offer Program to tender notes.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will determine in our sole discretion all questions as to the validity, form, eligibility, including time of receipt, acceptance and withdrawal of tendered original notes, which determination will be final and binding. We reserve the absolute right to reject any and all original notes not properly tendered or any original notes our acceptance of which would, in the opinion of our counsel, be unlawful. We also reserve the right to waive any defects, irregularities or conditions of tender as to particular original notes. Our interpretation of the terms and conditions of the exchange offer, including the instructions in the letter of transmittal, will be final and binding on all parties. Unless waived, you must cure any defects or irregularities in connection with tenders of original notes within the time we determine. Although we intend to notify you of defects or irregularities with respect to tenders of original notes, neither we, the exchange agent nor any other person will incur any liability for failure to give you that notification. Unless waived, we will not deem tenders of original notes to have been made until you cure the defects or irregularities.</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for any original notes that remain outstanding after the expiration date. We also reserve the right to terminate the exchange offer, as described below under "-- Conditions," and, to the extent permitted by applicable law, purchase original notes in the open market, in privately negotiated transactions or otherwise. The terms of any of those purchases or offers could differ from the terms of the exchange offer.</w:t>
      </w:r>
    </w:p>
    <w:p>
      <w:pPr>
        <w:spacing w:after="0" w:line="21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you wish to tender original notes in exchange for exchange notes in the exchange offer, we will require you to represent that:</w:t>
      </w:r>
    </w:p>
    <w:p>
      <w:pPr>
        <w:spacing w:after="0" w:line="203" w:lineRule="exact"/>
        <w:rPr>
          <w:sz w:val="20"/>
          <w:szCs w:val="20"/>
          <w:color w:val="auto"/>
        </w:rPr>
      </w:pPr>
    </w:p>
    <w:p>
      <w:pPr>
        <w:ind w:left="960" w:hanging="215"/>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an affiliate of ours;</w:t>
      </w:r>
    </w:p>
    <w:p>
      <w:pPr>
        <w:spacing w:after="0" w:line="206" w:lineRule="exact"/>
        <w:rPr>
          <w:rFonts w:ascii="Courier New" w:cs="Courier New" w:eastAsia="Courier New" w:hAnsi="Courier New"/>
          <w:sz w:val="18"/>
          <w:szCs w:val="18"/>
          <w:color w:val="auto"/>
        </w:rPr>
      </w:pPr>
    </w:p>
    <w:p>
      <w:pPr>
        <w:ind w:left="740" w:right="2319" w:firstLine="5"/>
        <w:spacing w:after="0" w:line="235" w:lineRule="auto"/>
        <w:tabs>
          <w:tab w:leader="none" w:pos="95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acquire any exchange notes in the ordinary course of your business; and</w:t>
      </w:r>
    </w:p>
    <w:p>
      <w:pPr>
        <w:spacing w:after="0" w:line="208" w:lineRule="exact"/>
        <w:rPr>
          <w:rFonts w:ascii="Courier New" w:cs="Courier New" w:eastAsia="Courier New" w:hAnsi="Courier New"/>
          <w:sz w:val="18"/>
          <w:szCs w:val="18"/>
          <w:color w:val="auto"/>
        </w:rPr>
      </w:pPr>
    </w:p>
    <w:p>
      <w:pPr>
        <w:ind w:left="740" w:right="2199" w:firstLine="5"/>
        <w:spacing w:after="0" w:line="236" w:lineRule="auto"/>
        <w:tabs>
          <w:tab w:leader="none" w:pos="95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completion of the exchange offer, you have no arrangement with any person to participate in the distribution of the exchange notes.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71" w:lineRule="auto"/>
        <w:rPr>
          <w:sz w:val="20"/>
          <w:szCs w:val="20"/>
          <w:color w:val="auto"/>
        </w:rPr>
      </w:pPr>
      <w:r>
        <w:rPr>
          <w:rFonts w:ascii="Courier New" w:cs="Courier New" w:eastAsia="Courier New" w:hAnsi="Courier New"/>
          <w:sz w:val="16"/>
          <w:szCs w:val="16"/>
          <w:color w:val="auto"/>
        </w:rPr>
        <w:t>In addition, in connection with the resale of exchange notes, any participating broker-dealer who acquired the original notes for its own account as a result of market-making or other trading activities must deliver a prospectus meeting the requirements of the Securities Act. The SEC has taken the position that participating broker-dealers may fulfill their prospectus delivery requirements with respect to the exchange notes, other than a resale of an unsold allotment from the original sale of the notes, with this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RETURN OF NOTES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we do not accept any tendered original notes for any reason described in the terms and conditions of the exchange offer or if you withdraw or submit original notes for a greater principal amount than you desire to exchange, we will return the unaccepted, withdrawn or non-exchanged notes without expense to you as promptly as practicable. In the case of original notes tendered by book-entry transfer into the exchange agent's account at the depositary pursuant to the book-entry transfer procedures described below, we will credit the original notes to an account maintained with the depositary as promptly as practicable.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TRANSFER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exchange agent will make a request to establish an account with respect to the original notes at the depositary for purposes of the exchange offer, and any financial institution that is a participant in the depositary's systems may make book-entry delivery of original notes by causing the depositary to transfer the original notes into the exchange agent's account at the depositary in accordance with the depositary's procedures for transfer. However, although delivery of original notes may be effected through book-entry transfer at the depositary, you must transmit and the exchange agent must receive, the letter of transmittal or a facsimile of the letter of transmittal, with any required signature guarantees and any other required documents, at the address below under</w:t>
      </w:r>
    </w:p>
    <w:p>
      <w:pPr>
        <w:spacing w:after="0" w:line="2"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 Exchange agent" on or before the expiration date or pursuant to the guaranteed delivery procedures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wish to tender your original notes and (1) the notes are not immediately available or (2) you cannot deliver the original notes, the letter of transmittal or any other required documents to the exchange agent before the expiration date, you may effect a tender if:</w:t>
      </w:r>
    </w:p>
    <w:p>
      <w:pPr>
        <w:spacing w:after="0" w:line="202" w:lineRule="exact"/>
        <w:rPr>
          <w:sz w:val="20"/>
          <w:szCs w:val="20"/>
          <w:color w:val="auto"/>
        </w:rPr>
      </w:pPr>
    </w:p>
    <w:p>
      <w:pPr>
        <w:ind w:left="1160" w:hanging="415"/>
        <w:spacing w:after="0"/>
        <w:tabs>
          <w:tab w:leader="none" w:pos="11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is made through an eligible guarantor institution;</w:t>
      </w:r>
    </w:p>
    <w:p>
      <w:pPr>
        <w:spacing w:after="0" w:line="206"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expiration date, the exchange agent receives from the eligible guarantor institution a properly completed and duly executed notice of guaranteed delivery, substantially in the form provided by us, that:</w:t>
      </w:r>
    </w:p>
    <w:p>
      <w:pPr>
        <w:spacing w:after="0" w:line="207" w:lineRule="exact"/>
        <w:rPr>
          <w:sz w:val="20"/>
          <w:szCs w:val="20"/>
          <w:color w:val="auto"/>
        </w:rPr>
      </w:pPr>
    </w:p>
    <w:p>
      <w:pPr>
        <w:ind w:left="960" w:right="2199" w:hanging="4"/>
        <w:spacing w:after="0" w:line="290" w:lineRule="auto"/>
        <w:tabs>
          <w:tab w:leader="none" w:pos="117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states your name and address, the certificate number(s) of the original notes and the principal amount of original notes tendered,</w:t>
      </w:r>
    </w:p>
    <w:p>
      <w:pPr>
        <w:spacing w:after="0" w:line="169" w:lineRule="exact"/>
        <w:rPr>
          <w:rFonts w:ascii="Courier New" w:cs="Courier New" w:eastAsia="Courier New" w:hAnsi="Courier New"/>
          <w:sz w:val="16"/>
          <w:szCs w:val="16"/>
          <w:color w:val="auto"/>
        </w:rPr>
      </w:pPr>
    </w:p>
    <w:p>
      <w:pPr>
        <w:ind w:left="960" w:right="2199" w:hanging="4"/>
        <w:spacing w:after="0" w:line="235" w:lineRule="auto"/>
        <w:tabs>
          <w:tab w:leader="none" w:pos="117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states that the tender is being made by that notice of guaranteed delivery, and</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17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that, within three New York Stock Exchange trading days after the expiration date, the eligible guarantor institution will deposit with the exchange agent the letter of transmittal, together with the certificate(s) representing the original notes in proper form for transfer or a confirmation of a book-entry transfer, as the case may be, and any other documents required by the letter of transmittal; and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29" w:name="page30"/>
    <w:bookmarkEnd w:id="29"/>
    <w:p>
      <w:pPr>
        <w:ind w:left="740" w:right="1779" w:firstLine="5"/>
        <w:spacing w:after="0" w:line="237" w:lineRule="auto"/>
        <w:tabs>
          <w:tab w:leader="none" w:pos="116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New York Stock Exchange trading days after the expiration date, the exchange agent receives a properly executed letter of transmittal, as well as the certificate(s) representing all tendered original notes in proper form for transfer and all other documents required by the letter of transmittal.</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Upon request, the exchange agent will send to you a notice of guaranteed delivery if you wish to tender your notes according to the guaranteed delivery procedures described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Except as otherwise provided in this prospectus, you may withdraw tenders of original notes at any time before 5:00 p.m., New York City time, on the expiration date.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withdraw a tender of original notes in the exchange offer, the exchange agent must receive a written or facsimile transmission notice of withdrawal at its address listed in this prospectus before the expiration date. Any notice of withdrawal must:</w:t>
      </w:r>
    </w:p>
    <w:p>
      <w:pPr>
        <w:spacing w:after="0" w:line="207" w:lineRule="exact"/>
        <w:rPr>
          <w:sz w:val="20"/>
          <w:szCs w:val="20"/>
          <w:color w:val="auto"/>
        </w:rPr>
      </w:pPr>
    </w:p>
    <w:p>
      <w:pPr>
        <w:ind w:left="740" w:right="1999" w:firstLine="5"/>
        <w:spacing w:after="0" w:line="235" w:lineRule="auto"/>
        <w:tabs>
          <w:tab w:leader="none" w:pos="95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name of the person who deposited the original notes to be withdrawn;</w:t>
      </w:r>
    </w:p>
    <w:p>
      <w:pPr>
        <w:spacing w:after="0" w:line="208"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identify the original notes to be withdrawn, including the certificate number(s) and principal amount of the original notes; and</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signed in the same manner as the original signature on the letter of transmittal by which the original notes were tendered, including any required signature guarantees.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determine in our sole discretion all questions as to the validity, form and eligibility of the notices, and our determination will be final and binding on all parties. We will not deem any properly withdrawn original notes to have been validly tendered for purposes of the exchange offer, and we will not issue exchange notes with respect to those original notes, unless you validly retender the withdrawn original notes. You may retender properly withdrawn original notes by following one of the procedures described above under "-- Procedures for tendering" at any time before the expiration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 other term of the exchange offer, we will not be required to accept for exchange, or exchange the exchange notes for, any original notes, and may terminate the exchange offer as provided in this prospectus before the acceptance of the original notes, if, in our reasonable judgment, the exchange offer violates applicable law, rules or regulations or an applicable interpretation of the staff of the SEC.</w:t>
      </w: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determine in our reasonable discretion that any of these conditions are not satisfied, we may:</w:t>
      </w:r>
    </w:p>
    <w:p>
      <w:pPr>
        <w:spacing w:after="0" w:line="208" w:lineRule="exact"/>
        <w:rPr>
          <w:sz w:val="20"/>
          <w:szCs w:val="20"/>
          <w:color w:val="auto"/>
        </w:rPr>
      </w:pPr>
    </w:p>
    <w:p>
      <w:pPr>
        <w:ind w:left="740" w:right="2099" w:firstLine="5"/>
        <w:spacing w:after="0" w:line="235" w:lineRule="auto"/>
        <w:tabs>
          <w:tab w:leader="none" w:pos="95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refuse to accept any original notes and return all tendered original notes to you;</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exchange offer and retain all original notes tendered before the exchange offer expires, subject, however, to your rights to withdraw the original notes; or</w:t>
      </w:r>
    </w:p>
    <w:p>
      <w:pPr>
        <w:spacing w:after="0" w:line="208" w:lineRule="exact"/>
        <w:rPr>
          <w:rFonts w:ascii="Courier New" w:cs="Courier New" w:eastAsia="Courier New" w:hAnsi="Courier New"/>
          <w:sz w:val="18"/>
          <w:szCs w:val="18"/>
          <w:color w:val="auto"/>
        </w:rPr>
      </w:pPr>
    </w:p>
    <w:p>
      <w:pPr>
        <w:jc w:val="both"/>
        <w:ind w:left="740" w:right="1779" w:firstLine="5"/>
        <w:spacing w:after="0" w:line="290" w:lineRule="auto"/>
        <w:tabs>
          <w:tab w:leader="none" w:pos="95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the unsatisfied conditions with respect to the exchange offer and accept all properly tendered original notes that have not been withdrawn.</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waiver constitutes a material change to the exchange offer, we will promptly disclose the waiver by means of a prospectus supplement that we will distribute to the registered holders of the original notes, and we will extend the exchange offer for a period of five to ten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0" w:name="page31"/>
    <w:bookmarkEnd w:id="30"/>
    <w:p>
      <w:pPr>
        <w:ind w:right="1999"/>
        <w:spacing w:after="0" w:line="236" w:lineRule="auto"/>
        <w:rPr>
          <w:sz w:val="20"/>
          <w:szCs w:val="20"/>
          <w:color w:val="auto"/>
        </w:rPr>
      </w:pPr>
      <w:r>
        <w:rPr>
          <w:rFonts w:ascii="Courier New" w:cs="Courier New" w:eastAsia="Courier New" w:hAnsi="Courier New"/>
          <w:sz w:val="18"/>
          <w:szCs w:val="18"/>
          <w:color w:val="auto"/>
        </w:rPr>
        <w:t>business days, depending upon the significance of the waiver and the manner of disclosure to the registered holders, if the exchange offer would otherwise expire during the five to ten business day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RIGHTS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you are a holder of original notes, all of your rights under the registration rights agreement will terminate upon consummation of the exchange offer except with respect to our continuing obligations:</w:t>
      </w:r>
    </w:p>
    <w:p>
      <w:pPr>
        <w:spacing w:after="0" w:line="209" w:lineRule="exact"/>
        <w:rPr>
          <w:sz w:val="20"/>
          <w:szCs w:val="20"/>
          <w:color w:val="auto"/>
        </w:rPr>
      </w:pPr>
    </w:p>
    <w:p>
      <w:pPr>
        <w:ind w:left="740" w:right="2519" w:firstLine="5"/>
        <w:spacing w:after="0" w:line="235" w:lineRule="auto"/>
        <w:tabs>
          <w:tab w:leader="none" w:pos="95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you and parties related to you against liabilities, including liabilities under the Securities Act; and</w:t>
      </w:r>
    </w:p>
    <w:p>
      <w:pPr>
        <w:spacing w:after="0" w:line="208" w:lineRule="exact"/>
        <w:rPr>
          <w:rFonts w:ascii="Courier New" w:cs="Courier New" w:eastAsia="Courier New" w:hAnsi="Courier New"/>
          <w:sz w:val="18"/>
          <w:szCs w:val="18"/>
          <w:color w:val="auto"/>
        </w:rPr>
      </w:pPr>
    </w:p>
    <w:p>
      <w:pPr>
        <w:ind w:left="740" w:right="2519" w:firstLine="5"/>
        <w:spacing w:after="0" w:line="236" w:lineRule="auto"/>
        <w:tabs>
          <w:tab w:leader="none" w:pos="95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upon your request, the information required by Rule 144A(d)(4) under the Securities Act to permit resales of the notes pursuant to Rule 144A.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SHELF REGISTRATION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(1) applicable law or interpretations of the staff of the SEC do not permit us to consummate the exchange offer, (2) we do not consummate the exchange offer on or before November 6, 2002 or (3) the initial purchasers determine, upon the opinion of their counsel, that a registration statement must be filed and a prospectus must be delivered by the initial purchasers in connection with any offering or sale of the original notes, we will file with the SEC a shelf registration statement to register for public resale the registrable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purposes of the registration rights agreement, "registrable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means each original note until the earliest date on which:</w:t>
      </w:r>
    </w:p>
    <w:p>
      <w:pPr>
        <w:spacing w:after="0" w:line="207" w:lineRule="exact"/>
        <w:rPr>
          <w:sz w:val="20"/>
          <w:szCs w:val="20"/>
          <w:color w:val="auto"/>
        </w:rPr>
      </w:pPr>
    </w:p>
    <w:p>
      <w:pPr>
        <w:ind w:left="740" w:right="1999" w:firstLine="5"/>
        <w:spacing w:after="0" w:line="279" w:lineRule="auto"/>
        <w:tabs>
          <w:tab w:leader="none" w:pos="95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covering the original note has been declared effective under the Securities Act and the note has been exchanged or disposed of pursuant to such effective registration statement;</w:t>
      </w:r>
    </w:p>
    <w:p>
      <w:pPr>
        <w:spacing w:after="0" w:line="178" w:lineRule="exact"/>
        <w:rPr>
          <w:rFonts w:ascii="Courier New" w:cs="Courier New" w:eastAsia="Courier New" w:hAnsi="Courier New"/>
          <w:sz w:val="16"/>
          <w:szCs w:val="16"/>
          <w:color w:val="auto"/>
        </w:rPr>
      </w:pPr>
    </w:p>
    <w:p>
      <w:pPr>
        <w:ind w:left="740" w:right="2099" w:firstLine="5"/>
        <w:spacing w:after="0" w:line="236" w:lineRule="auto"/>
        <w:tabs>
          <w:tab w:leader="none" w:pos="95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 note is eligible to be sold pursuant to Rule 144(k) (or any similar provision then in force, but not Rule 144A) under the Securities Act; or</w:t>
      </w:r>
    </w:p>
    <w:p>
      <w:pPr>
        <w:spacing w:after="0" w:line="203"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original note ceases to be outstanding.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INTEREST ON ORIGINAL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exchange offer is not completed (or, if required, the shelf registration statement is not declared effective) on or before November 6, 2002, the annual interest rate borne by the original notes will be increased by (1) 0.50% per annum for the first 90-day period immediately following November 6, 2002 and (2) an additional 0.50% per annum with respect to each subsequent 90-day period, in each case until the exchange offer is completed or the shelf registration statement, if required, is declared effective or the original notes cease to be registrable securities, up to a maximum of 1.50% per annum of additional interest.</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agree to pay any amount of additional interest due pursuant to clause (1) or</w:t>
      </w:r>
    </w:p>
    <w:p>
      <w:pPr>
        <w:spacing w:after="0" w:line="21" w:lineRule="exact"/>
        <w:rPr>
          <w:sz w:val="20"/>
          <w:szCs w:val="20"/>
          <w:color w:val="auto"/>
        </w:rPr>
      </w:pPr>
    </w:p>
    <w:p>
      <w:pPr>
        <w:ind w:right="2099" w:firstLine="8"/>
        <w:spacing w:after="0" w:line="235" w:lineRule="auto"/>
        <w:tabs>
          <w:tab w:leader="none" w:pos="42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in cash on the same original interest payment dates as the original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have appointed State Street Bank and Trust Company, the trustee under the indenture, as exchange agent for the exchange offer. You should direct questions and requests for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1" w:name="page32"/>
    <w:bookmarkEnd w:id="31"/>
    <w:p>
      <w:pPr>
        <w:ind w:right="1999"/>
        <w:spacing w:after="0" w:line="236" w:lineRule="auto"/>
        <w:rPr>
          <w:sz w:val="20"/>
          <w:szCs w:val="20"/>
          <w:color w:val="auto"/>
        </w:rPr>
      </w:pPr>
      <w:r>
        <w:rPr>
          <w:rFonts w:ascii="Courier New" w:cs="Courier New" w:eastAsia="Courier New" w:hAnsi="Courier New"/>
          <w:sz w:val="18"/>
          <w:szCs w:val="18"/>
          <w:color w:val="auto"/>
        </w:rPr>
        <w:t>assistance, requests for additional copies of this prospectus or the letter of transmittal and requests for a notice of guaranteed delivery to the exchange agent addressed as follows: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By registered or certified mail:</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Corporate Trust Division</w:t>
      </w:r>
    </w:p>
    <w:p>
      <w:pPr>
        <w:ind w:left="1280"/>
        <w:spacing w:after="0" w:line="238" w:lineRule="auto"/>
        <w:rPr>
          <w:sz w:val="20"/>
          <w:szCs w:val="20"/>
          <w:color w:val="auto"/>
        </w:rPr>
      </w:pPr>
      <w:r>
        <w:rPr>
          <w:rFonts w:ascii="Courier New" w:cs="Courier New" w:eastAsia="Courier New" w:hAnsi="Courier New"/>
          <w:sz w:val="18"/>
          <w:szCs w:val="18"/>
          <w:color w:val="auto"/>
        </w:rPr>
        <w:t>Attn: Mackenzie Elijah</w:t>
      </w:r>
    </w:p>
    <w:p>
      <w:pPr>
        <w:ind w:left="1280"/>
        <w:spacing w:after="0"/>
        <w:rPr>
          <w:sz w:val="20"/>
          <w:szCs w:val="20"/>
          <w:color w:val="auto"/>
        </w:rPr>
      </w:pPr>
      <w:r>
        <w:rPr>
          <w:rFonts w:ascii="Courier New" w:cs="Courier New" w:eastAsia="Courier New" w:hAnsi="Courier New"/>
          <w:sz w:val="18"/>
          <w:szCs w:val="18"/>
          <w:color w:val="auto"/>
        </w:rPr>
        <w:t>2 Avenue de Lafayette</w:t>
      </w:r>
    </w:p>
    <w:p>
      <w:pPr>
        <w:ind w:left="1280"/>
        <w:spacing w:after="0" w:line="237" w:lineRule="auto"/>
        <w:rPr>
          <w:sz w:val="20"/>
          <w:szCs w:val="20"/>
          <w:color w:val="auto"/>
        </w:rPr>
      </w:pPr>
      <w:r>
        <w:rPr>
          <w:rFonts w:ascii="Courier New" w:cs="Courier New" w:eastAsia="Courier New" w:hAnsi="Courier New"/>
          <w:sz w:val="18"/>
          <w:szCs w:val="18"/>
          <w:color w:val="auto"/>
        </w:rPr>
        <w:t>Boston, MA 02111-1724</w:t>
      </w:r>
    </w:p>
    <w:p>
      <w:pPr>
        <w:ind w:left="860"/>
        <w:spacing w:after="0" w:line="238" w:lineRule="auto"/>
        <w:rPr>
          <w:sz w:val="20"/>
          <w:szCs w:val="20"/>
          <w:color w:val="auto"/>
        </w:rPr>
      </w:pPr>
      <w:r>
        <w:rPr>
          <w:rFonts w:ascii="Courier New" w:cs="Courier New" w:eastAsia="Courier New" w:hAnsi="Courier New"/>
          <w:sz w:val="18"/>
          <w:szCs w:val="18"/>
          <w:color w:val="auto"/>
        </w:rPr>
        <w:t>Reference: The Scotts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 hand or overnight delivery: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Corporate Trust Division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Trust Window, Fifth Floor</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Attn: Mackenzie Elijah</w:t>
      </w:r>
    </w:p>
    <w:p>
      <w:pPr>
        <w:ind w:left="740"/>
        <w:spacing w:after="0" w:line="238" w:lineRule="auto"/>
        <w:rPr>
          <w:sz w:val="20"/>
          <w:szCs w:val="20"/>
          <w:color w:val="auto"/>
        </w:rPr>
      </w:pPr>
      <w:r>
        <w:rPr>
          <w:rFonts w:ascii="Courier New" w:cs="Courier New" w:eastAsia="Courier New" w:hAnsi="Courier New"/>
          <w:sz w:val="18"/>
          <w:szCs w:val="18"/>
          <w:color w:val="auto"/>
        </w:rPr>
        <w:t>2 Avenue de Lafayette</w:t>
      </w:r>
    </w:p>
    <w:p>
      <w:pPr>
        <w:ind w:left="740"/>
        <w:spacing w:after="0"/>
        <w:rPr>
          <w:sz w:val="20"/>
          <w:szCs w:val="20"/>
          <w:color w:val="auto"/>
        </w:rPr>
      </w:pPr>
      <w:r>
        <w:rPr>
          <w:rFonts w:ascii="Courier New" w:cs="Courier New" w:eastAsia="Courier New" w:hAnsi="Courier New"/>
          <w:sz w:val="18"/>
          <w:szCs w:val="18"/>
          <w:color w:val="auto"/>
        </w:rPr>
        <w:t>Boston, MA 02111-1724</w:t>
      </w:r>
    </w:p>
    <w:p>
      <w:pPr>
        <w:ind w:left="320"/>
        <w:spacing w:after="0" w:line="237" w:lineRule="auto"/>
        <w:rPr>
          <w:sz w:val="20"/>
          <w:szCs w:val="20"/>
          <w:color w:val="auto"/>
        </w:rPr>
      </w:pPr>
      <w:r>
        <w:rPr>
          <w:rFonts w:ascii="Courier New" w:cs="Courier New" w:eastAsia="Courier New" w:hAnsi="Courier New"/>
          <w:sz w:val="18"/>
          <w:szCs w:val="18"/>
          <w:color w:val="auto"/>
        </w:rPr>
        <w:t>Reference: The Scotts Company</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facsimile:</w:t>
      </w:r>
    </w:p>
    <w:p>
      <w:pPr>
        <w:ind w:left="2740"/>
        <w:spacing w:after="0" w:line="238" w:lineRule="auto"/>
        <w:rPr>
          <w:sz w:val="20"/>
          <w:szCs w:val="20"/>
          <w:color w:val="auto"/>
        </w:rPr>
      </w:pPr>
      <w:r>
        <w:rPr>
          <w:rFonts w:ascii="Courier New" w:cs="Courier New" w:eastAsia="Courier New" w:hAnsi="Courier New"/>
          <w:sz w:val="18"/>
          <w:szCs w:val="18"/>
          <w:color w:val="auto"/>
        </w:rPr>
        <w:t>(Eligible institutions only)</w:t>
      </w:r>
    </w:p>
    <w:p>
      <w:pPr>
        <w:spacing w:after="0" w:line="202" w:lineRule="exact"/>
        <w:rPr>
          <w:sz w:val="20"/>
          <w:szCs w:val="20"/>
          <w:color w:val="auto"/>
        </w:rPr>
      </w:pPr>
    </w:p>
    <w:p>
      <w:pPr>
        <w:ind w:left="4120" w:hanging="636"/>
        <w:spacing w:after="0"/>
        <w:tabs>
          <w:tab w:leader="none" w:pos="41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662-1452</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The Scotts Company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information 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confirmation by telephone: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Mackenzie Elijah</w:t>
      </w:r>
    </w:p>
    <w:p>
      <w:pPr>
        <w:jc w:val="center"/>
        <w:ind w:right="1779"/>
        <w:spacing w:after="0" w:line="238" w:lineRule="auto"/>
        <w:rPr>
          <w:sz w:val="20"/>
          <w:szCs w:val="20"/>
          <w:color w:val="auto"/>
        </w:rPr>
      </w:pPr>
      <w:r>
        <w:rPr>
          <w:rFonts w:ascii="Courier New" w:cs="Courier New" w:eastAsia="Courier New" w:hAnsi="Courier New"/>
          <w:sz w:val="18"/>
          <w:szCs w:val="18"/>
          <w:color w:val="auto"/>
        </w:rPr>
        <w:t>(617) 662-1525</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Delivery to an address other than the one stated above or transmission via a facsimile number other than the one stated above will not constitute a valid delivery.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We will bear the expenses of soliciting tenders. We are making the principal solicitation by mail; however, our officers and regular employees may make additional solicitations by facsimile, telephone or in person.</w:t>
      </w:r>
    </w:p>
    <w:p>
      <w:pPr>
        <w:spacing w:after="0" w:line="17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not retained any dealer manager in connection with the exchange offer and will not make any payments to brokers, dealers or others soliciting acceptances of the exchange offer. We will, however, pay the exchange agent reasonable and customary fees for its services and will reimburse it for its reasonable out-of-pocket expenses.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will pay the cash expenses incurred in connection with the exchange offer which we estimate to be approximately $250,000. These expenses include registration fees, fees and expenses of the exchange agent and the trustee, accounting and legal fees and printing costs, among others.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all transfer taxes, if any, applicable to the exchange of notes pursuant to the exchange offer. If, however, a transfer tax is imposed for any reason other than the exchange of the original notes pursuant to the exchange offer, then you must pay the amount of the transfer taxes. If you do not submit satisfactory evidence of payment of the taxes or exemption from payment with the letter of transmittal, we will bill the amount of the transfer taxes directly to you.</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 OF FAILURES TO EXCHANGE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Participation in the exchange offer is voluntary. We urge you to consult your financial and tax advisors in making your decisions on what action to take. Original notes that are not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type w:val="continuous"/>
        </w:sectPr>
      </w:pPr>
    </w:p>
    <w:bookmarkStart w:id="32" w:name="page33"/>
    <w:bookmarkEnd w:id="32"/>
    <w:p>
      <w:pPr>
        <w:ind w:right="2199"/>
        <w:spacing w:after="0" w:line="290" w:lineRule="auto"/>
        <w:rPr>
          <w:sz w:val="20"/>
          <w:szCs w:val="20"/>
          <w:color w:val="auto"/>
        </w:rPr>
      </w:pPr>
      <w:r>
        <w:rPr>
          <w:rFonts w:ascii="Courier New" w:cs="Courier New" w:eastAsia="Courier New" w:hAnsi="Courier New"/>
          <w:sz w:val="16"/>
          <w:szCs w:val="16"/>
          <w:color w:val="auto"/>
        </w:rPr>
        <w:t>exchanged for exchange notes pursuant to the exchange offer will remain restricted securities. Accordingly, those original notes may be resold only:</w:t>
      </w:r>
    </w:p>
    <w:p>
      <w:pPr>
        <w:spacing w:after="0" w:line="170" w:lineRule="exact"/>
        <w:rPr>
          <w:sz w:val="20"/>
          <w:szCs w:val="20"/>
          <w:color w:val="auto"/>
        </w:rPr>
      </w:pPr>
    </w:p>
    <w:p>
      <w:pPr>
        <w:ind w:left="740" w:right="2199" w:firstLine="5"/>
        <w:spacing w:after="0" w:line="236" w:lineRule="auto"/>
        <w:tabs>
          <w:tab w:leader="none" w:pos="95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person whom the seller reasonably believes is a qualified institutional buyer in a transaction meeting the requirements of Rule 144A;</w:t>
      </w:r>
    </w:p>
    <w:p>
      <w:pPr>
        <w:spacing w:after="0" w:line="208" w:lineRule="exact"/>
        <w:rPr>
          <w:rFonts w:ascii="Courier New" w:cs="Courier New" w:eastAsia="Courier New" w:hAnsi="Courier New"/>
          <w:sz w:val="18"/>
          <w:szCs w:val="18"/>
          <w:color w:val="auto"/>
        </w:rPr>
      </w:pPr>
    </w:p>
    <w:p>
      <w:pPr>
        <w:ind w:left="740" w:right="2619" w:firstLine="5"/>
        <w:spacing w:after="0" w:line="235" w:lineRule="auto"/>
        <w:tabs>
          <w:tab w:leader="none" w:pos="95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transaction meeting the requirements of Rule 144 under the Securities Act;</w:t>
      </w:r>
    </w:p>
    <w:p>
      <w:pPr>
        <w:spacing w:after="0" w:line="208" w:lineRule="exact"/>
        <w:rPr>
          <w:rFonts w:ascii="Courier New" w:cs="Courier New" w:eastAsia="Courier New" w:hAnsi="Courier New"/>
          <w:sz w:val="18"/>
          <w:szCs w:val="18"/>
          <w:color w:val="auto"/>
        </w:rPr>
      </w:pPr>
    </w:p>
    <w:p>
      <w:pPr>
        <w:jc w:val="both"/>
        <w:ind w:left="740" w:right="1879" w:firstLine="5"/>
        <w:spacing w:after="0" w:line="236" w:lineRule="auto"/>
        <w:tabs>
          <w:tab w:leader="none" w:pos="95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the United States to a foreign person in a transaction meeting the requirements of Rule 903 or 904 of Regulation S under the Securities Act;</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another exemption from the registration requirements of the Securities Act and based upon an opinion of counsel if we so request;</w:t>
      </w:r>
    </w:p>
    <w:p>
      <w:pPr>
        <w:spacing w:after="0" w:line="203"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 or</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effective registration statement.</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In each case, the original notes may be resold only in accordance with any applicable securities laws of any state of the United States or any other applicable jurisdiction.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table sets forth our ratio of earnings to fixed charges for each of the periods shown: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NINE</w:t>
      </w:r>
    </w:p>
    <w:p>
      <w:pPr>
        <w:jc w:val="center"/>
        <w:ind w:right="90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9059"/>
        <w:spacing w:after="0"/>
        <w:rPr>
          <w:sz w:val="20"/>
          <w:szCs w:val="20"/>
          <w:color w:val="auto"/>
        </w:rPr>
      </w:pPr>
      <w:r>
        <w:rPr>
          <w:rFonts w:ascii="Courier New" w:cs="Courier New" w:eastAsia="Courier New" w:hAnsi="Courier New"/>
          <w:sz w:val="18"/>
          <w:szCs w:val="18"/>
          <w:color w:val="auto"/>
        </w:rPr>
        <w:t>ENDED YEAR</w:t>
      </w:r>
    </w:p>
    <w:p>
      <w:pPr>
        <w:jc w:val="center"/>
        <w:ind w:right="9059"/>
        <w:spacing w:after="0" w:line="237" w:lineRule="auto"/>
        <w:rPr>
          <w:sz w:val="20"/>
          <w:szCs w:val="20"/>
          <w:color w:val="auto"/>
        </w:rPr>
      </w:pPr>
      <w:r>
        <w:rPr>
          <w:rFonts w:ascii="Courier New" w:cs="Courier New" w:eastAsia="Courier New" w:hAnsi="Courier New"/>
          <w:sz w:val="18"/>
          <w:szCs w:val="18"/>
          <w:color w:val="auto"/>
        </w:rPr>
        <w:t>ENDED</w:t>
      </w:r>
    </w:p>
    <w:p>
      <w:pPr>
        <w:ind w:left="100"/>
        <w:spacing w:after="0" w:line="238" w:lineRule="auto"/>
        <w:rPr>
          <w:sz w:val="20"/>
          <w:szCs w:val="20"/>
          <w:color w:val="auto"/>
        </w:rPr>
      </w:pPr>
      <w:r>
        <w:rPr>
          <w:rFonts w:ascii="Courier New" w:cs="Courier New" w:eastAsia="Courier New" w:hAnsi="Courier New"/>
          <w:sz w:val="18"/>
          <w:szCs w:val="18"/>
          <w:color w:val="auto"/>
        </w:rPr>
        <w:t>SEPTEMBER</w:t>
      </w:r>
    </w:p>
    <w:p>
      <w:pPr>
        <w:ind w:left="60"/>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5"/>
        <w:spacing w:after="0"/>
        <w:tabs>
          <w:tab w:leader="none" w:pos="2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532"/>
        <w:spacing w:after="0" w:line="238" w:lineRule="auto"/>
        <w:tabs>
          <w:tab w:leader="none" w:pos="6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JUNE</w:t>
      </w:r>
    </w:p>
    <w:tbl>
      <w:tblPr>
        <w:tblLayout w:type="fixed"/>
        <w:tblInd w:w="100" w:type="dxa"/>
        <w:tblCellMar>
          <w:top w:w="0" w:type="dxa"/>
          <w:left w:w="0" w:type="dxa"/>
          <w:bottom w:w="0" w:type="dxa"/>
          <w:right w:w="0" w:type="dxa"/>
        </w:tblCellMar>
      </w:tblPr>
      <w:tr>
        <w:trPr>
          <w:trHeight w:val="203"/>
        </w:trPr>
        <w:tc>
          <w:tcPr>
            <w:tcW w:w="460" w:type="dxa"/>
            <w:vAlign w:val="bottom"/>
          </w:tcPr>
          <w:p>
            <w:pPr>
              <w:jc w:val="center"/>
              <w:spacing w:after="0"/>
              <w:rPr>
                <w:sz w:val="20"/>
                <w:szCs w:val="20"/>
                <w:color w:val="auto"/>
              </w:rPr>
            </w:pPr>
            <w:r>
              <w:rPr>
                <w:rFonts w:ascii="Courier New" w:cs="Courier New" w:eastAsia="Courier New" w:hAnsi="Courier New"/>
                <w:sz w:val="18"/>
                <w:szCs w:val="18"/>
                <w:color w:val="auto"/>
                <w:w w:val="98"/>
              </w:rPr>
              <w:t>29,</w:t>
            </w:r>
          </w:p>
        </w:tc>
        <w:tc>
          <w:tcPr>
            <w:tcW w:w="500" w:type="dxa"/>
            <w:vAlign w:val="bottom"/>
          </w:tcPr>
          <w:p>
            <w:pPr>
              <w:jc w:val="right"/>
              <w:spacing w:after="0"/>
              <w:rPr>
                <w:sz w:val="20"/>
                <w:szCs w:val="20"/>
                <w:color w:val="auto"/>
              </w:rPr>
            </w:pPr>
            <w:r>
              <w:rPr>
                <w:rFonts w:ascii="Courier New" w:cs="Courier New" w:eastAsia="Courier New" w:hAnsi="Courier New"/>
                <w:sz w:val="18"/>
                <w:szCs w:val="18"/>
                <w:color w:val="auto"/>
                <w:w w:val="97"/>
              </w:rPr>
              <w:t>1997</w:t>
            </w:r>
          </w:p>
        </w:tc>
      </w:tr>
      <w:tr>
        <w:trPr>
          <w:trHeight w:val="203"/>
        </w:trPr>
        <w:tc>
          <w:tcPr>
            <w:tcW w:w="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bl>
    <w:p>
      <w:pPr>
        <w:ind w:left="60"/>
        <w:spacing w:after="0" w:line="238" w:lineRule="auto"/>
        <w:rPr>
          <w:sz w:val="20"/>
          <w:szCs w:val="20"/>
          <w:color w:val="auto"/>
        </w:rPr>
      </w:pPr>
      <w:r>
        <w:rPr>
          <w:rFonts w:ascii="Courier New" w:cs="Courier New" w:eastAsia="Courier New" w:hAnsi="Courier New"/>
          <w:sz w:val="18"/>
          <w:szCs w:val="18"/>
          <w:color w:val="auto"/>
        </w:rPr>
        <w:t>2002 -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Ratio of</w:t>
      </w:r>
    </w:p>
    <w:p>
      <w:pPr>
        <w:jc w:val="center"/>
        <w:ind w:right="9059"/>
        <w:spacing w:after="0"/>
        <w:rPr>
          <w:sz w:val="20"/>
          <w:szCs w:val="20"/>
          <w:color w:val="auto"/>
        </w:rPr>
      </w:pPr>
      <w:r>
        <w:rPr>
          <w:rFonts w:ascii="Courier New" w:cs="Courier New" w:eastAsia="Courier New" w:hAnsi="Courier New"/>
          <w:sz w:val="18"/>
          <w:szCs w:val="18"/>
          <w:color w:val="auto"/>
        </w:rPr>
        <w:t>earnings</w:t>
      </w:r>
    </w:p>
    <w:p>
      <w:pPr>
        <w:jc w:val="center"/>
        <w:ind w:right="9059"/>
        <w:spacing w:after="0" w:line="237" w:lineRule="auto"/>
        <w:rPr>
          <w:sz w:val="20"/>
          <w:szCs w:val="20"/>
          <w:color w:val="auto"/>
        </w:rPr>
      </w:pPr>
      <w:r>
        <w:rPr>
          <w:rFonts w:ascii="Courier New" w:cs="Courier New" w:eastAsia="Courier New" w:hAnsi="Courier New"/>
          <w:sz w:val="18"/>
          <w:szCs w:val="18"/>
          <w:color w:val="auto"/>
        </w:rPr>
        <w:t>to fixed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3.3x</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2.6x</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2.3x</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2.1x</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1.3x</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3.7x</w:t>
            </w:r>
          </w:p>
        </w:tc>
      </w:tr>
    </w:tbl>
    <w:p>
      <w:pPr>
        <w:ind w:left="260" w:hanging="205"/>
        <w:spacing w:after="0" w:line="238" w:lineRule="auto"/>
        <w:tabs>
          <w:tab w:leader="none" w:pos="2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ectPr>
          <w:pgSz w:w="11900" w:h="16838" w:orient="portrait"/>
          <w:cols w:equalWidth="0" w:num="1">
            <w:col w:w="10219"/>
          </w:cols>
          <w:pgMar w:left="240" w:top="723" w:right="1440" w:bottom="0" w:gutter="0" w:footer="0" w:header="0"/>
        </w:sectPr>
      </w:pPr>
    </w:p>
    <w:bookmarkStart w:id="33" w:name="page34"/>
    <w:bookmarkEnd w:id="33"/>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issuance of the exchange notes. The net proceeds from the offering of the original notes, after deducting fees and expenses (including discounts and commissions), was approximately $69.8 million. The net proceeds were used to repay outstanding indebtedness under our revolving credit facility (without any corresponding reduction in our commitment thereunder). Our revolving credit facility commitment expires on June 30, 2005. Our credit facility bore interest at a weighted average rate of 6.82% as of June 29, 2002.</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42" w:right="1440" w:bottom="1440" w:gutter="0" w:footer="0" w:header="0"/>
        </w:sectPr>
      </w:pPr>
    </w:p>
    <w:bookmarkStart w:id="34" w:name="page35"/>
    <w:bookmarkEnd w:id="34"/>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our capitalization at June 29, 2002.</w:t>
      </w:r>
    </w:p>
    <w:p>
      <w:pPr>
        <w:spacing w:after="0" w:line="201" w:lineRule="exact"/>
        <w:rPr>
          <w:sz w:val="20"/>
          <w:szCs w:val="20"/>
          <w:color w:val="auto"/>
        </w:rPr>
      </w:pPr>
    </w:p>
    <w:p>
      <w:pPr>
        <w:ind w:left="260" w:hanging="204"/>
        <w:spacing w:after="0"/>
        <w:tabs>
          <w:tab w:leader="none" w:pos="2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MILLIONS) AS</w:t>
      </w:r>
    </w:p>
    <w:p>
      <w:pPr>
        <w:ind w:left="60"/>
        <w:spacing w:after="0"/>
        <w:rPr>
          <w:sz w:val="20"/>
          <w:szCs w:val="20"/>
          <w:color w:val="auto"/>
        </w:rPr>
      </w:pPr>
      <w:r>
        <w:rPr>
          <w:rFonts w:ascii="Courier New" w:cs="Courier New" w:eastAsia="Courier New" w:hAnsi="Courier New"/>
          <w:sz w:val="18"/>
          <w:szCs w:val="18"/>
          <w:color w:val="auto"/>
        </w:rPr>
        <w:t>OF JUNE 29, 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4739"/>
        <w:spacing w:after="0" w:line="238" w:lineRule="auto"/>
        <w:rPr>
          <w:sz w:val="20"/>
          <w:szCs w:val="20"/>
          <w:color w:val="auto"/>
        </w:rPr>
      </w:pPr>
      <w:r>
        <w:rPr>
          <w:rFonts w:ascii="Courier New" w:cs="Courier New" w:eastAsia="Courier New" w:hAnsi="Courier New"/>
          <w:sz w:val="18"/>
          <w:szCs w:val="18"/>
          <w:color w:val="auto"/>
        </w:rPr>
        <w:t>(UNAUDITED) Debt (including current portion):</w:t>
      </w:r>
    </w:p>
    <w:p>
      <w:pPr>
        <w:jc w:val="center"/>
        <w:ind w:right="4739"/>
        <w:spacing w:after="0"/>
        <w:rPr>
          <w:sz w:val="20"/>
          <w:szCs w:val="20"/>
          <w:color w:val="auto"/>
        </w:rPr>
      </w:pPr>
      <w:r>
        <w:rPr>
          <w:rFonts w:ascii="Courier New" w:cs="Courier New" w:eastAsia="Courier New" w:hAnsi="Courier New"/>
          <w:sz w:val="18"/>
          <w:szCs w:val="18"/>
          <w:color w:val="auto"/>
        </w:rPr>
        <w:t>Credit facility: Revolving credit</w:t>
      </w:r>
    </w:p>
    <w:p>
      <w:pPr>
        <w:ind w:left="160"/>
        <w:spacing w:after="0" w:line="237" w:lineRule="auto"/>
        <w:rPr>
          <w:sz w:val="20"/>
          <w:szCs w:val="20"/>
          <w:color w:val="auto"/>
        </w:rPr>
      </w:pPr>
      <w:r>
        <w:rPr>
          <w:rFonts w:ascii="Courier New" w:cs="Courier New" w:eastAsia="Courier New" w:hAnsi="Courier New"/>
          <w:sz w:val="18"/>
          <w:szCs w:val="18"/>
          <w:color w:val="auto"/>
        </w:rPr>
        <w:t>facility.............................. $ 0.3 Term</w:t>
      </w:r>
    </w:p>
    <w:p>
      <w:pPr>
        <w:ind w:left="100"/>
        <w:spacing w:after="0"/>
        <w:rPr>
          <w:sz w:val="20"/>
          <w:szCs w:val="20"/>
          <w:color w:val="auto"/>
        </w:rPr>
      </w:pPr>
      <w:r>
        <w:rPr>
          <w:rFonts w:ascii="Courier New" w:cs="Courier New" w:eastAsia="Courier New" w:hAnsi="Courier New"/>
          <w:sz w:val="18"/>
          <w:szCs w:val="18"/>
          <w:color w:val="auto"/>
        </w:rPr>
        <w:t>loans.............................................</w:t>
      </w:r>
    </w:p>
    <w:p>
      <w:pPr>
        <w:ind w:left="1060"/>
        <w:spacing w:after="0" w:line="237" w:lineRule="auto"/>
        <w:rPr>
          <w:sz w:val="20"/>
          <w:szCs w:val="20"/>
          <w:color w:val="auto"/>
        </w:rPr>
      </w:pPr>
      <w:r>
        <w:rPr>
          <w:rFonts w:ascii="Courier New" w:cs="Courier New" w:eastAsia="Courier New" w:hAnsi="Courier New"/>
          <w:sz w:val="18"/>
          <w:szCs w:val="18"/>
          <w:color w:val="auto"/>
        </w:rPr>
        <w:t>383.4 8.625% senior subordinated</w:t>
      </w:r>
    </w:p>
    <w:p>
      <w:pPr>
        <w:ind w:left="480"/>
        <w:spacing w:after="0"/>
        <w:rPr>
          <w:sz w:val="20"/>
          <w:szCs w:val="20"/>
          <w:color w:val="auto"/>
        </w:rPr>
      </w:pPr>
      <w:r>
        <w:rPr>
          <w:rFonts w:ascii="Courier New" w:cs="Courier New" w:eastAsia="Courier New" w:hAnsi="Courier New"/>
          <w:sz w:val="18"/>
          <w:szCs w:val="18"/>
          <w:color w:val="auto"/>
        </w:rPr>
        <w:t>notes(1)....................... 391.5 Other</w:t>
      </w:r>
    </w:p>
    <w:p>
      <w:pPr>
        <w:spacing w:after="0" w:line="237" w:lineRule="auto"/>
        <w:rPr>
          <w:sz w:val="20"/>
          <w:szCs w:val="20"/>
          <w:color w:val="auto"/>
        </w:rPr>
      </w:pPr>
      <w:r>
        <w:rPr>
          <w:rFonts w:ascii="Courier New" w:cs="Courier New" w:eastAsia="Courier New" w:hAnsi="Courier New"/>
          <w:sz w:val="18"/>
          <w:szCs w:val="18"/>
          <w:color w:val="auto"/>
        </w:rPr>
        <w:t>debt(2).............................................</w:t>
      </w:r>
    </w:p>
    <w:p>
      <w:pPr>
        <w:ind w:left="1740"/>
        <w:spacing w:after="0" w:line="238" w:lineRule="auto"/>
        <w:rPr>
          <w:sz w:val="20"/>
          <w:szCs w:val="20"/>
          <w:color w:val="auto"/>
        </w:rPr>
      </w:pPr>
      <w:r>
        <w:rPr>
          <w:rFonts w:ascii="Courier New" w:cs="Courier New" w:eastAsia="Courier New" w:hAnsi="Courier New"/>
          <w:sz w:val="18"/>
          <w:szCs w:val="18"/>
          <w:color w:val="auto"/>
        </w:rPr>
        <w:t>60.8 -------- Total</w:t>
      </w:r>
    </w:p>
    <w:p>
      <w:pPr>
        <w:ind w:left="260"/>
        <w:spacing w:after="0"/>
        <w:rPr>
          <w:sz w:val="20"/>
          <w:szCs w:val="20"/>
          <w:color w:val="auto"/>
        </w:rPr>
      </w:pPr>
      <w:r>
        <w:rPr>
          <w:rFonts w:ascii="Courier New" w:cs="Courier New" w:eastAsia="Courier New" w:hAnsi="Courier New"/>
          <w:sz w:val="18"/>
          <w:szCs w:val="18"/>
          <w:color w:val="auto"/>
        </w:rPr>
        <w:t>debt...........................................</w:t>
      </w:r>
    </w:p>
    <w:p>
      <w:pPr>
        <w:ind w:left="1740"/>
        <w:spacing w:after="0" w:line="237" w:lineRule="auto"/>
        <w:rPr>
          <w:sz w:val="20"/>
          <w:szCs w:val="20"/>
          <w:color w:val="auto"/>
        </w:rPr>
      </w:pPr>
      <w:r>
        <w:rPr>
          <w:rFonts w:ascii="Courier New" w:cs="Courier New" w:eastAsia="Courier New" w:hAnsi="Courier New"/>
          <w:sz w:val="18"/>
          <w:szCs w:val="18"/>
          <w:color w:val="auto"/>
        </w:rPr>
        <w:t>836.0 Shareholders'</w:t>
      </w:r>
    </w:p>
    <w:p>
      <w:pPr>
        <w:ind w:left="320"/>
        <w:spacing w:after="0"/>
        <w:rPr>
          <w:sz w:val="20"/>
          <w:szCs w:val="20"/>
          <w:color w:val="auto"/>
        </w:rPr>
      </w:pPr>
      <w:r>
        <w:rPr>
          <w:rFonts w:ascii="Courier New" w:cs="Courier New" w:eastAsia="Courier New" w:hAnsi="Courier New"/>
          <w:sz w:val="18"/>
          <w:szCs w:val="18"/>
          <w:color w:val="auto"/>
        </w:rPr>
        <w:t>equity........................................</w:t>
      </w:r>
    </w:p>
    <w:p>
      <w:pPr>
        <w:ind w:left="1680"/>
        <w:spacing w:after="0" w:line="237" w:lineRule="auto"/>
        <w:rPr>
          <w:sz w:val="20"/>
          <w:szCs w:val="20"/>
          <w:color w:val="auto"/>
        </w:rPr>
      </w:pPr>
      <w:r>
        <w:rPr>
          <w:rFonts w:ascii="Courier New" w:cs="Courier New" w:eastAsia="Courier New" w:hAnsi="Courier New"/>
          <w:sz w:val="18"/>
          <w:szCs w:val="18"/>
          <w:color w:val="auto"/>
        </w:rPr>
        <w:t>621.8 -------- Total</w:t>
      </w:r>
    </w:p>
    <w:p>
      <w:pPr>
        <w:ind w:left="260"/>
        <w:spacing w:after="0"/>
        <w:rPr>
          <w:sz w:val="20"/>
          <w:szCs w:val="20"/>
          <w:color w:val="auto"/>
        </w:rPr>
      </w:pPr>
      <w:r>
        <w:rPr>
          <w:rFonts w:ascii="Courier New" w:cs="Courier New" w:eastAsia="Courier New" w:hAnsi="Courier New"/>
          <w:sz w:val="18"/>
          <w:szCs w:val="18"/>
          <w:color w:val="auto"/>
        </w:rPr>
        <w:t>capitalization.................................</w:t>
      </w:r>
    </w:p>
    <w:p>
      <w:pPr>
        <w:ind w:left="60"/>
        <w:spacing w:after="0" w:line="237" w:lineRule="auto"/>
        <w:rPr>
          <w:sz w:val="20"/>
          <w:szCs w:val="20"/>
          <w:color w:val="auto"/>
        </w:rPr>
      </w:pPr>
      <w:r>
        <w:rPr>
          <w:rFonts w:ascii="Courier New" w:cs="Courier New" w:eastAsia="Courier New" w:hAnsi="Courier New"/>
          <w:sz w:val="18"/>
          <w:szCs w:val="18"/>
          <w:color w:val="auto"/>
        </w:rPr>
        <w:t>$1,457.8 - ----------------------------------------</w:t>
      </w:r>
    </w:p>
    <w:p>
      <w:pPr>
        <w:ind w:left="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36"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are net of the unamortized balance of $8.5 million relating to interest rate lock contracts which were settled in 1998 at a total cost of $12.9 million.</w:t>
      </w:r>
    </w:p>
    <w:p>
      <w:pPr>
        <w:spacing w:after="0" w:line="208" w:lineRule="exact"/>
        <w:rPr>
          <w:rFonts w:ascii="Courier New" w:cs="Courier New" w:eastAsia="Courier New" w:hAnsi="Courier New"/>
          <w:sz w:val="18"/>
          <w:szCs w:val="18"/>
          <w:color w:val="auto"/>
        </w:rPr>
      </w:pPr>
    </w:p>
    <w:p>
      <w:pPr>
        <w:ind w:right="1999" w:firstLine="8"/>
        <w:spacing w:after="0" w:line="290"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$38.7 million of notes due to sellers, $10.7 million of foreign bank borrowings and term loans and $11.4 million of capital lease obligations.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derived the historical financial data included in the table for, and as of the end of, each of the fiscal years in the five-year period ended September 30, 2001, from our audited consolidated financial statements. The historical financial data for the nine months ended June 30, 2001 and June 29, 2002, have been derived from our unaudited consolidated financial statements. The following other financial data have been derived from our audited and unaudited consolidated financial statements and accounting records for the respective periods. In the opinion of our management, the unaudited consolidated financial data presented below provides all normal and recurring adjustments necessary for a fair presentation of the results of operations for the periods specified. Such results, however, are not necessarily indicative of the results which may be expected for the full fiscal year. You should read the following information in conjunction with our consolidated financial statements and the notes thereto, and the information contained in "Management's discussion and analysis of financial condition and results of operations" which are incorporated by reference into this prospectus.</w:t>
      </w:r>
    </w:p>
    <w:p>
      <w:pPr>
        <w:spacing w:after="0" w:line="203" w:lineRule="exact"/>
        <w:rPr>
          <w:sz w:val="20"/>
          <w:szCs w:val="20"/>
          <w:color w:val="auto"/>
        </w:rPr>
      </w:pPr>
    </w:p>
    <w:p>
      <w:pPr>
        <w:ind w:left="260" w:hanging="204"/>
        <w:spacing w:after="0"/>
        <w:tabs>
          <w:tab w:leader="none" w:pos="2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 NINE</w:t>
      </w:r>
    </w:p>
    <w:p>
      <w:pPr>
        <w:jc w:val="center"/>
        <w:ind w:right="6839"/>
        <w:spacing w:after="0" w:line="237" w:lineRule="auto"/>
        <w:rPr>
          <w:sz w:val="20"/>
          <w:szCs w:val="20"/>
          <w:color w:val="auto"/>
        </w:rPr>
      </w:pPr>
      <w:r>
        <w:rPr>
          <w:rFonts w:ascii="Courier New" w:cs="Courier New" w:eastAsia="Courier New" w:hAnsi="Courier New"/>
          <w:sz w:val="18"/>
          <w:szCs w:val="18"/>
          <w:color w:val="auto"/>
        </w:rPr>
        <w:t>MONTHS ENDED YEAR ENDED</w:t>
      </w:r>
    </w:p>
    <w:p>
      <w:pPr>
        <w:ind w:left="60"/>
        <w:spacing w:after="0" w:line="238" w:lineRule="auto"/>
        <w:rPr>
          <w:sz w:val="20"/>
          <w:szCs w:val="20"/>
          <w:color w:val="auto"/>
        </w:rPr>
      </w:pPr>
      <w:r>
        <w:rPr>
          <w:rFonts w:ascii="Courier New" w:cs="Courier New" w:eastAsia="Courier New" w:hAnsi="Courier New"/>
          <w:sz w:val="18"/>
          <w:szCs w:val="18"/>
          <w:color w:val="auto"/>
        </w:rPr>
        <w:t>SEPTEMBER 30,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6839"/>
        <w:spacing w:after="0"/>
        <w:rPr>
          <w:sz w:val="20"/>
          <w:szCs w:val="20"/>
          <w:color w:val="auto"/>
        </w:rPr>
      </w:pPr>
      <w:r>
        <w:rPr>
          <w:rFonts w:ascii="Courier New" w:cs="Courier New" w:eastAsia="Courier New" w:hAnsi="Courier New"/>
          <w:sz w:val="18"/>
          <w:szCs w:val="18"/>
          <w:color w:val="auto"/>
        </w:rPr>
        <w:t>JUNE 30, JUNE 29, 1997 1998</w:t>
      </w:r>
    </w:p>
    <w:p>
      <w:pPr>
        <w:ind w:left="60"/>
        <w:spacing w:after="0" w:line="237" w:lineRule="auto"/>
        <w:rPr>
          <w:sz w:val="20"/>
          <w:szCs w:val="20"/>
          <w:color w:val="auto"/>
        </w:rPr>
      </w:pPr>
      <w:r>
        <w:rPr>
          <w:rFonts w:ascii="Courier New" w:cs="Courier New" w:eastAsia="Courier New" w:hAnsi="Courier New"/>
          <w:sz w:val="18"/>
          <w:szCs w:val="18"/>
          <w:color w:val="auto"/>
        </w:rPr>
        <w:t>1999 2000 2001 2001 2002 -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(UNAUDITED)</w:t>
      </w:r>
    </w:p>
    <w:p>
      <w:pPr>
        <w:jc w:val="center"/>
        <w:ind w:right="6839"/>
        <w:spacing w:after="0" w:line="237" w:lineRule="auto"/>
        <w:rPr>
          <w:sz w:val="20"/>
          <w:szCs w:val="20"/>
          <w:color w:val="auto"/>
        </w:rPr>
      </w:pPr>
      <w:r>
        <w:rPr>
          <w:rFonts w:ascii="Courier New" w:cs="Courier New" w:eastAsia="Courier New" w:hAnsi="Courier New"/>
          <w:sz w:val="18"/>
          <w:szCs w:val="18"/>
          <w:color w:val="auto"/>
        </w:rPr>
        <w:t>(UNAUDITED) (IN MILLIONS,</w:t>
      </w:r>
    </w:p>
    <w:p>
      <w:pPr>
        <w:jc w:val="center"/>
        <w:ind w:right="6839"/>
        <w:spacing w:after="0"/>
        <w:rPr>
          <w:sz w:val="20"/>
          <w:szCs w:val="20"/>
          <w:color w:val="auto"/>
        </w:rPr>
      </w:pPr>
      <w:r>
        <w:rPr>
          <w:rFonts w:ascii="Courier New" w:cs="Courier New" w:eastAsia="Courier New" w:hAnsi="Courier New"/>
          <w:sz w:val="18"/>
          <w:szCs w:val="18"/>
          <w:color w:val="auto"/>
        </w:rPr>
        <w:t>EXCEPT PER SHARE DATA)</w:t>
      </w:r>
    </w:p>
    <w:p>
      <w:pPr>
        <w:jc w:val="center"/>
        <w:ind w:right="6839"/>
        <w:spacing w:after="0" w:line="237" w:lineRule="auto"/>
        <w:rPr>
          <w:sz w:val="20"/>
          <w:szCs w:val="20"/>
          <w:color w:val="auto"/>
        </w:rPr>
      </w:pPr>
      <w:r>
        <w:rPr>
          <w:rFonts w:ascii="Courier New" w:cs="Courier New" w:eastAsia="Courier New" w:hAnsi="Courier New"/>
          <w:sz w:val="18"/>
          <w:szCs w:val="18"/>
          <w:color w:val="auto"/>
        </w:rPr>
        <w:t>OPERATING DATA: Net</w:t>
      </w:r>
    </w:p>
    <w:p>
      <w:pPr>
        <w:ind w:left="100"/>
        <w:spacing w:after="0"/>
        <w:rPr>
          <w:sz w:val="20"/>
          <w:szCs w:val="20"/>
          <w:color w:val="auto"/>
        </w:rPr>
      </w:pPr>
      <w:r>
        <w:rPr>
          <w:rFonts w:ascii="Courier New" w:cs="Courier New" w:eastAsia="Courier New" w:hAnsi="Courier New"/>
          <w:sz w:val="18"/>
          <w:szCs w:val="18"/>
          <w:color w:val="auto"/>
        </w:rPr>
        <w:t>sales(1)......................</w:t>
      </w:r>
    </w:p>
    <w:p>
      <w:pPr>
        <w:jc w:val="center"/>
        <w:ind w:right="6839"/>
        <w:spacing w:after="0" w:line="237" w:lineRule="auto"/>
        <w:rPr>
          <w:sz w:val="20"/>
          <w:szCs w:val="20"/>
          <w:color w:val="auto"/>
        </w:rPr>
      </w:pPr>
      <w:r>
        <w:rPr>
          <w:rFonts w:ascii="Courier New" w:cs="Courier New" w:eastAsia="Courier New" w:hAnsi="Courier New"/>
          <w:sz w:val="18"/>
          <w:szCs w:val="18"/>
          <w:color w:val="auto"/>
        </w:rPr>
        <w:t>$857.8 $1,066.0 $1,550.6</w:t>
      </w:r>
    </w:p>
    <w:p>
      <w:pPr>
        <w:jc w:val="center"/>
        <w:ind w:right="6839"/>
        <w:spacing w:after="0" w:line="238" w:lineRule="auto"/>
        <w:rPr>
          <w:sz w:val="20"/>
          <w:szCs w:val="20"/>
          <w:color w:val="auto"/>
        </w:rPr>
      </w:pPr>
      <w:r>
        <w:rPr>
          <w:rFonts w:ascii="Courier New" w:cs="Courier New" w:eastAsia="Courier New" w:hAnsi="Courier New"/>
          <w:sz w:val="18"/>
          <w:szCs w:val="18"/>
          <w:color w:val="auto"/>
        </w:rPr>
        <w:t>$1,655.4 $1,696.6 $1,459.1</w:t>
      </w:r>
    </w:p>
    <w:p>
      <w:pPr>
        <w:jc w:val="center"/>
        <w:ind w:right="6839"/>
        <w:spacing w:after="0"/>
        <w:rPr>
          <w:sz w:val="20"/>
          <w:szCs w:val="20"/>
          <w:color w:val="auto"/>
        </w:rPr>
      </w:pPr>
      <w:r>
        <w:rPr>
          <w:rFonts w:ascii="Courier New" w:cs="Courier New" w:eastAsia="Courier New" w:hAnsi="Courier New"/>
          <w:sz w:val="18"/>
          <w:szCs w:val="18"/>
          <w:color w:val="auto"/>
        </w:rPr>
        <w:t>$1,457.3 Gross</w:t>
      </w:r>
    </w:p>
    <w:p>
      <w:pPr>
        <w:jc w:val="center"/>
        <w:ind w:right="6839"/>
        <w:spacing w:after="0" w:line="237" w:lineRule="auto"/>
        <w:rPr>
          <w:sz w:val="20"/>
          <w:szCs w:val="20"/>
          <w:color w:val="auto"/>
        </w:rPr>
      </w:pPr>
      <w:r>
        <w:rPr>
          <w:rFonts w:ascii="Courier New" w:cs="Courier New" w:eastAsia="Courier New" w:hAnsi="Courier New"/>
          <w:sz w:val="18"/>
          <w:szCs w:val="18"/>
          <w:color w:val="auto"/>
        </w:rPr>
        <w:t>profit(1)...................</w:t>
      </w:r>
    </w:p>
    <w:p>
      <w:pPr>
        <w:ind w:left="320"/>
        <w:spacing w:after="0"/>
        <w:rPr>
          <w:sz w:val="20"/>
          <w:szCs w:val="20"/>
          <w:color w:val="auto"/>
        </w:rPr>
      </w:pPr>
      <w:r>
        <w:rPr>
          <w:rFonts w:ascii="Courier New" w:cs="Courier New" w:eastAsia="Courier New" w:hAnsi="Courier New"/>
          <w:sz w:val="18"/>
          <w:szCs w:val="18"/>
          <w:color w:val="auto"/>
        </w:rPr>
        <w:t>284.2 351.0(2) 563.3 603.0</w:t>
      </w:r>
    </w:p>
    <w:p>
      <w:pPr>
        <w:ind w:left="320"/>
        <w:spacing w:after="0" w:line="237" w:lineRule="auto"/>
        <w:rPr>
          <w:sz w:val="20"/>
          <w:szCs w:val="20"/>
          <w:color w:val="auto"/>
        </w:rPr>
      </w:pPr>
      <w:r>
        <w:rPr>
          <w:rFonts w:ascii="Courier New" w:cs="Courier New" w:eastAsia="Courier New" w:hAnsi="Courier New"/>
          <w:sz w:val="18"/>
          <w:szCs w:val="18"/>
          <w:color w:val="auto"/>
        </w:rPr>
        <w:t>597.2(2) 541.6(2) 541.6(2)</w:t>
      </w:r>
    </w:p>
    <w:p>
      <w:pPr>
        <w:jc w:val="center"/>
        <w:ind w:right="6839"/>
        <w:spacing w:after="0"/>
        <w:rPr>
          <w:sz w:val="20"/>
          <w:szCs w:val="20"/>
          <w:color w:val="auto"/>
        </w:rPr>
      </w:pPr>
      <w:r>
        <w:rPr>
          <w:rFonts w:ascii="Courier New" w:cs="Courier New" w:eastAsia="Courier New" w:hAnsi="Courier New"/>
          <w:sz w:val="18"/>
          <w:szCs w:val="18"/>
          <w:color w:val="auto"/>
        </w:rPr>
        <w:t>Roundup(R) marketing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agreement(3): Gross</w:t>
      </w:r>
    </w:p>
    <w:p>
      <w:pPr>
        <w:jc w:val="center"/>
        <w:ind w:right="6839"/>
        <w:spacing w:after="0"/>
        <w:rPr>
          <w:sz w:val="20"/>
          <w:szCs w:val="20"/>
          <w:color w:val="auto"/>
        </w:rPr>
      </w:pPr>
      <w:r>
        <w:rPr>
          <w:rFonts w:ascii="Courier New" w:cs="Courier New" w:eastAsia="Courier New" w:hAnsi="Courier New"/>
          <w:sz w:val="18"/>
          <w:szCs w:val="18"/>
          <w:color w:val="auto"/>
        </w:rPr>
        <w:t>commission................ -- -</w:t>
      </w:r>
    </w:p>
    <w:p>
      <w:pPr>
        <w:spacing w:after="0" w:line="3" w:lineRule="exact"/>
        <w:rPr>
          <w:sz w:val="20"/>
          <w:szCs w:val="20"/>
          <w:color w:val="auto"/>
        </w:rPr>
      </w:pPr>
    </w:p>
    <w:p>
      <w:pPr>
        <w:ind w:left="1060" w:right="7159" w:hanging="740"/>
        <w:spacing w:after="0" w:line="235" w:lineRule="auto"/>
        <w:tabs>
          <w:tab w:leader="none" w:pos="53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30.3 39.2 39.1 37.2 30.8 Contribution</w:t>
      </w:r>
    </w:p>
    <w:tbl>
      <w:tblPr>
        <w:tblLayout w:type="fixed"/>
        <w:tblInd w:w="60" w:type="dxa"/>
        <w:tblCellMar>
          <w:top w:w="0" w:type="dxa"/>
          <w:left w:w="0" w:type="dxa"/>
          <w:bottom w:w="0" w:type="dxa"/>
          <w:right w:w="0" w:type="dxa"/>
        </w:tblCellMar>
      </w:tblPr>
      <w:tr>
        <w:trPr>
          <w:trHeight w:val="204"/>
        </w:trPr>
        <w:tc>
          <w:tcPr>
            <w:tcW w:w="2200" w:type="dxa"/>
            <w:vAlign w:val="bottom"/>
          </w:tcPr>
          <w:p>
            <w:pPr>
              <w:jc w:val="center"/>
              <w:spacing w:after="0"/>
              <w:rPr>
                <w:sz w:val="20"/>
                <w:szCs w:val="20"/>
                <w:color w:val="auto"/>
              </w:rPr>
            </w:pPr>
            <w:r>
              <w:rPr>
                <w:rFonts w:ascii="Courier New" w:cs="Courier New" w:eastAsia="Courier New" w:hAnsi="Courier New"/>
                <w:sz w:val="18"/>
                <w:szCs w:val="18"/>
                <w:color w:val="auto"/>
                <w:w w:val="97"/>
              </w:rPr>
              <w:t>expenses(4)........</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-- 1.6</w:t>
            </w:r>
          </w:p>
        </w:tc>
      </w:tr>
      <w:tr>
        <w:trPr>
          <w:trHeight w:val="203"/>
        </w:trPr>
        <w:tc>
          <w:tcPr>
            <w:tcW w:w="3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9.9 18.3 13.8 17.5 Net</w:t>
            </w:r>
          </w:p>
        </w:tc>
      </w:tr>
      <w:tr>
        <w:trPr>
          <w:trHeight w:val="203"/>
        </w:trPr>
        <w:tc>
          <w:tcPr>
            <w:tcW w:w="2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2"/>
              </w:rPr>
              <w:t>commission..................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960" w:right="7099" w:hanging="693"/>
        <w:spacing w:after="0" w:line="235" w:lineRule="auto"/>
        <w:tabs>
          <w:tab w:leader="none" w:pos="59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28.7 29.3 20.8 23.4 13.3 Advertising(1)</w:t>
      </w: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7"/>
              </w:rPr>
              <w:t>(5).................</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42.4</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57.4</w:t>
            </w:r>
          </w:p>
        </w:tc>
      </w:tr>
      <w:tr>
        <w:trPr>
          <w:trHeight w:val="203"/>
        </w:trPr>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87.0</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89.0</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89.9</w:t>
            </w:r>
          </w:p>
        </w:tc>
        <w:tc>
          <w:tcPr>
            <w:tcW w:w="100" w:type="dxa"/>
            <w:vAlign w:val="bottom"/>
          </w:tcPr>
          <w:p>
            <w:pPr>
              <w:spacing w:after="0"/>
              <w:rPr>
                <w:sz w:val="17"/>
                <w:szCs w:val="17"/>
                <w:color w:val="auto"/>
              </w:rPr>
            </w:pPr>
          </w:p>
        </w:tc>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77.2 68.6</w:t>
            </w:r>
          </w:p>
        </w:tc>
      </w:tr>
      <w:tr>
        <w:trPr>
          <w:trHeight w:val="203"/>
        </w:trPr>
        <w:tc>
          <w:tcPr>
            <w:tcW w:w="640" w:type="dxa"/>
            <w:vAlign w:val="bottom"/>
          </w:tcPr>
          <w:p>
            <w:pPr>
              <w:spacing w:after="0"/>
              <w:rPr>
                <w:sz w:val="17"/>
                <w:szCs w:val="17"/>
                <w:color w:val="auto"/>
              </w:rPr>
            </w:pPr>
          </w:p>
        </w:tc>
        <w:tc>
          <w:tcPr>
            <w:tcW w:w="21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Selling, general and</w:t>
            </w:r>
          </w:p>
        </w:tc>
        <w:tc>
          <w:tcPr>
            <w:tcW w:w="560" w:type="dxa"/>
            <w:vAlign w:val="bottom"/>
          </w:tcPr>
          <w:p>
            <w:pPr>
              <w:spacing w:after="0"/>
              <w:rPr>
                <w:sz w:val="17"/>
                <w:szCs w:val="17"/>
                <w:color w:val="auto"/>
              </w:rPr>
            </w:pPr>
          </w:p>
        </w:tc>
      </w:tr>
      <w:tr>
        <w:trPr>
          <w:trHeight w:val="203"/>
        </w:trPr>
        <w:tc>
          <w:tcPr>
            <w:tcW w:w="2000" w:type="dxa"/>
            <w:vAlign w:val="bottom"/>
            <w:gridSpan w:val="6"/>
          </w:tcPr>
          <w:p>
            <w:pPr>
              <w:jc w:val="right"/>
              <w:spacing w:after="0"/>
              <w:rPr>
                <w:sz w:val="20"/>
                <w:szCs w:val="20"/>
                <w:color w:val="auto"/>
              </w:rPr>
            </w:pPr>
            <w:r>
              <w:rPr>
                <w:rFonts w:ascii="Courier New" w:cs="Courier New" w:eastAsia="Courier New" w:hAnsi="Courier New"/>
                <w:sz w:val="14"/>
                <w:szCs w:val="14"/>
                <w:color w:val="auto"/>
                <w:w w:val="73"/>
              </w:rPr>
              <w:t>administrative(1)...............</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131.6</w:t>
            </w:r>
          </w:p>
        </w:tc>
        <w:tc>
          <w:tcPr>
            <w:tcW w:w="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169.9(6)</w:t>
            </w:r>
          </w:p>
        </w:tc>
        <w:tc>
          <w:tcPr>
            <w:tcW w:w="142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285.5 312.0</w:t>
            </w:r>
          </w:p>
        </w:tc>
      </w:tr>
      <w:tr>
        <w:trPr>
          <w:trHeight w:val="203"/>
        </w:trPr>
        <w:tc>
          <w:tcPr>
            <w:tcW w:w="332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324.1 253.3 245.9 Restructuring</w:t>
            </w:r>
          </w:p>
        </w:tc>
      </w:tr>
      <w:tr>
        <w:trPr>
          <w:trHeight w:val="203"/>
        </w:trPr>
        <w:tc>
          <w:tcPr>
            <w:tcW w:w="200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w w:val="95"/>
              </w:rPr>
              <w:t>and other charges</w:t>
            </w:r>
          </w:p>
        </w:tc>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-- 15.4</w:t>
            </w:r>
          </w:p>
        </w:tc>
      </w:tr>
      <w:tr>
        <w:trPr>
          <w:trHeight w:val="203"/>
        </w:trPr>
        <w:tc>
          <w:tcPr>
            <w:tcW w:w="640" w:type="dxa"/>
            <w:vAlign w:val="bottom"/>
          </w:tcPr>
          <w:p>
            <w:pPr>
              <w:spacing w:after="0"/>
              <w:rPr>
                <w:sz w:val="17"/>
                <w:szCs w:val="17"/>
                <w:color w:val="auto"/>
              </w:rPr>
            </w:pPr>
          </w:p>
        </w:tc>
        <w:tc>
          <w:tcPr>
            <w:tcW w:w="21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1.4 -- 68.4 15.1 1.8</w:t>
            </w:r>
          </w:p>
        </w:tc>
        <w:tc>
          <w:tcPr>
            <w:tcW w:w="560" w:type="dxa"/>
            <w:vAlign w:val="bottom"/>
          </w:tcPr>
          <w:p>
            <w:pPr>
              <w:spacing w:after="0"/>
              <w:rPr>
                <w:sz w:val="17"/>
                <w:szCs w:val="17"/>
                <w:color w:val="auto"/>
              </w:rPr>
            </w:pPr>
          </w:p>
        </w:tc>
      </w:tr>
      <w:tr>
        <w:trPr>
          <w:trHeight w:val="203"/>
        </w:trPr>
        <w:tc>
          <w:tcPr>
            <w:tcW w:w="332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Amortization of goodwill and</w:t>
            </w:r>
          </w:p>
        </w:tc>
      </w:tr>
      <w:tr>
        <w:trPr>
          <w:trHeight w:val="203"/>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6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0"/>
              </w:rPr>
              <w:t>intangibles.....................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10.2</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12.9 25.6</w:t>
            </w:r>
          </w:p>
        </w:tc>
        <w:tc>
          <w:tcPr>
            <w:tcW w:w="1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27.1 27.7</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332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8"/>
              </w:rPr>
              <w:t>3.8 Other expense (income),</w:t>
            </w:r>
          </w:p>
        </w:tc>
      </w:tr>
      <w:tr>
        <w:trPr>
          <w:trHeight w:val="203"/>
        </w:trPr>
        <w:tc>
          <w:tcPr>
            <w:tcW w:w="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77"/>
              </w:rPr>
              <w:t>net.......</w:t>
            </w:r>
          </w:p>
        </w:tc>
        <w:tc>
          <w:tcPr>
            <w:tcW w:w="23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5.2 1.3 (3.6) (6.0)</w:t>
            </w:r>
          </w:p>
        </w:tc>
      </w:tr>
      <w:tr>
        <w:trPr>
          <w:trHeight w:val="203"/>
        </w:trPr>
        <w:tc>
          <w:tcPr>
            <w:tcW w:w="332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(8.5) (8.6) (8.9) Income from</w:t>
            </w:r>
          </w:p>
        </w:tc>
      </w:tr>
      <w:tr>
        <w:trPr>
          <w:trHeight w:val="203"/>
        </w:trPr>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6"/>
              </w:rPr>
              <w:t>operations............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94.8</w:t>
            </w:r>
          </w:p>
        </w:tc>
      </w:tr>
      <w:tr>
        <w:trPr>
          <w:trHeight w:val="203"/>
        </w:trPr>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94.1</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196.1</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210.2</w:t>
            </w:r>
          </w:p>
        </w:tc>
        <w:tc>
          <w:tcPr>
            <w:tcW w:w="10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116.4</w:t>
            </w:r>
          </w:p>
        </w:tc>
        <w:tc>
          <w:tcPr>
            <w:tcW w:w="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206.9</w:t>
            </w:r>
          </w:p>
        </w:tc>
      </w:tr>
      <w:tr>
        <w:trPr>
          <w:trHeight w:val="203"/>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5"/>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243.7 Interest</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6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71"/>
              </w:rPr>
              <w:t>expense(7)...............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32.2</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79.1 93.9</w:t>
            </w:r>
          </w:p>
        </w:tc>
        <w:tc>
          <w:tcPr>
            <w:tcW w:w="1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87.7 69.7</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w:t>
            </w:r>
          </w:p>
        </w:tc>
      </w:tr>
      <w:tr>
        <w:trPr>
          <w:trHeight w:val="203"/>
        </w:trPr>
        <w:tc>
          <w:tcPr>
            <w:tcW w:w="640" w:type="dxa"/>
            <w:vAlign w:val="bottom"/>
          </w:tcPr>
          <w:p>
            <w:pPr>
              <w:spacing w:after="0"/>
              <w:rPr>
                <w:sz w:val="17"/>
                <w:szCs w:val="17"/>
                <w:color w:val="auto"/>
              </w:rPr>
            </w:pPr>
          </w:p>
        </w:tc>
        <w:tc>
          <w:tcPr>
            <w:tcW w:w="21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Income before income</w:t>
            </w:r>
          </w:p>
        </w:tc>
        <w:tc>
          <w:tcPr>
            <w:tcW w:w="560" w:type="dxa"/>
            <w:vAlign w:val="bottom"/>
          </w:tcPr>
          <w:p>
            <w:pPr>
              <w:spacing w:after="0"/>
              <w:rPr>
                <w:sz w:val="17"/>
                <w:szCs w:val="17"/>
                <w:color w:val="auto"/>
              </w:rPr>
            </w:pPr>
          </w:p>
        </w:tc>
      </w:tr>
      <w:tr>
        <w:trPr>
          <w:trHeight w:val="203"/>
        </w:trPr>
        <w:tc>
          <w:tcPr>
            <w:tcW w:w="13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85"/>
              </w:rPr>
              <w:t>taxes........</w:t>
            </w:r>
          </w:p>
        </w:tc>
        <w:tc>
          <w:tcPr>
            <w:tcW w:w="260" w:type="dxa"/>
            <w:vAlign w:val="bottom"/>
          </w:tcPr>
          <w:p>
            <w:pPr>
              <w:spacing w:after="0"/>
              <w:rPr>
                <w:sz w:val="17"/>
                <w:szCs w:val="17"/>
                <w:color w:val="auto"/>
              </w:rPr>
            </w:pPr>
          </w:p>
        </w:tc>
        <w:tc>
          <w:tcPr>
            <w:tcW w:w="16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69.6 61.9 117.0</w:t>
            </w:r>
          </w:p>
        </w:tc>
      </w:tr>
      <w:tr>
        <w:trPr>
          <w:trHeight w:val="203"/>
        </w:trPr>
        <w:tc>
          <w:tcPr>
            <w:tcW w:w="3320" w:type="dxa"/>
            <w:vAlign w:val="bottom"/>
            <w:gridSpan w:val="9"/>
          </w:tcPr>
          <w:p>
            <w:pPr>
              <w:jc w:val="center"/>
              <w:spacing w:after="0" w:line="203" w:lineRule="exact"/>
              <w:rPr>
                <w:sz w:val="20"/>
                <w:szCs w:val="20"/>
                <w:color w:val="auto"/>
              </w:rPr>
            </w:pPr>
            <w:r>
              <w:rPr>
                <w:rFonts w:ascii="Courier New" w:cs="Courier New" w:eastAsia="Courier New" w:hAnsi="Courier New"/>
                <w:sz w:val="18"/>
                <w:szCs w:val="18"/>
                <w:color w:val="auto"/>
                <w:w w:val="97"/>
              </w:rPr>
              <w:t>116.3 28.7 137.2 184.9 Income</w:t>
            </w:r>
          </w:p>
        </w:tc>
      </w:tr>
      <w:tr>
        <w:trPr>
          <w:trHeight w:val="203"/>
        </w:trPr>
        <w:tc>
          <w:tcPr>
            <w:tcW w:w="1380" w:type="dxa"/>
            <w:vAlign w:val="bottom"/>
            <w:gridSpan w:val="3"/>
          </w:tcPr>
          <w:p>
            <w:pPr>
              <w:ind w:left="260"/>
              <w:spacing w:after="0"/>
              <w:rPr>
                <w:sz w:val="20"/>
                <w:szCs w:val="20"/>
                <w:color w:val="auto"/>
              </w:rPr>
            </w:pPr>
            <w:r>
              <w:rPr>
                <w:rFonts w:ascii="Courier New" w:cs="Courier New" w:eastAsia="Courier New" w:hAnsi="Courier New"/>
                <w:sz w:val="9"/>
                <w:szCs w:val="9"/>
                <w:color w:val="auto"/>
                <w:w w:val="75"/>
              </w:rPr>
              <w:t>taxes......................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30.1</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24.9 47.9</w:t>
            </w:r>
          </w:p>
        </w:tc>
        <w:tc>
          <w:tcPr>
            <w:tcW w:w="1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43.2 13.2</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w:t>
            </w:r>
          </w:p>
        </w:tc>
      </w:tr>
    </w:tbl>
    <w:p>
      <w:pPr>
        <w:sectPr>
          <w:pgSz w:w="11900" w:h="16838" w:orient="portrait"/>
          <w:cols w:equalWidth="0" w:num="1">
            <w:col w:w="10219"/>
          </w:cols>
          <w:pgMar w:left="240" w:top="717" w:right="1440" w:bottom="0" w:gutter="0" w:footer="0" w:header="0"/>
        </w:sectPr>
      </w:pPr>
    </w:p>
    <w:bookmarkStart w:id="36" w:name="page37"/>
    <w:bookmarkEnd w:id="36"/>
    <w:p>
      <w:pPr>
        <w:jc w:val="center"/>
        <w:ind w:right="6839"/>
        <w:spacing w:after="0"/>
        <w:rPr>
          <w:sz w:val="20"/>
          <w:szCs w:val="20"/>
          <w:color w:val="auto"/>
        </w:rPr>
      </w:pPr>
      <w:r>
        <w:rPr>
          <w:rFonts w:ascii="Courier New" w:cs="Courier New" w:eastAsia="Courier New" w:hAnsi="Courier New"/>
          <w:sz w:val="18"/>
          <w:szCs w:val="18"/>
          <w:color w:val="auto"/>
        </w:rPr>
        <w:t>71.2 Income before cumulative</w:t>
      </w:r>
    </w:p>
    <w:p>
      <w:pPr>
        <w:jc w:val="center"/>
        <w:ind w:right="6839"/>
        <w:spacing w:after="0" w:line="238" w:lineRule="auto"/>
        <w:rPr>
          <w:sz w:val="20"/>
          <w:szCs w:val="20"/>
          <w:color w:val="auto"/>
        </w:rPr>
      </w:pPr>
      <w:r>
        <w:rPr>
          <w:rFonts w:ascii="Courier New" w:cs="Courier New" w:eastAsia="Courier New" w:hAnsi="Courier New"/>
          <w:sz w:val="18"/>
          <w:szCs w:val="18"/>
          <w:color w:val="auto"/>
        </w:rPr>
        <w:t>effect of accounting</w:t>
      </w:r>
    </w:p>
    <w:tbl>
      <w:tblPr>
        <w:tblLayout w:type="fixed"/>
        <w:tblInd w:w="60" w:type="dxa"/>
        <w:tblCellMar>
          <w:top w:w="0" w:type="dxa"/>
          <w:left w:w="0" w:type="dxa"/>
          <w:bottom w:w="0" w:type="dxa"/>
          <w:right w:w="0" w:type="dxa"/>
        </w:tblCellMar>
      </w:tblP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2"/>
              </w:rPr>
              <w:t>change(8)............</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39.5 36.3</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73.1 15.5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78.9 113.7</w:t>
            </w:r>
          </w:p>
        </w:tc>
      </w:tr>
    </w:tbl>
    <w:p>
      <w:pPr>
        <w:ind w:left="60"/>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ind w:left="160"/>
        <w:spacing w:after="0"/>
        <w:rPr>
          <w:sz w:val="20"/>
          <w:szCs w:val="20"/>
          <w:color w:val="auto"/>
        </w:rPr>
      </w:pPr>
      <w:r>
        <w:rPr>
          <w:rFonts w:ascii="Courier New" w:cs="Courier New" w:eastAsia="Courier New" w:hAnsi="Courier New"/>
          <w:sz w:val="18"/>
          <w:szCs w:val="18"/>
          <w:color w:val="auto"/>
        </w:rPr>
        <w:t>change for intangible assets,</w:t>
      </w:r>
    </w:p>
    <w:p>
      <w:pPr>
        <w:jc w:val="center"/>
        <w:ind w:right="6839"/>
        <w:spacing w:after="0" w:line="237" w:lineRule="auto"/>
        <w:rPr>
          <w:sz w:val="20"/>
          <w:szCs w:val="20"/>
          <w:color w:val="auto"/>
        </w:rPr>
      </w:pPr>
      <w:r>
        <w:rPr>
          <w:rFonts w:ascii="Courier New" w:cs="Courier New" w:eastAsia="Courier New" w:hAnsi="Courier New"/>
          <w:sz w:val="18"/>
          <w:szCs w:val="18"/>
          <w:color w:val="auto"/>
        </w:rPr>
        <w:t>net of</w:t>
      </w:r>
    </w:p>
    <w:p>
      <w:pPr>
        <w:jc w:val="center"/>
        <w:ind w:right="6839"/>
        <w:spacing w:after="0" w:line="238" w:lineRule="auto"/>
        <w:rPr>
          <w:sz w:val="20"/>
          <w:szCs w:val="20"/>
          <w:color w:val="auto"/>
        </w:rPr>
      </w:pPr>
      <w:r>
        <w:rPr>
          <w:rFonts w:ascii="Courier New" w:cs="Courier New" w:eastAsia="Courier New" w:hAnsi="Courier New"/>
          <w:sz w:val="18"/>
          <w:szCs w:val="18"/>
          <w:color w:val="auto"/>
        </w:rPr>
        <w:t>tax...................... -- --</w:t>
      </w:r>
    </w:p>
    <w:p>
      <w:pPr>
        <w:spacing w:after="0" w:line="5" w:lineRule="exact"/>
        <w:rPr>
          <w:sz w:val="20"/>
          <w:szCs w:val="20"/>
          <w:color w:val="auto"/>
        </w:rPr>
      </w:pPr>
    </w:p>
    <w:p>
      <w:pPr>
        <w:ind w:left="100" w:right="6959" w:firstLine="431"/>
        <w:spacing w:after="0" w:line="268" w:lineRule="auto"/>
        <w:tabs>
          <w:tab w:leader="none" w:pos="838"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(18.5) Net income(8).....................</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39.5 36.3 63.2 73.1 15.5 78.9</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95.2 Dividends on convertible</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preferred</w:t>
      </w:r>
    </w:p>
    <w:p>
      <w:pPr>
        <w:spacing w:after="0"/>
        <w:rPr>
          <w:sz w:val="20"/>
          <w:szCs w:val="20"/>
          <w:color w:val="auto"/>
        </w:rPr>
      </w:pPr>
      <w:r>
        <w:rPr>
          <w:rFonts w:ascii="Courier New" w:cs="Courier New" w:eastAsia="Courier New" w:hAnsi="Courier New"/>
          <w:sz w:val="18"/>
          <w:szCs w:val="18"/>
          <w:color w:val="auto"/>
        </w:rPr>
        <w:t>stock...........................</w:t>
      </w:r>
    </w:p>
    <w:tbl>
      <w:tblPr>
        <w:tblLayout w:type="fixed"/>
        <w:tblInd w:w="0" w:type="dxa"/>
        <w:tblCellMar>
          <w:top w:w="0" w:type="dxa"/>
          <w:left w:w="0" w:type="dxa"/>
          <w:bottom w:w="0" w:type="dxa"/>
          <w:right w:w="0" w:type="dxa"/>
        </w:tblCellMar>
      </w:tblPr>
      <w:tr>
        <w:trPr>
          <w:trHeight w:val="202"/>
        </w:trPr>
        <w:tc>
          <w:tcPr>
            <w:tcW w:w="174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w w:val="99"/>
              </w:rPr>
              <w:t>9.8 9.8 9.7 6.4</w:t>
            </w:r>
          </w:p>
        </w:tc>
        <w:tc>
          <w:tcPr>
            <w:tcW w:w="15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6"/>
              </w:rPr>
              <w:t>-- -- -- Income</w:t>
            </w:r>
          </w:p>
        </w:tc>
      </w:tr>
      <w:tr>
        <w:trPr>
          <w:trHeight w:val="203"/>
        </w:trPr>
        <w:tc>
          <w:tcPr>
            <w:tcW w:w="600" w:type="dxa"/>
            <w:vAlign w:val="bottom"/>
          </w:tcPr>
          <w:p>
            <w:pPr>
              <w:spacing w:after="0"/>
              <w:rPr>
                <w:sz w:val="17"/>
                <w:szCs w:val="17"/>
                <w:color w:val="auto"/>
              </w:rPr>
            </w:pP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applicable to common</w:t>
            </w:r>
          </w:p>
        </w:tc>
        <w:tc>
          <w:tcPr>
            <w:tcW w:w="560" w:type="dxa"/>
            <w:vAlign w:val="bottom"/>
          </w:tcPr>
          <w:p>
            <w:pPr>
              <w:spacing w:after="0"/>
              <w:rPr>
                <w:sz w:val="17"/>
                <w:szCs w:val="17"/>
                <w:color w:val="auto"/>
              </w:rPr>
            </w:pPr>
          </w:p>
        </w:tc>
      </w:tr>
      <w:tr>
        <w:trPr>
          <w:trHeight w:val="203"/>
        </w:trPr>
        <w:tc>
          <w:tcPr>
            <w:tcW w:w="2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79"/>
              </w:rPr>
              <w:t>shareholders....................</w:t>
            </w:r>
          </w:p>
        </w:tc>
        <w:tc>
          <w:tcPr>
            <w:tcW w:w="560" w:type="dxa"/>
            <w:vAlign w:val="bottom"/>
          </w:tcPr>
          <w:p>
            <w:pPr>
              <w:spacing w:after="0"/>
              <w:rPr>
                <w:sz w:val="17"/>
                <w:szCs w:val="17"/>
                <w:color w:val="auto"/>
              </w:rPr>
            </w:pPr>
          </w:p>
        </w:tc>
      </w:tr>
      <w:tr>
        <w:trPr>
          <w:trHeight w:val="203"/>
        </w:trPr>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26.5 53.5</w:t>
            </w:r>
          </w:p>
        </w:tc>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66.7 15.5</w:t>
            </w:r>
          </w:p>
        </w:tc>
        <w:tc>
          <w:tcPr>
            <w:tcW w:w="5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95.2 Basic earnings per common</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share(9)........................</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$1.60 $ 1.42(10) $ 2.93(10) $</w:t>
      </w:r>
    </w:p>
    <w:p>
      <w:pPr>
        <w:jc w:val="center"/>
        <w:ind w:right="6839"/>
        <w:spacing w:after="0" w:line="238" w:lineRule="auto"/>
        <w:rPr>
          <w:sz w:val="20"/>
          <w:szCs w:val="20"/>
          <w:color w:val="auto"/>
        </w:rPr>
      </w:pPr>
      <w:r>
        <w:rPr>
          <w:rFonts w:ascii="Courier New" w:cs="Courier New" w:eastAsia="Courier New" w:hAnsi="Courier New"/>
          <w:sz w:val="18"/>
          <w:szCs w:val="18"/>
          <w:color w:val="auto"/>
        </w:rPr>
        <w:t>2.39 $ 0.55 $ 2.79 $ 3.27(11)</w:t>
      </w:r>
    </w:p>
    <w:p>
      <w:pPr>
        <w:jc w:val="center"/>
        <w:ind w:right="6839"/>
        <w:spacing w:after="0"/>
        <w:rPr>
          <w:sz w:val="20"/>
          <w:szCs w:val="20"/>
          <w:color w:val="auto"/>
        </w:rPr>
      </w:pPr>
      <w:r>
        <w:rPr>
          <w:rFonts w:ascii="Courier New" w:cs="Courier New" w:eastAsia="Courier New" w:hAnsi="Courier New"/>
          <w:sz w:val="18"/>
          <w:szCs w:val="18"/>
          <w:color w:val="auto"/>
        </w:rPr>
        <w:t>Diluted earnings per common</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share(9)........................</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1.35 1.20(12) 2.08(12) 2.25</w:t>
      </w:r>
    </w:p>
    <w:p>
      <w:pPr>
        <w:jc w:val="center"/>
        <w:ind w:right="6839"/>
        <w:spacing w:after="0" w:line="238" w:lineRule="auto"/>
        <w:rPr>
          <w:sz w:val="20"/>
          <w:szCs w:val="20"/>
          <w:color w:val="auto"/>
        </w:rPr>
      </w:pPr>
      <w:r>
        <w:rPr>
          <w:rFonts w:ascii="Courier New" w:cs="Courier New" w:eastAsia="Courier New" w:hAnsi="Courier New"/>
          <w:sz w:val="18"/>
          <w:szCs w:val="18"/>
          <w:color w:val="auto"/>
        </w:rPr>
        <w:t>0.51 2.61 3.01(13) Common</w:t>
      </w:r>
    </w:p>
    <w:p>
      <w:pPr>
        <w:jc w:val="center"/>
        <w:ind w:right="6839"/>
        <w:spacing w:after="0"/>
        <w:rPr>
          <w:sz w:val="20"/>
          <w:szCs w:val="20"/>
          <w:color w:val="auto"/>
        </w:rPr>
      </w:pPr>
      <w:r>
        <w:rPr>
          <w:rFonts w:ascii="Courier New" w:cs="Courier New" w:eastAsia="Courier New" w:hAnsi="Courier New"/>
          <w:sz w:val="18"/>
          <w:szCs w:val="18"/>
          <w:color w:val="auto"/>
        </w:rPr>
        <w:t>shares used in basic earnings</w:t>
      </w:r>
    </w:p>
    <w:p>
      <w:pPr>
        <w:jc w:val="center"/>
        <w:ind w:right="6839"/>
        <w:spacing w:after="0" w:line="237" w:lineRule="auto"/>
        <w:rPr>
          <w:sz w:val="20"/>
          <w:szCs w:val="20"/>
          <w:color w:val="auto"/>
        </w:rPr>
      </w:pPr>
      <w:r>
        <w:rPr>
          <w:rFonts w:ascii="Courier New" w:cs="Courier New" w:eastAsia="Courier New" w:hAnsi="Courier New"/>
          <w:sz w:val="18"/>
          <w:szCs w:val="18"/>
          <w:color w:val="auto"/>
        </w:rPr>
        <w:t>per share</w:t>
      </w:r>
    </w:p>
    <w:p>
      <w:pPr>
        <w:spacing w:after="0" w:line="238" w:lineRule="auto"/>
        <w:rPr>
          <w:sz w:val="20"/>
          <w:szCs w:val="20"/>
          <w:color w:val="auto"/>
        </w:rPr>
      </w:pPr>
      <w:r>
        <w:rPr>
          <w:rFonts w:ascii="Courier New" w:cs="Courier New" w:eastAsia="Courier New" w:hAnsi="Courier New"/>
          <w:sz w:val="18"/>
          <w:szCs w:val="18"/>
          <w:color w:val="auto"/>
        </w:rPr>
        <w:t>calculation.....................</w:t>
      </w:r>
    </w:p>
    <w:p>
      <w:pPr>
        <w:jc w:val="center"/>
        <w:ind w:right="6839"/>
        <w:spacing w:after="0"/>
        <w:rPr>
          <w:sz w:val="20"/>
          <w:szCs w:val="20"/>
          <w:color w:val="auto"/>
        </w:rPr>
      </w:pPr>
      <w:r>
        <w:rPr>
          <w:rFonts w:ascii="Courier New" w:cs="Courier New" w:eastAsia="Courier New" w:hAnsi="Courier New"/>
          <w:sz w:val="18"/>
          <w:szCs w:val="18"/>
          <w:color w:val="auto"/>
        </w:rPr>
        <w:t>18.6 18.7 18.3 27.9 28.4 28.3</w:t>
      </w:r>
    </w:p>
    <w:p>
      <w:pPr>
        <w:ind w:left="540"/>
        <w:spacing w:after="0" w:line="237" w:lineRule="auto"/>
        <w:rPr>
          <w:sz w:val="20"/>
          <w:szCs w:val="20"/>
          <w:color w:val="auto"/>
        </w:rPr>
      </w:pPr>
      <w:r>
        <w:rPr>
          <w:rFonts w:ascii="Courier New" w:cs="Courier New" w:eastAsia="Courier New" w:hAnsi="Courier New"/>
          <w:sz w:val="18"/>
          <w:szCs w:val="18"/>
          <w:color w:val="auto"/>
        </w:rPr>
        <w:t>29.1 Common shares and</w:t>
      </w:r>
    </w:p>
    <w:p>
      <w:pPr>
        <w:ind w:left="420"/>
        <w:spacing w:after="0"/>
        <w:rPr>
          <w:sz w:val="20"/>
          <w:szCs w:val="20"/>
          <w:color w:val="auto"/>
        </w:rPr>
      </w:pPr>
      <w:r>
        <w:rPr>
          <w:rFonts w:ascii="Courier New" w:cs="Courier New" w:eastAsia="Courier New" w:hAnsi="Courier New"/>
          <w:sz w:val="18"/>
          <w:szCs w:val="18"/>
          <w:color w:val="auto"/>
        </w:rPr>
        <w:t>potential shares used in</w:t>
      </w:r>
    </w:p>
    <w:p>
      <w:pPr>
        <w:ind w:left="320"/>
        <w:spacing w:after="0" w:line="237" w:lineRule="auto"/>
        <w:rPr>
          <w:sz w:val="20"/>
          <w:szCs w:val="20"/>
          <w:color w:val="auto"/>
        </w:rPr>
      </w:pPr>
      <w:r>
        <w:rPr>
          <w:rFonts w:ascii="Courier New" w:cs="Courier New" w:eastAsia="Courier New" w:hAnsi="Courier New"/>
          <w:sz w:val="18"/>
          <w:szCs w:val="18"/>
          <w:color w:val="auto"/>
        </w:rPr>
        <w:t>diluted earnings per share</w:t>
      </w:r>
    </w:p>
    <w:tbl>
      <w:tblPr>
        <w:tblLayout w:type="fixed"/>
        <w:tblInd w:w="60" w:type="dxa"/>
        <w:tblCellMar>
          <w:top w:w="0" w:type="dxa"/>
          <w:left w:w="0" w:type="dxa"/>
          <w:bottom w:w="0" w:type="dxa"/>
          <w:right w:w="0" w:type="dxa"/>
        </w:tblCellMar>
      </w:tblPr>
      <w:tr>
        <w:trPr>
          <w:trHeight w:val="203"/>
        </w:trPr>
        <w:tc>
          <w:tcPr>
            <w:tcW w:w="21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76"/>
              </w:rPr>
              <w:t>calculation...............</w:t>
            </w: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29.3</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30.5 29.6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2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OTHER FINANCIAL AND</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OPERATING</w:t>
            </w:r>
          </w:p>
        </w:tc>
      </w:tr>
    </w:tbl>
    <w:p>
      <w:pPr>
        <w:ind w:left="60"/>
        <w:spacing w:after="0" w:line="238" w:lineRule="auto"/>
        <w:rPr>
          <w:sz w:val="20"/>
          <w:szCs w:val="20"/>
          <w:color w:val="auto"/>
        </w:rPr>
      </w:pPr>
      <w:r>
        <w:rPr>
          <w:rFonts w:ascii="Courier New" w:cs="Courier New" w:eastAsia="Courier New" w:hAnsi="Courier New"/>
          <w:sz w:val="18"/>
          <w:szCs w:val="18"/>
          <w:color w:val="auto"/>
        </w:rPr>
        <w:t>DATA: Cash flows from operating</w:t>
      </w:r>
    </w:p>
    <w:p>
      <w:pPr>
        <w:spacing w:after="0"/>
        <w:rPr>
          <w:sz w:val="20"/>
          <w:szCs w:val="20"/>
          <w:color w:val="auto"/>
        </w:rPr>
      </w:pPr>
      <w:r>
        <w:rPr>
          <w:rFonts w:ascii="Courier New" w:cs="Courier New" w:eastAsia="Courier New" w:hAnsi="Courier New"/>
          <w:sz w:val="18"/>
          <w:szCs w:val="18"/>
          <w:color w:val="auto"/>
        </w:rPr>
        <w:t>activities......................</w:t>
      </w:r>
    </w:p>
    <w:p>
      <w:pPr>
        <w:jc w:val="center"/>
        <w:ind w:right="6839"/>
        <w:spacing w:after="0" w:line="237" w:lineRule="auto"/>
        <w:rPr>
          <w:sz w:val="20"/>
          <w:szCs w:val="20"/>
          <w:color w:val="auto"/>
        </w:rPr>
      </w:pPr>
      <w:r>
        <w:rPr>
          <w:rFonts w:ascii="Courier New" w:cs="Courier New" w:eastAsia="Courier New" w:hAnsi="Courier New"/>
          <w:sz w:val="18"/>
          <w:szCs w:val="18"/>
          <w:color w:val="auto"/>
        </w:rPr>
        <w:t>$121.1 $ 71.0 $ 78.2 $ 171.5 $</w:t>
      </w:r>
    </w:p>
    <w:p>
      <w:pPr>
        <w:jc w:val="center"/>
        <w:ind w:right="6839"/>
        <w:spacing w:after="0" w:line="238" w:lineRule="auto"/>
        <w:rPr>
          <w:sz w:val="20"/>
          <w:szCs w:val="20"/>
          <w:color w:val="auto"/>
        </w:rPr>
      </w:pPr>
      <w:r>
        <w:rPr>
          <w:rFonts w:ascii="Courier New" w:cs="Courier New" w:eastAsia="Courier New" w:hAnsi="Courier New"/>
          <w:sz w:val="18"/>
          <w:szCs w:val="18"/>
          <w:color w:val="auto"/>
        </w:rPr>
        <w:t>65.7 $ 65.5 $ 152.0 Cash flows</w:t>
      </w:r>
    </w:p>
    <w:p>
      <w:pPr>
        <w:jc w:val="center"/>
        <w:ind w:right="6839"/>
        <w:spacing w:after="0"/>
        <w:rPr>
          <w:sz w:val="20"/>
          <w:szCs w:val="20"/>
          <w:color w:val="auto"/>
        </w:rPr>
      </w:pPr>
      <w:r>
        <w:rPr>
          <w:rFonts w:ascii="Courier New" w:cs="Courier New" w:eastAsia="Courier New" w:hAnsi="Courier New"/>
          <w:sz w:val="18"/>
          <w:szCs w:val="18"/>
          <w:color w:val="auto"/>
        </w:rPr>
        <w:t>from investing</w:t>
      </w:r>
    </w:p>
    <w:p>
      <w:pPr>
        <w:spacing w:after="0" w:line="4"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ind w:left="320" w:hanging="211"/>
        <w:spacing w:after="0"/>
        <w:tabs>
          <w:tab w:leader="none" w:pos="3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72.5) (192.1) (571.6) (89.5)</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(101.0) (70.7) (66.6) Cash</w:t>
      </w:r>
    </w:p>
    <w:p>
      <w:pPr>
        <w:jc w:val="center"/>
        <w:ind w:right="6839"/>
        <w:spacing w:after="0"/>
        <w:rPr>
          <w:sz w:val="20"/>
          <w:szCs w:val="20"/>
          <w:color w:val="auto"/>
        </w:rPr>
      </w:pPr>
      <w:r>
        <w:rPr>
          <w:rFonts w:ascii="Courier New" w:cs="Courier New" w:eastAsia="Courier New" w:hAnsi="Courier New"/>
          <w:sz w:val="18"/>
          <w:szCs w:val="18"/>
          <w:color w:val="auto"/>
        </w:rPr>
        <w:t>flows from financing</w:t>
      </w:r>
    </w:p>
    <w:p>
      <w:pPr>
        <w:spacing w:after="0" w:line="237" w:lineRule="auto"/>
        <w:rPr>
          <w:sz w:val="20"/>
          <w:szCs w:val="20"/>
          <w:color w:val="auto"/>
        </w:rPr>
      </w:pPr>
      <w:r>
        <w:rPr>
          <w:rFonts w:ascii="Courier New" w:cs="Courier New" w:eastAsia="Courier New" w:hAnsi="Courier New"/>
          <w:sz w:val="18"/>
          <w:szCs w:val="18"/>
          <w:color w:val="auto"/>
        </w:rPr>
        <w:t>activities......................</w:t>
      </w:r>
    </w:p>
    <w:p>
      <w:pPr>
        <w:ind w:left="260" w:hanging="203"/>
        <w:spacing w:after="0" w:line="238" w:lineRule="auto"/>
        <w:tabs>
          <w:tab w:leader="none" w:pos="2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46.2) 118.4 513.9 (78.2) 21.4</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45.7 29.8</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36" w:right="1440" w:bottom="1440" w:gutter="0" w:footer="0" w:header="0"/>
        </w:sectPr>
      </w:pPr>
    </w:p>
    <w:bookmarkStart w:id="37" w:name="page38"/>
    <w:bookmarkEnd w:id="37"/>
    <w:p>
      <w:pPr>
        <w:ind w:left="260" w:hanging="201"/>
        <w:spacing w:after="0"/>
        <w:tabs>
          <w:tab w:leader="none" w:pos="2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 NINE MONTHS</w:t>
      </w:r>
    </w:p>
    <w:p>
      <w:pPr>
        <w:ind w:left="60"/>
        <w:spacing w:after="0" w:line="237" w:lineRule="auto"/>
        <w:rPr>
          <w:sz w:val="20"/>
          <w:szCs w:val="20"/>
          <w:color w:val="auto"/>
        </w:rPr>
      </w:pPr>
      <w:r>
        <w:rPr>
          <w:rFonts w:ascii="Courier New" w:cs="Courier New" w:eastAsia="Courier New" w:hAnsi="Courier New"/>
          <w:sz w:val="18"/>
          <w:szCs w:val="18"/>
          <w:color w:val="auto"/>
        </w:rPr>
        <w:t>ENDED 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JUNE 30, JUNE 29, 1997</w:t>
      </w:r>
    </w:p>
    <w:p>
      <w:pPr>
        <w:ind w:left="60"/>
        <w:spacing w:after="0"/>
        <w:rPr>
          <w:sz w:val="20"/>
          <w:szCs w:val="20"/>
          <w:color w:val="auto"/>
        </w:rPr>
      </w:pPr>
      <w:r>
        <w:rPr>
          <w:rFonts w:ascii="Courier New" w:cs="Courier New" w:eastAsia="Courier New" w:hAnsi="Courier New"/>
          <w:sz w:val="18"/>
          <w:szCs w:val="18"/>
          <w:color w:val="auto"/>
        </w:rPr>
        <w:t>1998 1999 2000 2001 2001 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 (UNAUDITED)</w:t>
      </w:r>
    </w:p>
    <w:p>
      <w:pPr>
        <w:jc w:val="center"/>
        <w:ind w:right="6619"/>
        <w:spacing w:after="0"/>
        <w:rPr>
          <w:sz w:val="20"/>
          <w:szCs w:val="20"/>
          <w:color w:val="auto"/>
        </w:rPr>
      </w:pPr>
      <w:r>
        <w:rPr>
          <w:rFonts w:ascii="Courier New" w:cs="Courier New" w:eastAsia="Courier New" w:hAnsi="Courier New"/>
          <w:sz w:val="18"/>
          <w:szCs w:val="18"/>
          <w:color w:val="auto"/>
        </w:rPr>
        <w:t>(UNAUDITED) (IN MILLIONS, EXCEPT</w:t>
      </w:r>
    </w:p>
    <w:p>
      <w:pPr>
        <w:jc w:val="center"/>
        <w:ind w:right="6619"/>
        <w:spacing w:after="0" w:line="237" w:lineRule="auto"/>
        <w:rPr>
          <w:sz w:val="20"/>
          <w:szCs w:val="20"/>
          <w:color w:val="auto"/>
        </w:rPr>
      </w:pPr>
      <w:r>
        <w:rPr>
          <w:rFonts w:ascii="Courier New" w:cs="Courier New" w:eastAsia="Courier New" w:hAnsi="Courier New"/>
          <w:sz w:val="18"/>
          <w:szCs w:val="18"/>
          <w:color w:val="auto"/>
        </w:rPr>
        <w:t>PER SHARE DATA) Adjusted</w:t>
      </w:r>
    </w:p>
    <w:tbl>
      <w:tblPr>
        <w:tblLayout w:type="fixed"/>
        <w:tblInd w:w="0" w:type="dxa"/>
        <w:tblCellMar>
          <w:top w:w="0" w:type="dxa"/>
          <w:left w:w="0" w:type="dxa"/>
          <w:bottom w:w="0" w:type="dxa"/>
          <w:right w:w="0" w:type="dxa"/>
        </w:tblCellMar>
      </w:tblPr>
      <w:tr>
        <w:trPr>
          <w:trHeight w:val="203"/>
        </w:trPr>
        <w:tc>
          <w:tcPr>
            <w:tcW w:w="142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EBITDA(14)...............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121.6</w:t>
            </w:r>
          </w:p>
        </w:tc>
        <w:tc>
          <w:tcPr>
            <w:tcW w:w="100" w:type="dxa"/>
            <w:vAlign w:val="bottom"/>
          </w:tcPr>
          <w:p>
            <w:pPr>
              <w:spacing w:after="0"/>
              <w:rPr>
                <w:sz w:val="17"/>
                <w:szCs w:val="17"/>
                <w:color w:val="auto"/>
              </w:rPr>
            </w:pPr>
          </w:p>
        </w:tc>
      </w:tr>
      <w:tr>
        <w:trPr>
          <w:trHeight w:val="203"/>
        </w:trPr>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2"/>
              </w:rPr>
              <w:t>149.0</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253.7</w:t>
            </w:r>
          </w:p>
        </w:tc>
        <w:tc>
          <w:tcPr>
            <w:tcW w:w="7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271.2</w:t>
            </w:r>
          </w:p>
        </w:tc>
        <w:tc>
          <w:tcPr>
            <w:tcW w:w="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255.7</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270.9</w:t>
            </w: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279.3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2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6"/>
              </w:rPr>
              <w:t>Depreciation......................</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16.6</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21.6</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29.0</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29.0</w:t>
            </w:r>
          </w:p>
        </w:tc>
        <w:tc>
          <w:tcPr>
            <w:tcW w:w="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32.6</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w:t>
            </w:r>
          </w:p>
        </w:tc>
        <w:tc>
          <w:tcPr>
            <w:tcW w:w="1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740" w:type="dxa"/>
            <w:vAlign w:val="bottom"/>
            <w:gridSpan w:val="6"/>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26.0 Capital</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73"/>
              </w:rPr>
              <w:t>expenditures..............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c>
          <w:tcPr>
            <w:tcW w:w="100" w:type="dxa"/>
            <w:vAlign w:val="bottom"/>
          </w:tcPr>
          <w:p>
            <w:pPr>
              <w:spacing w:after="0"/>
              <w:rPr>
                <w:sz w:val="17"/>
                <w:szCs w:val="17"/>
                <w:color w:val="auto"/>
              </w:rPr>
            </w:pPr>
          </w:p>
        </w:tc>
      </w:tr>
      <w:tr>
        <w:trPr>
          <w:trHeight w:val="203"/>
        </w:trPr>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41.3</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66.7</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72.5</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63.4</w:t>
            </w:r>
          </w:p>
        </w:tc>
        <w:tc>
          <w:tcPr>
            <w:tcW w:w="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36.2</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33.9</w:t>
            </w:r>
          </w:p>
        </w:tc>
        <w:tc>
          <w:tcPr>
            <w:tcW w:w="100" w:type="dxa"/>
            <w:vAlign w:val="bottom"/>
          </w:tcPr>
          <w:p>
            <w:pPr>
              <w:spacing w:after="0"/>
              <w:rPr>
                <w:sz w:val="17"/>
                <w:szCs w:val="17"/>
                <w:color w:val="auto"/>
              </w:rPr>
            </w:pPr>
          </w:p>
        </w:tc>
      </w:tr>
      <w:tr>
        <w:trPr>
          <w:trHeight w:val="203"/>
        </w:trPr>
        <w:tc>
          <w:tcPr>
            <w:tcW w:w="3440" w:type="dxa"/>
            <w:vAlign w:val="bottom"/>
            <w:gridSpan w:val="9"/>
          </w:tcPr>
          <w:p>
            <w:pPr>
              <w:jc w:val="center"/>
              <w:ind w:left="84"/>
              <w:spacing w:after="0" w:line="203" w:lineRule="exact"/>
              <w:rPr>
                <w:sz w:val="20"/>
                <w:szCs w:val="20"/>
                <w:color w:val="auto"/>
              </w:rPr>
            </w:pPr>
            <w:r>
              <w:rPr>
                <w:rFonts w:ascii="Courier New" w:cs="Courier New" w:eastAsia="Courier New" w:hAnsi="Courier New"/>
                <w:sz w:val="18"/>
                <w:szCs w:val="18"/>
                <w:color w:val="auto"/>
                <w:w w:val="97"/>
              </w:rPr>
              <w:t>BALANCE SHEET DATA: Working</w:t>
            </w:r>
          </w:p>
        </w:tc>
        <w:tc>
          <w:tcPr>
            <w:tcW w:w="10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capital...................</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$146.5</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$ 135.3</w:t>
            </w:r>
          </w:p>
        </w:tc>
        <w:tc>
          <w:tcPr>
            <w:tcW w:w="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$ 274.8</w:t>
            </w:r>
          </w:p>
        </w:tc>
        <w:tc>
          <w:tcPr>
            <w:tcW w:w="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$ 234.1</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$ 249.1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80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332.2</w:t>
            </w:r>
          </w:p>
        </w:tc>
        <w:tc>
          <w:tcPr>
            <w:tcW w:w="100" w:type="dxa"/>
            <w:vAlign w:val="bottom"/>
          </w:tcPr>
          <w:p>
            <w:pPr>
              <w:spacing w:after="0"/>
              <w:rPr>
                <w:sz w:val="17"/>
                <w:szCs w:val="17"/>
                <w:color w:val="auto"/>
              </w:rPr>
            </w:pP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$ 321.2 Total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2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5"/>
              </w:rPr>
              <w:t>assets......................</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2"/>
              </w:rPr>
              <w:t>787.6</w:t>
            </w:r>
          </w:p>
        </w:tc>
        <w:tc>
          <w:tcPr>
            <w:tcW w:w="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1,035.2</w:t>
            </w:r>
          </w:p>
        </w:tc>
        <w:tc>
          <w:tcPr>
            <w:tcW w:w="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1,769.6</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1,761.4</w:t>
            </w:r>
          </w:p>
        </w:tc>
        <w:tc>
          <w:tcPr>
            <w:tcW w:w="100" w:type="dxa"/>
            <w:vAlign w:val="bottom"/>
          </w:tcPr>
          <w:p>
            <w:pPr>
              <w:spacing w:after="0"/>
              <w:rPr>
                <w:sz w:val="17"/>
                <w:szCs w:val="17"/>
                <w:color w:val="auto"/>
              </w:rPr>
            </w:pPr>
          </w:p>
        </w:tc>
      </w:tr>
      <w:tr>
        <w:trPr>
          <w:trHeight w:val="203"/>
        </w:trPr>
        <w:tc>
          <w:tcPr>
            <w:tcW w:w="3440" w:type="dxa"/>
            <w:vAlign w:val="bottom"/>
            <w:gridSpan w:val="9"/>
          </w:tcPr>
          <w:p>
            <w:pPr>
              <w:jc w:val="center"/>
              <w:ind w:left="84"/>
              <w:spacing w:after="0" w:line="203" w:lineRule="exact"/>
              <w:rPr>
                <w:sz w:val="20"/>
                <w:szCs w:val="20"/>
                <w:color w:val="auto"/>
              </w:rPr>
            </w:pPr>
            <w:r>
              <w:rPr>
                <w:rFonts w:ascii="Courier New" w:cs="Courier New" w:eastAsia="Courier New" w:hAnsi="Courier New"/>
                <w:sz w:val="18"/>
                <w:szCs w:val="18"/>
                <w:color w:val="auto"/>
                <w:w w:val="97"/>
              </w:rPr>
              <w:t>1,843.0 2,003.9 2,070.1 Total</w:t>
            </w:r>
          </w:p>
        </w:tc>
        <w:tc>
          <w:tcPr>
            <w:tcW w:w="10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debt........................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2"/>
              </w:rPr>
              <w:t>221.3</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372.5</w:t>
            </w:r>
          </w:p>
        </w:tc>
        <w:tc>
          <w:tcPr>
            <w:tcW w:w="7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950.0</w:t>
            </w:r>
          </w:p>
        </w:tc>
        <w:tc>
          <w:tcPr>
            <w:tcW w:w="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862.8</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887.8</w:t>
            </w:r>
          </w:p>
        </w:tc>
        <w:tc>
          <w:tcPr>
            <w:tcW w:w="100" w:type="dxa"/>
            <w:vAlign w:val="bottom"/>
          </w:tcPr>
          <w:p>
            <w:pPr>
              <w:spacing w:after="0"/>
              <w:rPr>
                <w:sz w:val="17"/>
                <w:szCs w:val="17"/>
                <w:color w:val="auto"/>
              </w:rPr>
            </w:pPr>
          </w:p>
        </w:tc>
      </w:tr>
      <w:tr>
        <w:trPr>
          <w:trHeight w:val="203"/>
        </w:trPr>
        <w:tc>
          <w:tcPr>
            <w:tcW w:w="3440" w:type="dxa"/>
            <w:vAlign w:val="bottom"/>
            <w:gridSpan w:val="9"/>
          </w:tcPr>
          <w:p>
            <w:pPr>
              <w:jc w:val="center"/>
              <w:ind w:left="84"/>
              <w:spacing w:after="0" w:line="203" w:lineRule="exact"/>
              <w:rPr>
                <w:sz w:val="20"/>
                <w:szCs w:val="20"/>
                <w:color w:val="auto"/>
              </w:rPr>
            </w:pPr>
            <w:r>
              <w:rPr>
                <w:rFonts w:ascii="Courier New" w:cs="Courier New" w:eastAsia="Courier New" w:hAnsi="Courier New"/>
                <w:sz w:val="18"/>
                <w:szCs w:val="18"/>
                <w:color w:val="auto"/>
                <w:w w:val="97"/>
              </w:rPr>
              <w:t>896.7 836.0 Shareholders'</w:t>
            </w:r>
          </w:p>
        </w:tc>
        <w:tc>
          <w:tcPr>
            <w:tcW w:w="10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equity..............</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389.2 403.9</w:t>
            </w:r>
          </w:p>
        </w:tc>
      </w:tr>
    </w:tbl>
    <w:p>
      <w:pPr>
        <w:ind w:left="60"/>
        <w:spacing w:after="0" w:line="238" w:lineRule="auto"/>
        <w:rPr>
          <w:sz w:val="20"/>
          <w:szCs w:val="20"/>
          <w:color w:val="auto"/>
        </w:rPr>
      </w:pPr>
      <w:r>
        <w:rPr>
          <w:rFonts w:ascii="Courier New" w:cs="Courier New" w:eastAsia="Courier New" w:hAnsi="Courier New"/>
          <w:sz w:val="18"/>
          <w:szCs w:val="18"/>
          <w:color w:val="auto"/>
        </w:rPr>
        <w:t>443.3 477.9 506.2 566.6 621.8 -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8"/>
        <w:spacing w:after="0" w:line="237"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fiscal 2002, we adopted an accounting policy that requires that certain consideration from a vendor to a retailer be classified as a reduction in sales. Like may other companies, we have historically classified these as advertising and promotion costs. The information for all periods presented reflects this new method of presentation. The amounts reclassified as a result of adopting this new accounting policy are as follows:</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YEAR ENDED SEPTEMBER 30, -----</w:t>
      </w:r>
    </w:p>
    <w:tbl>
      <w:tblPr>
        <w:tblLayout w:type="fixed"/>
        <w:tblInd w:w="0" w:type="dxa"/>
        <w:tblCellMar>
          <w:top w:w="0" w:type="dxa"/>
          <w:left w:w="0" w:type="dxa"/>
          <w:bottom w:w="0" w:type="dxa"/>
          <w:right w:w="0" w:type="dxa"/>
        </w:tblCellMar>
      </w:tblP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w:t>
            </w:r>
          </w:p>
        </w:tc>
        <w:tc>
          <w:tcPr>
            <w:tcW w:w="4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JUNE 30, 1997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1998 1999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2001 ------</w:t>
            </w:r>
          </w:p>
        </w:tc>
        <w:tc>
          <w:tcPr>
            <w:tcW w:w="4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203"/>
        </w:trPr>
        <w:tc>
          <w:tcPr>
            <w:tcW w:w="960" w:type="dxa"/>
            <w:vAlign w:val="bottom"/>
          </w:tcPr>
          <w:p>
            <w:pPr>
              <w:spacing w:after="0"/>
              <w:rPr>
                <w:sz w:val="17"/>
                <w:szCs w:val="17"/>
                <w:color w:val="auto"/>
              </w:rPr>
            </w:pPr>
          </w:p>
        </w:tc>
        <w:tc>
          <w:tcPr>
            <w:tcW w:w="300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 (UNAUDITED) Net</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sales........................................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6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$(13.9)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$(17.3) $(51.9)</w:t>
            </w:r>
          </w:p>
        </w:tc>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$(53.6) $(51.1) $(40.3)</w:t>
            </w:r>
          </w:p>
        </w:tc>
      </w:tr>
      <w:tr>
        <w:trPr>
          <w:trHeight w:val="203"/>
        </w:trPr>
        <w:tc>
          <w:tcPr>
            <w:tcW w:w="960" w:type="dxa"/>
            <w:vAlign w:val="bottom"/>
          </w:tcPr>
          <w:p>
            <w:pPr>
              <w:spacing w:after="0"/>
              <w:rPr>
                <w:sz w:val="17"/>
                <w:szCs w:val="17"/>
                <w:color w:val="auto"/>
              </w:rPr>
            </w:pPr>
          </w:p>
        </w:tc>
        <w:tc>
          <w:tcPr>
            <w:tcW w:w="1940" w:type="dxa"/>
            <w:vAlign w:val="bottom"/>
            <w:gridSpan w:val="2"/>
          </w:tcPr>
          <w:p>
            <w:pPr>
              <w:jc w:val="center"/>
              <w:ind w:left="1232"/>
              <w:spacing w:after="0" w:line="203" w:lineRule="exact"/>
              <w:rPr>
                <w:sz w:val="20"/>
                <w:szCs w:val="20"/>
                <w:color w:val="auto"/>
              </w:rPr>
            </w:pPr>
            <w:r>
              <w:rPr>
                <w:rFonts w:ascii="Courier New" w:cs="Courier New" w:eastAsia="Courier New" w:hAnsi="Courier New"/>
                <w:sz w:val="18"/>
                <w:szCs w:val="18"/>
                <w:color w:val="auto"/>
                <w:w w:val="99"/>
              </w:rPr>
              <w:t>Gross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profit.....................................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 (17.3) (51.9)</w:t>
            </w:r>
          </w:p>
        </w:tc>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(55.5) (54.2) (42.8)</w:t>
            </w:r>
          </w:p>
        </w:tc>
      </w:tr>
      <w:tr>
        <w:trPr>
          <w:trHeight w:val="203"/>
        </w:trPr>
        <w:tc>
          <w:tcPr>
            <w:tcW w:w="2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5"/>
              </w:rPr>
              <w:t>Advertising......................................</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 (17.3) (56.2)</w:t>
            </w:r>
          </w:p>
        </w:tc>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(64.8) (61.1) (50.6)</w:t>
            </w:r>
          </w:p>
        </w:tc>
      </w:tr>
      <w:tr>
        <w:trPr>
          <w:trHeight w:val="203"/>
        </w:trPr>
        <w:tc>
          <w:tcPr>
            <w:tcW w:w="960" w:type="dxa"/>
            <w:vAlign w:val="bottom"/>
          </w:tcPr>
          <w:p>
            <w:pPr>
              <w:spacing w:after="0"/>
              <w:rPr>
                <w:sz w:val="17"/>
                <w:szCs w:val="17"/>
                <w:color w:val="auto"/>
              </w:rPr>
            </w:pPr>
          </w:p>
        </w:tc>
        <w:tc>
          <w:tcPr>
            <w:tcW w:w="300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Selling, general and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administrative..............</w:t>
            </w:r>
          </w:p>
        </w:tc>
        <w:tc>
          <w:tcPr>
            <w:tcW w:w="2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-- 4.3 9.3 6.9</w:t>
            </w:r>
          </w:p>
        </w:tc>
      </w:tr>
      <w:tr>
        <w:trPr>
          <w:trHeight w:val="203"/>
        </w:trPr>
        <w:tc>
          <w:tcPr>
            <w:tcW w:w="960" w:type="dxa"/>
            <w:vAlign w:val="bottom"/>
          </w:tcPr>
          <w:p>
            <w:pPr>
              <w:spacing w:after="0"/>
              <w:rPr>
                <w:sz w:val="17"/>
                <w:szCs w:val="17"/>
                <w:color w:val="auto"/>
              </w:rPr>
            </w:pPr>
          </w:p>
        </w:tc>
        <w:tc>
          <w:tcPr>
            <w:tcW w:w="1940" w:type="dxa"/>
            <w:vAlign w:val="bottom"/>
            <w:gridSpan w:val="2"/>
          </w:tcPr>
          <w:p>
            <w:pPr>
              <w:jc w:val="center"/>
              <w:ind w:left="1212"/>
              <w:spacing w:after="0" w:line="203" w:lineRule="exact"/>
              <w:rPr>
                <w:sz w:val="20"/>
                <w:szCs w:val="20"/>
                <w:color w:val="auto"/>
              </w:rPr>
            </w:pPr>
            <w:r>
              <w:rPr>
                <w:rFonts w:ascii="Courier New" w:cs="Courier New" w:eastAsia="Courier New" w:hAnsi="Courier New"/>
                <w:sz w:val="18"/>
                <w:szCs w:val="18"/>
                <w:color w:val="auto"/>
                <w:w w:val="98"/>
              </w:rPr>
              <w:t>7.8</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8"/>
        <w:spacing w:after="0" w:line="236" w:lineRule="auto"/>
        <w:tabs>
          <w:tab w:leader="none" w:pos="42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 million and $7.3 million of restructuring and other charges in 1998 and 2001, respectively, $0.9 million for the nine month period ended June 30, 2001 and $1.5 million for the nine month period ended June 29, 2002.</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commissions received and contribution expenses paid under the marketing agreement with Monsanto relating to the marketing and distribution of consumer Roundup(R) products in the United States and other countries around the world. For more information, see "Business -- Roundup(R) Marketing Agreement" in our Form 10-K for the fiscal year ended September 30, 2001, which is incorporated by reference into this prospectus.</w:t>
      </w:r>
    </w:p>
    <w:p>
      <w:pPr>
        <w:spacing w:after="0" w:line="209" w:lineRule="exact"/>
        <w:rPr>
          <w:rFonts w:ascii="Courier New" w:cs="Courier New" w:eastAsia="Courier New" w:hAnsi="Courier New"/>
          <w:sz w:val="18"/>
          <w:szCs w:val="18"/>
          <w:color w:val="auto"/>
        </w:rPr>
      </w:pPr>
    </w:p>
    <w:p>
      <w:pPr>
        <w:ind w:right="1879" w:firstLine="8"/>
        <w:spacing w:after="0" w:line="290" w:lineRule="auto"/>
        <w:tabs>
          <w:tab w:leader="none" w:pos="42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amortization expense associated with the amortization of the $32 million marketing fee under the Roundup(R) marketing agreement of $1.6 million,</w:t>
      </w:r>
    </w:p>
    <w:p>
      <w:pPr>
        <w:sectPr>
          <w:pgSz w:w="11900" w:h="16838" w:orient="portrait"/>
          <w:cols w:equalWidth="0" w:num="1">
            <w:col w:w="10219"/>
          </w:cols>
          <w:pgMar w:left="240" w:top="717" w:right="1440" w:bottom="0" w:gutter="0" w:footer="0" w:header="0"/>
        </w:sectPr>
      </w:pPr>
    </w:p>
    <w:bookmarkStart w:id="38" w:name="page39"/>
    <w:bookmarkEnd w:id="38"/>
    <w:p>
      <w:pPr>
        <w:ind w:right="2099"/>
        <w:spacing w:after="0" w:line="236" w:lineRule="auto"/>
        <w:rPr>
          <w:sz w:val="20"/>
          <w:szCs w:val="20"/>
          <w:color w:val="auto"/>
        </w:rPr>
      </w:pPr>
      <w:r>
        <w:rPr>
          <w:rFonts w:ascii="Courier New" w:cs="Courier New" w:eastAsia="Courier New" w:hAnsi="Courier New"/>
          <w:sz w:val="18"/>
          <w:szCs w:val="18"/>
          <w:color w:val="auto"/>
        </w:rPr>
        <w:t>$4.9 million and $3.3 million for 1999, 2000 and 2001, respectively, and $2.5 million for each of the nine month periods ended June 30, 2001 and June 29, 2002.</w:t>
      </w:r>
    </w:p>
    <w:p>
      <w:pPr>
        <w:spacing w:after="0" w:line="209" w:lineRule="exact"/>
        <w:rPr>
          <w:sz w:val="20"/>
          <w:szCs w:val="20"/>
          <w:color w:val="auto"/>
        </w:rPr>
      </w:pPr>
    </w:p>
    <w:p>
      <w:pPr>
        <w:ind w:right="2419" w:firstLine="8"/>
        <w:spacing w:after="0" w:line="235" w:lineRule="auto"/>
        <w:tabs>
          <w:tab w:leader="none" w:pos="42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represents the cost of Scotts' external media campaign and related fees and expenses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 million of restructuring and other charges.</w:t>
      </w:r>
    </w:p>
    <w:p>
      <w:pPr>
        <w:spacing w:after="0" w:line="206"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of deferred financing costs, interest rate locks and debt discount.</w:t>
      </w:r>
    </w:p>
    <w:p>
      <w:pPr>
        <w:spacing w:after="0" w:line="208"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$0.7 million and $5.9 million, net of income tax benefits, for 1998 and 1999, respectively.</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available to common shareholders and basic and diluted earnings per share would have been as follows if the accounting change for intangible assets adopted in the fiscal year beginning October 1, 2001, had been adopted as of October 1, 1998:</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YEAR ENDED SEPTEMBER 30,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JUNE 30, 1999</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2000 2001 2001 ------ ------ ------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(UNAUDITED) Income available to common</w:t>
      </w:r>
    </w:p>
    <w:p>
      <w:pPr>
        <w:jc w:val="center"/>
        <w:ind w:right="4519"/>
        <w:spacing w:after="0" w:line="238" w:lineRule="auto"/>
        <w:rPr>
          <w:sz w:val="20"/>
          <w:szCs w:val="20"/>
          <w:color w:val="auto"/>
        </w:rPr>
      </w:pPr>
      <w:r>
        <w:rPr>
          <w:rFonts w:ascii="Courier New" w:cs="Courier New" w:eastAsia="Courier New" w:hAnsi="Courier New"/>
          <w:sz w:val="18"/>
          <w:szCs w:val="18"/>
          <w:color w:val="auto"/>
        </w:rPr>
        <w:t>shareholders..................... $ 68.5(8) $ 83.4 $</w:t>
      </w:r>
    </w:p>
    <w:p>
      <w:pPr>
        <w:jc w:val="center"/>
        <w:ind w:right="4519"/>
        <w:spacing w:after="0"/>
        <w:rPr>
          <w:sz w:val="20"/>
          <w:szCs w:val="20"/>
          <w:color w:val="auto"/>
        </w:rPr>
      </w:pPr>
      <w:r>
        <w:rPr>
          <w:rFonts w:ascii="Courier New" w:cs="Courier New" w:eastAsia="Courier New" w:hAnsi="Courier New"/>
          <w:sz w:val="18"/>
          <w:szCs w:val="18"/>
          <w:color w:val="auto"/>
        </w:rPr>
        <w:t>32.1 $91.2 Basic</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EPS...................................................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$ 3.76(10) $ 2.98 $ 1.13 $3.22 Diluted</w:t>
      </w:r>
    </w:p>
    <w:p>
      <w:pPr>
        <w:jc w:val="center"/>
        <w:ind w:right="4519"/>
        <w:spacing w:after="0" w:line="238" w:lineRule="auto"/>
        <w:rPr>
          <w:sz w:val="20"/>
          <w:szCs w:val="20"/>
          <w:color w:val="auto"/>
        </w:rPr>
      </w:pPr>
      <w:r>
        <w:rPr>
          <w:rFonts w:ascii="Courier New" w:cs="Courier New" w:eastAsia="Courier New" w:hAnsi="Courier New"/>
          <w:sz w:val="18"/>
          <w:szCs w:val="18"/>
          <w:color w:val="auto"/>
        </w:rPr>
        <w:t>EPS.................................................</w:t>
      </w:r>
    </w:p>
    <w:p>
      <w:pPr>
        <w:jc w:val="center"/>
        <w:ind w:right="4519"/>
        <w:spacing w:after="0"/>
        <w:rPr>
          <w:sz w:val="20"/>
          <w:szCs w:val="20"/>
          <w:color w:val="auto"/>
        </w:rPr>
      </w:pPr>
      <w:r>
        <w:rPr>
          <w:rFonts w:ascii="Courier New" w:cs="Courier New" w:eastAsia="Courier New" w:hAnsi="Courier New"/>
          <w:sz w:val="18"/>
          <w:szCs w:val="18"/>
          <w:color w:val="auto"/>
        </w:rPr>
        <w:t>2.57(12) 2.81 1.05 3.01</w:t>
      </w:r>
    </w:p>
    <w:p>
      <w:pPr>
        <w:spacing w:after="0" w:line="200" w:lineRule="exact"/>
        <w:rPr>
          <w:sz w:val="20"/>
          <w:szCs w:val="20"/>
          <w:color w:val="auto"/>
        </w:rPr>
      </w:pPr>
    </w:p>
    <w:p>
      <w:pPr>
        <w:spacing w:after="0" w:line="209" w:lineRule="exact"/>
        <w:rPr>
          <w:sz w:val="20"/>
          <w:szCs w:val="20"/>
          <w:color w:val="auto"/>
        </w:rPr>
      </w:pPr>
    </w:p>
    <w:p>
      <w:pPr>
        <w:ind w:right="2199" w:firstLine="8"/>
        <w:spacing w:after="0" w:line="235"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$0.04 and $0.32 per share for 1998 and 1999, respectively.</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$(0.64) per share.</w:t>
      </w:r>
    </w:p>
    <w:p>
      <w:pPr>
        <w:spacing w:after="0" w:line="208" w:lineRule="exact"/>
        <w:rPr>
          <w:rFonts w:ascii="Courier New" w:cs="Courier New" w:eastAsia="Courier New" w:hAnsi="Courier New"/>
          <w:sz w:val="18"/>
          <w:szCs w:val="18"/>
          <w:color w:val="auto"/>
        </w:rPr>
      </w:pPr>
    </w:p>
    <w:p>
      <w:pPr>
        <w:ind w:right="2199" w:firstLine="8"/>
        <w:spacing w:after="0" w:line="235"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$0.02 and $0.19 per share for 1998 and 1999, respectively.</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$(0.59) per share.</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EBITDA is defined as income from operations, plus restructuring and other charges, depreciation and amortization. Adjusted EBITDA is not intended to represent cash flow from operations as defined by generally accepted accounting principles and should not be used as an alternative to net income as an indicator of operating performance or to cash flow as a measure of liquidity. Adjusted EBITDA is included in this prospectus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42" w:right="1440" w:bottom="1440" w:gutter="0" w:footer="0" w:header="0"/>
        </w:sectPr>
      </w:pPr>
    </w:p>
    <w:bookmarkStart w:id="39" w:name="page40"/>
    <w:bookmarkEnd w:id="39"/>
    <w:p>
      <w:pPr>
        <w:ind w:left="2000"/>
        <w:spacing w:after="0"/>
        <w:rPr>
          <w:sz w:val="20"/>
          <w:szCs w:val="20"/>
          <w:color w:val="auto"/>
        </w:rPr>
      </w:pPr>
      <w:r>
        <w:rPr>
          <w:rFonts w:ascii="Courier New" w:cs="Courier New" w:eastAsia="Courier New" w:hAnsi="Courier New"/>
          <w:sz w:val="18"/>
          <w:szCs w:val="18"/>
          <w:color w:val="auto"/>
        </w:rPr>
        <w:t>DESCRIPTION OF CERTAIN OTHER INDEBTEDNESS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following description is a summary of material provisions of our credit facility. It does not restate the credit facility in its entirety. We urge you to read the credit facility because it, and not this description, defines the terms of our other material outstanding indebtedness. We have not included the definitions of many of the defined terms contained in the credit facility, and we urge you to refer to such document for the definitions of capitalized terms in the following summary. Copies of the credit facility are available as set forth under the section entitled "Where you can find additional information."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Scotts and certain of its subsidiaries entered into the credit facility on December 4, 1998. The credit facility has been amended several times subsequently, including an amendment and restatement of the entire credit facility on December 5, 2000 in connection with both an increase in the revolving credit component and a refinancing of the original U.S. dollar-denominated term loan components (new Tranche B) of the credit facility, both of which are described below to reflect current terms.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credit facility establishes aggregate financing for Scotts and certain of our subsidiaries which are designated (either at closing or in the future) as co-borrowers in the aggregate principal amount of $1.1 billion. The credit financing under the credit facility is provided by a lending syndicate group consisting of more than 90 lenders worldwide, with JPMorgan Chase Bank serving as administrative agent.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OF ADDITIONAL CREDIT AVAILABLE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credit facility provides for aggregate total senior secured credit financing in the principal amount of up to $1.1 billion, consisting of term loan facilities in the aggregate amount of $525 million and a revolving credit facility in the amount of $575.0 million. A portion of the revolving credit facility may be used for permitted acquisitions of up to $200.0 million (increasing to $225.0 million on October 1,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SPECIFIC CREDIT FACILITIES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term loan facilities consist of two tranches. The first, the Tranche A term loan facility, consists of a 6 1/2 year term loan facility in an aggregate approximate principal amount equal to $265.0 million, which is divided into three sub-tranches of French Francs, German Deutsche Marks and British Pounds Sterling, the first two sub-tranches of which will now be repaid in euros. The Tranche A term loans are to be repaid in quarterly principal installments maturing on June 30, 2005. The Tranche B term loan facility consists of a 7 year term loan facility in an aggregate principal amount equal to $260.0 million, which is to be repaid in nominal quarterly installments for the first 6 years and in substantial quarterly installments in the final year. The Tranche B term loan facility matures on December 31, 2007.</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revolving credit facility consists of revolving credit loans in the amount of up to $575.0 million, which is available on a revolving basis for a term of 6 1/2 years. A portion of the revolving credit facility not to exceed $100.0 million is available for the issuance of letters of credit. Additionally, a portion of the revolving credit facility not to exceed $55.0 million is available from JPMorgan Chase or Credit Lyonnais for swing line loans in U.S. Dollars on same-day notice. Portions of such swing line limit, not to exceed certain sub-limits, are also available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40" w:name="page41"/>
    <w:bookmarkEnd w:id="40"/>
    <w:p>
      <w:pPr>
        <w:ind w:right="1779"/>
        <w:spacing w:after="0" w:line="271" w:lineRule="auto"/>
        <w:rPr>
          <w:sz w:val="20"/>
          <w:szCs w:val="20"/>
          <w:color w:val="auto"/>
        </w:rPr>
      </w:pPr>
      <w:r>
        <w:rPr>
          <w:rFonts w:ascii="Courier New" w:cs="Courier New" w:eastAsia="Courier New" w:hAnsi="Courier New"/>
          <w:sz w:val="16"/>
          <w:szCs w:val="16"/>
          <w:color w:val="auto"/>
        </w:rPr>
        <w:t>on a same-day notice basis from various eligible lenders within the lending syndicate for swing line loans in various optional currencies. Further, on a standard notice basis, a portion of the revolving credit facility not to exceed $360.0 million is available for borrowing in various optional currencies, including the Euro, provided that the outstanding revolving credit loans in optional currencies other than British Pounds Sterling does not exceed $200.0 million. The outstanding principal amount of all revolving credit loans may not exceed $150.0 million for at least 30 consecutive days during any calendar year. The revolving credit facility matures on June 30, 2005.</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PREPAYMENTS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Loans may be prepaid and commitments may be reduced in certain specified minimum amounts. Optional prepayments of the term loans shall be applied pro rata to the two tranches thereof ratably to the respective installments thereof. As long as any Tranche A term loans are outstanding, each holder of Tranche B term loans shall have the right to refuse all or any portion of such prepayment allocated to it, and the amount so refused will be applied to repay the Tranche A term loans. Optional prepayments of the term loans may not be reborrowed.</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credit facility also provides for mandatory prepayments in certain specified events and in certain specified percentages, including (a) depending upon our leverage ratio at the applicable time, 50% of the net proceeds of any sale or issuance of equity, (b) 100% of the net proceeds of any incurrence of indebtedness not currently expressly permitted by the credit facility, (c) 100% of the net proceeds of any sale or other disposition of any assets, subject to certain exceptions, and (d) 75% of excess cash flow, subject to reductions as specified if certain leverage ratios are met.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pricing grid establishes various interest rate options on the revolving credit facility and the term loans and is based upon the leverage ratio as determined by our consolidated financial statements. The interest rate options include a LIBOR option, and a base rate determined by a calculation which takes into effect the prime rate, the base CD rate, and the Federal Funds effective rate in effect as of any date of determination.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GUARANTIES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Scotts executed an unconditional guaranty of all of the indebtedness and obligations under the credit facility incurred by its subsidiary borrowers. Additionally, most of our domestic direct and indirect subsidiaries executed guaranties as well. Our offshore indirect subsidiaries did not execute any guaranties.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COLLATERAL</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Scotts and all of its domestic subsidiaries pledged substantially all of their personal property assets to secure the indebtedness and obligations under the credit facility. Additionally, Scotts and its domestic subsidiaries pledged any real property assets having a value in excess of $500,000. Scotts and its domestic subsidiaries pledged primarily all of their intellectual property assets as well. Scotts and its direct and indirect subsidiaries also pledged primarily all of the stock which each such entity owned in its own respective subsidiaries, except to the extent where any such pledge was limited by laws of a foreign country, or would have resulted in adverse tax consequences.</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credit facility contains standard negative covenants, including covenants which impose limitations on our ability to, among other things, (a) place liens on property, or incur contingent obligations, (b) sell all or substantially all of our assets, and (c) make any fundamental changes, or acquisitions, investments, loans or advances, except for acquisitions in an amount not to exceed $225.0 million without consent. The credit facility also contains financial covenants consisting of the maintenance of a specified leverage ratio and an interest coverage ratio, over the life of the credit facility. These financial covenants are based upon operating performance levels in effect throughout the term of the credit facility.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8.625% SENIOR SUBORDINATED NOTES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 January 1999, we issued $330 million aggregate principal amount of 8.625% Series A senior subordinated notes due 2009. The originally issued notes were exchanged for new 8.625% Series B senior subordinated notes due 2009 in an exchange offering registered under the Securities Act that was completed in 2001. The outstanding 8.625% Series B senior subordinated notes due 2009 are identical to the original notes issued on February 6, 2002, except that the outstanding 8.625% Series B senior subordinated notes due 2009 have been registered under the Securities Act. The outstanding 8.625% Series B senior subordinated notes due 2009 will be identical to the exchange notes.</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2" w:name="page43"/>
    <w:bookmarkEnd w:id="42"/>
    <w:p>
      <w:pPr>
        <w:jc w:val="center"/>
        <w:ind w:right="177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find the definitions of certain terms used in this description under the subheading "Certain Definitions." In this description, the words "Company," "Issuer," "Scotts," "us," "we" and "our" refer only to The Scotts Company and not to any of its subsidiaries.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issued the original Notes, and will issue the Notes to be delivered in the exchange offer, under the Indenture dated as of January 21, 1999 (the "Indenture") among itself, the Guarantors and State Street Bank and Trust Company, as trustee (the "Trustee") in a private transaction that is not subject to the registration requirements of the Securities Act. In 1999, $330 million aggregate principal amount of notes were issued under the Indenture. The Notes are pari passu with the outstanding notes and are identical in all respects, except that the outstanding notes have been registered under the Securities Act. Each reference to "Issue Date" means January 21, 1999, and as a result we have indicated, in the relevant clauses, the dollar amount of baskets that have been used in the prior transaction, or the amount available for future application. The terms of the Notes include those stated in the Indenture and those made part of the Indenture by reference to the Trust Indenture Act of 1939 (the "Trust Indenture Act").</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description is a summary of the material provisions of the Indenture, including the definitions therein of certain terms used below. It does not restate those agreements in their entirety. We urge you to read the Indenture because it, and not this description, defines your rights as holders of these Notes. Copies of the Indenture are available as set forth below under "Where you can find more information."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BRIEF DESCRIPTION OF THE NOTES AND THE GUARANTEES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Notes:</w:t>
      </w:r>
    </w:p>
    <w:p>
      <w:pPr>
        <w:spacing w:after="0" w:line="201" w:lineRule="exact"/>
        <w:rPr>
          <w:sz w:val="20"/>
          <w:szCs w:val="20"/>
          <w:color w:val="auto"/>
        </w:rPr>
      </w:pPr>
    </w:p>
    <w:p>
      <w:pPr>
        <w:ind w:left="960" w:hanging="215"/>
        <w:spacing w:after="0"/>
        <w:tabs>
          <w:tab w:leader="none" w:pos="9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general obligations of the Company;</w:t>
      </w:r>
    </w:p>
    <w:p>
      <w:pPr>
        <w:spacing w:after="0" w:line="206"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subordinated in right of payment to all existing and future Senior Debt of the Company; and</w:t>
      </w:r>
    </w:p>
    <w:p>
      <w:pPr>
        <w:spacing w:after="0" w:line="208" w:lineRule="exact"/>
        <w:rPr>
          <w:rFonts w:ascii="Courier New" w:cs="Courier New" w:eastAsia="Courier New" w:hAnsi="Courier New"/>
          <w:sz w:val="18"/>
          <w:szCs w:val="18"/>
          <w:color w:val="auto"/>
        </w:rPr>
      </w:pPr>
    </w:p>
    <w:p>
      <w:pPr>
        <w:ind w:left="740" w:right="2519" w:firstLine="5"/>
        <w:spacing w:after="0" w:line="235" w:lineRule="auto"/>
        <w:tabs>
          <w:tab w:leader="none" w:pos="95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senior in right of payment to any future junior subordinated Indebtedness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GUARANTEES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These Notes are guaranteed by all of the existing and future Wholly Owned Domestic Restricted Subsidiaries and Significant Domestic Restricted Subsidiaries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Guarantees of these Notes:</w:t>
      </w:r>
    </w:p>
    <w:p>
      <w:pPr>
        <w:spacing w:after="0" w:line="201" w:lineRule="exact"/>
        <w:rPr>
          <w:sz w:val="20"/>
          <w:szCs w:val="20"/>
          <w:color w:val="auto"/>
        </w:rPr>
      </w:pPr>
    </w:p>
    <w:p>
      <w:pPr>
        <w:ind w:left="960" w:hanging="215"/>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general obligations of each Guarantor;</w:t>
      </w:r>
    </w:p>
    <w:p>
      <w:pPr>
        <w:spacing w:after="0" w:line="206"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subordinated in right of payment to all existing and future Senior Debt of each Guarantor; and</w:t>
      </w:r>
    </w:p>
    <w:p>
      <w:pPr>
        <w:spacing w:after="0" w:line="208" w:lineRule="exact"/>
        <w:rPr>
          <w:rFonts w:ascii="Courier New" w:cs="Courier New" w:eastAsia="Courier New" w:hAnsi="Courier New"/>
          <w:sz w:val="18"/>
          <w:szCs w:val="18"/>
          <w:color w:val="auto"/>
        </w:rPr>
      </w:pPr>
    </w:p>
    <w:p>
      <w:pPr>
        <w:ind w:left="740" w:right="2519" w:firstLine="5"/>
        <w:spacing w:after="0" w:line="235" w:lineRule="auto"/>
        <w:tabs>
          <w:tab w:leader="none" w:pos="95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senior in right of payment to any future junior subordinated Indebtedness of each Guarantor.</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As of June 29, 2002, the Company and the Guarantors had total Senior Debt of approximately $383.7 million. As indicated above and as discussed in detail below under the subheading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43" w:name="page44"/>
    <w:bookmarkEnd w:id="43"/>
    <w:p>
      <w:pPr>
        <w:ind w:right="1779"/>
        <w:spacing w:after="0" w:line="238" w:lineRule="auto"/>
        <w:rPr>
          <w:sz w:val="20"/>
          <w:szCs w:val="20"/>
          <w:color w:val="auto"/>
        </w:rPr>
      </w:pPr>
      <w:r>
        <w:rPr>
          <w:rFonts w:ascii="Courier New" w:cs="Courier New" w:eastAsia="Courier New" w:hAnsi="Courier New"/>
          <w:sz w:val="18"/>
          <w:szCs w:val="18"/>
          <w:color w:val="auto"/>
        </w:rPr>
        <w:t>"Subordination," payments on the Notes and under the Guarantees will be subordinated to the payment of Senior Debt. The Indenture permits us and the Guarantors to incur additional Senior Debt. As of the date hereof, all of our subsidiaries are "Restricted Subsidiaries." However, under the circumstances described below under the subheading "Certain covenants -- Restricted payments," we are permitted to designate certain of our subsidiaries as "Unrestricted Subsidiaries." Unrestricted Subsidiaries are not subject to many of the restrictive covenants in the Indenture. Unrestricted Subsidiaries will not guarantee these Notes. Not all of our "Restricted Subsidiaries" guarantee the Notes.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23.4% of our consolidated revenues and 11.7% of our consolidated EBITDA for the year ended September 30, 2001 and held approximately 26.9% and 28.9% of our consolidated assets as of September 30, 2001 and June 29, 2002, respectively. They did not represent a positive percentage of our operating income or earnings before taxes. See note 23 of the notes to our consolidated financial statements in our Form 10-K for the fiscal year ended September 30, 2001, as amended by the Form 8-K/A filed with the SEC on September 13, 2002, which is incorporated by reference into this prospectus, for more detail about the division of our consolidated revenues and assets between our guarantor and non-guarantor subsidiaries.</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the date of this prospectus, the following subsidiaries are Guarantors of these Notes: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Scotts Manufacturing Company</w:t>
      </w:r>
    </w:p>
    <w:p>
      <w:pPr>
        <w:ind w:left="740"/>
        <w:spacing w:after="0" w:line="238" w:lineRule="auto"/>
        <w:rPr>
          <w:sz w:val="20"/>
          <w:szCs w:val="20"/>
          <w:color w:val="auto"/>
        </w:rPr>
      </w:pPr>
      <w:r>
        <w:rPr>
          <w:rFonts w:ascii="Courier New" w:cs="Courier New" w:eastAsia="Courier New" w:hAnsi="Courier New"/>
          <w:sz w:val="18"/>
          <w:szCs w:val="18"/>
          <w:color w:val="auto"/>
        </w:rPr>
        <w:t>Miracle-Gro Lawn Products, Inc.</w:t>
      </w:r>
    </w:p>
    <w:p>
      <w:pPr>
        <w:ind w:left="740"/>
        <w:spacing w:after="0"/>
        <w:rPr>
          <w:sz w:val="20"/>
          <w:szCs w:val="20"/>
          <w:color w:val="auto"/>
        </w:rPr>
      </w:pPr>
      <w:r>
        <w:rPr>
          <w:rFonts w:ascii="Courier New" w:cs="Courier New" w:eastAsia="Courier New" w:hAnsi="Courier New"/>
          <w:sz w:val="18"/>
          <w:szCs w:val="18"/>
          <w:color w:val="auto"/>
        </w:rPr>
        <w:t>OMS Investments, Inc.</w:t>
      </w:r>
    </w:p>
    <w:p>
      <w:pPr>
        <w:ind w:left="740"/>
        <w:spacing w:after="0" w:line="237" w:lineRule="auto"/>
        <w:rPr>
          <w:sz w:val="20"/>
          <w:szCs w:val="20"/>
          <w:color w:val="auto"/>
        </w:rPr>
      </w:pPr>
      <w:r>
        <w:rPr>
          <w:rFonts w:ascii="Courier New" w:cs="Courier New" w:eastAsia="Courier New" w:hAnsi="Courier New"/>
          <w:sz w:val="18"/>
          <w:szCs w:val="18"/>
          <w:color w:val="auto"/>
        </w:rPr>
        <w:t>Hyponex Corporation</w:t>
      </w:r>
    </w:p>
    <w:p>
      <w:pPr>
        <w:ind w:left="740"/>
        <w:spacing w:after="0" w:line="238" w:lineRule="auto"/>
        <w:rPr>
          <w:sz w:val="20"/>
          <w:szCs w:val="20"/>
          <w:color w:val="auto"/>
        </w:rPr>
      </w:pPr>
      <w:r>
        <w:rPr>
          <w:rFonts w:ascii="Courier New" w:cs="Courier New" w:eastAsia="Courier New" w:hAnsi="Courier New"/>
          <w:sz w:val="18"/>
          <w:szCs w:val="18"/>
          <w:color w:val="auto"/>
        </w:rPr>
        <w:t>EarthGro, Inc.</w:t>
      </w:r>
    </w:p>
    <w:p>
      <w:pPr>
        <w:ind w:left="740"/>
        <w:spacing w:after="0"/>
        <w:rPr>
          <w:sz w:val="20"/>
          <w:szCs w:val="20"/>
          <w:color w:val="auto"/>
        </w:rPr>
      </w:pPr>
      <w:r>
        <w:rPr>
          <w:rFonts w:ascii="Courier New" w:cs="Courier New" w:eastAsia="Courier New" w:hAnsi="Courier New"/>
          <w:sz w:val="18"/>
          <w:szCs w:val="18"/>
          <w:color w:val="auto"/>
        </w:rPr>
        <w:t>Scotts Products Co.</w:t>
      </w:r>
    </w:p>
    <w:p>
      <w:pPr>
        <w:ind w:left="740"/>
        <w:spacing w:after="0" w:line="237" w:lineRule="auto"/>
        <w:rPr>
          <w:sz w:val="20"/>
          <w:szCs w:val="20"/>
          <w:color w:val="auto"/>
        </w:rPr>
      </w:pPr>
      <w:r>
        <w:rPr>
          <w:rFonts w:ascii="Courier New" w:cs="Courier New" w:eastAsia="Courier New" w:hAnsi="Courier New"/>
          <w:sz w:val="18"/>
          <w:szCs w:val="18"/>
          <w:color w:val="auto"/>
        </w:rPr>
        <w:t>Scotts Professional Products Co.</w:t>
      </w:r>
    </w:p>
    <w:p>
      <w:pPr>
        <w:ind w:left="740"/>
        <w:spacing w:after="0"/>
        <w:rPr>
          <w:sz w:val="20"/>
          <w:szCs w:val="20"/>
          <w:color w:val="auto"/>
        </w:rPr>
      </w:pPr>
      <w:r>
        <w:rPr>
          <w:rFonts w:ascii="Courier New" w:cs="Courier New" w:eastAsia="Courier New" w:hAnsi="Courier New"/>
          <w:sz w:val="18"/>
          <w:szCs w:val="18"/>
          <w:color w:val="auto"/>
        </w:rPr>
        <w:t>Scotts Temecula Operations, LLC</w:t>
      </w:r>
    </w:p>
    <w:p>
      <w:pPr>
        <w:ind w:left="740"/>
        <w:spacing w:after="0" w:line="237" w:lineRule="auto"/>
        <w:rPr>
          <w:sz w:val="20"/>
          <w:szCs w:val="20"/>
          <w:color w:val="auto"/>
        </w:rPr>
      </w:pPr>
      <w:r>
        <w:rPr>
          <w:rFonts w:ascii="Courier New" w:cs="Courier New" w:eastAsia="Courier New" w:hAnsi="Courier New"/>
          <w:sz w:val="18"/>
          <w:szCs w:val="18"/>
          <w:color w:val="auto"/>
        </w:rPr>
        <w:t>Scotts-Sierra Horticultural Products Company</w:t>
      </w:r>
    </w:p>
    <w:p>
      <w:pPr>
        <w:ind w:left="740"/>
        <w:spacing w:after="0"/>
        <w:rPr>
          <w:sz w:val="20"/>
          <w:szCs w:val="20"/>
          <w:color w:val="auto"/>
        </w:rPr>
      </w:pPr>
      <w:r>
        <w:rPr>
          <w:rFonts w:ascii="Courier New" w:cs="Courier New" w:eastAsia="Courier New" w:hAnsi="Courier New"/>
          <w:sz w:val="18"/>
          <w:szCs w:val="18"/>
          <w:color w:val="auto"/>
        </w:rPr>
        <w:t>Scotts-Sierra Crop Protection Company</w:t>
      </w:r>
    </w:p>
    <w:p>
      <w:pPr>
        <w:ind w:left="740"/>
        <w:spacing w:after="0" w:line="237" w:lineRule="auto"/>
        <w:rPr>
          <w:sz w:val="20"/>
          <w:szCs w:val="20"/>
          <w:color w:val="auto"/>
        </w:rPr>
      </w:pPr>
      <w:r>
        <w:rPr>
          <w:rFonts w:ascii="Courier New" w:cs="Courier New" w:eastAsia="Courier New" w:hAnsi="Courier New"/>
          <w:sz w:val="18"/>
          <w:szCs w:val="18"/>
          <w:color w:val="auto"/>
        </w:rPr>
        <w:t>Scotts-Sierra Investments, Inc.</w:t>
      </w:r>
    </w:p>
    <w:p>
      <w:pPr>
        <w:ind w:left="740"/>
        <w:spacing w:after="0" w:line="238" w:lineRule="auto"/>
        <w:rPr>
          <w:sz w:val="20"/>
          <w:szCs w:val="20"/>
          <w:color w:val="auto"/>
        </w:rPr>
      </w:pPr>
      <w:r>
        <w:rPr>
          <w:rFonts w:ascii="Courier New" w:cs="Courier New" w:eastAsia="Courier New" w:hAnsi="Courier New"/>
          <w:sz w:val="18"/>
          <w:szCs w:val="18"/>
          <w:color w:val="auto"/>
        </w:rPr>
        <w:t>Swiss Farms Products,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Indenture provides that the Company may issue Notes with a maximum aggregate principal amount of up to $400 million, of which $70 million is represented by the Notes. As discussed above, $330 million aggregate principal amount of notes was previously issued under the Indenture. The Notes are issued only in denominations of $1,000 and integral multiples of $1,000. The Notes will mature on January 15, 2009.</w:t>
      </w:r>
    </w:p>
    <w:p>
      <w:pPr>
        <w:spacing w:after="0" w:line="210"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Interest on the Notes accrues at the rate of 8.625% per annum from February 6, 2002, the date these Notes were issued (not the original Issue Date). Interest is payable semi-annually in arrears on January 15 and July 15, commencing on July 15, 2002. The Company will make each interest payment to the Holders of record of the Notes on the immediately preceding January 1 and July 1.</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4" w:name="page45"/>
    <w:bookmarkEnd w:id="44"/>
    <w:p>
      <w:pPr>
        <w:ind w:right="2199"/>
        <w:spacing w:after="0" w:line="237" w:lineRule="auto"/>
        <w:rPr>
          <w:sz w:val="20"/>
          <w:szCs w:val="20"/>
          <w:color w:val="auto"/>
        </w:rPr>
      </w:pPr>
      <w:r>
        <w:rPr>
          <w:rFonts w:ascii="Courier New" w:cs="Courier New" w:eastAsia="Courier New" w:hAnsi="Courier New"/>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METHODS OF RECEIVING PAYMENTS ON THE NOTES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Holder has given wire transfer instructions to the Company, the Company will make all principal, premium and interest and Liquidated Damages, if any,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address set forth in the register of Holders.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principal of, premium, if any, and interest on, Notes in global form registered in the name of The Depository Trust Company or its nominee in immediately available funds to The Depository Trust Company or its nominee, as the case may be, as the registered holder of such global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AND REGISTRAR FOR THE NOTES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 Holder may transfer or exchange Notes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a selection of Notes to be redeemed. The registered Holder of a Note will be treated as the owner of it for all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Guarantors jointly and severally guarantee the Company's obligations under the Notes. Each Subsidiary Guarantee is subordinated to the prior payment in full of all Senior Debt of that Guarantor. The obligations of each Guarantor under its Subsidiary Guarantee are limited as necessary to prevent that Subsidiary Guarantee from constituting a fraudulent conveyance under applicable law.</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 Guarantor may not sell or otherwise dispose of all or substantially all of its assets, or consolidate with or merge with or into (whether or not such Guarantor is the surviving Person), another Person unless:</w:t>
      </w:r>
    </w:p>
    <w:p>
      <w:pPr>
        <w:spacing w:after="0" w:line="209" w:lineRule="exact"/>
        <w:rPr>
          <w:sz w:val="20"/>
          <w:szCs w:val="20"/>
          <w:color w:val="auto"/>
        </w:rPr>
      </w:pPr>
    </w:p>
    <w:p>
      <w:pPr>
        <w:ind w:left="740" w:right="2099" w:firstLine="5"/>
        <w:spacing w:after="0" w:line="235" w:lineRule="auto"/>
        <w:tabs>
          <w:tab w:leader="none" w:pos="116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that transaction, no Default or Event of Default exists;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jc w:val="both"/>
        <w:ind w:left="960" w:right="1999" w:hanging="4"/>
        <w:spacing w:after="0" w:line="236" w:lineRule="auto"/>
        <w:tabs>
          <w:tab w:leader="none" w:pos="1381"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acquiring the property in any such sale or disposition or the Person formed by or surviving any such consolidation or merger assumes all the obligations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5" w:name="page46"/>
    <w:bookmarkEnd w:id="45"/>
    <w:p>
      <w:pPr>
        <w:ind w:left="960" w:right="2739"/>
        <w:spacing w:after="0" w:line="235" w:lineRule="auto"/>
        <w:rPr>
          <w:sz w:val="20"/>
          <w:szCs w:val="20"/>
          <w:color w:val="auto"/>
        </w:rPr>
      </w:pPr>
      <w:r>
        <w:rPr>
          <w:rFonts w:ascii="Courier New" w:cs="Courier New" w:eastAsia="Courier New" w:hAnsi="Courier New"/>
          <w:sz w:val="18"/>
          <w:szCs w:val="18"/>
          <w:color w:val="auto"/>
        </w:rPr>
        <w:t>of that Guarantor under its Subsidiary Guarantee pursuant to a supplemental indenture satisfactory to the Trustee; or</w:t>
      </w:r>
    </w:p>
    <w:p>
      <w:pPr>
        <w:spacing w:after="0" w:line="208" w:lineRule="exact"/>
        <w:rPr>
          <w:sz w:val="20"/>
          <w:szCs w:val="20"/>
          <w:color w:val="auto"/>
        </w:rPr>
      </w:pPr>
    </w:p>
    <w:p>
      <w:pPr>
        <w:ind w:left="960" w:right="1999" w:hanging="4"/>
        <w:spacing w:after="0" w:line="235" w:lineRule="auto"/>
        <w:tabs>
          <w:tab w:leader="none" w:pos="138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Proceeds of such sale or other disposition are applied in accordance with the applicable provisions of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Subsidiary Guarantee of a Guarantor will be released:</w:t>
      </w:r>
    </w:p>
    <w:p>
      <w:pPr>
        <w:spacing w:after="0" w:line="207" w:lineRule="exact"/>
        <w:rPr>
          <w:sz w:val="20"/>
          <w:szCs w:val="20"/>
          <w:color w:val="auto"/>
        </w:rPr>
      </w:pPr>
    </w:p>
    <w:p>
      <w:pPr>
        <w:ind w:left="740" w:right="1779" w:firstLine="5"/>
        <w:spacing w:after="0" w:line="237" w:lineRule="auto"/>
        <w:tabs>
          <w:tab w:leader="none" w:pos="116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or other disposition of all or substantially all of the assets of that Guarantor (including by way of merger or consolidation), if the Company applies the Net Proceeds of that sale or other disposition, in accordance with the applicable provisions of the Indenture; or</w:t>
      </w:r>
    </w:p>
    <w:p>
      <w:pPr>
        <w:spacing w:after="0" w:line="208" w:lineRule="exact"/>
        <w:rPr>
          <w:rFonts w:ascii="Courier New" w:cs="Courier New" w:eastAsia="Courier New" w:hAnsi="Courier New"/>
          <w:sz w:val="18"/>
          <w:szCs w:val="18"/>
          <w:color w:val="auto"/>
        </w:rPr>
      </w:pPr>
    </w:p>
    <w:p>
      <w:pPr>
        <w:ind w:left="740" w:right="2519" w:firstLine="5"/>
        <w:spacing w:after="0" w:line="279" w:lineRule="auto"/>
        <w:tabs>
          <w:tab w:leader="none" w:pos="116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Guarantor, if the Company applies the Net Proceeds of that sale in accordance with the applicable provisions of the Indenture; or</w:t>
      </w:r>
    </w:p>
    <w:p>
      <w:pPr>
        <w:spacing w:after="0" w:line="178" w:lineRule="exact"/>
        <w:rPr>
          <w:rFonts w:ascii="Courier New" w:cs="Courier New" w:eastAsia="Courier New" w:hAnsi="Courier New"/>
          <w:sz w:val="16"/>
          <w:szCs w:val="16"/>
          <w:color w:val="auto"/>
        </w:rPr>
      </w:pPr>
    </w:p>
    <w:p>
      <w:pPr>
        <w:ind w:left="740" w:right="2619" w:firstLine="5"/>
        <w:spacing w:after="0" w:line="235" w:lineRule="auto"/>
        <w:tabs>
          <w:tab w:leader="none" w:pos="116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designates any Restricted Subsidiary that is a Guarantor as an Unrestricted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"Repurchase at the option of holders -- Asset 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the foregoing, any Guarantor may sell or otherwise dispose of all or substantially all of its assets to, or consolidate with or merge into, the Company or another Guarantor, upon the consummation of which the Subsidiary Guarantee of such Guarantor shall be released.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payment of principal, premium, interest and Liquidated Damages, if any, on the Notes will be subordinated to the prior payment in full of all Senior Debt of the Company.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holders of Senior Debt will be entitled to receive payment in full of all Obligations due in respect of Senior Debt (including interest after the commencement of any such proceeding at the rate specified in the applicable Senior Debt) before the Holders of Notes will be entitled to receive any payment with respect to the Notes (except that Holders of Notes may receive and retain Permitted Junior Securities and payments made from the trust described under "Legal defeasance and covenant defeasance"), in the event of any distribution to creditors of the Company:</w:t>
      </w:r>
    </w:p>
    <w:p>
      <w:pPr>
        <w:spacing w:after="0" w:line="207" w:lineRule="exact"/>
        <w:rPr>
          <w:sz w:val="20"/>
          <w:szCs w:val="20"/>
          <w:color w:val="auto"/>
        </w:rPr>
      </w:pPr>
    </w:p>
    <w:p>
      <w:pPr>
        <w:ind w:left="1160" w:hanging="415"/>
        <w:spacing w:after="0"/>
        <w:tabs>
          <w:tab w:leader="none" w:pos="11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liquidation or dissolution of the Company;</w:t>
      </w:r>
    </w:p>
    <w:p>
      <w:pPr>
        <w:spacing w:after="0" w:line="206"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bankruptcy, reorganization, insolvency, receivership or similar proceeding relating to the Company or its property;</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 assignment for the benefit of creditors; or</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marshaling of the Company's assets and liabilities.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also may not make any payment in respect of the Notes (except in Permitted Junior Securities or from the trust described under "-- Legal defeasance and covenant defeasance") if:</w:t>
      </w:r>
    </w:p>
    <w:p>
      <w:pPr>
        <w:spacing w:after="0" w:line="209" w:lineRule="exact"/>
        <w:rPr>
          <w:sz w:val="20"/>
          <w:szCs w:val="20"/>
          <w:color w:val="auto"/>
        </w:rPr>
      </w:pPr>
    </w:p>
    <w:p>
      <w:pPr>
        <w:ind w:left="740" w:right="2099" w:firstLine="5"/>
        <w:spacing w:after="0" w:line="235" w:lineRule="auto"/>
        <w:tabs>
          <w:tab w:leader="none" w:pos="116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 on Designated Senior Debt occurs and is continuing beyond any applicable grace period;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6" w:name="page47"/>
    <w:bookmarkEnd w:id="46"/>
    <w:p>
      <w:pPr>
        <w:ind w:left="740" w:right="1879" w:firstLine="5"/>
        <w:spacing w:after="0" w:line="237" w:lineRule="auto"/>
        <w:tabs>
          <w:tab w:leader="none" w:pos="116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default occurs and is continuing on Designated Senior Debt that permits holders of the Designated Senior Debt to accelerate its maturity and the Trustee receives a notice of such default (a "Payment Blockage Notice") from the Company or the holders of any Designated Senior Debt.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on the Notes may and shall be resumed:</w:t>
      </w:r>
    </w:p>
    <w:p>
      <w:pPr>
        <w:spacing w:after="0" w:line="207" w:lineRule="exact"/>
        <w:rPr>
          <w:sz w:val="20"/>
          <w:szCs w:val="20"/>
          <w:color w:val="auto"/>
        </w:rPr>
      </w:pPr>
    </w:p>
    <w:p>
      <w:pPr>
        <w:ind w:left="740" w:right="1779" w:firstLine="5"/>
        <w:spacing w:after="0" w:line="235" w:lineRule="auto"/>
        <w:tabs>
          <w:tab w:leader="none" w:pos="116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payment default, upon the date on which such default is cured or waived; and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 nonpayment default, the earlier of the date on which such nonpayment default is cured or waived or 179 days after the date on which the applicable Payment Blockage Notice is received, unless the maturity of any Designated Senior Debt has been accelerated.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new Payment Blockage Notice may be delivered unless and until:</w:t>
      </w:r>
    </w:p>
    <w:p>
      <w:pPr>
        <w:spacing w:after="0" w:line="207" w:lineRule="exact"/>
        <w:rPr>
          <w:sz w:val="20"/>
          <w:szCs w:val="20"/>
          <w:color w:val="auto"/>
        </w:rPr>
      </w:pPr>
    </w:p>
    <w:p>
      <w:pPr>
        <w:ind w:left="740" w:right="2319" w:firstLine="5"/>
        <w:spacing w:after="0" w:line="235" w:lineRule="auto"/>
        <w:tabs>
          <w:tab w:leader="none" w:pos="116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360 days have elapsed since the effectiveness of the immediately prior Payment Blockage Notice;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scheduled payments of principal, premium and interest and</w:t>
      </w:r>
    </w:p>
    <w:p>
      <w:pPr>
        <w:spacing w:after="0" w:line="4" w:lineRule="exact"/>
        <w:rPr>
          <w:rFonts w:ascii="Courier New" w:cs="Courier New" w:eastAsia="Courier New" w:hAnsi="Courier New"/>
          <w:sz w:val="18"/>
          <w:szCs w:val="18"/>
          <w:color w:val="auto"/>
        </w:rPr>
      </w:pPr>
    </w:p>
    <w:p>
      <w:pPr>
        <w:ind w:left="7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 if any, on the Notes that have come due have been paid in full in cash.</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nonpayment default that existed or was continuing on the date of delivery of any Payment Blockage Notice to the Trustee shall be, or be made, the basis for a subsequent Payment Blockage Notice unless such default shall have been waived for a period of not less than 90 days.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must promptly notify holders of Senior Debt if payment of the Notes is accelerated because of an Event of Default.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the subordination provisions described above, in the event of a bankruptcy, liquidation or reorganization of the Company, Holders of these Notes may recover less ratably than creditors of the Company who are holders of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will not be redeemable at the Company's option prior to January 15, 2004. After January 15, 2004, the Company may redeem all or a part of these Notes upon not less than 30 nor more than 60 days notice, at the redemption prices (expressed as percentages of principal amount) set forth below plus accrued and unpaid interest and Liquidated Damages thereon, if any, to the applicable redemption date, if redeemed during the twelve-month period beginning on January 15 of the years indicated below:</w:t>
      </w:r>
    </w:p>
    <w:p>
      <w:pPr>
        <w:spacing w:after="0" w:line="205" w:lineRule="exact"/>
        <w:rPr>
          <w:sz w:val="20"/>
          <w:szCs w:val="20"/>
          <w:color w:val="auto"/>
        </w:rPr>
      </w:pPr>
    </w:p>
    <w:p>
      <w:pPr>
        <w:ind w:left="280" w:hanging="220"/>
        <w:spacing w:after="0"/>
        <w:tabs>
          <w:tab w:leader="none" w:pos="2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YEAR PERCENTAGE - ------------------------</w:t>
      </w:r>
    </w:p>
    <w:p>
      <w:pPr>
        <w:ind w:left="5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2004........................................................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104.313%</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102.875%</w:t>
      </w:r>
    </w:p>
    <w:p>
      <w:pPr>
        <w:spacing w:after="0"/>
        <w:rPr>
          <w:sz w:val="20"/>
          <w:szCs w:val="20"/>
          <w:color w:val="auto"/>
        </w:rPr>
      </w:pPr>
      <w:r>
        <w:rPr>
          <w:rFonts w:ascii="Courier New" w:cs="Courier New" w:eastAsia="Courier New" w:hAnsi="Courier New"/>
          <w:sz w:val="18"/>
          <w:szCs w:val="18"/>
          <w:color w:val="auto"/>
        </w:rPr>
        <w:t>2006........................................................</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101.438% 2007 and</w:t>
      </w:r>
    </w:p>
    <w:p>
      <w:pPr>
        <w:ind w:left="480"/>
        <w:spacing w:after="0"/>
        <w:rPr>
          <w:sz w:val="20"/>
          <w:szCs w:val="20"/>
          <w:color w:val="auto"/>
        </w:rPr>
      </w:pPr>
      <w:r>
        <w:rPr>
          <w:rFonts w:ascii="Courier New" w:cs="Courier New" w:eastAsia="Courier New" w:hAnsi="Courier New"/>
          <w:sz w:val="18"/>
          <w:szCs w:val="18"/>
          <w:color w:val="auto"/>
        </w:rPr>
        <w:t>thereafter.........................................</w:t>
      </w:r>
    </w:p>
    <w:p>
      <w:pPr>
        <w:ind w:left="60"/>
        <w:spacing w:after="0" w:line="237" w:lineRule="auto"/>
        <w:rPr>
          <w:sz w:val="20"/>
          <w:szCs w:val="20"/>
          <w:color w:val="auto"/>
        </w:rPr>
      </w:pPr>
      <w:r>
        <w:rPr>
          <w:rFonts w:ascii="Courier New" w:cs="Courier New" w:eastAsia="Courier New" w:hAnsi="Courier New"/>
          <w:sz w:val="18"/>
          <w:szCs w:val="18"/>
          <w:color w:val="auto"/>
        </w:rPr>
        <w:t>100.000% - ------------------------------------------------</w:t>
      </w:r>
    </w:p>
    <w:p>
      <w:pPr>
        <w:ind w:left="1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MANDATORY REDEMPTION</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Company is not required to make mandatory redemption or sinking fund payments with respect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THE OPTION OF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a Change of Control occurs, each Holder of Notes will have the right to require the Company to repurchase all or any part (equal to $1,000 or an integral multiple thereof) of that Holder's Notes pursuant to the Change of Control Offer. In the Change of Control Offer, the Company will offer a Change of Control Payment in cash equal to 101% of the aggregate principal amount of Notes repurchased plus accrued and unpaid interest and Liquidated Damages thereon, if any,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the Change of Control Payment Date, the Company will, to the extent lawful:</w:t>
      </w:r>
    </w:p>
    <w:p>
      <w:pPr>
        <w:spacing w:after="0" w:line="207" w:lineRule="exact"/>
        <w:rPr>
          <w:sz w:val="20"/>
          <w:szCs w:val="20"/>
          <w:color w:val="auto"/>
        </w:rPr>
      </w:pPr>
    </w:p>
    <w:p>
      <w:pPr>
        <w:ind w:left="740" w:right="2099" w:firstLine="5"/>
        <w:spacing w:after="0" w:line="235" w:lineRule="auto"/>
        <w:tabs>
          <w:tab w:leader="none" w:pos="116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for payment all Notes or portions thereof properly tendered pursuant to the Change of Control Offer;</w:t>
      </w:r>
    </w:p>
    <w:p>
      <w:pPr>
        <w:spacing w:after="0" w:line="208"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with the Paying Agent an amount equal to the Change of Control Payment in respect of all Notes or portions thereof so tendered; and</w:t>
      </w:r>
    </w:p>
    <w:p>
      <w:pPr>
        <w:spacing w:after="0" w:line="208" w:lineRule="exact"/>
        <w:rPr>
          <w:rFonts w:ascii="Courier New" w:cs="Courier New" w:eastAsia="Courier New" w:hAnsi="Courier New"/>
          <w:sz w:val="18"/>
          <w:szCs w:val="18"/>
          <w:color w:val="auto"/>
        </w:rPr>
      </w:pPr>
    </w:p>
    <w:p>
      <w:pPr>
        <w:ind w:left="740" w:right="1779" w:firstLine="5"/>
        <w:spacing w:after="0" w:line="279" w:lineRule="auto"/>
        <w:tabs>
          <w:tab w:leader="none" w:pos="116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an Officers' Certificate stating the aggregate principal amount of Notes or portions thereof being purchased by the Company.</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provided that each such new Note will be in a principal amount of $1,000 or an integral multiple thereof.</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the Company will either repay all outstanding Senior Debt or obtain the requisite consents, if any, under all agreements governing outstanding Senior Debt to permit the repurchase of Notes required by this covenant. The Company will publicly announce the results of the Change of Control Offer on or as soon as practicable after the Change of Control Payment Date.</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440" w:gutter="0" w:footer="0" w:header="0"/>
        </w:sectPr>
      </w:pPr>
    </w:p>
    <w:bookmarkStart w:id="48" w:name="page49"/>
    <w:bookmarkEnd w:id="48"/>
    <w:p>
      <w:pPr>
        <w:ind w:right="1779"/>
        <w:spacing w:after="0" w:line="238" w:lineRule="auto"/>
        <w:rPr>
          <w:sz w:val="20"/>
          <w:szCs w:val="20"/>
          <w:color w:val="auto"/>
        </w:rPr>
      </w:pPr>
      <w:r>
        <w:rPr>
          <w:rFonts w:ascii="Courier New" w:cs="Courier New" w:eastAsia="Courier New" w:hAnsi="Courier New"/>
          <w:sz w:val="18"/>
          <w:szCs w:val="18"/>
          <w:color w:val="auto"/>
        </w:rPr>
        <w:t>The Company's outstanding Senior Debt currently prohibits the Company from purchasing any Notes, and also provides that certain change of control events with respect to the Company would constitute a default under the agreements governing the Senior Debt. Any future credit agreements or other agreements relating to Senior Debt to which the Company becomes a party may contain similar restrictions and provisions. In the event a Change of Control occurs at a time when the Company is prohibited from purchasing Notes, the Company could seek the consent of its senior lenders to the purchase of Notes or could attempt to refinance the borrowings that contain such prohibition. If the Company does not obtain such a consent or repay such borrowings, the Company will remain prohibited from purchasing Notes. In such case, the Company's failure to purchase tendered Notes would constitute an Event of Default under the Indenture which would, in turn, likely constitute a default under such Senior Debt. In such circumstances, the subordination provisions in the Indenture would likely restrict payments to the Holders of Notes.</w:t>
      </w:r>
    </w:p>
    <w:p>
      <w:pPr>
        <w:spacing w:after="0" w:line="208"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SALES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consummate an Asset Sale unless:</w:t>
      </w:r>
    </w:p>
    <w:p>
      <w:pPr>
        <w:spacing w:after="0" w:line="208" w:lineRule="exact"/>
        <w:rPr>
          <w:sz w:val="20"/>
          <w:szCs w:val="20"/>
          <w:color w:val="auto"/>
        </w:rPr>
      </w:pPr>
    </w:p>
    <w:p>
      <w:pPr>
        <w:ind w:left="740" w:right="1779" w:firstLine="5"/>
        <w:spacing w:after="0" w:line="237" w:lineRule="auto"/>
        <w:tabs>
          <w:tab w:leader="none" w:pos="11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the Restricted Subsidiary, as the case may be) receives consideration at the time of such Asset Sale at least equal to the fair market value of the assets or Equity Interests issued or sold or otherwise disposed of, as determined in good faith by the Company's Board of Directors; and</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ind w:left="960" w:right="1999" w:hanging="4"/>
        <w:spacing w:after="0" w:line="237" w:lineRule="auto"/>
        <w:tabs>
          <w:tab w:leader="none" w:pos="1381"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the Restricted Subsidiary, as the case may be) issues Equity Interests or transfers assets in an exchange in connection with which the Company receives an opinion of counsel that such exchange should qualify under the provisions of Section 351 or Section 368 of the United States Internal Revenue Code of 1986, as amended; or</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207" w:lineRule="exact"/>
        <w:rPr>
          <w:rFonts w:ascii="Courier New" w:cs="Courier New" w:eastAsia="Courier New" w:hAnsi="Courier New"/>
          <w:sz w:val="18"/>
          <w:szCs w:val="18"/>
          <w:color w:val="auto"/>
        </w:rPr>
      </w:pPr>
    </w:p>
    <w:p>
      <w:pPr>
        <w:ind w:left="1160" w:right="2199" w:firstLine="7"/>
        <w:spacing w:after="0" w:line="236" w:lineRule="auto"/>
        <w:tabs>
          <w:tab w:leader="none" w:pos="1581" w:val="left"/>
        </w:tabs>
        <w:numPr>
          <w:ilvl w:val="2"/>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(as shown on the Company's or such Restricted Subsidiary's most recent balance sheet) of the Company or any Restricted Subsidiary (other than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49" w:name="page50"/>
    <w:bookmarkEnd w:id="49"/>
    <w:p>
      <w:pPr>
        <w:jc w:val="both"/>
        <w:ind w:left="1160" w:right="2419"/>
        <w:spacing w:after="0" w:line="236" w:lineRule="auto"/>
        <w:rPr>
          <w:sz w:val="20"/>
          <w:szCs w:val="20"/>
          <w:color w:val="auto"/>
        </w:rPr>
      </w:pPr>
      <w:r>
        <w:rPr>
          <w:rFonts w:ascii="Courier New" w:cs="Courier New" w:eastAsia="Courier New" w:hAnsi="Courier New"/>
          <w:sz w:val="18"/>
          <w:szCs w:val="18"/>
          <w:color w:val="auto"/>
        </w:rPr>
        <w:t>contingent liabilities and liabilities that are by their terms subordinated to the Notes or any Subsidiary Guarantee) that are assumed by the transferee of any such assets; and</w:t>
      </w:r>
    </w:p>
    <w:p>
      <w:pPr>
        <w:spacing w:after="0" w:line="209" w:lineRule="exact"/>
        <w:rPr>
          <w:sz w:val="20"/>
          <w:szCs w:val="20"/>
          <w:color w:val="auto"/>
        </w:rPr>
      </w:pPr>
    </w:p>
    <w:p>
      <w:pPr>
        <w:ind w:left="1160" w:right="1999" w:firstLine="7"/>
        <w:spacing w:after="0" w:line="237" w:lineRule="auto"/>
        <w:tabs>
          <w:tab w:leader="none" w:pos="1687"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Within 360 days after the receipt of any Net Proceeds from an Asset Sale, the</w:t>
      </w:r>
    </w:p>
    <w:p>
      <w:pPr>
        <w:spacing w:after="0" w:line="238" w:lineRule="auto"/>
        <w:rPr>
          <w:sz w:val="20"/>
          <w:szCs w:val="20"/>
          <w:color w:val="auto"/>
        </w:rPr>
      </w:pPr>
      <w:r>
        <w:rPr>
          <w:rFonts w:ascii="Courier New" w:cs="Courier New" w:eastAsia="Courier New" w:hAnsi="Courier New"/>
          <w:sz w:val="18"/>
          <w:szCs w:val="18"/>
          <w:color w:val="auto"/>
        </w:rPr>
        <w:t>Company may apply such Net Proceeds at its option:</w:t>
      </w:r>
    </w:p>
    <w:p>
      <w:pPr>
        <w:spacing w:after="0" w:line="207" w:lineRule="exact"/>
        <w:rPr>
          <w:sz w:val="20"/>
          <w:szCs w:val="20"/>
          <w:color w:val="auto"/>
        </w:rPr>
      </w:pPr>
    </w:p>
    <w:p>
      <w:pPr>
        <w:ind w:left="740" w:right="2519" w:firstLine="5"/>
        <w:spacing w:after="0" w:line="290" w:lineRule="auto"/>
        <w:tabs>
          <w:tab w:leader="none" w:pos="116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effect a corresponding commitment reduction if such Senior Debt is revolving credit borrowings);</w:t>
      </w:r>
    </w:p>
    <w:p>
      <w:pPr>
        <w:spacing w:after="0" w:line="169" w:lineRule="exact"/>
        <w:rPr>
          <w:rFonts w:ascii="Courier New" w:cs="Courier New" w:eastAsia="Courier New" w:hAnsi="Courier New"/>
          <w:sz w:val="16"/>
          <w:szCs w:val="16"/>
          <w:color w:val="auto"/>
        </w:rPr>
      </w:pPr>
    </w:p>
    <w:p>
      <w:pPr>
        <w:ind w:left="740" w:right="1999" w:firstLine="5"/>
        <w:spacing w:after="0" w:line="235" w:lineRule="auto"/>
        <w:tabs>
          <w:tab w:leader="none" w:pos="116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all or substantially all of the assets of, or a majority of the Voting Stock of, another Related Business;</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 capital expenditure; and/or</w:t>
      </w:r>
    </w:p>
    <w:p>
      <w:pPr>
        <w:spacing w:after="0" w:line="206" w:lineRule="exact"/>
        <w:rPr>
          <w:rFonts w:ascii="Courier New" w:cs="Courier New" w:eastAsia="Courier New" w:hAnsi="Courier New"/>
          <w:sz w:val="18"/>
          <w:szCs w:val="18"/>
          <w:color w:val="auto"/>
        </w:rPr>
      </w:pPr>
    </w:p>
    <w:p>
      <w:pPr>
        <w:ind w:left="740" w:right="2519" w:firstLine="5"/>
        <w:spacing w:after="0" w:line="235" w:lineRule="auto"/>
        <w:tabs>
          <w:tab w:leader="none" w:pos="116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other long-term assets that are used or useful in a Related Business.</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Pending the final application of any such Net Proceeds, the Company may temporarily reduce revolving credit borrowings or otherwise invest such Net Proceeds in any manner that is not prohibited by the Indenture.</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in the preceding paragraph will constitute Excess Proceeds. When the aggregate amount of Excess Proceeds exceeds $10.0 million, the Company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the Indenture. If the aggregate principal amount of Notes and such other pari passu Indebtedness tendered into such Asset Sale Offer exceeds the amount of Excess Proceeds, the Trustee shall select the Notes and such other pari passu Indebtedness to be purchased on a pro rata basis as set forth below. Upon completion of each Asset Sale Offer, the amount of Excess Proceeds shall be reset at zero.</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SELECTION AND NOTICE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less than all of the Notes are to be redeemed at any time, the Trustee will select Notes for redemption as follows:</w:t>
      </w:r>
    </w:p>
    <w:p>
      <w:pPr>
        <w:spacing w:after="0" w:line="208" w:lineRule="exact"/>
        <w:rPr>
          <w:sz w:val="20"/>
          <w:szCs w:val="20"/>
          <w:color w:val="auto"/>
        </w:rPr>
      </w:pPr>
    </w:p>
    <w:p>
      <w:pPr>
        <w:ind w:left="740" w:right="1879" w:firstLine="5"/>
        <w:spacing w:after="0" w:line="290" w:lineRule="auto"/>
        <w:tabs>
          <w:tab w:leader="none" w:pos="116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listed, in compliance with the requirements of the principal national securities exchange on which the Notes are listed; or</w:t>
      </w:r>
    </w:p>
    <w:p>
      <w:pPr>
        <w:spacing w:after="0" w:line="169" w:lineRule="exact"/>
        <w:rPr>
          <w:rFonts w:ascii="Courier New" w:cs="Courier New" w:eastAsia="Courier New" w:hAnsi="Courier New"/>
          <w:sz w:val="16"/>
          <w:szCs w:val="16"/>
          <w:color w:val="auto"/>
        </w:rPr>
      </w:pPr>
    </w:p>
    <w:p>
      <w:pPr>
        <w:ind w:left="740" w:right="2199" w:firstLine="5"/>
        <w:spacing w:after="0" w:line="235" w:lineRule="auto"/>
        <w:tabs>
          <w:tab w:leader="none" w:pos="116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are not so listed, on a pro rata basis, by lot or by such method as the Trustee shall deem fair and appropriate.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0" w:name="page51"/>
    <w:bookmarkEnd w:id="50"/>
    <w:p>
      <w:pPr>
        <w:ind w:right="1779"/>
        <w:spacing w:after="0" w:line="237" w:lineRule="auto"/>
        <w:rPr>
          <w:sz w:val="20"/>
          <w:szCs w:val="20"/>
          <w:color w:val="auto"/>
        </w:rPr>
      </w:pPr>
      <w:r>
        <w:rPr>
          <w:rFonts w:ascii="Courier New" w:cs="Courier New" w:eastAsia="Courier New" w:hAnsi="Courier New"/>
          <w:sz w:val="18"/>
          <w:szCs w:val="18"/>
          <w:color w:val="auto"/>
        </w:rPr>
        <w:t>No Notes of $1,000 or less shall be redeemed in part. Notices of redemption shall be mailed by first class mail at least 30 but not more than 60 days before the redemption date to each Holder of Notes to be redeemed at its registered address. Notices of redemption may not be conditional.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PAYMENTS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directly or indirectly:</w:t>
      </w:r>
    </w:p>
    <w:p>
      <w:pPr>
        <w:spacing w:after="0" w:line="208" w:lineRule="exact"/>
        <w:rPr>
          <w:sz w:val="20"/>
          <w:szCs w:val="20"/>
          <w:color w:val="auto"/>
        </w:rPr>
      </w:pPr>
    </w:p>
    <w:p>
      <w:pPr>
        <w:ind w:left="740" w:right="1779" w:firstLine="5"/>
        <w:spacing w:after="0" w:line="237" w:lineRule="auto"/>
        <w:tabs>
          <w:tab w:leader="none" w:pos="116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any dividend or make any other 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211" w:lineRule="exact"/>
        <w:rPr>
          <w:rFonts w:ascii="Courier New" w:cs="Courier New" w:eastAsia="Courier New" w:hAnsi="Courier New"/>
          <w:sz w:val="18"/>
          <w:szCs w:val="18"/>
          <w:color w:val="auto"/>
        </w:rPr>
      </w:pPr>
    </w:p>
    <w:p>
      <w:pPr>
        <w:ind w:left="740" w:right="1779" w:firstLine="5"/>
        <w:spacing w:after="0" w:line="273" w:lineRule="auto"/>
        <w:tabs>
          <w:tab w:leader="none" w:pos="11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184" w:lineRule="exact"/>
        <w:rPr>
          <w:rFonts w:ascii="Courier New" w:cs="Courier New" w:eastAsia="Courier New" w:hAnsi="Courier New"/>
          <w:sz w:val="16"/>
          <w:szCs w:val="16"/>
          <w:color w:val="auto"/>
        </w:rPr>
      </w:pPr>
    </w:p>
    <w:p>
      <w:pPr>
        <w:ind w:left="740" w:right="1879" w:firstLine="5"/>
        <w:spacing w:after="0" w:line="237" w:lineRule="auto"/>
        <w:tabs>
          <w:tab w:leader="none" w:pos="116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207" w:lineRule="exact"/>
        <w:rPr>
          <w:rFonts w:ascii="Courier New" w:cs="Courier New" w:eastAsia="Courier New" w:hAnsi="Courier New"/>
          <w:sz w:val="18"/>
          <w:szCs w:val="18"/>
          <w:color w:val="auto"/>
        </w:rPr>
      </w:pPr>
    </w:p>
    <w:p>
      <w:pPr>
        <w:ind w:left="740" w:right="1779" w:firstLine="5"/>
        <w:spacing w:after="0" w:line="236" w:lineRule="auto"/>
        <w:tabs>
          <w:tab w:leader="none" w:pos="116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Restricted Investment (all such payments and other actions set forth in clauses (1) through (4) above being collectively referred to as "Restricted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unless, at the time of and after giving effect to such Restricted Payment:</w:t>
      </w:r>
    </w:p>
    <w:p>
      <w:pPr>
        <w:spacing w:after="0" w:line="207" w:lineRule="exact"/>
        <w:rPr>
          <w:sz w:val="20"/>
          <w:szCs w:val="20"/>
          <w:color w:val="auto"/>
        </w:rPr>
      </w:pPr>
    </w:p>
    <w:p>
      <w:pPr>
        <w:ind w:left="740" w:right="1879" w:firstLine="5"/>
        <w:spacing w:after="0" w:line="235" w:lineRule="auto"/>
        <w:tabs>
          <w:tab w:leader="none" w:pos="116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have occurred and be continuing or would occur as a consequence thereof; and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 Incurrence of indebtedness and issuance of preferred stock"; and</w:t>
      </w:r>
    </w:p>
    <w:p>
      <w:pPr>
        <w:spacing w:after="0" w:line="211" w:lineRule="exact"/>
        <w:rPr>
          <w:rFonts w:ascii="Courier New" w:cs="Courier New" w:eastAsia="Courier New" w:hAnsi="Courier New"/>
          <w:sz w:val="18"/>
          <w:szCs w:val="18"/>
          <w:color w:val="auto"/>
        </w:rPr>
      </w:pPr>
    </w:p>
    <w:p>
      <w:pPr>
        <w:ind w:left="740" w:right="2099" w:firstLine="5"/>
        <w:spacing w:after="0" w:line="236" w:lineRule="auto"/>
        <w:tabs>
          <w:tab w:leader="none" w:pos="116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Restricted Payment, together with the aggregate amount of all other Restricted Payments made by the Company and its Restricted Subsidiaries after the date of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1" w:name="page52"/>
    <w:bookmarkEnd w:id="51"/>
    <w:p>
      <w:pPr>
        <w:ind w:left="740"/>
        <w:spacing w:after="0"/>
        <w:rPr>
          <w:sz w:val="20"/>
          <w:szCs w:val="20"/>
          <w:color w:val="auto"/>
        </w:rPr>
      </w:pPr>
      <w:r>
        <w:rPr>
          <w:rFonts w:ascii="Courier New" w:cs="Courier New" w:eastAsia="Courier New" w:hAnsi="Courier New"/>
          <w:sz w:val="18"/>
          <w:szCs w:val="18"/>
          <w:color w:val="auto"/>
        </w:rPr>
        <w:t>Indenture (excluding Restricted Payments permitted by clause (2), (3),</w:t>
      </w:r>
    </w:p>
    <w:p>
      <w:pPr>
        <w:spacing w:after="0" w:line="4" w:lineRule="exact"/>
        <w:rPr>
          <w:sz w:val="20"/>
          <w:szCs w:val="20"/>
          <w:color w:val="auto"/>
        </w:rPr>
      </w:pPr>
    </w:p>
    <w:p>
      <w:pPr>
        <w:ind w:left="740" w:right="2419" w:firstLine="5"/>
        <w:spacing w:after="0" w:line="235" w:lineRule="auto"/>
        <w:tabs>
          <w:tab w:leader="none" w:pos="116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(5) of the next succeeding paragraph), is less than the sum, without duplication, of:</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Consolidated Net Income of the Company for the period (taken as one accounting period) from January 3, 1999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aggregate net cash proceeds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plus</w:t>
      </w:r>
    </w:p>
    <w:p>
      <w:pPr>
        <w:spacing w:after="0" w:line="212" w:lineRule="exact"/>
        <w:rPr>
          <w:rFonts w:ascii="Courier New" w:cs="Courier New" w:eastAsia="Courier New" w:hAnsi="Courier New"/>
          <w:sz w:val="18"/>
          <w:szCs w:val="18"/>
          <w:color w:val="auto"/>
        </w:rPr>
      </w:pPr>
    </w:p>
    <w:p>
      <w:pPr>
        <w:ind w:left="960" w:right="1779" w:hanging="4"/>
        <w:spacing w:after="0" w:line="273" w:lineRule="auto"/>
        <w:tabs>
          <w:tab w:leader="none" w:pos="138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plus</w:t>
      </w:r>
    </w:p>
    <w:p>
      <w:pPr>
        <w:spacing w:after="0" w:line="178"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million.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According to the Company's calculations, the Company could have made Restricted Payments in the amount of $156.4 million under this covenant as of June 29, 2002.</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So long as no Default has occurred and is continuing or would be caused thereby, the preceding provision will not prohibit:</w:t>
      </w:r>
    </w:p>
    <w:p>
      <w:pPr>
        <w:spacing w:after="0" w:line="208" w:lineRule="exact"/>
        <w:rPr>
          <w:sz w:val="20"/>
          <w:szCs w:val="20"/>
          <w:color w:val="auto"/>
        </w:rPr>
      </w:pPr>
    </w:p>
    <w:p>
      <w:pPr>
        <w:ind w:left="740" w:right="2099" w:firstLine="5"/>
        <w:spacing w:after="0" w:line="236" w:lineRule="auto"/>
        <w:tabs>
          <w:tab w:leader="none" w:pos="116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any dividend within 60 days after the date of declaration thereof, if at said date of declaration such payment would have complied with the provisions of the Indenture;</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repurchase, retirement, defeasance or other acquisition (including the payment of any accrued and unpaid interest, premium or consent fee, if any, in connection therewith) of the Company's 9 7/8% Senior Subordinated Notes due 2004 (none of which remain outstanding) or of any of the outstanding 8.625% Senior Subordinated Notes due 2009, the Notes or Exchange Notes;</w:t>
      </w:r>
    </w:p>
    <w:p>
      <w:pPr>
        <w:spacing w:after="0" w:line="209" w:lineRule="exact"/>
        <w:rPr>
          <w:rFonts w:ascii="Courier New" w:cs="Courier New" w:eastAsia="Courier New" w:hAnsi="Courier New"/>
          <w:sz w:val="18"/>
          <w:szCs w:val="18"/>
          <w:color w:val="auto"/>
        </w:rPr>
      </w:pPr>
    </w:p>
    <w:p>
      <w:pPr>
        <w:ind w:left="740" w:right="1779" w:firstLine="5"/>
        <w:spacing w:after="0" w:line="268" w:lineRule="auto"/>
        <w:tabs>
          <w:tab w:leader="none" w:pos="11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of the Company or any of its Restricted Subsidiaries or any Equity Interests of the Company or any of its Restricted Subsidiaries in exchange for, or out of the net cash proceeds of the substantially concurrent sale (other than to a Restricted Subsidiary of the Company) of, Equity Interests of the Company (other than Disqualified Stock); provided that the amount of any such net cash proceeds that are utilized for any such redemption, repurchase, retirement, defeasance or other acquisition shall be excluded from clause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(3)(b) of the preceding paragraph;</w:t>
      </w:r>
    </w:p>
    <w:p>
      <w:pPr>
        <w:spacing w:after="0" w:line="207" w:lineRule="exact"/>
        <w:rPr>
          <w:rFonts w:ascii="Courier New" w:cs="Courier New" w:eastAsia="Courier New" w:hAnsi="Courier New"/>
          <w:sz w:val="16"/>
          <w:szCs w:val="16"/>
          <w:color w:val="auto"/>
        </w:rPr>
      </w:pPr>
    </w:p>
    <w:p>
      <w:pPr>
        <w:ind w:left="740" w:right="1879" w:firstLine="5"/>
        <w:spacing w:after="0" w:line="237" w:lineRule="auto"/>
        <w:tabs>
          <w:tab w:leader="none" w:pos="116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repurchase, retirement, defeasance or other acquisition of subordinated Indebtedness or Disqualified Stock of the Company or any of its Restricted Subsidiaries with the net cash proceeds from an incurrence of Permitted Refinancing Indebtedness;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1440" w:gutter="0" w:footer="0" w:header="0"/>
        </w:sectPr>
      </w:pPr>
    </w:p>
    <w:bookmarkStart w:id="52" w:name="page53"/>
    <w:bookmarkEnd w:id="52"/>
    <w:p>
      <w:pPr>
        <w:ind w:left="740" w:right="1879" w:firstLine="5"/>
        <w:spacing w:after="0" w:line="235" w:lineRule="auto"/>
        <w:tabs>
          <w:tab w:leader="none" w:pos="116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any dividend by the Company to holders of its Class A Convertible Preferred Stock;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redemption or other acquisition or retirement for</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any Equity Interests of the Company or any Restricted Subsidiary of the Company held by any member of the Company's (or any of its Restricted Subsidiaries') management pursuant to any management equity subscription agreement or stock option agreement; provided that the aggregate price paid for all such repurchased, redeemed, acquired or retired Equity Interests shall not exceed $5.0 million in any twelve-month period.</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in good faith by the Board of Directors whose resolution with respect thereto shall be delivered to the Trustee. Not later than the date of making any Restricted Payment other than payments pursuant to paragraphs (2), (3), (4), (5) or (6) of this covenant, the Company shall deliver to the Trustee an Officers' Certificate stating that such Restricted Payment is permitted and setting forth the basis upon which the calculations required by this "Restricted payments" covenant were computed.</w:t>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Notwithstanding the foregoing, if any payment is made pursuant to the second paragraph of this covenant and at the time of such payment there was a Default (other than any Default caused thereby) that had occurred and was continuing, then such payment shall not cause a Default under this covenant if the pre-existing Default shall have been cured or waived prior to such Default becoming an Event of Default.</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Board of Directors may designate any Restricted Subsidiary to be an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 covenant or Permitted Investments, as applicable. All such outstanding Investments will be treated as Restricted Investments equal to the fair market value of such Investments at the time of the designation. The designation will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if that redesignation would not cause a Default.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INCURRENCE OF INDEBTEDNESS AND ISSUANCE OF PREFERRED STOCK</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will not, and will not permit any of its Restricted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Restricted Subsidiaries that is not a Guarantor to issue any shares of preferred stock; provided, however, that the Company and any Restricted Subsidiary may incur Indebtedness (including Acquired Debt) or issue Disqualified Stock, and the Company's Restricted Subsidiaries may issue preferred stock, if the Fixed Charge Coverage Ratio for the Company's most recently ended four full fiscal quarters for which internal financial statements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3" w:name="page54"/>
    <w:bookmarkEnd w:id="53"/>
    <w:p>
      <w:pPr>
        <w:ind w:right="1779"/>
        <w:spacing w:after="0" w:line="272" w:lineRule="auto"/>
        <w:rPr>
          <w:sz w:val="20"/>
          <w:szCs w:val="20"/>
          <w:color w:val="auto"/>
        </w:rPr>
      </w:pPr>
      <w:r>
        <w:rPr>
          <w:rFonts w:ascii="Courier New" w:cs="Courier New" w:eastAsia="Courier New" w:hAnsi="Courier New"/>
          <w:sz w:val="16"/>
          <w:szCs w:val="16"/>
          <w:color w:val="auto"/>
        </w:rPr>
        <w:t>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8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first paragraph of this covenant will not prohibit the incurrence of any of the following items of Indebtedness (collectively, "Permitted Debt"):</w:t>
      </w:r>
    </w:p>
    <w:p>
      <w:pPr>
        <w:spacing w:after="0" w:line="208" w:lineRule="exact"/>
        <w:rPr>
          <w:sz w:val="20"/>
          <w:szCs w:val="20"/>
          <w:color w:val="auto"/>
        </w:rPr>
      </w:pPr>
    </w:p>
    <w:p>
      <w:pPr>
        <w:ind w:left="740" w:right="1779" w:firstLine="5"/>
        <w:spacing w:after="0" w:line="238" w:lineRule="auto"/>
        <w:tabs>
          <w:tab w:leader="none" w:pos="116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and its Restricted Subsidiaries of Indebtedness and letters of credit under the Credit Facility in an aggregate principal amount (with letters of credit being deemed to have a principal amount equal to the maximum potential liability of the Company and its Restricted Subsidiaries thereunder) not to exceed an amount equal to $1.125 billion, including all Permitted Refinancing Indebtedness incurred pursuant to clause (5) of this paragraph to refund, refinance or replace any Indebtedness incurred pursuant to this clause (1), less the aggregate amount of all Net Proceeds of Asset Sales applied by the Company or any of its Restricted Subsidiaries to repay term Indebtedness under the Credit Facility or to reduce commitments with respect to revolving credit borrowings under the Credit Facility pursuant to the covenant described above under the caption "Repurchase at the option of holders -- Asset sales";</w:t>
      </w:r>
    </w:p>
    <w:p>
      <w:pPr>
        <w:spacing w:after="0" w:line="207" w:lineRule="exact"/>
        <w:rPr>
          <w:rFonts w:ascii="Courier New" w:cs="Courier New" w:eastAsia="Courier New" w:hAnsi="Courier New"/>
          <w:sz w:val="18"/>
          <w:szCs w:val="18"/>
          <w:color w:val="auto"/>
        </w:rPr>
      </w:pPr>
    </w:p>
    <w:p>
      <w:pPr>
        <w:ind w:left="740" w:right="2319" w:firstLine="5"/>
        <w:spacing w:after="0" w:line="235" w:lineRule="auto"/>
        <w:tabs>
          <w:tab w:leader="none" w:pos="116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and its Restricted Subsidiaries of Existing Indebtedness;</w:t>
      </w:r>
    </w:p>
    <w:p>
      <w:pPr>
        <w:spacing w:after="0" w:line="208"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and the Guarantors of Indebtedness represented by the Notes, the Subsidiary Guarantees, the Exchange Notes and the Guarantees thereof;</w:t>
      </w:r>
    </w:p>
    <w:p>
      <w:pPr>
        <w:spacing w:after="0" w:line="208" w:lineRule="exact"/>
        <w:rPr>
          <w:rFonts w:ascii="Courier New" w:cs="Courier New" w:eastAsia="Courier New" w:hAnsi="Courier New"/>
          <w:sz w:val="18"/>
          <w:szCs w:val="18"/>
          <w:color w:val="auto"/>
        </w:rPr>
      </w:pPr>
    </w:p>
    <w:p>
      <w:pPr>
        <w:ind w:left="740" w:right="1779" w:firstLine="5"/>
        <w:spacing w:after="0" w:line="238" w:lineRule="auto"/>
        <w:tabs>
          <w:tab w:leader="none" w:pos="116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or in respect of a sale and leaseback transaction, in an aggregate principal amount, including all Permitted Refinancing Indebtedness incurred pursuant to clause (5) of this paragraph to refund, refinance or replace any Indebtedness incurred pursuant to this clause (4), not to exceed $20.0 million at any time outstanding (according to the Company's calculations, the Company may utilize $17.0 million of this $20.0 million basket as of June 29, 2002);</w:t>
      </w:r>
    </w:p>
    <w:p>
      <w:pPr>
        <w:spacing w:after="0" w:line="207" w:lineRule="exact"/>
        <w:rPr>
          <w:rFonts w:ascii="Courier New" w:cs="Courier New" w:eastAsia="Courier New" w:hAnsi="Courier New"/>
          <w:sz w:val="18"/>
          <w:szCs w:val="18"/>
          <w:color w:val="auto"/>
        </w:rPr>
      </w:pPr>
    </w:p>
    <w:p>
      <w:pPr>
        <w:ind w:left="740" w:right="1879" w:firstLine="5"/>
        <w:spacing w:after="0" w:line="273" w:lineRule="auto"/>
        <w:tabs>
          <w:tab w:leader="none" w:pos="116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184" w:lineRule="exact"/>
        <w:rPr>
          <w:rFonts w:ascii="Courier New" w:cs="Courier New" w:eastAsia="Courier New" w:hAnsi="Courier New"/>
          <w:sz w:val="16"/>
          <w:szCs w:val="16"/>
          <w:color w:val="auto"/>
        </w:rPr>
      </w:pPr>
    </w:p>
    <w:p>
      <w:pPr>
        <w:ind w:left="740" w:right="1879" w:firstLine="5"/>
        <w:spacing w:after="0" w:line="236" w:lineRule="auto"/>
        <w:tabs>
          <w:tab w:leader="none" w:pos="116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or any of its Restricted Subsidiaries of intercompany Indebtedness between or among the Company and any of its Restricted Subsidiaries; provided, however, that:</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4" w:name="page55"/>
    <w:bookmarkEnd w:id="54"/>
    <w:p>
      <w:pPr>
        <w:ind w:left="960" w:right="1879"/>
        <w:spacing w:after="0" w:line="236" w:lineRule="auto"/>
        <w:rPr>
          <w:sz w:val="20"/>
          <w:szCs w:val="20"/>
          <w:color w:val="auto"/>
        </w:rPr>
      </w:pPr>
      <w:r>
        <w:rPr>
          <w:rFonts w:ascii="Courier New" w:cs="Courier New" w:eastAsia="Courier New" w:hAnsi="Courier New"/>
          <w:sz w:val="18"/>
          <w:szCs w:val="18"/>
          <w:color w:val="auto"/>
        </w:rPr>
        <w:t>all Obligations with respect to the Notes, in the case of the Company, or the Subsidiary Guarantee of such Guarantor, in the case of a Guarantor; and</w:t>
      </w:r>
    </w:p>
    <w:p>
      <w:pPr>
        <w:spacing w:after="0" w:line="209" w:lineRule="exact"/>
        <w:rPr>
          <w:sz w:val="20"/>
          <w:szCs w:val="20"/>
          <w:color w:val="auto"/>
        </w:rPr>
      </w:pPr>
    </w:p>
    <w:p>
      <w:pPr>
        <w:ind w:left="960" w:right="1879" w:hanging="4"/>
        <w:spacing w:after="0" w:line="237" w:lineRule="auto"/>
        <w:tabs>
          <w:tab w:leader="none" w:pos="1381"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212" w:lineRule="exact"/>
        <w:rPr>
          <w:rFonts w:ascii="Courier New" w:cs="Courier New" w:eastAsia="Courier New" w:hAnsi="Courier New"/>
          <w:sz w:val="18"/>
          <w:szCs w:val="18"/>
          <w:color w:val="auto"/>
        </w:rPr>
      </w:pPr>
    </w:p>
    <w:p>
      <w:pPr>
        <w:ind w:left="740" w:right="1999" w:firstLine="5"/>
        <w:spacing w:after="0" w:line="273" w:lineRule="auto"/>
        <w:tabs>
          <w:tab w:leader="none" w:pos="116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Hedging Obligations that are incurred for the purpose of fixing or hedging (a) interest rate risk with respect to any floating rate Indebtedness that is permitted by the terms of this Indenture to be outstanding or (b) exchange rate risk or raw materials price risk;</w:t>
      </w:r>
    </w:p>
    <w:p>
      <w:pPr>
        <w:spacing w:after="0" w:line="184" w:lineRule="exact"/>
        <w:rPr>
          <w:rFonts w:ascii="Courier New" w:cs="Courier New" w:eastAsia="Courier New" w:hAnsi="Courier New"/>
          <w:sz w:val="16"/>
          <w:szCs w:val="16"/>
          <w:color w:val="auto"/>
        </w:rPr>
      </w:pPr>
    </w:p>
    <w:p>
      <w:pPr>
        <w:ind w:left="740" w:right="1779" w:firstLine="5"/>
        <w:spacing w:after="0" w:line="279" w:lineRule="auto"/>
        <w:tabs>
          <w:tab w:leader="none" w:pos="116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by the Company or any of its Restricted Subsidiaries of Indebtedness of the Company or a Restricted Subsidiary of the Company that was permitted to be incurred by another provision of this covenant;</w:t>
      </w:r>
    </w:p>
    <w:p>
      <w:pPr>
        <w:spacing w:after="0" w:line="178" w:lineRule="exact"/>
        <w:rPr>
          <w:rFonts w:ascii="Courier New" w:cs="Courier New" w:eastAsia="Courier New" w:hAnsi="Courier New"/>
          <w:sz w:val="16"/>
          <w:szCs w:val="16"/>
          <w:color w:val="auto"/>
        </w:rPr>
      </w:pPr>
    </w:p>
    <w:p>
      <w:pPr>
        <w:ind w:left="740" w:right="1999" w:firstLine="5"/>
        <w:spacing w:after="0" w:line="235" w:lineRule="auto"/>
        <w:tabs>
          <w:tab w:leader="none" w:pos="116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Class A Convertible Preferred Stock outstanding as of the date of the Indenture;</w:t>
      </w:r>
    </w:p>
    <w:p>
      <w:pPr>
        <w:spacing w:after="0" w:line="208" w:lineRule="exact"/>
        <w:rPr>
          <w:rFonts w:ascii="Courier New" w:cs="Courier New" w:eastAsia="Courier New" w:hAnsi="Courier New"/>
          <w:sz w:val="18"/>
          <w:szCs w:val="18"/>
          <w:color w:val="auto"/>
        </w:rPr>
      </w:pPr>
    </w:p>
    <w:p>
      <w:pPr>
        <w:ind w:left="740" w:right="1879" w:firstLine="5"/>
        <w:spacing w:after="0" w:line="271" w:lineRule="auto"/>
        <w:tabs>
          <w:tab w:leader="none" w:pos="126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any of the Company's Foreign Subsidiaries of Indebtedness in an aggregate principal amount, including all Permitted Refinancing Indebtedness incurred pursuant to clause (5) of this paragraph to refund, refinance or replace any Indebtedness incurred pursuant to this clause (10), not to exceed $60.0 million at any time outstanding (according to the Company's calculations, the Company may utilize $47.8 million of this $60.0 million basket as of June 29, 2002);</w:t>
      </w:r>
    </w:p>
    <w:p>
      <w:pPr>
        <w:spacing w:after="0" w:line="187" w:lineRule="exact"/>
        <w:rPr>
          <w:rFonts w:ascii="Courier New" w:cs="Courier New" w:eastAsia="Courier New" w:hAnsi="Courier New"/>
          <w:sz w:val="16"/>
          <w:szCs w:val="16"/>
          <w:color w:val="auto"/>
        </w:rPr>
      </w:pPr>
    </w:p>
    <w:p>
      <w:pPr>
        <w:jc w:val="both"/>
        <w:ind w:left="740" w:right="1879" w:firstLine="5"/>
        <w:spacing w:after="0" w:line="237" w:lineRule="auto"/>
        <w:tabs>
          <w:tab w:leader="none" w:pos="126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a Securitization Entity of Indebtedness in a Qualified Securitization Transaction that is Non-Recourse Debt with respect to the Company and its other Restricted Subsidiaries (except for Standard Securitization Undertakings); and</w:t>
      </w:r>
    </w:p>
    <w:p>
      <w:pPr>
        <w:spacing w:after="0" w:line="207" w:lineRule="exact"/>
        <w:rPr>
          <w:rFonts w:ascii="Courier New" w:cs="Courier New" w:eastAsia="Courier New" w:hAnsi="Courier New"/>
          <w:sz w:val="18"/>
          <w:szCs w:val="18"/>
          <w:color w:val="auto"/>
        </w:rPr>
      </w:pPr>
    </w:p>
    <w:p>
      <w:pPr>
        <w:ind w:left="740" w:right="1779" w:firstLine="5"/>
        <w:spacing w:after="0" w:line="237" w:lineRule="auto"/>
        <w:tabs>
          <w:tab w:leader="none" w:pos="126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(12), not to exceed $40.0 million (according to the Company's calculations, the Company may utilize the full amount of this $40.0 million basket as of the date of this prospectus).</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(12)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provided, in each such case, that the amount thereof is included in Fixed Charges of the Company as accrued. Notwithstanding the foregoing, any Indebtedness outstanding</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5" w:name="page56"/>
    <w:bookmarkEnd w:id="55"/>
    <w:p>
      <w:pPr>
        <w:jc w:val="both"/>
        <w:ind w:right="1999"/>
        <w:spacing w:after="0" w:line="290" w:lineRule="auto"/>
        <w:rPr>
          <w:sz w:val="20"/>
          <w:szCs w:val="20"/>
          <w:color w:val="auto"/>
        </w:rPr>
      </w:pPr>
      <w:r>
        <w:rPr>
          <w:rFonts w:ascii="Courier New" w:cs="Courier New" w:eastAsia="Courier New" w:hAnsi="Courier New"/>
          <w:sz w:val="16"/>
          <w:szCs w:val="16"/>
          <w:color w:val="auto"/>
        </w:rPr>
        <w:t>pursuant to the Credit Facility on the date of the Indenture will be deemed to have been incurred pursuant to clause (1) of the definition of Permitted Debt.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SENIOR SUBORDINATED DEBT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not incur, create, issue, assume, guarantee or otherwise become liable for any Indebtedness that is subordinate or junior in right of payment to any Senior Debt of the Company and senior in any respect in right of payment to the Notes. No Guarantor will incur, create, issue, assume, guarantee or otherwise become liable for any Indebtedness that is subordinate or junior in right of payment to any Senior Debt of such Guarantor and senior in any respect in right of payment to such Guarantor's Subsidiary Guarantee.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LIENS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will not, and will not permit any of its Subsidiaries to, directly or indirectly, (1) assign or convey any right to receive income on any asset now owned or hereafter acquired or (2) create, incur, assume or suffer to exist any Lien of any kind securing Indebtedness, Attributable Debt or trade payables on any asset now owned or hereafter acquired or on any income or profits therefrom except Permitted Liens, unless the Notes and the Guarantees, as applicable, are either (i) secured by a Lien on such property, assets, income or profits that is senior in priority to the Lien securing such other Obligations, if such Obligations are subordinated in right of payment to the Notes and/or the Guarantees or (ii) equally and ratably secured by a Lien on such property, assets, income or profits with the Lien securing such other Obligations, if such Obligations are pari passu in right of payment with the Notes.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AND OTHER PAYMENT RESTRICTIONS AFFECTING SUBSIDIARIES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209" w:lineRule="exact"/>
        <w:rPr>
          <w:sz w:val="20"/>
          <w:szCs w:val="20"/>
          <w:color w:val="auto"/>
        </w:rPr>
      </w:pPr>
    </w:p>
    <w:p>
      <w:pPr>
        <w:ind w:left="740" w:right="1779" w:firstLine="5"/>
        <w:spacing w:after="0" w:line="237" w:lineRule="auto"/>
        <w:tabs>
          <w:tab w:leader="none" w:pos="116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 Restricted Subsidiaries;</w:t>
      </w:r>
    </w:p>
    <w:p>
      <w:pPr>
        <w:spacing w:after="0" w:line="208" w:lineRule="exact"/>
        <w:rPr>
          <w:rFonts w:ascii="Courier New" w:cs="Courier New" w:eastAsia="Courier New" w:hAnsi="Courier New"/>
          <w:sz w:val="18"/>
          <w:szCs w:val="18"/>
          <w:color w:val="auto"/>
        </w:rPr>
      </w:pPr>
    </w:p>
    <w:p>
      <w:pPr>
        <w:ind w:left="740" w:right="2619" w:firstLine="5"/>
        <w:spacing w:after="0" w:line="235" w:lineRule="auto"/>
        <w:tabs>
          <w:tab w:leader="none" w:pos="116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loans or advances to the Company or any of the Company's Restricted Subsidiaries; or</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any of its properties or assets to the Company or any of the Company's Restricted Subsidiaries.</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However, the preceding restrictions will not apply to encumbrances or restrictions existing under or by reason of:</w:t>
      </w:r>
    </w:p>
    <w:p>
      <w:pPr>
        <w:spacing w:after="0" w:line="208" w:lineRule="exact"/>
        <w:rPr>
          <w:sz w:val="20"/>
          <w:szCs w:val="20"/>
          <w:color w:val="auto"/>
        </w:rPr>
      </w:pPr>
    </w:p>
    <w:p>
      <w:pPr>
        <w:ind w:left="740" w:right="1879" w:firstLine="5"/>
        <w:spacing w:after="0" w:line="237" w:lineRule="auto"/>
        <w:tabs>
          <w:tab w:leader="none" w:pos="116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Indebtedness as in effect on the date of the Indenture and any amendments, modifications, restatements, renewals, increases, supplements, refundings, replacements or refinancings thereof, provided that such amendments, modifications, restatements, renewals, increases, supplements, refundings, replacement or refinancings are no more restrictive, taken as a whole, with respect to such dividend and other payment restrictions than those contained in such Existing Indebtedness, as in effect on the date of the Indenture;</w:t>
      </w:r>
    </w:p>
    <w:p>
      <w:pPr>
        <w:spacing w:after="0" w:line="206"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the Notes and the Guarantees;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56" w:name="page57"/>
    <w:bookmarkEnd w:id="56"/>
    <w:p>
      <w:pPr>
        <w:ind w:left="1160" w:hanging="415"/>
        <w:spacing w:after="0"/>
        <w:tabs>
          <w:tab w:leader="none" w:pos="11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spacing w:after="0" w:line="206"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213"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customary non-assignment provisions in leases, licenses, contracts and other agreements entered into in the ordinary course of business and consistent with past practices;</w:t>
      </w:r>
    </w:p>
    <w:p>
      <w:pPr>
        <w:spacing w:after="0" w:line="208" w:lineRule="exact"/>
        <w:rPr>
          <w:rFonts w:ascii="Courier New" w:cs="Courier New" w:eastAsia="Courier New" w:hAnsi="Courier New"/>
          <w:sz w:val="18"/>
          <w:szCs w:val="18"/>
          <w:color w:val="auto"/>
        </w:rPr>
      </w:pPr>
    </w:p>
    <w:p>
      <w:pPr>
        <w:ind w:left="740" w:right="1999" w:firstLine="5"/>
        <w:spacing w:after="0" w:line="279" w:lineRule="auto"/>
        <w:tabs>
          <w:tab w:leader="none" w:pos="116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obligations for property acquired in the ordinary course of business that impose restrictions on the property so acquired of the nature described in clause (3) of the preceding paragraph;</w:t>
      </w:r>
    </w:p>
    <w:p>
      <w:pPr>
        <w:spacing w:after="0" w:line="178" w:lineRule="exact"/>
        <w:rPr>
          <w:rFonts w:ascii="Courier New" w:cs="Courier New" w:eastAsia="Courier New" w:hAnsi="Courier New"/>
          <w:sz w:val="16"/>
          <w:szCs w:val="16"/>
          <w:color w:val="auto"/>
        </w:rPr>
      </w:pPr>
    </w:p>
    <w:p>
      <w:pPr>
        <w:ind w:left="740" w:right="2199" w:firstLine="5"/>
        <w:spacing w:after="0" w:line="236" w:lineRule="auto"/>
        <w:tabs>
          <w:tab w:leader="none" w:pos="116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for the sale or other disposition of a Restricted Subsidiary that restricts distributions by such Restricted Subsidiary pending its sale or other disposition;</w:t>
      </w:r>
    </w:p>
    <w:p>
      <w:pPr>
        <w:spacing w:after="0" w:line="208" w:lineRule="exact"/>
        <w:rPr>
          <w:rFonts w:ascii="Courier New" w:cs="Courier New" w:eastAsia="Courier New" w:hAnsi="Courier New"/>
          <w:sz w:val="18"/>
          <w:szCs w:val="18"/>
          <w:color w:val="auto"/>
        </w:rPr>
      </w:pPr>
    </w:p>
    <w:p>
      <w:pPr>
        <w:ind w:left="740" w:right="1879" w:firstLine="5"/>
        <w:spacing w:after="0" w:line="275" w:lineRule="auto"/>
        <w:tabs>
          <w:tab w:leader="none" w:pos="116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182" w:lineRule="exact"/>
        <w:rPr>
          <w:rFonts w:ascii="Courier New" w:cs="Courier New" w:eastAsia="Courier New" w:hAnsi="Courier New"/>
          <w:sz w:val="16"/>
          <w:szCs w:val="16"/>
          <w:color w:val="auto"/>
        </w:rPr>
      </w:pPr>
    </w:p>
    <w:p>
      <w:pPr>
        <w:ind w:left="740" w:right="2099" w:firstLine="5"/>
        <w:spacing w:after="0" w:line="275" w:lineRule="auto"/>
        <w:tabs>
          <w:tab w:leader="none" w:pos="116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otherwise permitted to be incurred pursuant to the provisions of the covenant described above under the caption "-- Liens" that limit the right of the Company or any of its Restricted Subsidiaries to dispose of the assets subject to such Lien;</w:t>
      </w:r>
    </w:p>
    <w:p>
      <w:pPr>
        <w:spacing w:after="0" w:line="182" w:lineRule="exact"/>
        <w:rPr>
          <w:rFonts w:ascii="Courier New" w:cs="Courier New" w:eastAsia="Courier New" w:hAnsi="Courier New"/>
          <w:sz w:val="16"/>
          <w:szCs w:val="16"/>
          <w:color w:val="auto"/>
        </w:rPr>
      </w:pPr>
    </w:p>
    <w:p>
      <w:pPr>
        <w:ind w:left="740" w:right="1779" w:firstLine="5"/>
        <w:spacing w:after="0" w:line="236" w:lineRule="auto"/>
        <w:tabs>
          <w:tab w:leader="none" w:pos="126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with respect to the disposition or distribution of assets or property in joint venture agreements and other similar agreements entered into in the ordinary course of business;</w:t>
      </w:r>
    </w:p>
    <w:p>
      <w:pPr>
        <w:spacing w:after="0" w:line="208" w:lineRule="exact"/>
        <w:rPr>
          <w:rFonts w:ascii="Courier New" w:cs="Courier New" w:eastAsia="Courier New" w:hAnsi="Courier New"/>
          <w:sz w:val="18"/>
          <w:szCs w:val="18"/>
          <w:color w:val="auto"/>
        </w:rPr>
      </w:pPr>
    </w:p>
    <w:p>
      <w:pPr>
        <w:ind w:left="740" w:right="2099" w:firstLine="5"/>
        <w:spacing w:after="0" w:line="235" w:lineRule="auto"/>
        <w:tabs>
          <w:tab w:leader="none" w:pos="126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customary provisions under Indebtedness of any Foreign Subsidiary permitted to be incurred under the Indenture;</w:t>
      </w:r>
    </w:p>
    <w:p>
      <w:pPr>
        <w:spacing w:after="0" w:line="208" w:lineRule="exact"/>
        <w:rPr>
          <w:rFonts w:ascii="Courier New" w:cs="Courier New" w:eastAsia="Courier New" w:hAnsi="Courier New"/>
          <w:sz w:val="18"/>
          <w:szCs w:val="18"/>
          <w:color w:val="auto"/>
        </w:rPr>
      </w:pPr>
    </w:p>
    <w:p>
      <w:pPr>
        <w:ind w:left="740" w:right="2419" w:firstLine="5"/>
        <w:spacing w:after="0" w:line="236" w:lineRule="auto"/>
        <w:tabs>
          <w:tab w:leader="none" w:pos="126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cash or other deposits or net worth imposed by customers under contracts entered into in the ordinary course of business; and</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126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created in connection with a Qualified Securitization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 OF ASSETS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may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203" w:lineRule="exact"/>
        <w:rPr>
          <w:sz w:val="20"/>
          <w:szCs w:val="20"/>
          <w:color w:val="auto"/>
        </w:rPr>
      </w:pPr>
    </w:p>
    <w:p>
      <w:pPr>
        <w:ind w:left="1160" w:hanging="415"/>
        <w:spacing w:after="0"/>
        <w:tabs>
          <w:tab w:leader="none" w:pos="11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 the Company is the surviving corporation; or (b) the</w:t>
      </w:r>
    </w:p>
    <w:p>
      <w:pPr>
        <w:spacing w:after="0" w:line="4" w:lineRule="exact"/>
        <w:rPr>
          <w:rFonts w:ascii="Courier New" w:cs="Courier New" w:eastAsia="Courier New" w:hAnsi="Courier New"/>
          <w:sz w:val="18"/>
          <w:szCs w:val="18"/>
          <w:color w:val="auto"/>
        </w:rPr>
      </w:pPr>
    </w:p>
    <w:p>
      <w:pPr>
        <w:ind w:left="7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formed by or surviving any such consolidation or merger (if other than the Company) or to which such sale, assignment, transfer, conveyance or other disposition shall have been made is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sectPr>
      </w:pPr>
    </w:p>
    <w:bookmarkStart w:id="57" w:name="page58"/>
    <w:bookmarkEnd w:id="57"/>
    <w:p>
      <w:pPr>
        <w:ind w:left="740" w:right="1879"/>
        <w:spacing w:after="0" w:line="235" w:lineRule="auto"/>
        <w:rPr>
          <w:sz w:val="20"/>
          <w:szCs w:val="20"/>
          <w:color w:val="auto"/>
        </w:rPr>
      </w:pPr>
      <w:r>
        <w:rPr>
          <w:rFonts w:ascii="Courier New" w:cs="Courier New" w:eastAsia="Courier New" w:hAnsi="Courier New"/>
          <w:sz w:val="18"/>
          <w:szCs w:val="18"/>
          <w:color w:val="auto"/>
        </w:rPr>
        <w:t>a corporation organized or existing under the laws of the United States, any state thereof or the District of Columbia;</w:t>
      </w:r>
    </w:p>
    <w:p>
      <w:pPr>
        <w:spacing w:after="0" w:line="208" w:lineRule="exact"/>
        <w:rPr>
          <w:sz w:val="20"/>
          <w:szCs w:val="20"/>
          <w:color w:val="auto"/>
        </w:rPr>
      </w:pPr>
    </w:p>
    <w:p>
      <w:pPr>
        <w:ind w:left="740" w:right="1779" w:firstLine="5"/>
        <w:spacing w:after="0" w:line="237" w:lineRule="auto"/>
        <w:tabs>
          <w:tab w:leader="none" w:pos="116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the Indenture and the Registration Rights Agreement pursuant to agreements reasonably satisfactory to the Trustee;</w:t>
      </w:r>
    </w:p>
    <w:p>
      <w:pPr>
        <w:spacing w:after="0" w:line="209"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such transaction no Default or Event of Default exists; and</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merger entered into solely for the purpose of reincorporating the Company or any Restricted Subsidiary in another jurisdiction, the Company or the Person formed by or surviving any such consolidation or merger (if other than the Company)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the Company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the Company and any of its Wholly-Owned Restricted Subsidiaries.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WITH AFFILIATES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210" w:lineRule="exact"/>
        <w:rPr>
          <w:sz w:val="20"/>
          <w:szCs w:val="20"/>
          <w:color w:val="auto"/>
        </w:rPr>
      </w:pPr>
    </w:p>
    <w:p>
      <w:pPr>
        <w:ind w:left="740" w:right="1879" w:firstLine="5"/>
        <w:spacing w:after="0" w:line="237" w:lineRule="auto"/>
        <w:tabs>
          <w:tab w:leader="none" w:pos="116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delivers to the Trustee:</w:t>
      </w:r>
    </w:p>
    <w:p>
      <w:pPr>
        <w:spacing w:after="0" w:line="206" w:lineRule="exact"/>
        <w:rPr>
          <w:rFonts w:ascii="Courier New" w:cs="Courier New" w:eastAsia="Courier New" w:hAnsi="Courier New"/>
          <w:sz w:val="18"/>
          <w:szCs w:val="18"/>
          <w:color w:val="auto"/>
        </w:rPr>
      </w:pPr>
    </w:p>
    <w:p>
      <w:pPr>
        <w:ind w:left="960" w:right="1999" w:hanging="4"/>
        <w:spacing w:after="0" w:line="237" w:lineRule="auto"/>
        <w:tabs>
          <w:tab w:leader="none" w:pos="1381"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Affiliate Transaction or series of related Affiliate Transactions involving aggregate consideration in excess of $3.0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11" w:lineRule="exact"/>
        <w:rPr>
          <w:rFonts w:ascii="Courier New" w:cs="Courier New" w:eastAsia="Courier New" w:hAnsi="Courier New"/>
          <w:sz w:val="18"/>
          <w:szCs w:val="18"/>
          <w:color w:val="auto"/>
        </w:rPr>
      </w:pPr>
    </w:p>
    <w:p>
      <w:pPr>
        <w:ind w:left="960" w:right="1879" w:hanging="4"/>
        <w:spacing w:after="0" w:line="273" w:lineRule="auto"/>
        <w:tabs>
          <w:tab w:leader="none" w:pos="1381"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58" w:name="page59"/>
    <w:bookmarkEnd w:id="58"/>
    <w:p>
      <w:pPr>
        <w:ind w:right="2519"/>
        <w:spacing w:after="0" w:line="290" w:lineRule="auto"/>
        <w:rPr>
          <w:sz w:val="20"/>
          <w:szCs w:val="20"/>
          <w:color w:val="auto"/>
        </w:rPr>
      </w:pPr>
      <w:r>
        <w:rPr>
          <w:rFonts w:ascii="Courier New" w:cs="Courier New" w:eastAsia="Courier New" w:hAnsi="Courier New"/>
          <w:sz w:val="16"/>
          <w:szCs w:val="16"/>
          <w:color w:val="auto"/>
        </w:rPr>
        <w:t>The following items shall not be deemed to be Affiliate Transactions and, therefore, will not be subject to the provisions of the prior paragraph:</w:t>
      </w:r>
    </w:p>
    <w:p>
      <w:pPr>
        <w:spacing w:after="0" w:line="170" w:lineRule="exact"/>
        <w:rPr>
          <w:sz w:val="20"/>
          <w:szCs w:val="20"/>
          <w:color w:val="auto"/>
        </w:rPr>
      </w:pPr>
    </w:p>
    <w:p>
      <w:pPr>
        <w:ind w:left="740" w:right="1879" w:firstLine="5"/>
        <w:spacing w:after="0" w:line="237"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consulting or similar agreement (including any loan, but not any forgiveness thereof) entered into by the Company or any of its Restricted Subsidiaries in the ordinary course of business or any payment of directors' and officers' insurance premiums;</w:t>
      </w:r>
    </w:p>
    <w:p>
      <w:pPr>
        <w:spacing w:after="0" w:line="207" w:lineRule="exact"/>
        <w:rPr>
          <w:rFonts w:ascii="Courier New" w:cs="Courier New" w:eastAsia="Courier New" w:hAnsi="Courier New"/>
          <w:sz w:val="18"/>
          <w:szCs w:val="18"/>
          <w:color w:val="auto"/>
        </w:rPr>
      </w:pPr>
    </w:p>
    <w:p>
      <w:pPr>
        <w:ind w:left="740" w:right="2419" w:firstLine="5"/>
        <w:spacing w:after="0" w:line="235"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between or among the Company and/or its Restricted Subsidiaries;</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reasonable directors fees to Persons who are not otherwise Affiliates of the Company;</w:t>
      </w:r>
    </w:p>
    <w:p>
      <w:pPr>
        <w:spacing w:after="0" w:line="208"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or any repurchases of any shares of any series or class of equity securities of the Company;</w:t>
      </w:r>
    </w:p>
    <w:p>
      <w:pPr>
        <w:spacing w:after="0" w:line="208" w:lineRule="exact"/>
        <w:rPr>
          <w:rFonts w:ascii="Courier New" w:cs="Courier New" w:eastAsia="Courier New" w:hAnsi="Courier New"/>
          <w:sz w:val="18"/>
          <w:szCs w:val="18"/>
          <w:color w:val="auto"/>
        </w:rPr>
      </w:pPr>
    </w:p>
    <w:p>
      <w:pPr>
        <w:ind w:left="740" w:right="2199" w:firstLine="5"/>
        <w:spacing w:after="0" w:line="290" w:lineRule="auto"/>
        <w:tabs>
          <w:tab w:leader="none" w:pos="116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the Indenture described above under the caption "-- Restricted payments;"</w:t>
      </w:r>
    </w:p>
    <w:p>
      <w:pPr>
        <w:spacing w:after="0" w:line="169" w:lineRule="exact"/>
        <w:rPr>
          <w:rFonts w:ascii="Courier New" w:cs="Courier New" w:eastAsia="Courier New" w:hAnsi="Courier New"/>
          <w:sz w:val="16"/>
          <w:szCs w:val="16"/>
          <w:color w:val="auto"/>
        </w:rPr>
      </w:pPr>
    </w:p>
    <w:p>
      <w:pPr>
        <w:ind w:left="740" w:right="1879" w:firstLine="5"/>
        <w:spacing w:after="0" w:line="279" w:lineRule="auto"/>
        <w:tabs>
          <w:tab w:leader="none" w:pos="116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the Company or any of its Restricted Subsidiaries solely for the purpose of reincorporating the Company or such Restricted Subsidiary in another jurisdiction for tax purposes; and</w:t>
      </w:r>
    </w:p>
    <w:p>
      <w:pPr>
        <w:spacing w:after="0" w:line="178" w:lineRule="exact"/>
        <w:rPr>
          <w:rFonts w:ascii="Courier New" w:cs="Courier New" w:eastAsia="Courier New" w:hAnsi="Courier New"/>
          <w:sz w:val="16"/>
          <w:szCs w:val="16"/>
          <w:color w:val="auto"/>
        </w:rPr>
      </w:pPr>
    </w:p>
    <w:p>
      <w:pPr>
        <w:ind w:left="740" w:right="2939" w:firstLine="5"/>
        <w:spacing w:after="0" w:line="290" w:lineRule="auto"/>
        <w:tabs>
          <w:tab w:leader="none" w:pos="116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a Qualified Securitization Transaction or an industrial revenue bond financing.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SUBSIDIARY GUARANTEES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after the date of the Indenture, the Company or any of its Wholly Owned Domestic Restricted Subsidiaries acquires or creates another Wholly Owned Domestic Restricted Subsidiary or a Significant Domestic Restricted Subsidiary, including any other Domestic Restricted Subsidiary that at any time becomes a Wholly Owned Domestic Restricted Subsidiary or a Significant Domestic Restricted Subsidiary, then that newly acquired or created Wholly Owned Domestic Restricted Subsidiary or Significant Domestic Restricted Subsidiary will, within 10 Business Days of the date on which it was acquired or created, execute a supplemental indenture or other instrument evidencing its Subsidiary Guarantee, in either case in form satisfactory to the Trustee, and deliver an Opinion of Counsel to the Trustee.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AND LEASEBACK TRANSACTIONS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The Company will not, and will not permit any of its Restricted Subsidiaries to, enter into any sale and leaseback transaction; provided that the Company and any Restricted Subsidiary may enter into a sale and leaseback transaction if:</w:t>
      </w:r>
    </w:p>
    <w:p>
      <w:pPr>
        <w:spacing w:after="0" w:line="178" w:lineRule="exact"/>
        <w:rPr>
          <w:sz w:val="20"/>
          <w:szCs w:val="20"/>
          <w:color w:val="auto"/>
        </w:rPr>
      </w:pPr>
    </w:p>
    <w:p>
      <w:pPr>
        <w:ind w:left="1160" w:hanging="415"/>
        <w:spacing w:after="0"/>
        <w:tabs>
          <w:tab w:leader="none" w:pos="11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such Restricted Subsidiary, as applicable, could have</w:t>
      </w:r>
    </w:p>
    <w:p>
      <w:pPr>
        <w:spacing w:after="0" w:line="21" w:lineRule="exact"/>
        <w:rPr>
          <w:rFonts w:ascii="Courier New" w:cs="Courier New" w:eastAsia="Courier New" w:hAnsi="Courier New"/>
          <w:sz w:val="16"/>
          <w:szCs w:val="16"/>
          <w:color w:val="auto"/>
        </w:rPr>
      </w:pPr>
    </w:p>
    <w:p>
      <w:pPr>
        <w:ind w:left="7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incurred Indebtedness in an amount equal to the Attributable Debt relating to such sale and leaseback transaction under the Fixed Charge Coverage Ratio test in the first paragraph of the covenant described above under the caption "-- Incurrence of additional indebtedness and issuance of preferred stock" and (b) incurred a Lien to secure such Indebtedness pursuant to the covenant described above under the caption "-- Liens;" provided that the Lien to secure such Indebtedness does not extend to or cover any assets of the Company or such Restricted Subsidiary other than the assets which are the subject of the sale and leaseback transaction;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59" w:name="page60"/>
    <w:bookmarkEnd w:id="59"/>
    <w:p>
      <w:pPr>
        <w:ind w:left="740" w:right="1779" w:firstLine="5"/>
        <w:spacing w:after="0" w:line="237" w:lineRule="auto"/>
        <w:tabs>
          <w:tab w:leader="none" w:pos="116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cash proceeds of that sale and leaseback transaction are at least equal to the fair market value, as determined in good faith by the Board of Directors, of the property that is the subject of such sale and leaseback transaction; and</w:t>
      </w:r>
    </w:p>
    <w:p>
      <w:pPr>
        <w:spacing w:after="0" w:line="207"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assets in that sale and leaseback transaction is permitted by, and the Company applies the proceeds of such transaction in compliance with, the covenant described above under the caption "Repurchase at the option of holders -- Asset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FOR CONSENT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Whether or not required by the Commission, so long as any Notes are outstanding, the Company will furnish to the Holders of Notes, within the time periods specified in the Commission's rules and regulations:</w:t>
      </w:r>
    </w:p>
    <w:p>
      <w:pPr>
        <w:spacing w:after="0" w:line="209" w:lineRule="exact"/>
        <w:rPr>
          <w:sz w:val="20"/>
          <w:szCs w:val="20"/>
          <w:color w:val="auto"/>
        </w:rPr>
      </w:pPr>
    </w:p>
    <w:p>
      <w:pPr>
        <w:ind w:left="740" w:right="1779" w:firstLine="5"/>
        <w:spacing w:after="0" w:line="237" w:lineRule="auto"/>
        <w:tabs>
          <w:tab w:leader="none" w:pos="116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11" w:lineRule="exact"/>
        <w:rPr>
          <w:rFonts w:ascii="Courier New" w:cs="Courier New" w:eastAsia="Courier New" w:hAnsi="Courier New"/>
          <w:sz w:val="18"/>
          <w:szCs w:val="18"/>
          <w:color w:val="auto"/>
        </w:rPr>
      </w:pPr>
    </w:p>
    <w:p>
      <w:pPr>
        <w:ind w:left="740" w:right="1779" w:firstLine="5"/>
        <w:spacing w:after="0" w:line="290" w:lineRule="auto"/>
        <w:tabs>
          <w:tab w:leader="none" w:pos="116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Commission on Form 8-K if the Company were required to file such reports.</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whether or not required by the Commission, the Company will file a copy of all of the information and reports referred to in clauses (1) and (2) above with the Commission for public availability within the time periods specified in the Commission's rules and regulations (unless the Commission will not accept such a filing) and make such information available to securities analysts and prospective investors upon request.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AND REMEDIES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following is an Event of Default:</w:t>
      </w:r>
    </w:p>
    <w:p>
      <w:pPr>
        <w:spacing w:after="0" w:line="207" w:lineRule="exact"/>
        <w:rPr>
          <w:sz w:val="20"/>
          <w:szCs w:val="20"/>
          <w:color w:val="auto"/>
        </w:rPr>
      </w:pPr>
    </w:p>
    <w:p>
      <w:pPr>
        <w:ind w:left="740" w:right="1879" w:firstLine="5"/>
        <w:spacing w:after="0" w:line="236" w:lineRule="auto"/>
        <w:tabs>
          <w:tab w:leader="none" w:pos="116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for 30 days in the payment when due of interest on, or Liquidated Damages with respect to, the Notes, whether or not prohibited by the subordination provisions of the Indenture;</w:t>
      </w:r>
    </w:p>
    <w:p>
      <w:pPr>
        <w:spacing w:after="0" w:line="208" w:lineRule="exact"/>
        <w:rPr>
          <w:rFonts w:ascii="Courier New" w:cs="Courier New" w:eastAsia="Courier New" w:hAnsi="Courier New"/>
          <w:sz w:val="18"/>
          <w:szCs w:val="18"/>
          <w:color w:val="auto"/>
        </w:rPr>
      </w:pPr>
    </w:p>
    <w:p>
      <w:pPr>
        <w:jc w:val="both"/>
        <w:ind w:left="740" w:right="1999" w:firstLine="5"/>
        <w:spacing w:after="0" w:line="236" w:lineRule="auto"/>
        <w:tabs>
          <w:tab w:leader="none" w:pos="116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payment when due of the principal of or premium, if any, on the Notes, whether or not prohibited by the subordination provisions of the Indenture;</w:t>
      </w:r>
    </w:p>
    <w:p>
      <w:pPr>
        <w:spacing w:after="0" w:line="208" w:lineRule="exact"/>
        <w:rPr>
          <w:rFonts w:ascii="Courier New" w:cs="Courier New" w:eastAsia="Courier New" w:hAnsi="Courier New"/>
          <w:sz w:val="18"/>
          <w:szCs w:val="18"/>
          <w:color w:val="auto"/>
        </w:rPr>
      </w:pPr>
    </w:p>
    <w:p>
      <w:pPr>
        <w:ind w:left="740" w:right="1999" w:firstLine="5"/>
        <w:spacing w:after="0" w:line="237" w:lineRule="auto"/>
        <w:tabs>
          <w:tab w:leader="none" w:pos="116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the Company or any of its Subsidiaries for 30 days after notice to comply with the provisions described under the captions "Repurchase at the option of holders -- Change of control," "Repurchase at the option of holders -- Asset sales,"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60" w:name="page61"/>
    <w:bookmarkEnd w:id="60"/>
    <w:p>
      <w:pPr>
        <w:ind w:left="740"/>
        <w:spacing w:after="0"/>
        <w:rPr>
          <w:sz w:val="20"/>
          <w:szCs w:val="20"/>
          <w:color w:val="auto"/>
        </w:rPr>
      </w:pPr>
      <w:r>
        <w:rPr>
          <w:rFonts w:ascii="Courier New" w:cs="Courier New" w:eastAsia="Courier New" w:hAnsi="Courier New"/>
          <w:sz w:val="18"/>
          <w:szCs w:val="18"/>
          <w:color w:val="auto"/>
        </w:rPr>
        <w:t>"Certain covenants -- Restricted payments" or "Certain</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covenants -- Incurrence of indebtedness and issuance of preferred stock;"</w:t>
      </w:r>
    </w:p>
    <w:p>
      <w:pPr>
        <w:spacing w:after="0" w:line="224" w:lineRule="exact"/>
        <w:rPr>
          <w:sz w:val="20"/>
          <w:szCs w:val="20"/>
          <w:color w:val="auto"/>
        </w:rPr>
      </w:pPr>
    </w:p>
    <w:p>
      <w:pPr>
        <w:ind w:left="740" w:right="1999" w:firstLine="5"/>
        <w:spacing w:after="0" w:line="290" w:lineRule="auto"/>
        <w:tabs>
          <w:tab w:leader="none" w:pos="116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Company or any of its Subsidiaries for 60 days after notice to comply with any of the other agreements in the Indenture;</w:t>
      </w:r>
    </w:p>
    <w:p>
      <w:pPr>
        <w:spacing w:after="0" w:line="169"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w:t>
      </w:r>
    </w:p>
    <w:p>
      <w:pPr>
        <w:spacing w:after="0" w:line="211" w:lineRule="exact"/>
        <w:rPr>
          <w:rFonts w:ascii="Courier New" w:cs="Courier New" w:eastAsia="Courier New" w:hAnsi="Courier New"/>
          <w:sz w:val="18"/>
          <w:szCs w:val="18"/>
          <w:color w:val="auto"/>
        </w:rPr>
      </w:pPr>
    </w:p>
    <w:p>
      <w:pPr>
        <w:ind w:left="960" w:right="1999" w:hanging="4"/>
        <w:spacing w:after="0" w:line="237" w:lineRule="auto"/>
        <w:tabs>
          <w:tab w:leader="none" w:pos="1381"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caused by a failure to pay principal of or premium, if any, or interest on such Indebtedness prior to the expiration of the grace period provided in such Indebtedness on the date of such default (a "Payment Default"); or</w:t>
      </w:r>
    </w:p>
    <w:p>
      <w:pPr>
        <w:spacing w:after="0" w:line="207" w:lineRule="exact"/>
        <w:rPr>
          <w:rFonts w:ascii="Courier New" w:cs="Courier New" w:eastAsia="Courier New" w:hAnsi="Courier New"/>
          <w:sz w:val="18"/>
          <w:szCs w:val="18"/>
          <w:color w:val="auto"/>
        </w:rPr>
      </w:pPr>
    </w:p>
    <w:p>
      <w:pPr>
        <w:ind w:left="960" w:right="2419" w:hanging="4"/>
        <w:spacing w:after="0" w:line="235" w:lineRule="auto"/>
        <w:tabs>
          <w:tab w:leader="none" w:pos="1381"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the acceleration of such Indebtedness prior to its express maturity,</w:t>
      </w:r>
    </w:p>
    <w:p>
      <w:pPr>
        <w:spacing w:after="0" w:line="20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207" w:lineRule="exact"/>
        <w:rPr>
          <w:sz w:val="20"/>
          <w:szCs w:val="20"/>
          <w:color w:val="auto"/>
        </w:rPr>
      </w:pPr>
    </w:p>
    <w:p>
      <w:pPr>
        <w:ind w:left="740" w:right="1779" w:firstLine="5"/>
        <w:spacing w:after="0" w:line="236" w:lineRule="auto"/>
        <w:tabs>
          <w:tab w:leader="none" w:pos="116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the Company or any of its Subsidiaries to pay final judgments aggregating in excess of $10.0 million, which judgments are not paid, discharged or stayed for a period of 60 days;</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by the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w:t>
      </w:r>
    </w:p>
    <w:p>
      <w:pPr>
        <w:spacing w:after="0" w:line="214" w:lineRule="exact"/>
        <w:rPr>
          <w:rFonts w:ascii="Courier New" w:cs="Courier New" w:eastAsia="Courier New" w:hAnsi="Courier New"/>
          <w:sz w:val="18"/>
          <w:szCs w:val="18"/>
          <w:color w:val="auto"/>
        </w:rPr>
      </w:pPr>
    </w:p>
    <w:p>
      <w:pPr>
        <w:ind w:left="740" w:right="2519" w:firstLine="5"/>
        <w:spacing w:after="0" w:line="235" w:lineRule="auto"/>
        <w:tabs>
          <w:tab w:leader="none" w:pos="116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bankruptcy or insolvency with respect to the Company or any of its Significant Subsidiaries.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case of an Event of Default arising from certain events of bankruptcy or insolvency, with respect to the Company, any Subsidiary that is a Significant Subsidiary or any group of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1440" w:gutter="0" w:footer="0" w:header="0"/>
        </w:sectPr>
      </w:pPr>
    </w:p>
    <w:bookmarkStart w:id="61" w:name="page62"/>
    <w:bookmarkEnd w:id="61"/>
    <w:p>
      <w:pPr>
        <w:ind w:right="1879"/>
        <w:spacing w:after="0" w:line="237" w:lineRule="auto"/>
        <w:rPr>
          <w:sz w:val="20"/>
          <w:szCs w:val="20"/>
          <w:color w:val="auto"/>
        </w:rPr>
      </w:pPr>
      <w:r>
        <w:rPr>
          <w:rFonts w:ascii="Courier New" w:cs="Courier New" w:eastAsia="Courier New" w:hAnsi="Courier New"/>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the principal of, premium and Liquidated Damages, if any, on the Notes.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case of any Event of Default occurring by reason of any willful action or inaction taken or not taken by or on behalf of the Company with the intention of avoiding payment of the premium that the Company would have had to pay if the Company then had elected to redeem the Notes pursuant to the optional redemption provisions of the Indenture, an equivalent premium shall also become and be immediately due and payable to the extent permitted by law upon the acceleration of the Notes. If an Event of Default occurs prior to January 15, 2004, by reason of any willful action (or inaction) taken (or not taken) by or on behalf of the Company with the intention of avoiding the prohibition on redemption of the Notes prior to January 15, 2004, then the premium specified in the Indenture shall also become immediately due and payable to the extent permitted by law upon the acceleration of the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required to deliver to the Trustee annually a statement regarding compliance with the Indenture. Upon becoming aware of any Default or Event of Default, the Company is required to deliver to the Trustee a statement specifying such Default or Event of Default.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PERSONAL LIABILITY OF DIRECTORS, OFFICERS, EMPLOYEES AND STOCKHOLDERS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 director, officer, employee, incorporator or stockholder of the Company or any Guarantor, as such, shall have any liability for any obligations of the Company or the Guarantors under the Notes, the Indenture, the Subsidiary Guarantees,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DEFEASANCE AND COVENANT DEFEASANCE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202" w:lineRule="exact"/>
        <w:rPr>
          <w:sz w:val="20"/>
          <w:szCs w:val="20"/>
          <w:color w:val="auto"/>
        </w:rPr>
      </w:pPr>
    </w:p>
    <w:p>
      <w:pPr>
        <w:ind w:left="1160" w:hanging="415"/>
        <w:spacing w:after="0"/>
        <w:tabs>
          <w:tab w:leader="none" w:pos="11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Holders of outstanding Notes to receive payments in</w:t>
      </w:r>
    </w:p>
    <w:p>
      <w:pPr>
        <w:spacing w:after="0" w:line="4" w:lineRule="exact"/>
        <w:rPr>
          <w:rFonts w:ascii="Courier New" w:cs="Courier New" w:eastAsia="Courier New" w:hAnsi="Courier New"/>
          <w:sz w:val="18"/>
          <w:szCs w:val="18"/>
          <w:color w:val="auto"/>
        </w:rPr>
      </w:pPr>
    </w:p>
    <w:p>
      <w:pPr>
        <w:ind w:left="7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of the principal of, premium, if any, and interest and Liquidated Damages, if any, on such Notes when such payments are due from the trust referred to below;</w:t>
      </w:r>
    </w:p>
    <w:p>
      <w:pPr>
        <w:spacing w:after="0" w:line="208" w:lineRule="exact"/>
        <w:rPr>
          <w:rFonts w:ascii="Courier New" w:cs="Courier New" w:eastAsia="Courier New" w:hAnsi="Courier New"/>
          <w:sz w:val="18"/>
          <w:szCs w:val="18"/>
          <w:color w:val="auto"/>
        </w:rPr>
      </w:pPr>
    </w:p>
    <w:p>
      <w:pPr>
        <w:ind w:left="740" w:right="2199" w:firstLine="5"/>
        <w:spacing w:after="0" w:line="237" w:lineRule="auto"/>
        <w:tabs>
          <w:tab w:leader="none" w:pos="116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207"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powers, trusts, duties and immunities of the Trustee, and the Company's obligations in connection therewith;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Defeasance provisions of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440" w:gutter="0" w:footer="0" w:header="0"/>
        </w:sectPr>
      </w:pPr>
    </w:p>
    <w:bookmarkStart w:id="62" w:name="page63"/>
    <w:bookmarkEnd w:id="62"/>
    <w:p>
      <w:pPr>
        <w:ind w:right="1999"/>
        <w:spacing w:after="0" w:line="237" w:lineRule="auto"/>
        <w:rPr>
          <w:sz w:val="20"/>
          <w:szCs w:val="20"/>
          <w:color w:val="auto"/>
        </w:rPr>
      </w:pPr>
      <w:r>
        <w:rPr>
          <w:rFonts w:ascii="Courier New" w:cs="Courier New" w:eastAsia="Courier New" w:hAnsi="Courier New"/>
          <w:sz w:val="18"/>
          <w:szCs w:val="18"/>
          <w:color w:val="auto"/>
        </w:rPr>
        <w:t>In addition, the Company may, at its option and at any time, elect to have the obligations of the Company and the Guarantors released with respect to certain covenants that are described in the Indenture ("Covenant Defeasance")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order to exercise either Legal Defeasance or Covenant Defeasance:</w:t>
      </w:r>
    </w:p>
    <w:p>
      <w:pPr>
        <w:spacing w:after="0" w:line="207" w:lineRule="exact"/>
        <w:rPr>
          <w:sz w:val="20"/>
          <w:szCs w:val="20"/>
          <w:color w:val="auto"/>
        </w:rPr>
      </w:pPr>
    </w:p>
    <w:p>
      <w:pPr>
        <w:ind w:left="740" w:right="1779" w:firstLine="5"/>
        <w:spacing w:after="0" w:line="271" w:lineRule="auto"/>
        <w:tabs>
          <w:tab w:leader="none" w:pos="116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irrevocably deposit with the Trustee, in trust, for the benefit of the Holders of the Notes, cash in U.S. dollars, non-callable Government Securities, or a combination thereof, in such amounts as will be sufficient, in the opinion of a nationally recognized firm of independent public accountants, to pay the principal of, premium, if any, and interest and Liquidated Damages, if any, on the outstanding Notes on the stated maturity or on the applicable redemption date, as the case may be, and the Company must specify whether the Notes are being defeased to maturity or to a particular redemption date;</w:t>
      </w:r>
    </w:p>
    <w:p>
      <w:pPr>
        <w:spacing w:after="0" w:line="183" w:lineRule="exact"/>
        <w:rPr>
          <w:rFonts w:ascii="Courier New" w:cs="Courier New" w:eastAsia="Courier New" w:hAnsi="Courier New"/>
          <w:sz w:val="16"/>
          <w:szCs w:val="16"/>
          <w:color w:val="auto"/>
        </w:rPr>
      </w:pPr>
    </w:p>
    <w:p>
      <w:pPr>
        <w:ind w:left="740" w:right="1779" w:firstLine="5"/>
        <w:spacing w:after="0" w:line="238" w:lineRule="auto"/>
        <w:tabs>
          <w:tab w:leader="none" w:pos="11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07" w:lineRule="exact"/>
        <w:rPr>
          <w:rFonts w:ascii="Courier New" w:cs="Courier New" w:eastAsia="Courier New" w:hAnsi="Courier New"/>
          <w:sz w:val="18"/>
          <w:szCs w:val="18"/>
          <w:color w:val="auto"/>
        </w:rPr>
      </w:pPr>
    </w:p>
    <w:p>
      <w:pPr>
        <w:ind w:left="740" w:right="1779" w:firstLine="5"/>
        <w:spacing w:after="0" w:line="271" w:lineRule="auto"/>
        <w:tabs>
          <w:tab w:leader="none" w:pos="116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7"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have occurred and be continuing either: (a) on the date of such deposit (other than a Default or Event of Default resulting from the borrowing of funds to be applied to such deposit); or (b) or insofar as Events of Default from bankruptcy or insolvency events are concerned, at any time in the period ending on the 91st day after the date of deposit;</w:t>
      </w:r>
    </w:p>
    <w:p>
      <w:pPr>
        <w:spacing w:after="0" w:line="209" w:lineRule="exact"/>
        <w:rPr>
          <w:rFonts w:ascii="Courier New" w:cs="Courier New" w:eastAsia="Courier New" w:hAnsi="Courier New"/>
          <w:sz w:val="18"/>
          <w:szCs w:val="18"/>
          <w:color w:val="auto"/>
        </w:rPr>
      </w:pPr>
    </w:p>
    <w:p>
      <w:pPr>
        <w:ind w:left="740" w:right="1999" w:firstLine="5"/>
        <w:spacing w:after="0" w:line="237" w:lineRule="auto"/>
        <w:tabs>
          <w:tab w:leader="none" w:pos="11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Legal Defeasance or Covenant Defeasance will not result in a breach or violation of, or constitute a default under any material agreement or instrument (other than the Indenture) to which the Company or any of its Subsidiaries is a party or by which the Company or any of its Subsidiaries is bound;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3" w:name="page64"/>
    <w:bookmarkEnd w:id="63"/>
    <w:p>
      <w:pPr>
        <w:ind w:left="740" w:right="1779" w:firstLine="5"/>
        <w:spacing w:after="0" w:line="237" w:lineRule="auto"/>
        <w:tabs>
          <w:tab w:leader="none" w:pos="11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SUPPLEMENT AND WAIVER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Without the consent of each Holder affected, an amendment or waiver may not (with respect to any Notes held by a non-consenting Holder):</w:t>
      </w:r>
    </w:p>
    <w:p>
      <w:pPr>
        <w:spacing w:after="0" w:line="208" w:lineRule="exact"/>
        <w:rPr>
          <w:sz w:val="20"/>
          <w:szCs w:val="20"/>
          <w:color w:val="auto"/>
        </w:rPr>
      </w:pPr>
    </w:p>
    <w:p>
      <w:pPr>
        <w:ind w:left="740" w:right="1779" w:firstLine="5"/>
        <w:spacing w:after="0" w:line="235" w:lineRule="auto"/>
        <w:tabs>
          <w:tab w:leader="none" w:pos="11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Notes whose Holders must consent to an amendment, supplement or waiver;</w:t>
      </w:r>
    </w:p>
    <w:p>
      <w:pPr>
        <w:spacing w:after="0" w:line="208" w:lineRule="exact"/>
        <w:rPr>
          <w:rFonts w:ascii="Courier New" w:cs="Courier New" w:eastAsia="Courier New" w:hAnsi="Courier New"/>
          <w:sz w:val="18"/>
          <w:szCs w:val="18"/>
          <w:color w:val="auto"/>
        </w:rPr>
      </w:pPr>
    </w:p>
    <w:p>
      <w:pPr>
        <w:jc w:val="both"/>
        <w:ind w:left="740" w:right="1999" w:firstLine="5"/>
        <w:spacing w:after="0" w:line="237" w:lineRule="auto"/>
        <w:tabs>
          <w:tab w:leader="none" w:pos="11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207"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of or change the time for payment of interest on any Note;</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 Default or Event of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Note payable in money other than that stated in the Notes;</w:t>
      </w:r>
    </w:p>
    <w:p>
      <w:pPr>
        <w:spacing w:after="0" w:line="206" w:lineRule="exact"/>
        <w:rPr>
          <w:rFonts w:ascii="Courier New" w:cs="Courier New" w:eastAsia="Courier New" w:hAnsi="Courier New"/>
          <w:sz w:val="18"/>
          <w:szCs w:val="18"/>
          <w:color w:val="auto"/>
        </w:rPr>
      </w:pPr>
    </w:p>
    <w:p>
      <w:pPr>
        <w:ind w:left="740" w:right="2099" w:firstLine="5"/>
        <w:spacing w:after="0" w:line="279" w:lineRule="auto"/>
        <w:tabs>
          <w:tab w:leader="none" w:pos="116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the Indenture relating to waivers of past Defaults or the rights of Holders of Notes to receive payments of principal of or premium, if any, or interest on the Notes;</w:t>
      </w:r>
    </w:p>
    <w:p>
      <w:pPr>
        <w:spacing w:after="0" w:line="178" w:lineRule="exact"/>
        <w:rPr>
          <w:rFonts w:ascii="Courier New" w:cs="Courier New" w:eastAsia="Courier New" w:hAnsi="Courier New"/>
          <w:sz w:val="16"/>
          <w:szCs w:val="16"/>
          <w:color w:val="auto"/>
        </w:rPr>
      </w:pPr>
    </w:p>
    <w:p>
      <w:pPr>
        <w:ind w:left="740" w:right="2199" w:firstLine="5"/>
        <w:spacing w:after="0" w:line="236" w:lineRule="auto"/>
        <w:tabs>
          <w:tab w:leader="none" w:pos="11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 redemption payment with respect to any Note (other than a payment required by one of the covenants described above under the caption "Repurchase at the option of holders"); or</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in the preceding amendment and waiver provisions, except as set forth below.</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any amendment to, or waiver of, the provisions of the Indenture relating to subordination that adversely affect the rights of the Holders of the Notes will require the consent of the Holders of at least 75% in aggregate principal amount of Notes then outstanding.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the preceding, without the consent of any Holder of Notes, the</w:t>
      </w:r>
    </w:p>
    <w:p>
      <w:pPr>
        <w:spacing w:after="0" w:line="238" w:lineRule="auto"/>
        <w:rPr>
          <w:sz w:val="20"/>
          <w:szCs w:val="20"/>
          <w:color w:val="auto"/>
        </w:rPr>
      </w:pPr>
      <w:r>
        <w:rPr>
          <w:rFonts w:ascii="Courier New" w:cs="Courier New" w:eastAsia="Courier New" w:hAnsi="Courier New"/>
          <w:sz w:val="18"/>
          <w:szCs w:val="18"/>
          <w:color w:val="auto"/>
        </w:rPr>
        <w:t>Company and the Trustee may amend or supplement the Indenture or the Notes:</w:t>
      </w:r>
    </w:p>
    <w:p>
      <w:pPr>
        <w:spacing w:after="0" w:line="202" w:lineRule="exact"/>
        <w:rPr>
          <w:sz w:val="20"/>
          <w:szCs w:val="20"/>
          <w:color w:val="auto"/>
        </w:rPr>
      </w:pPr>
    </w:p>
    <w:p>
      <w:pPr>
        <w:ind w:left="1160" w:hanging="415"/>
        <w:spacing w:after="0"/>
        <w:tabs>
          <w:tab w:leader="none" w:pos="11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defect or inconsistency;</w:t>
      </w:r>
    </w:p>
    <w:p>
      <w:pPr>
        <w:spacing w:after="0" w:line="206"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uncertificated Notes in addition to or in place of certificated Notes;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64" w:name="page65"/>
    <w:bookmarkEnd w:id="64"/>
    <w:p>
      <w:pPr>
        <w:ind w:left="740" w:right="1779" w:firstLine="5"/>
        <w:spacing w:after="0" w:line="236" w:lineRule="auto"/>
        <w:tabs>
          <w:tab w:leader="none" w:pos="116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assumption of the Company's obligations to Holders of Notes in the case of a merger or consolidation or sale of all or substantially all of the Company's assets;</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any change that would provide any additional rights or</w:t>
      </w:r>
    </w:p>
    <w:p>
      <w:pPr>
        <w:spacing w:after="0" w:line="4" w:lineRule="exact"/>
        <w:rPr>
          <w:rFonts w:ascii="Courier New" w:cs="Courier New" w:eastAsia="Courier New" w:hAnsi="Courier New"/>
          <w:sz w:val="18"/>
          <w:szCs w:val="18"/>
          <w:color w:val="auto"/>
        </w:rPr>
      </w:pPr>
    </w:p>
    <w:p>
      <w:pPr>
        <w:ind w:left="7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to the Holders of Notes or that does not adversely affect the legal rights under the Indenture of any such Holder;</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any Person as a Guarantor; and</w:t>
      </w:r>
    </w:p>
    <w:p>
      <w:pPr>
        <w:spacing w:after="0" w:line="206"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requirements of the Commission in order to effect or maintain the qualification of the Indenture under the Trust Indenture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If the Trustee becomes a creditor of the Company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shall occur and be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DEBT" means, with respect to any specified Person:</w:t>
      </w:r>
    </w:p>
    <w:p>
      <w:pPr>
        <w:spacing w:after="0" w:line="207" w:lineRule="exact"/>
        <w:rPr>
          <w:sz w:val="20"/>
          <w:szCs w:val="20"/>
          <w:color w:val="auto"/>
        </w:rPr>
      </w:pPr>
    </w:p>
    <w:p>
      <w:pPr>
        <w:ind w:left="740" w:right="1879" w:firstLine="5"/>
        <w:spacing w:after="0" w:line="237" w:lineRule="auto"/>
        <w:tabs>
          <w:tab w:leader="none" w:pos="116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secured by a Lien encumbering any asset acquired by such specified Person.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provided that beneficial ownership of 25% or more of the Voting Stock of a Person shall be deemed to be control. For purposes of this definition, the terms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65" w:name="page66"/>
    <w:bookmarkEnd w:id="65"/>
    <w:p>
      <w:pPr>
        <w:ind w:right="2519"/>
        <w:spacing w:after="0" w:line="235" w:lineRule="auto"/>
        <w:rPr>
          <w:sz w:val="20"/>
          <w:szCs w:val="20"/>
          <w:color w:val="auto"/>
        </w:rPr>
      </w:pPr>
      <w:r>
        <w:rPr>
          <w:rFonts w:ascii="Courier New" w:cs="Courier New" w:eastAsia="Courier New" w:hAnsi="Courier New"/>
          <w:sz w:val="18"/>
          <w:szCs w:val="18"/>
          <w:color w:val="auto"/>
        </w:rPr>
        <w:t>"controlling," "controlled by" and "under common control with" shall have correlative meanings.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SALE" means:</w:t>
      </w:r>
    </w:p>
    <w:p>
      <w:pPr>
        <w:spacing w:after="0" w:line="207" w:lineRule="exact"/>
        <w:rPr>
          <w:sz w:val="20"/>
          <w:szCs w:val="20"/>
          <w:color w:val="auto"/>
        </w:rPr>
      </w:pPr>
    </w:p>
    <w:p>
      <w:pPr>
        <w:ind w:left="740" w:right="1779" w:firstLine="5"/>
        <w:spacing w:after="0" w:line="268" w:lineRule="auto"/>
        <w:tabs>
          <w:tab w:leader="none" w:pos="116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the Indenture described above under the caption</w:t>
      </w:r>
    </w:p>
    <w:p>
      <w:pPr>
        <w:spacing w:after="0" w:line="1" w:lineRule="exact"/>
        <w:rPr>
          <w:rFonts w:ascii="Courier New" w:cs="Courier New" w:eastAsia="Courier New" w:hAnsi="Courier New"/>
          <w:sz w:val="16"/>
          <w:szCs w:val="16"/>
          <w:color w:val="auto"/>
        </w:rPr>
      </w:pPr>
    </w:p>
    <w:p>
      <w:pPr>
        <w:ind w:left="740"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Change of control" and/or the provisions described above under the caption "-- Merger, consolidation or sale of assets" and not by the provisions of the Asset Sale covenant; and</w:t>
      </w:r>
    </w:p>
    <w:p>
      <w:pPr>
        <w:spacing w:after="0" w:line="208" w:lineRule="exact"/>
        <w:rPr>
          <w:rFonts w:ascii="Courier New" w:cs="Courier New" w:eastAsia="Courier New" w:hAnsi="Courier New"/>
          <w:sz w:val="16"/>
          <w:szCs w:val="16"/>
          <w:color w:val="auto"/>
        </w:rPr>
      </w:pPr>
    </w:p>
    <w:p>
      <w:pPr>
        <w:ind w:left="740" w:right="1879" w:firstLine="5"/>
        <w:spacing w:after="0" w:line="290" w:lineRule="auto"/>
        <w:tabs>
          <w:tab w:leader="none" w:pos="116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Equity Interests by any of the Company's Restricted Subsidiaries or the sale of Equity Interests in any of its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the preceding, the following items shall not be deemed to be</w:t>
      </w:r>
    </w:p>
    <w:p>
      <w:pPr>
        <w:spacing w:after="0" w:line="238" w:lineRule="auto"/>
        <w:rPr>
          <w:sz w:val="20"/>
          <w:szCs w:val="20"/>
          <w:color w:val="auto"/>
        </w:rPr>
      </w:pPr>
      <w:r>
        <w:rPr>
          <w:rFonts w:ascii="Courier New" w:cs="Courier New" w:eastAsia="Courier New" w:hAnsi="Courier New"/>
          <w:sz w:val="18"/>
          <w:szCs w:val="18"/>
          <w:color w:val="auto"/>
        </w:rPr>
        <w:t>Asset Sales:</w:t>
      </w:r>
    </w:p>
    <w:p>
      <w:pPr>
        <w:spacing w:after="0" w:line="207" w:lineRule="exact"/>
        <w:rPr>
          <w:sz w:val="20"/>
          <w:szCs w:val="20"/>
          <w:color w:val="auto"/>
        </w:rPr>
      </w:pPr>
    </w:p>
    <w:p>
      <w:pPr>
        <w:ind w:left="740" w:right="1879" w:firstLine="5"/>
        <w:spacing w:after="0" w:line="268" w:lineRule="auto"/>
        <w:tabs>
          <w:tab w:leader="none" w:pos="116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(a) involves assets having a fair market value of less than $2.5 million; or</w:t>
      </w: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results in net proceeds to the Company and its Subsidiaries of less than $2.5 million;</w:t>
      </w:r>
    </w:p>
    <w:p>
      <w:pPr>
        <w:spacing w:after="0" w:line="208"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of assets (a) between or among the Company and its Wholly Owned Restricted Subsidiaries, (b) by a Restricted Subsidiary to the Company or any of its Wholly Owned Restricted Subsidiaries or (c) 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214"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issuance of Equity Interests by a Restricted Subsidiary to the Company or to a Wholly Owned Restricted Subsidiary;</w:t>
      </w:r>
    </w:p>
    <w:p>
      <w:pPr>
        <w:spacing w:after="0" w:line="208" w:lineRule="exact"/>
        <w:rPr>
          <w:rFonts w:ascii="Courier New" w:cs="Courier New" w:eastAsia="Courier New" w:hAnsi="Courier New"/>
          <w:sz w:val="18"/>
          <w:szCs w:val="18"/>
          <w:color w:val="auto"/>
        </w:rPr>
      </w:pPr>
    </w:p>
    <w:p>
      <w:pPr>
        <w:ind w:left="740" w:right="2099" w:firstLine="5"/>
        <w:spacing w:after="0" w:line="279" w:lineRule="auto"/>
        <w:tabs>
          <w:tab w:leader="none" w:pos="116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discount of any receivables to lenders under any Credit Facilities or to special purpose entities formed to borrow from lenders under Credit Facilities against such receivables;</w:t>
      </w:r>
    </w:p>
    <w:p>
      <w:pPr>
        <w:spacing w:after="0" w:line="178" w:lineRule="exact"/>
        <w:rPr>
          <w:rFonts w:ascii="Courier New" w:cs="Courier New" w:eastAsia="Courier New" w:hAnsi="Courier New"/>
          <w:sz w:val="16"/>
          <w:szCs w:val="16"/>
          <w:color w:val="auto"/>
        </w:rPr>
      </w:pPr>
    </w:p>
    <w:p>
      <w:pPr>
        <w:ind w:left="740" w:right="1879" w:firstLine="5"/>
        <w:spacing w:after="0" w:line="271" w:lineRule="auto"/>
        <w:tabs>
          <w:tab w:leader="none" w:pos="116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of assets (other than assets specified in any other clause of this paragraph) by the Company or any of its Restricted Subsidiaries prior to September 30, 2002, provided that (a) the Company (or the Restricted Subsidiary, as the case may be) receives consideration at the time of each such sale at least equal to the fair market value of the assets sold and (b) the aggregate fair market value of all such assets sold in any fiscal year shall not exceed an amount equal to:</w:t>
      </w:r>
    </w:p>
    <w:p>
      <w:pPr>
        <w:spacing w:after="0" w:line="182"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Company's fiscal year ended September 30, 1999,</w:t>
      </w:r>
    </w:p>
    <w:p>
      <w:pPr>
        <w:ind w:left="960"/>
        <w:spacing w:after="0" w:line="238" w:lineRule="auto"/>
        <w:rPr>
          <w:sz w:val="20"/>
          <w:szCs w:val="20"/>
          <w:color w:val="auto"/>
        </w:rPr>
      </w:pPr>
      <w:r>
        <w:rPr>
          <w:rFonts w:ascii="Courier New" w:cs="Courier New" w:eastAsia="Courier New" w:hAnsi="Courier New"/>
          <w:sz w:val="18"/>
          <w:szCs w:val="18"/>
          <w:color w:val="auto"/>
        </w:rPr>
        <w:t>$25,000,000, and</w:t>
      </w:r>
    </w:p>
    <w:p>
      <w:pPr>
        <w:spacing w:after="0" w:line="202" w:lineRule="exact"/>
        <w:rPr>
          <w:sz w:val="20"/>
          <w:szCs w:val="20"/>
          <w:color w:val="auto"/>
        </w:rPr>
      </w:pPr>
    </w:p>
    <w:p>
      <w:pPr>
        <w:ind w:left="1480" w:hanging="524"/>
        <w:spacing w:after="0"/>
        <w:tabs>
          <w:tab w:leader="none" w:pos="148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of the Company's fiscal years ended September 30, 2000,</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and 2002, an amount equal to the sum of $25,000,000 plus the difference between (A) $25,000,000 and (B) the aggregate consideration received by the Company and its Restricted Subsidiaries for all sales of assets (excluding assets specified in any other clause of this paragraph) during the previous fiscal year;</w:t>
      </w:r>
    </w:p>
    <w:p>
      <w:pPr>
        <w:spacing w:after="0" w:line="208" w:lineRule="exact"/>
        <w:rPr>
          <w:rFonts w:ascii="Courier New" w:cs="Courier New" w:eastAsia="Courier New" w:hAnsi="Courier New"/>
          <w:sz w:val="18"/>
          <w:szCs w:val="18"/>
          <w:color w:val="auto"/>
        </w:rPr>
      </w:pPr>
    </w:p>
    <w:p>
      <w:pPr>
        <w:ind w:left="740" w:right="2319" w:firstLine="5"/>
        <w:spacing w:after="0" w:line="235" w:lineRule="auto"/>
        <w:tabs>
          <w:tab w:leader="none" w:pos="116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Restricted Payment that is permitted by the covenant described above under the caption "-- Restricted payments;"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66" w:name="page67"/>
    <w:bookmarkEnd w:id="66"/>
    <w:p>
      <w:pPr>
        <w:ind w:left="740" w:right="1879" w:firstLine="5"/>
        <w:spacing w:after="0" w:line="275" w:lineRule="auto"/>
        <w:tabs>
          <w:tab w:leader="none" w:pos="116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STOCK" means:</w:t>
      </w:r>
    </w:p>
    <w:p>
      <w:pPr>
        <w:spacing w:after="0" w:line="201" w:lineRule="exact"/>
        <w:rPr>
          <w:sz w:val="20"/>
          <w:szCs w:val="20"/>
          <w:color w:val="auto"/>
        </w:rPr>
      </w:pPr>
    </w:p>
    <w:p>
      <w:pPr>
        <w:ind w:left="1160" w:hanging="415"/>
        <w:spacing w:after="0"/>
        <w:tabs>
          <w:tab w:leader="none" w:pos="11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corporation, corporate stock;</w:t>
      </w:r>
    </w:p>
    <w:p>
      <w:pPr>
        <w:spacing w:after="0" w:line="206" w:lineRule="exact"/>
        <w:rPr>
          <w:rFonts w:ascii="Courier New" w:cs="Courier New" w:eastAsia="Courier New" w:hAnsi="Courier New"/>
          <w:sz w:val="18"/>
          <w:szCs w:val="18"/>
          <w:color w:val="auto"/>
        </w:rPr>
      </w:pPr>
    </w:p>
    <w:p>
      <w:pPr>
        <w:ind w:left="740" w:right="1779" w:firstLine="5"/>
        <w:spacing w:after="0" w:line="236"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association or business entity, any and all shares, interests, participations, rights or other equivalents (however designated) of corporate stock;</w:t>
      </w:r>
    </w:p>
    <w:p>
      <w:pPr>
        <w:spacing w:after="0" w:line="208" w:lineRule="exact"/>
        <w:rPr>
          <w:rFonts w:ascii="Courier New" w:cs="Courier New" w:eastAsia="Courier New" w:hAnsi="Courier New"/>
          <w:sz w:val="18"/>
          <w:szCs w:val="18"/>
          <w:color w:val="auto"/>
        </w:rPr>
      </w:pPr>
    </w:p>
    <w:p>
      <w:pPr>
        <w:ind w:left="740" w:right="2199" w:firstLine="5"/>
        <w:spacing w:after="0" w:line="290" w:lineRule="auto"/>
        <w:tabs>
          <w:tab w:leader="none" w:pos="116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partnership or limited liability company, partnership or membership interests (whether general or limited); and</w:t>
      </w:r>
    </w:p>
    <w:p>
      <w:pPr>
        <w:spacing w:after="0" w:line="169" w:lineRule="exact"/>
        <w:rPr>
          <w:rFonts w:ascii="Courier New" w:cs="Courier New" w:eastAsia="Courier New" w:hAnsi="Courier New"/>
          <w:sz w:val="16"/>
          <w:szCs w:val="16"/>
          <w:color w:val="auto"/>
        </w:rPr>
      </w:pPr>
    </w:p>
    <w:p>
      <w:pPr>
        <w:ind w:left="740" w:right="1999" w:firstLine="5"/>
        <w:spacing w:after="0" w:line="236"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EQUIVALENTS" means:</w:t>
      </w:r>
    </w:p>
    <w:p>
      <w:pPr>
        <w:spacing w:after="0" w:line="201" w:lineRule="exact"/>
        <w:rPr>
          <w:sz w:val="20"/>
          <w:szCs w:val="20"/>
          <w:color w:val="auto"/>
        </w:rPr>
      </w:pPr>
    </w:p>
    <w:p>
      <w:pPr>
        <w:ind w:left="1160" w:hanging="415"/>
        <w:spacing w:after="0"/>
        <w:tabs>
          <w:tab w:leader="none" w:pos="11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dollars;</w:t>
      </w:r>
    </w:p>
    <w:p>
      <w:pPr>
        <w:spacing w:after="0" w:line="206"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six months from the date of acquisition;</w:t>
      </w:r>
    </w:p>
    <w:p>
      <w:pPr>
        <w:spacing w:after="0" w:line="208" w:lineRule="exact"/>
        <w:rPr>
          <w:rFonts w:ascii="Courier New" w:cs="Courier New" w:eastAsia="Courier New" w:hAnsi="Courier New"/>
          <w:sz w:val="18"/>
          <w:szCs w:val="18"/>
          <w:color w:val="auto"/>
        </w:rPr>
      </w:pPr>
    </w:p>
    <w:p>
      <w:pPr>
        <w:ind w:left="740" w:right="1879" w:firstLine="5"/>
        <w:spacing w:after="0" w:line="272" w:lineRule="auto"/>
        <w:tabs>
          <w:tab w:leader="none" w:pos="116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Facility or with any domestic commercial bank having capital and surplus in excess of $500 million and a Thompson Bank Watch Rating of "B" or better;</w:t>
      </w:r>
    </w:p>
    <w:p>
      <w:pPr>
        <w:spacing w:after="0" w:line="185"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67" w:name="page68"/>
    <w:bookmarkEnd w:id="67"/>
    <w:p>
      <w:pPr>
        <w:ind w:left="740" w:right="1779" w:firstLine="5"/>
        <w:spacing w:after="0" w:line="236" w:lineRule="auto"/>
        <w:tabs>
          <w:tab w:leader="none" w:pos="116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having the highest rating obtainable from Moody's Investors Service, Inc. or Standard &amp; Poor's Corporation and in each case maturing within six months after the date of acquisition; and</w:t>
      </w:r>
    </w:p>
    <w:p>
      <w:pPr>
        <w:spacing w:after="0" w:line="208" w:lineRule="exact"/>
        <w:rPr>
          <w:rFonts w:ascii="Courier New" w:cs="Courier New" w:eastAsia="Courier New" w:hAnsi="Courier New"/>
          <w:sz w:val="18"/>
          <w:szCs w:val="18"/>
          <w:color w:val="auto"/>
        </w:rPr>
      </w:pPr>
    </w:p>
    <w:p>
      <w:pPr>
        <w:jc w:val="both"/>
        <w:ind w:left="740" w:right="2199" w:firstLine="5"/>
        <w:spacing w:after="0" w:line="236" w:lineRule="auto"/>
        <w:tabs>
          <w:tab w:leader="none" w:pos="116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market funds at least 95% of the assets of which constitute Cash Equivalents of the kinds described in clauses (1) through (5) of this definition.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means the occurrence of any of the following:</w:t>
      </w:r>
    </w:p>
    <w:p>
      <w:pPr>
        <w:spacing w:after="0" w:line="207" w:lineRule="exact"/>
        <w:rPr>
          <w:sz w:val="20"/>
          <w:szCs w:val="20"/>
          <w:color w:val="auto"/>
        </w:rPr>
      </w:pPr>
    </w:p>
    <w:p>
      <w:pPr>
        <w:ind w:left="740" w:right="1779" w:firstLine="5"/>
        <w:spacing w:after="0" w:line="237" w:lineRule="auto"/>
        <w:tabs>
          <w:tab w:leader="none" w:pos="116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209"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a plan relating to the liquidation or dissolution of the Company;</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30% of the Voting Stock of the Company, measured by voting power rather than number of shares;</w:t>
      </w:r>
    </w:p>
    <w:p>
      <w:pPr>
        <w:spacing w:after="0" w:line="209" w:lineRule="exact"/>
        <w:rPr>
          <w:rFonts w:ascii="Courier New" w:cs="Courier New" w:eastAsia="Courier New" w:hAnsi="Courier New"/>
          <w:sz w:val="18"/>
          <w:szCs w:val="18"/>
          <w:color w:val="auto"/>
        </w:rPr>
      </w:pPr>
    </w:p>
    <w:p>
      <w:pPr>
        <w:ind w:left="740" w:right="2319" w:firstLine="5"/>
        <w:spacing w:after="0" w:line="235" w:lineRule="auto"/>
        <w:tabs>
          <w:tab w:leader="none" w:pos="116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on which a majority of the members of the Board of Directors of the Company are not Continuing Directors; or</w:t>
      </w:r>
    </w:p>
    <w:p>
      <w:pPr>
        <w:spacing w:after="0" w:line="208" w:lineRule="exact"/>
        <w:rPr>
          <w:rFonts w:ascii="Courier New" w:cs="Courier New" w:eastAsia="Courier New" w:hAnsi="Courier New"/>
          <w:sz w:val="18"/>
          <w:szCs w:val="18"/>
          <w:color w:val="auto"/>
        </w:rPr>
      </w:pPr>
    </w:p>
    <w:p>
      <w:pPr>
        <w:ind w:left="740" w:right="1779" w:firstLine="5"/>
        <w:spacing w:after="0" w:line="270" w:lineRule="auto"/>
        <w:tabs>
          <w:tab w:leader="none" w:pos="116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"CLASS A CONVERTIBLE PREFERRED STOCK" means 195,000 shares of the Company's 5% Class A Convertible Preferred Stock, liquidation preference $1,000 per share, all of which has been converted into common shares of the Company.</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"CONSOLIDATED CASH FLOW" means, with respect to any Person for any period, the Consolidated Net Income of such Person for such period plus, without duplication:</w:t>
      </w:r>
    </w:p>
    <w:p>
      <w:pPr>
        <w:spacing w:after="0" w:line="209" w:lineRule="exact"/>
        <w:rPr>
          <w:sz w:val="20"/>
          <w:szCs w:val="20"/>
          <w:color w:val="auto"/>
        </w:rPr>
      </w:pPr>
    </w:p>
    <w:p>
      <w:pPr>
        <w:ind w:left="740" w:right="1879" w:firstLine="5"/>
        <w:spacing w:after="0" w:line="271" w:lineRule="auto"/>
        <w:tabs>
          <w:tab w:leader="none" w:pos="116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any extraordinary gain or loss plus any net gain or loss realized in connection with an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in any such case to the extent such gains or losses were excluded in computing such Consolidated Net Income; plus</w:t>
      </w:r>
    </w:p>
    <w:p>
      <w:pPr>
        <w:spacing w:after="0" w:line="185"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68" w:name="page69"/>
    <w:bookmarkEnd w:id="68"/>
    <w:p>
      <w:pPr>
        <w:ind w:left="740" w:right="1779" w:firstLine="5"/>
        <w:spacing w:after="0" w:line="270" w:lineRule="auto"/>
        <w:tabs>
          <w:tab w:leader="none" w:pos="116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187" w:lineRule="exact"/>
        <w:rPr>
          <w:rFonts w:ascii="Courier New" w:cs="Courier New" w:eastAsia="Courier New" w:hAnsi="Courier New"/>
          <w:sz w:val="16"/>
          <w:szCs w:val="16"/>
          <w:color w:val="auto"/>
        </w:rPr>
      </w:pPr>
    </w:p>
    <w:p>
      <w:pPr>
        <w:ind w:left="740" w:right="1779" w:firstLine="5"/>
        <w:spacing w:after="0" w:line="238" w:lineRule="auto"/>
        <w:tabs>
          <w:tab w:leader="none" w:pos="116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amortization (including amortization of goodwill and other intangibles but excluding amortization of prepaid cash expenses that were paid in a prior period), other non-cash expenses (excluding any such non-cash expense to the extent that it represents an accrual of or reserve for cash expenses in any future period or amortization of a prepaid cash expense that was paid in a prior period) and, in the case of the Company and its Restricted Subsidiaries, restructuring charges recorded in the Company's fourth fiscal quarter of fiscal 1998 in an amount not to exceed $20.4 million in the aggregate, of such Person and its Restricted Subsidiaries for such period to the extent that such depreciation, amortization and other non-cash expenses were deducted in computing such Consolidated Net Income; minus</w:t>
      </w:r>
    </w:p>
    <w:p>
      <w:pPr>
        <w:spacing w:after="0" w:line="207" w:lineRule="exact"/>
        <w:rPr>
          <w:rFonts w:ascii="Courier New" w:cs="Courier New" w:eastAsia="Courier New" w:hAnsi="Courier New"/>
          <w:sz w:val="18"/>
          <w:szCs w:val="18"/>
          <w:color w:val="auto"/>
        </w:rPr>
      </w:pPr>
    </w:p>
    <w:p>
      <w:pPr>
        <w:ind w:left="740" w:right="2319" w:firstLine="5"/>
        <w:spacing w:after="0" w:line="237" w:lineRule="auto"/>
        <w:tabs>
          <w:tab w:leader="none" w:pos="116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non-cash items increasing such Consolidated Net Income for such period, other than items that were accrued in the ordinary course of business, in each case, on a consolidated basis and determined in accordance with GAAP.</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Issue Date and other than restrictions that are created or exist in compliance with the covenant under the caption "Dividends and other payment restrictions affecting subsidiaries").</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207" w:lineRule="exact"/>
        <w:rPr>
          <w:sz w:val="20"/>
          <w:szCs w:val="20"/>
          <w:color w:val="auto"/>
        </w:rPr>
      </w:pPr>
    </w:p>
    <w:p>
      <w:pPr>
        <w:ind w:left="740" w:right="1879" w:firstLine="5"/>
        <w:spacing w:after="0" w:line="237" w:lineRule="auto"/>
        <w:tabs>
          <w:tab w:leader="none" w:pos="116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69" w:name="page70"/>
    <w:bookmarkEnd w:id="69"/>
    <w:p>
      <w:pPr>
        <w:jc w:val="both"/>
        <w:ind w:left="740" w:right="1879"/>
        <w:spacing w:after="0" w:line="237" w:lineRule="auto"/>
        <w:rPr>
          <w:sz w:val="20"/>
          <w:szCs w:val="20"/>
          <w:color w:val="auto"/>
        </w:rPr>
      </w:pPr>
      <w:r>
        <w:rPr>
          <w:rFonts w:ascii="Courier New" w:cs="Courier New" w:eastAsia="Courier New" w:hAnsi="Courier New"/>
          <w:sz w:val="18"/>
          <w:szCs w:val="18"/>
          <w:color w:val="auto"/>
        </w:rPr>
        <w:t>or its stockholders (other than restrictions in effect on the Issue Date and other than restrictions that are created or exist in compliance with the covenant under the caption "Dividends and other payment restrictions affecting subsidiaries");</w:t>
      </w:r>
    </w:p>
    <w:p>
      <w:pPr>
        <w:spacing w:after="0" w:line="207" w:lineRule="exact"/>
        <w:rPr>
          <w:sz w:val="20"/>
          <w:szCs w:val="20"/>
          <w:color w:val="auto"/>
        </w:rPr>
      </w:pPr>
    </w:p>
    <w:p>
      <w:pPr>
        <w:ind w:left="740" w:right="1779" w:firstLine="5"/>
        <w:spacing w:after="0" w:line="236" w:lineRule="auto"/>
        <w:tabs>
          <w:tab w:leader="none" w:pos="116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Person acquired in a pooling of interests transaction for any period prior to the date of such acquisition shall be excluded;</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116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(but not loss) of any Unrestricted Subsidiary shall be excluded, whether or not distributed to the specified Person or one of its Subsidiaries;</w:t>
      </w:r>
    </w:p>
    <w:p>
      <w:pPr>
        <w:spacing w:after="0" w:line="208"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charges and write-offs recorded prior to the first anniversary of the date of the Indenture, in an aggregate amount not to exceed $12.5 million, shall be excluded; and</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116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cumulative effect of a change in accounting principles shall be excluded.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DIRECTORS" means, as of any date of determination, any member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of the Company who:</w:t>
      </w:r>
    </w:p>
    <w:p>
      <w:pPr>
        <w:spacing w:after="0" w:line="207" w:lineRule="exact"/>
        <w:rPr>
          <w:sz w:val="20"/>
          <w:szCs w:val="20"/>
          <w:color w:val="auto"/>
        </w:rPr>
      </w:pPr>
    </w:p>
    <w:p>
      <w:pPr>
        <w:ind w:left="1160" w:hanging="415"/>
        <w:spacing w:after="0"/>
        <w:tabs>
          <w:tab w:leader="none" w:pos="11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such Board of Directors on the date of the Indenture;</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6"/>
          <w:szCs w:val="16"/>
          <w:color w:val="auto"/>
        </w:rPr>
      </w:pPr>
    </w:p>
    <w:p>
      <w:pPr>
        <w:ind w:left="740" w:right="1779" w:firstLine="5"/>
        <w:spacing w:after="0" w:line="236" w:lineRule="auto"/>
        <w:tabs>
          <w:tab w:leader="none" w:pos="1161"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nominated for election or elected to such Board of Directors with the approval of a majority of the Continuing Directors who were members of such Board at the time of such nomination or election.</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"CREDIT FACILITY" means, with respect to the Company or any of its Restricted Subsidiaries:</w:t>
      </w:r>
    </w:p>
    <w:p>
      <w:pPr>
        <w:spacing w:after="0" w:line="208" w:lineRule="exact"/>
        <w:rPr>
          <w:sz w:val="20"/>
          <w:szCs w:val="20"/>
          <w:color w:val="auto"/>
        </w:rPr>
      </w:pPr>
    </w:p>
    <w:p>
      <w:pPr>
        <w:ind w:left="740" w:right="1879" w:firstLine="5"/>
        <w:spacing w:after="0" w:line="271" w:lineRule="auto"/>
        <w:tabs>
          <w:tab w:leader="none" w:pos="116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Credit Facility, dated as of December 4, 1998, by and among the Company, certain of the Company's Subsidiaries, the lenders party thereto, JP Morgan Chase Bank, as Administrative Agent, Salomon Smith Barney Inc., as Syndication Agent, Credit Lyonnais Chicago Branch, as Co-Documentation Agent and NBD Bank, as Co-Documentation Agent providing for up to $500.0 million of revolving credit borrowings and $525.0 million in term loans, in each case including any related notes, guarantees, collateral documents, instruments and agreements executed in connection therewith, and in each case as amended, modified, renewed, refunded, replaced or refinanced from time to time; and</w:t>
      </w:r>
    </w:p>
    <w:p>
      <w:pPr>
        <w:spacing w:after="0" w:line="386"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"DEFAULT" means any event that is, or with the passage of time or the giving of notice or both would be, an Event of Default.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SENIOR DEBT" means:</w:t>
      </w:r>
    </w:p>
    <w:p>
      <w:pPr>
        <w:spacing w:after="0" w:line="201" w:lineRule="exact"/>
        <w:rPr>
          <w:sz w:val="20"/>
          <w:szCs w:val="20"/>
          <w:color w:val="auto"/>
        </w:rPr>
      </w:pPr>
    </w:p>
    <w:p>
      <w:pPr>
        <w:ind w:left="1160" w:hanging="415"/>
        <w:spacing w:after="0"/>
        <w:tabs>
          <w:tab w:leader="none" w:pos="11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outstanding under the Credit Facility; and</w:t>
      </w:r>
    </w:p>
    <w:p>
      <w:pPr>
        <w:spacing w:after="0" w:line="206"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Senior Debt permitted under the Indenture the principal amount of which is $10.0 million or more and that has been designated by the Company as "Designated Senior Debt."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3" w:right="1440" w:bottom="1440" w:gutter="0" w:footer="0" w:header="0"/>
        </w:sectPr>
      </w:pPr>
    </w:p>
    <w:bookmarkStart w:id="70" w:name="page71"/>
    <w:bookmarkEnd w:id="70"/>
    <w:p>
      <w:pPr>
        <w:ind w:right="1779"/>
        <w:spacing w:after="0" w:line="237" w:lineRule="auto"/>
        <w:rPr>
          <w:sz w:val="20"/>
          <w:szCs w:val="20"/>
          <w:color w:val="auto"/>
        </w:rPr>
      </w:pPr>
      <w:r>
        <w:rPr>
          <w:rFonts w:ascii="Courier New" w:cs="Courier New" w:eastAsia="Courier New" w:hAnsi="Courier New"/>
          <w:sz w:val="18"/>
          <w:szCs w:val="18"/>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21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"DOMESTIC RESTRICTED SUBSIDIARY" means, with respect to the Company, any Restricted Subsidiary that was formed under the laws of the United States of America or any State thereof.</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"EXCLUSIVE AGENCY AND MARKETING AGREEMENT" means the Exclusive Agency and Marketing Agreement between the Company and Monsanto Company, dated as of September 30, 1998 (as amended and restated as of November 11, 1998) as the same may be amended, modified, restated, extended, renewed or replaced from time to time.</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"EXISTING INDEBTEDNESS" means Indebtedness of the Company and its Restricted Subsidiaries (in addition to Indebtedness under the Credit Facility) in existence on the date of the Indenture, until such amounts are repaid.</w:t>
      </w:r>
    </w:p>
    <w:p>
      <w:pPr>
        <w:spacing w:after="0" w:line="17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"FIXED CHARGES" means, with respect to any Person for any period, the sum, without duplication, of:</w:t>
      </w:r>
    </w:p>
    <w:p>
      <w:pPr>
        <w:spacing w:after="0" w:line="208" w:lineRule="exact"/>
        <w:rPr>
          <w:sz w:val="20"/>
          <w:szCs w:val="20"/>
          <w:color w:val="auto"/>
        </w:rPr>
      </w:pPr>
    </w:p>
    <w:p>
      <w:pPr>
        <w:ind w:left="740" w:right="1999" w:firstLine="5"/>
        <w:spacing w:after="0" w:line="237" w:lineRule="auto"/>
        <w:tabs>
          <w:tab w:leader="none" w:pos="116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215" w:lineRule="exact"/>
        <w:rPr>
          <w:rFonts w:ascii="Courier New" w:cs="Courier New" w:eastAsia="Courier New" w:hAnsi="Courier New"/>
          <w:sz w:val="18"/>
          <w:szCs w:val="18"/>
          <w:color w:val="auto"/>
        </w:rPr>
      </w:pPr>
    </w:p>
    <w:p>
      <w:pPr>
        <w:ind w:left="740" w:right="2839" w:firstLine="5"/>
        <w:spacing w:after="0" w:line="290" w:lineRule="auto"/>
        <w:tabs>
          <w:tab w:leader="none" w:pos="116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interest of such Person and its Restricted Subsidiaries that was capitalized during such period; plus</w:t>
      </w:r>
    </w:p>
    <w:p>
      <w:pPr>
        <w:spacing w:after="0" w:line="169" w:lineRule="exact"/>
        <w:rPr>
          <w:rFonts w:ascii="Courier New" w:cs="Courier New" w:eastAsia="Courier New" w:hAnsi="Courier New"/>
          <w:sz w:val="16"/>
          <w:szCs w:val="16"/>
          <w:color w:val="auto"/>
        </w:rPr>
      </w:pPr>
    </w:p>
    <w:p>
      <w:pPr>
        <w:ind w:left="740" w:right="1879" w:firstLine="5"/>
        <w:spacing w:after="0" w:line="275" w:lineRule="auto"/>
        <w:tabs>
          <w:tab w:leader="none" w:pos="116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82" w:lineRule="exact"/>
        <w:rPr>
          <w:rFonts w:ascii="Courier New" w:cs="Courier New" w:eastAsia="Courier New" w:hAnsi="Courier New"/>
          <w:sz w:val="16"/>
          <w:szCs w:val="16"/>
          <w:color w:val="auto"/>
        </w:rPr>
      </w:pPr>
    </w:p>
    <w:p>
      <w:pPr>
        <w:ind w:left="740" w:right="1779" w:firstLine="5"/>
        <w:spacing w:after="0" w:line="272" w:lineRule="auto"/>
        <w:tabs>
          <w:tab w:leader="none" w:pos="116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71" w:name="page72"/>
    <w:bookmarkEnd w:id="71"/>
    <w:p>
      <w:pPr>
        <w:ind w:left="740" w:right="2099"/>
        <w:spacing w:after="0" w:line="236" w:lineRule="auto"/>
        <w:rPr>
          <w:sz w:val="20"/>
          <w:szCs w:val="20"/>
          <w:color w:val="auto"/>
        </w:rPr>
      </w:pPr>
      <w:r>
        <w:rPr>
          <w:rFonts w:ascii="Courier New" w:cs="Courier New" w:eastAsia="Courier New" w:hAnsi="Courier New"/>
          <w:sz w:val="18"/>
          <w:szCs w:val="18"/>
          <w:color w:val="auto"/>
        </w:rPr>
        <w:t>one minus the then current combined federal, state and local statutory tax rate of such Person, expressed as a decimal, in each case, on a consolidated basis and in accordance with GAAP.</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"FIXED CHARGE COVERAGE RATIO"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or redeems any Indebtedness (other than revolving credit borrowings) or issues or redeems preferred stock subsequent to the commencement of the period for which the Fixed Charge Coverage Ratio is being calculated but prior to the date on which the event for which the calculation of the Fixed Charge Coverage Ratio is made (the "Calculation Date"), then the Fixed Charge Coverage Ratio shall be calculated giving pro forma effect to such incurrence, assumption, Guarantee or redemption of Indebtedness, or such issuance or redemption of preferred stock, as if the same had occurred at the beginning of the applicable four-quarter reference period.</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for purposes of calculating the Fixed Charge Coverage Ratio:</w:t>
      </w:r>
    </w:p>
    <w:p>
      <w:pPr>
        <w:spacing w:after="0" w:line="207" w:lineRule="exact"/>
        <w:rPr>
          <w:sz w:val="20"/>
          <w:szCs w:val="20"/>
          <w:color w:val="auto"/>
        </w:rPr>
      </w:pPr>
    </w:p>
    <w:p>
      <w:pPr>
        <w:ind w:left="740" w:right="1779" w:firstLine="5"/>
        <w:spacing w:after="0" w:line="271" w:lineRule="auto"/>
        <w:tabs>
          <w:tab w:leader="none" w:pos="116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deemed to have occurred on the first day of the four-quarter reference period and Consolidated Cash Flow for such reference period shall be calculated without giving effect to clause (3) of the proviso set forth in the definition of Consolidated Net Income;</w:t>
      </w:r>
    </w:p>
    <w:p>
      <w:pPr>
        <w:spacing w:after="0" w:line="185" w:lineRule="exact"/>
        <w:rPr>
          <w:rFonts w:ascii="Courier New" w:cs="Courier New" w:eastAsia="Courier New" w:hAnsi="Courier New"/>
          <w:sz w:val="16"/>
          <w:szCs w:val="16"/>
          <w:color w:val="auto"/>
        </w:rPr>
      </w:pPr>
    </w:p>
    <w:p>
      <w:pPr>
        <w:ind w:left="740" w:right="1999" w:firstLine="5"/>
        <w:spacing w:after="0" w:line="279" w:lineRule="auto"/>
        <w:tabs>
          <w:tab w:leader="none" w:pos="116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Calculation Date, shall be excluded; and</w:t>
      </w:r>
    </w:p>
    <w:p>
      <w:pPr>
        <w:spacing w:after="0" w:line="178"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"FOREIGN SUBSIDIARY" means, with respect to the Company, any Subsidiary that does not meet the definition of a Domestic Subsidiary.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"GUARANTORS" means:</w:t>
      </w:r>
    </w:p>
    <w:p>
      <w:pPr>
        <w:spacing w:after="0" w:line="207" w:lineRule="exact"/>
        <w:rPr>
          <w:sz w:val="20"/>
          <w:szCs w:val="20"/>
          <w:color w:val="auto"/>
        </w:rPr>
      </w:pPr>
    </w:p>
    <w:p>
      <w:pPr>
        <w:ind w:left="740" w:right="2099" w:firstLine="5"/>
        <w:spacing w:after="0" w:line="235" w:lineRule="auto"/>
        <w:tabs>
          <w:tab w:leader="none" w:pos="1161"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Wholly Owned Domestic Restricted Subsidiary of the Company on the date of the Indenture;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72" w:name="page73"/>
    <w:bookmarkEnd w:id="72"/>
    <w:p>
      <w:pPr>
        <w:ind w:left="740" w:right="2519" w:firstLine="5"/>
        <w:spacing w:after="0" w:line="290" w:lineRule="auto"/>
        <w:tabs>
          <w:tab w:leader="none" w:pos="116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Subsidiary of the Company that executes a Subsidiary Guarantee in accordance with the provisions of the Indenture;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their respective successors and assigns.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"HEDGING OBLIGATIONS" means, with respect to any Person, the obligations of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under:</w:t>
      </w:r>
    </w:p>
    <w:p>
      <w:pPr>
        <w:spacing w:after="0" w:line="201" w:lineRule="exact"/>
        <w:rPr>
          <w:sz w:val="20"/>
          <w:szCs w:val="20"/>
          <w:color w:val="auto"/>
        </w:rPr>
      </w:pPr>
    </w:p>
    <w:p>
      <w:pPr>
        <w:ind w:left="1160" w:hanging="415"/>
        <w:spacing w:after="0"/>
        <w:tabs>
          <w:tab w:leader="none" w:pos="11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swap agreements, interest rate cap agreements and</w:t>
      </w:r>
    </w:p>
    <w:p>
      <w:pPr>
        <w:spacing w:after="0" w:line="4" w:lineRule="exact"/>
        <w:rPr>
          <w:rFonts w:ascii="Courier New" w:cs="Courier New" w:eastAsia="Courier New" w:hAnsi="Courier New"/>
          <w:sz w:val="18"/>
          <w:szCs w:val="18"/>
          <w:color w:val="auto"/>
        </w:rPr>
      </w:pPr>
    </w:p>
    <w:p>
      <w:pPr>
        <w:ind w:left="7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collar agreements or exchange rate or raw materials price risk agreements; and</w:t>
      </w:r>
    </w:p>
    <w:p>
      <w:pPr>
        <w:spacing w:after="0" w:line="208" w:lineRule="exact"/>
        <w:rPr>
          <w:rFonts w:ascii="Courier New" w:cs="Courier New" w:eastAsia="Courier New" w:hAnsi="Courier New"/>
          <w:sz w:val="18"/>
          <w:szCs w:val="18"/>
          <w:color w:val="auto"/>
        </w:rPr>
      </w:pPr>
    </w:p>
    <w:p>
      <w:pPr>
        <w:jc w:val="both"/>
        <w:ind w:left="740" w:right="2099" w:firstLine="5"/>
        <w:spacing w:after="0" w:line="275" w:lineRule="auto"/>
        <w:tabs>
          <w:tab w:leader="none" w:pos="116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or arrangements designed to protect such Person against fluctuations in interest rates, in each case pursuant to any Credit Facilities permitted pursuant to the covenant under the caption "Incurrence of indebtedness and issuance of preferred stock."</w:t>
      </w:r>
    </w:p>
    <w:p>
      <w:pPr>
        <w:spacing w:after="0" w:line="182"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"INDEBTEDNESS" means, with respect to any specified Person, without duplication, any indebtedness of such Person, whether or not contingent, in respect of:</w:t>
      </w:r>
    </w:p>
    <w:p>
      <w:pPr>
        <w:spacing w:after="0" w:line="164" w:lineRule="exact"/>
        <w:rPr>
          <w:sz w:val="20"/>
          <w:szCs w:val="20"/>
          <w:color w:val="auto"/>
        </w:rPr>
      </w:pPr>
    </w:p>
    <w:p>
      <w:pPr>
        <w:ind w:left="1160" w:hanging="415"/>
        <w:spacing w:after="0"/>
        <w:tabs>
          <w:tab w:leader="none" w:pos="11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borrowed money;</w:t>
      </w:r>
    </w:p>
    <w:p>
      <w:pPr>
        <w:spacing w:after="0" w:line="206" w:lineRule="exact"/>
        <w:rPr>
          <w:rFonts w:ascii="Courier New" w:cs="Courier New" w:eastAsia="Courier New" w:hAnsi="Courier New"/>
          <w:sz w:val="18"/>
          <w:szCs w:val="18"/>
          <w:color w:val="auto"/>
        </w:rPr>
      </w:pPr>
    </w:p>
    <w:p>
      <w:pPr>
        <w:jc w:val="both"/>
        <w:ind w:left="740" w:right="2419" w:firstLine="5"/>
        <w:spacing w:after="0" w:line="290" w:lineRule="auto"/>
        <w:tabs>
          <w:tab w:leader="none" w:pos="116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bonds, notes, debentures or similar instruments or letters of credit (or reimbursement agreements in respect thereof);</w:t>
      </w:r>
    </w:p>
    <w:p>
      <w:pPr>
        <w:spacing w:after="0" w:line="164"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banker's acceptances;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Capital Lease Obligations;</w:t>
      </w:r>
    </w:p>
    <w:p>
      <w:pPr>
        <w:spacing w:after="0" w:line="206"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deferred and unpaid of the purchase price of any property, except any such balance that constitutes an accrued expense or trade payable; or</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any Hedging Obligations,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and to the extent any of the preceding items (other than letters of credit and Hedging Obligations) would appear as a liability upon a balance sheet of the specified Person prepared in accordance with GAAP. In addition, the term "Indebtedness" includes, without duplication,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amount of any Indebtedness outstanding as of any date shall be:</w:t>
      </w:r>
    </w:p>
    <w:p>
      <w:pPr>
        <w:spacing w:after="0" w:line="207" w:lineRule="exact"/>
        <w:rPr>
          <w:sz w:val="20"/>
          <w:szCs w:val="20"/>
          <w:color w:val="auto"/>
        </w:rPr>
      </w:pPr>
    </w:p>
    <w:p>
      <w:pPr>
        <w:ind w:left="740" w:right="2099" w:firstLine="5"/>
        <w:spacing w:after="0" w:line="235" w:lineRule="auto"/>
        <w:tabs>
          <w:tab w:leader="none" w:pos="1161"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accreted value thereof, in the case of any Indebtedness issued with original issue discount; and</w:t>
      </w:r>
    </w:p>
    <w:p>
      <w:pPr>
        <w:spacing w:after="0" w:line="208" w:lineRule="exact"/>
        <w:rPr>
          <w:rFonts w:ascii="Courier New" w:cs="Courier New" w:eastAsia="Courier New" w:hAnsi="Courier New"/>
          <w:sz w:val="18"/>
          <w:szCs w:val="18"/>
          <w:color w:val="auto"/>
        </w:rPr>
      </w:pPr>
    </w:p>
    <w:p>
      <w:pPr>
        <w:ind w:left="740" w:right="1779" w:firstLine="5"/>
        <w:spacing w:after="0" w:line="290" w:lineRule="auto"/>
        <w:tabs>
          <w:tab w:leader="none" w:pos="116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thereof, together with any interest thereon that is more than 30 days past due, in the case of any other Indebtedness.</w:t>
      </w:r>
    </w:p>
    <w:p>
      <w:pPr>
        <w:spacing w:after="0" w:line="17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73" w:name="page74"/>
    <w:bookmarkEnd w:id="73"/>
    <w:p>
      <w:pPr>
        <w:ind w:right="1879"/>
        <w:spacing w:after="0" w:line="237" w:lineRule="auto"/>
        <w:rPr>
          <w:sz w:val="20"/>
          <w:szCs w:val="20"/>
          <w:color w:val="auto"/>
        </w:rPr>
      </w:pPr>
      <w:r>
        <w:rPr>
          <w:rFonts w:ascii="Courier New" w:cs="Courier New" w:eastAsia="Courier New" w:hAnsi="Courier New"/>
          <w:sz w:val="18"/>
          <w:szCs w:val="18"/>
          <w:color w:val="auto"/>
        </w:rPr>
        <w:t>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 -- Restricted payments."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 DATE" means the date of first issuance of the Notes under the Indenture.</w:t>
      </w:r>
    </w:p>
    <w:p>
      <w:pPr>
        <w:spacing w:after="0" w:line="22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INCOME" means, with respect to any Person, the net income (loss) of such Person and its Restricted Subsidiaries, determined in accordance with GAAP and before any reduction in respect of preferred stock dividends, excluding, however:</w:t>
      </w:r>
    </w:p>
    <w:p>
      <w:pPr>
        <w:spacing w:after="0" w:line="207" w:lineRule="exact"/>
        <w:rPr>
          <w:sz w:val="20"/>
          <w:szCs w:val="20"/>
          <w:color w:val="auto"/>
        </w:rPr>
      </w:pPr>
    </w:p>
    <w:p>
      <w:pPr>
        <w:ind w:left="740" w:right="1779" w:firstLine="5"/>
        <w:spacing w:after="0" w:line="237" w:lineRule="auto"/>
        <w:tabs>
          <w:tab w:leader="none" w:pos="1161"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gain or loss, together with any related provision for taxes on such gain or loss, realized in connection with: (a) any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or (b) the disposition of any securities by such Person or any of its Restricted Subsidiaries or the extinguishment of any Indebtedness of such Person or any of its Restricted Subsidiaries; and</w:t>
      </w:r>
    </w:p>
    <w:p>
      <w:pPr>
        <w:spacing w:after="0" w:line="214" w:lineRule="exact"/>
        <w:rPr>
          <w:rFonts w:ascii="Courier New" w:cs="Courier New" w:eastAsia="Courier New" w:hAnsi="Courier New"/>
          <w:sz w:val="18"/>
          <w:szCs w:val="18"/>
          <w:color w:val="auto"/>
        </w:rPr>
      </w:pPr>
    </w:p>
    <w:p>
      <w:pPr>
        <w:ind w:left="740" w:right="1999" w:firstLine="5"/>
        <w:spacing w:after="0" w:line="235" w:lineRule="auto"/>
        <w:tabs>
          <w:tab w:leader="none" w:pos="1161"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extraordinary gain or loss, together with any related provision for taxes on such extraordinary gain or loss; and</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non-cash expenses attributable to grants or exercises of employee stock options.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"NON-RECOURSE DEBT" means Indebtedness:</w:t>
      </w:r>
    </w:p>
    <w:p>
      <w:pPr>
        <w:spacing w:after="0" w:line="207" w:lineRule="exact"/>
        <w:rPr>
          <w:sz w:val="20"/>
          <w:szCs w:val="20"/>
          <w:color w:val="auto"/>
        </w:rPr>
      </w:pPr>
    </w:p>
    <w:p>
      <w:pPr>
        <w:ind w:left="740" w:right="1779" w:firstLine="5"/>
        <w:spacing w:after="0" w:line="268" w:lineRule="auto"/>
        <w:tabs>
          <w:tab w:leader="none" w:pos="11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neither the Company nor any of its Restricted Subsidiaries (a) provides credit support of any kind (including any undertaking, agreement or instrument that would constitute Indebtedness),</w:t>
      </w:r>
    </w:p>
    <w:p>
      <w:pPr>
        <w:ind w:left="74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is directly or indirectly liable as a guarantor or otherwise, or (c) constitutes the lender;</w:t>
      </w:r>
    </w:p>
    <w:p>
      <w:pPr>
        <w:spacing w:after="0" w:line="208" w:lineRule="exact"/>
        <w:rPr>
          <w:rFonts w:ascii="Courier New" w:cs="Courier New" w:eastAsia="Courier New" w:hAnsi="Courier New"/>
          <w:sz w:val="16"/>
          <w:szCs w:val="16"/>
          <w:color w:val="auto"/>
        </w:rPr>
      </w:pPr>
    </w:p>
    <w:p>
      <w:pPr>
        <w:ind w:left="740" w:right="1879" w:firstLine="5"/>
        <w:spacing w:after="0" w:line="237" w:lineRule="auto"/>
        <w:tabs>
          <w:tab w:leader="none" w:pos="1161"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3" w:right="1440" w:bottom="1440" w:gutter="0" w:footer="0" w:header="0"/>
        </w:sectPr>
      </w:pPr>
    </w:p>
    <w:bookmarkStart w:id="74" w:name="page75"/>
    <w:bookmarkEnd w:id="74"/>
    <w:p>
      <w:pPr>
        <w:ind w:left="740" w:right="2319"/>
        <w:spacing w:after="0" w:line="235" w:lineRule="auto"/>
        <w:rPr>
          <w:sz w:val="20"/>
          <w:szCs w:val="20"/>
          <w:color w:val="auto"/>
        </w:rPr>
      </w:pPr>
      <w:r>
        <w:rPr>
          <w:rFonts w:ascii="Courier New" w:cs="Courier New" w:eastAsia="Courier New" w:hAnsi="Courier New"/>
          <w:sz w:val="18"/>
          <w:szCs w:val="18"/>
          <w:color w:val="auto"/>
        </w:rPr>
        <w:t>other Indebtedness or cause the payment thereof to be accelerated or payable prior to its stated maturity; and</w:t>
      </w:r>
    </w:p>
    <w:p>
      <w:pPr>
        <w:spacing w:after="0" w:line="208" w:lineRule="exact"/>
        <w:rPr>
          <w:sz w:val="20"/>
          <w:szCs w:val="20"/>
          <w:color w:val="auto"/>
        </w:rPr>
      </w:pPr>
    </w:p>
    <w:p>
      <w:pPr>
        <w:ind w:left="740" w:right="1779" w:firstLine="5"/>
        <w:spacing w:after="0" w:line="236" w:lineRule="auto"/>
        <w:tabs>
          <w:tab w:leader="none" w:pos="116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which the lenders have been notified in writing that they will not have any recourse to the stock or assets of the Company or any of its Restricted Subsidiaries.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"OBLIGATIONS" means any principal, interest, penalties, fees, indemnifications, reimbursements, damages and other liabilities payable under the documentation governing any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"PERMITTED INVESTMENTS" means:</w:t>
      </w:r>
    </w:p>
    <w:p>
      <w:pPr>
        <w:spacing w:after="0" w:line="207" w:lineRule="exact"/>
        <w:rPr>
          <w:sz w:val="20"/>
          <w:szCs w:val="20"/>
          <w:color w:val="auto"/>
        </w:rPr>
      </w:pPr>
    </w:p>
    <w:p>
      <w:pPr>
        <w:ind w:left="740" w:right="2099" w:firstLine="5"/>
        <w:spacing w:after="0" w:line="235"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in the Company or in a Restricted Subsidiary of the Company;</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in Cash Equivalents;</w:t>
      </w:r>
    </w:p>
    <w:p>
      <w:pPr>
        <w:spacing w:after="0" w:line="206"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by the Company or any Restricted Subsidiary of the Company in a Person, if as a result of such Investment:</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becomes a Restricted Subsidiary of the Company; or</w:t>
      </w:r>
    </w:p>
    <w:p>
      <w:pPr>
        <w:spacing w:after="0" w:line="206" w:lineRule="exact"/>
        <w:rPr>
          <w:rFonts w:ascii="Courier New" w:cs="Courier New" w:eastAsia="Courier New" w:hAnsi="Courier New"/>
          <w:sz w:val="18"/>
          <w:szCs w:val="18"/>
          <w:color w:val="auto"/>
        </w:rPr>
      </w:pPr>
    </w:p>
    <w:p>
      <w:pPr>
        <w:ind w:left="960" w:right="1779" w:hanging="4"/>
        <w:spacing w:after="0" w:line="279" w:lineRule="auto"/>
        <w:tabs>
          <w:tab w:leader="none" w:pos="1381"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merged, consolidated or amalgamated with or into, or transfers or conveys substantially all of its assets to, or is liquidated into, the Company or a Restricted Subsidiary of the Company;</w:t>
      </w:r>
    </w:p>
    <w:p>
      <w:pPr>
        <w:spacing w:after="0" w:line="178" w:lineRule="exact"/>
        <w:rPr>
          <w:rFonts w:ascii="Courier New" w:cs="Courier New" w:eastAsia="Courier New" w:hAnsi="Courier New"/>
          <w:sz w:val="16"/>
          <w:szCs w:val="16"/>
          <w:color w:val="auto"/>
        </w:rPr>
      </w:pPr>
    </w:p>
    <w:p>
      <w:pPr>
        <w:ind w:left="740" w:right="2619" w:firstLine="5"/>
        <w:spacing w:after="0" w:line="237"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made as a result of the receipt of non-cash consideration from an Asset Sale that was made pursuant to and in compliance with the covenant described above under the caption "Repurchase at the option of holders -- Asset sales";</w:t>
      </w:r>
    </w:p>
    <w:p>
      <w:pPr>
        <w:spacing w:after="0" w:line="207" w:lineRule="exact"/>
        <w:rPr>
          <w:rFonts w:ascii="Courier New" w:cs="Courier New" w:eastAsia="Courier New" w:hAnsi="Courier New"/>
          <w:sz w:val="18"/>
          <w:szCs w:val="18"/>
          <w:color w:val="auto"/>
        </w:rPr>
      </w:pPr>
    </w:p>
    <w:p>
      <w:pPr>
        <w:ind w:left="740" w:right="2319" w:firstLine="5"/>
        <w:spacing w:after="0" w:line="290" w:lineRule="auto"/>
        <w:tabs>
          <w:tab w:leader="none" w:pos="116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of assets solely in exchange for the issuance of Equity Interests (other than Disqualified Stock) of the Company;</w:t>
      </w:r>
    </w:p>
    <w:p>
      <w:pPr>
        <w:spacing w:after="0" w:line="169" w:lineRule="exact"/>
        <w:rPr>
          <w:rFonts w:ascii="Courier New" w:cs="Courier New" w:eastAsia="Courier New" w:hAnsi="Courier New"/>
          <w:sz w:val="16"/>
          <w:szCs w:val="16"/>
          <w:color w:val="auto"/>
        </w:rPr>
      </w:pPr>
    </w:p>
    <w:p>
      <w:pPr>
        <w:ind w:left="740" w:right="1879" w:firstLine="5"/>
        <w:spacing w:after="0" w:line="235"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accounts or notes receivable acquired in the ordinary course of business;</w:t>
      </w:r>
    </w:p>
    <w:p>
      <w:pPr>
        <w:spacing w:after="0" w:line="208" w:lineRule="exact"/>
        <w:rPr>
          <w:rFonts w:ascii="Courier New" w:cs="Courier New" w:eastAsia="Courier New" w:hAnsi="Courier New"/>
          <w:sz w:val="18"/>
          <w:szCs w:val="18"/>
          <w:color w:val="auto"/>
        </w:rPr>
      </w:pPr>
    </w:p>
    <w:p>
      <w:pPr>
        <w:ind w:left="740" w:right="2319" w:firstLine="5"/>
        <w:spacing w:after="0" w:line="236"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of one or more Subsidiaries of the Company whose assets and operations are exclusively related to the professional business segment of the Company;</w:t>
      </w:r>
    </w:p>
    <w:p>
      <w:pPr>
        <w:spacing w:after="0" w:line="208" w:lineRule="exact"/>
        <w:rPr>
          <w:rFonts w:ascii="Courier New" w:cs="Courier New" w:eastAsia="Courier New" w:hAnsi="Courier New"/>
          <w:sz w:val="18"/>
          <w:szCs w:val="18"/>
          <w:color w:val="auto"/>
        </w:rPr>
      </w:pPr>
    </w:p>
    <w:p>
      <w:pPr>
        <w:ind w:left="740" w:right="2319" w:firstLine="5"/>
        <w:spacing w:after="0" w:line="290" w:lineRule="auto"/>
        <w:tabs>
          <w:tab w:leader="none" w:pos="116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the Company or any of its Restricted Subsidiaries pursuant to the Exclusive Agency and Marketing Agreement; and</w:t>
      </w:r>
    </w:p>
    <w:p>
      <w:pPr>
        <w:spacing w:after="0" w:line="169"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(9) that are at any time outstanding, not to exceed $50.0 million (according to the Company's calculations, the Company could utilize the full amount of this basket as of the date of this prospectus).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"PERMITTED JUNIOR SECURITIES" means: (1) Equity Interests in the Company or any Guarantor; or (2) debt securities of the Company or any Guarantor that are subordinated to all Senior Debt and any debt securities issued in exchange for Senior Debt to substantially the same extent as, or to a greater extent than, the Notes and the Subsidiary Guarantees are subordinated to Senior Debt pursuant to Article 10 of the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"PERMITTED LIENS" means:</w:t>
      </w:r>
    </w:p>
    <w:p>
      <w:pPr>
        <w:spacing w:after="0" w:line="207" w:lineRule="exact"/>
        <w:rPr>
          <w:sz w:val="20"/>
          <w:szCs w:val="20"/>
          <w:color w:val="auto"/>
        </w:rPr>
      </w:pPr>
    </w:p>
    <w:p>
      <w:pPr>
        <w:ind w:left="740" w:right="2199" w:firstLine="5"/>
        <w:spacing w:after="0" w:line="235" w:lineRule="auto"/>
        <w:tabs>
          <w:tab w:leader="none" w:pos="116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Senior Debt that was permitted by the terms of the Indenture to be incurred;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1440" w:gutter="0" w:footer="0" w:header="0"/>
        </w:sectPr>
      </w:pPr>
    </w:p>
    <w:bookmarkStart w:id="75" w:name="page76"/>
    <w:bookmarkEnd w:id="75"/>
    <w:p>
      <w:pPr>
        <w:ind w:left="1160" w:hanging="415"/>
        <w:spacing w:after="0"/>
        <w:tabs>
          <w:tab w:leader="none" w:pos="11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the Company or the Guarantors;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a Person existing at the time such Person is</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208"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existing at the time of acquisition thereof by the Company or any Subsidiary of the Company, provided that such Liens were not entered into in contemplation of such acquisition;</w:t>
      </w:r>
    </w:p>
    <w:p>
      <w:pPr>
        <w:spacing w:after="0" w:line="208"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the performance of statutory obligations, surety or appeal bonds, performance bonds or other obligations of a like nature incurred in the ordinary course of business;</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Indebtedness (including Capital Lease Obligations) permitted by clause (4) of the second paragraph of the covenant entitled "Incurrence of indebtedness and issuance of preferred stock" covering only the assets acquired with such Indebtedness;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existing on the date of the Indenture;</w:t>
      </w:r>
    </w:p>
    <w:p>
      <w:pPr>
        <w:spacing w:after="0" w:line="206"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of Guarantors to secure Senior Debt of such Guarantor that was permitted by the Indenture to be incurred;</w:t>
      </w:r>
    </w:p>
    <w:p>
      <w:pPr>
        <w:spacing w:after="0" w:line="208" w:lineRule="exact"/>
        <w:rPr>
          <w:rFonts w:ascii="Courier New" w:cs="Courier New" w:eastAsia="Courier New" w:hAnsi="Courier New"/>
          <w:sz w:val="18"/>
          <w:szCs w:val="18"/>
          <w:color w:val="auto"/>
        </w:rPr>
      </w:pPr>
    </w:p>
    <w:p>
      <w:pPr>
        <w:ind w:left="740" w:right="1999" w:firstLine="5"/>
        <w:spacing w:after="0" w:line="273" w:lineRule="auto"/>
        <w:tabs>
          <w:tab w:leader="none" w:pos="116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184" w:lineRule="exact"/>
        <w:rPr>
          <w:rFonts w:ascii="Courier New" w:cs="Courier New" w:eastAsia="Courier New" w:hAnsi="Courier New"/>
          <w:sz w:val="16"/>
          <w:szCs w:val="16"/>
          <w:color w:val="auto"/>
        </w:rPr>
      </w:pPr>
    </w:p>
    <w:p>
      <w:pPr>
        <w:ind w:left="740" w:right="1879" w:firstLine="5"/>
        <w:spacing w:after="0" w:line="236" w:lineRule="auto"/>
        <w:tabs>
          <w:tab w:leader="none" w:pos="126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in the ordinary course of business of the Company or any Subsidiary of the Company with respect to obligations that do not exceed $5.0 million at any one time outstanding; and</w:t>
      </w:r>
    </w:p>
    <w:p>
      <w:pPr>
        <w:spacing w:after="0" w:line="208" w:lineRule="exact"/>
        <w:rPr>
          <w:rFonts w:ascii="Courier New" w:cs="Courier New" w:eastAsia="Courier New" w:hAnsi="Courier New"/>
          <w:sz w:val="18"/>
          <w:szCs w:val="18"/>
          <w:color w:val="auto"/>
        </w:rPr>
      </w:pPr>
    </w:p>
    <w:p>
      <w:pPr>
        <w:ind w:left="740" w:right="2619" w:firstLine="5"/>
        <w:spacing w:after="0" w:line="235" w:lineRule="auto"/>
        <w:tabs>
          <w:tab w:leader="none" w:pos="126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of Unrestricted Subsidiaries that secure Non Recourse Debt of Unrestricted Subsidiaries.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203" w:lineRule="exact"/>
        <w:rPr>
          <w:sz w:val="20"/>
          <w:szCs w:val="20"/>
          <w:color w:val="auto"/>
        </w:rPr>
      </w:pPr>
    </w:p>
    <w:p>
      <w:pPr>
        <w:ind w:left="1160" w:hanging="415"/>
        <w:spacing w:after="0"/>
        <w:tabs>
          <w:tab w:leader="none" w:pos="11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(or accreted value, if applicable) of such</w:t>
      </w:r>
    </w:p>
    <w:p>
      <w:pPr>
        <w:spacing w:after="0" w:line="4" w:lineRule="exact"/>
        <w:rPr>
          <w:rFonts w:ascii="Courier New" w:cs="Courier New" w:eastAsia="Courier New" w:hAnsi="Courier New"/>
          <w:sz w:val="18"/>
          <w:szCs w:val="18"/>
          <w:color w:val="auto"/>
        </w:rPr>
      </w:pPr>
    </w:p>
    <w:p>
      <w:pPr>
        <w:ind w:left="740"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Permitted Refinancing Indebtedness does not exceed the principal amount of (or accreted value, if applicable), plus accrued interest on, the Indebtedness so extended, refinanced, renewed, replaced, defeased or refunded (plus the amount of reasonable expenses incurred in connection therewith including premiums paid, if any, to the holders thereof);</w:t>
      </w:r>
    </w:p>
    <w:p>
      <w:pPr>
        <w:spacing w:after="0" w:line="178"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Permitted Refinancing Indebtedness has a final maturity date</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later than the final maturity date of, and has a Weighted Average Life to Maturity equal to or greater than the Weighted Average Life to Maturity of, the Indebtedness being extended, refinanced, renewed, replaced, defeased or refunded;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17" w:right="1440" w:bottom="1440" w:gutter="0" w:footer="0" w:header="0"/>
        </w:sectPr>
      </w:pPr>
    </w:p>
    <w:bookmarkStart w:id="76" w:name="page77"/>
    <w:bookmarkEnd w:id="76"/>
    <w:p>
      <w:pPr>
        <w:ind w:left="740" w:right="1879" w:firstLine="5"/>
        <w:spacing w:after="0" w:line="271" w:lineRule="auto"/>
        <w:tabs>
          <w:tab w:leader="none" w:pos="116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187" w:lineRule="exact"/>
        <w:rPr>
          <w:rFonts w:ascii="Courier New" w:cs="Courier New" w:eastAsia="Courier New" w:hAnsi="Courier New"/>
          <w:sz w:val="16"/>
          <w:szCs w:val="16"/>
          <w:color w:val="auto"/>
        </w:rPr>
      </w:pPr>
    </w:p>
    <w:p>
      <w:pPr>
        <w:ind w:left="740" w:right="1879" w:firstLine="5"/>
        <w:spacing w:after="0" w:line="290" w:lineRule="auto"/>
        <w:tabs>
          <w:tab w:leader="none" w:pos="116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Indebtedness shall not be incurred by a Restricted Subsidiary that is not a Guarantor to refinance debt of the Company or a Guarantor.</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"PERSON" means any individual, corporation, limited liability company, partnership, joint venture, association, joint-stock company, trust or unincorporated organization (including any subdivision or ongoing business of any such entity or substantially all of the assets of any such entity, subdivision or business).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"PRINCIPALS" means the Hagedorn Partnership, L.P., and any Partner or Affiliate thereof or of such Partner.</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"QUALIFIED SECURITIZATION TRANSACTION" means any transaction or series of transactions pursuant to which the Company or any of its Restricted Subsidiaries may sell, convey or otherwise transfer to (a) a Securitization Entity (in the case of a transfer by the Company or any of its Restricted Subsidiaries) and (b) any other Person (in case of a transfer by a Securitization Entity), or may grant a security interest in, any accounts receivable or equipment (whether now existing or arising or acquired in the future) of the Company or any of its Restricted Subsidiaries, and any assets related thereto including, without limitation, all collateral securing such accounts receivable and equipment, all contracts and contract rights and all Guarantees or other obligations in respect of such accounts receivable and equipment, proceeds of such accounts receivable and equipment and other assets (including contract rights) which are customarily transferred or in respect of which security interests are customarily granted in connection with asset securitization transactions involving accounts receivable and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"RELATED BUSINESS"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with respect to any Principal means:</w:t>
      </w:r>
    </w:p>
    <w:p>
      <w:pPr>
        <w:spacing w:after="0" w:line="207" w:lineRule="exact"/>
        <w:rPr>
          <w:sz w:val="20"/>
          <w:szCs w:val="20"/>
          <w:color w:val="auto"/>
        </w:rPr>
      </w:pPr>
    </w:p>
    <w:p>
      <w:pPr>
        <w:ind w:left="740" w:right="1879" w:firstLine="5"/>
        <w:spacing w:after="0" w:line="236" w:lineRule="auto"/>
        <w:tabs>
          <w:tab w:leader="none" w:pos="116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controlling stockholder, 80% or more owned Subsidiary, or spouse or immediate family member (in the case of an individual) of such Principal; or</w:t>
      </w:r>
    </w:p>
    <w:p>
      <w:pPr>
        <w:spacing w:after="0" w:line="208" w:lineRule="exact"/>
        <w:rPr>
          <w:rFonts w:ascii="Courier New" w:cs="Courier New" w:eastAsia="Courier New" w:hAnsi="Courier New"/>
          <w:sz w:val="18"/>
          <w:szCs w:val="18"/>
          <w:color w:val="auto"/>
        </w:rPr>
      </w:pPr>
    </w:p>
    <w:p>
      <w:pPr>
        <w:ind w:left="740" w:right="2199" w:firstLine="5"/>
        <w:spacing w:after="0" w:line="237" w:lineRule="auto"/>
        <w:tabs>
          <w:tab w:leader="none" w:pos="116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corporation, partnership or other entity, the beneficiaries, stockholders, partners, owners or Persons beneficially holding an 80% or more controlling interest of which consist of such Principal and/or such other Persons referred to in the immediately preceding clause (1).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INVESTMENT" means an Investment other than a Permitted Investment.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"RESTRICTED SUBSIDIARY" of a Person means any Subsidiary of the referent Person that is not an Unrestricted Subsidiary.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"SECURITIZATION ENTITY" means a Wholly Owned Subsidiary of the Company (or another Person in which the Company or any Subsidiary of the Company makes an Investment and to which the Company or any Subsidiary of the Company transfers accounts receivable or equipment and related assets) that engages in no activities other than in connection with the financing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2" w:right="1440" w:bottom="1440" w:gutter="0" w:footer="0" w:header="0"/>
        </w:sectPr>
      </w:pPr>
    </w:p>
    <w:bookmarkStart w:id="77" w:name="page78"/>
    <w:bookmarkEnd w:id="77"/>
    <w:p>
      <w:pPr>
        <w:ind w:right="1999"/>
        <w:spacing w:after="0" w:line="268" w:lineRule="auto"/>
        <w:rPr>
          <w:sz w:val="20"/>
          <w:szCs w:val="20"/>
          <w:color w:val="auto"/>
        </w:rPr>
      </w:pPr>
      <w:r>
        <w:rPr>
          <w:rFonts w:ascii="Courier New" w:cs="Courier New" w:eastAsia="Courier New" w:hAnsi="Courier New"/>
          <w:sz w:val="16"/>
          <w:szCs w:val="16"/>
          <w:color w:val="auto"/>
        </w:rPr>
        <w:t>accounts receivable or equipment and that is a Securitization Entity (a) no portion of the Indebtedness or any other Obligations (contingent or otherwise) of which (i) is guaranteed by the Company or any Restricted Subsidiary of the Company (excluding guarantees of Obligations (other than the principal of, and interest on, Indebtedness)) pursuant to Standard Securitization Undertakings,</w:t>
      </w:r>
    </w:p>
    <w:p>
      <w:pPr>
        <w:spacing w:after="0" w:line="1" w:lineRule="exact"/>
        <w:rPr>
          <w:sz w:val="20"/>
          <w:szCs w:val="20"/>
          <w:color w:val="auto"/>
        </w:rPr>
      </w:pPr>
    </w:p>
    <w:p>
      <w:pPr>
        <w:ind w:right="1779" w:firstLine="8"/>
        <w:spacing w:after="0" w:line="268" w:lineRule="auto"/>
        <w:tabs>
          <w:tab w:leader="none" w:pos="52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recourse to or obligates the Company or any Restricted Subsidiary of the Company in any way other than pursuant to Standard Securitization Undertakings or (iii) subjects any property or asset of the Company or any Restricted Subsidiary of the Company, directly or indirectly, contingently or otherwise, to the satisfaction thereof, other than pursuant to Standard Securitization Undertakings, (b) with which neither the Company nor any Restricted Subsidiary of the Company has any material contract, agreement, arrangement or understanding other than on terms no less favorable to the Company or such Restricted Subsidiary than those that might be obtained at the time from Persons that are not Affiliates of the Company, other than fees payable in the ordinary course of business in connection with servicing receivables of such entity, and</w:t>
      </w:r>
    </w:p>
    <w:p>
      <w:pPr>
        <w:spacing w:after="0" w:line="2"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neither the Company nor any Restricted Subsidiary of the Company has any obligation to maintain or preserve such entity's financial condition or cause such entity to achieve certain levels of operating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DEBT" means:</w:t>
      </w:r>
    </w:p>
    <w:p>
      <w:pPr>
        <w:spacing w:after="0" w:line="207" w:lineRule="exact"/>
        <w:rPr>
          <w:sz w:val="20"/>
          <w:szCs w:val="20"/>
          <w:color w:val="auto"/>
        </w:rPr>
      </w:pPr>
    </w:p>
    <w:p>
      <w:pPr>
        <w:ind w:left="740" w:right="1879" w:firstLine="5"/>
        <w:spacing w:after="0" w:line="235" w:lineRule="auto"/>
        <w:tabs>
          <w:tab w:leader="none" w:pos="1161"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outstanding under Credit Facilities and all Hedging Obligations with respect thereto;</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Indebtedness permitted to be incurred by the Company under the terms of the Indenture, unless the instrument under which such Indebtedness is incurred expressly provides that it is on a parity with or subordinated in right of payment to the Notes or the Subsidiary Guarantees; and</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with respect to the items listed in the preceding clauses (1) and (2).</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Notwithstanding anything to the contrary in the preceding, Senior Debt will not include:</w:t>
      </w:r>
    </w:p>
    <w:p>
      <w:pPr>
        <w:spacing w:after="0" w:line="208" w:lineRule="exact"/>
        <w:rPr>
          <w:sz w:val="20"/>
          <w:szCs w:val="20"/>
          <w:color w:val="auto"/>
        </w:rPr>
      </w:pPr>
    </w:p>
    <w:p>
      <w:pPr>
        <w:ind w:left="740" w:right="1879" w:firstLine="5"/>
        <w:spacing w:after="0" w:line="235"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local or other taxes owed or owing by the Company;</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of the Company to any of its Subsidiaries or other Affiliates;</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trade payables; or</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that is incurred in violation of the Indenture.</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"SIGNIFICANT DOMESTIC RESTRICTED SUBSIDIARY" means any Domestic Restricted Subsidiary, other than any Wholly Owned Domestic Restricted Subsidiary, that both is a Significant Subsidiary of the Company and guarantees or otherwise provides direct credit support for any Senior Debt of the Company.</w:t>
      </w:r>
    </w:p>
    <w:p>
      <w:pPr>
        <w:spacing w:after="0" w:line="182"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"SIGNIFICANT SUBSIDIARY" means any Subsidiary that would be a "significant subsidiary" as defined in Article 1, Rule 1-02 of Regulation S-X, promulgated pursuant to the Act, as such Regulation is in effect on the date hereof.</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"STANDARD SECURITIZATION UNDERTAKINGS" means representations, warranties, covenants and indemnities entered into by the Company or any Subsidiary of the Company that are reasonably customary in an accounts receivable or equipment transaction.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2" w:right="1440" w:bottom="1440" w:gutter="0" w:footer="0" w:header="0"/>
        </w:sectPr>
      </w:pPr>
    </w:p>
    <w:bookmarkStart w:id="78" w:name="page79"/>
    <w:bookmarkEnd w:id="78"/>
    <w:p>
      <w:pPr>
        <w:ind w:right="2419"/>
        <w:spacing w:after="0" w:line="290" w:lineRule="auto"/>
        <w:rPr>
          <w:sz w:val="20"/>
          <w:szCs w:val="20"/>
          <w:color w:val="auto"/>
        </w:rPr>
      </w:pPr>
      <w:r>
        <w:rPr>
          <w:rFonts w:ascii="Courier New" w:cs="Courier New" w:eastAsia="Courier New" w:hAnsi="Courier New"/>
          <w:sz w:val="16"/>
          <w:szCs w:val="16"/>
          <w:color w:val="auto"/>
        </w:rPr>
        <w:t>contingent obligations to repay, redeem or repurchase any such interest or principal prior to the date originally scheduled for the payment thereof.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means, with respect to any Person:</w:t>
      </w:r>
    </w:p>
    <w:p>
      <w:pPr>
        <w:spacing w:after="0" w:line="207" w:lineRule="exact"/>
        <w:rPr>
          <w:sz w:val="20"/>
          <w:szCs w:val="20"/>
          <w:color w:val="auto"/>
        </w:rPr>
      </w:pPr>
    </w:p>
    <w:p>
      <w:pPr>
        <w:ind w:left="740" w:right="1879" w:firstLine="5"/>
        <w:spacing w:after="0" w:line="272" w:lineRule="auto"/>
        <w:tabs>
          <w:tab w:leader="none" w:pos="116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185"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"TREASURY RATE" means, as of any Redemption Date, the yield to maturity as of the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2004; provided, however, that if the period from the Redemption Date to January 15, 2004 is less than one year, the weekly average yield on actually traded United States Treasury securities adjusted to a constant maturity of one year shall be used.</w:t>
      </w:r>
    </w:p>
    <w:p>
      <w:pPr>
        <w:spacing w:after="0" w:line="21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"UNRESTRICTED SUBSIDIARY" means any Subsidiary of the Company that is designated by the Board of Directors as an Unrestricted Subsidiary pursuant to a Board Resolution, but only to the extent that such Subsidiary:</w:t>
      </w:r>
    </w:p>
    <w:p>
      <w:pPr>
        <w:spacing w:after="0" w:line="203" w:lineRule="exact"/>
        <w:rPr>
          <w:sz w:val="20"/>
          <w:szCs w:val="20"/>
          <w:color w:val="auto"/>
        </w:rPr>
      </w:pPr>
    </w:p>
    <w:p>
      <w:pPr>
        <w:ind w:left="1160" w:hanging="415"/>
        <w:spacing w:after="0"/>
        <w:tabs>
          <w:tab w:leader="none" w:pos="11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 Indebtedness other than Non-Recourse Debt;</w:t>
      </w:r>
    </w:p>
    <w:p>
      <w:pPr>
        <w:spacing w:after="0" w:line="206"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209"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208" w:lineRule="exact"/>
        <w:rPr>
          <w:rFonts w:ascii="Courier New" w:cs="Courier New" w:eastAsia="Courier New" w:hAnsi="Courier New"/>
          <w:sz w:val="18"/>
          <w:szCs w:val="18"/>
          <w:color w:val="auto"/>
        </w:rPr>
      </w:pPr>
    </w:p>
    <w:p>
      <w:pPr>
        <w:ind w:left="740" w:right="2419" w:firstLine="5"/>
        <w:spacing w:after="0" w:line="236"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guaranteed or otherwise directly or indirectly provided credit support for any Indebtedness of the Company or any of its Restricted Subsidiaries.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 -- 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2" w:right="1440" w:bottom="1440" w:gutter="0" w:footer="0" w:header="0"/>
        </w:sectPr>
      </w:pPr>
    </w:p>
    <w:bookmarkStart w:id="79" w:name="page80"/>
    <w:bookmarkEnd w:id="79"/>
    <w:p>
      <w:pPr>
        <w:ind w:right="1779"/>
        <w:spacing w:after="0" w:line="270" w:lineRule="auto"/>
        <w:rPr>
          <w:sz w:val="20"/>
          <w:szCs w:val="20"/>
          <w:color w:val="auto"/>
        </w:rPr>
      </w:pPr>
      <w:r>
        <w:rPr>
          <w:rFonts w:ascii="Courier New" w:cs="Courier New" w:eastAsia="Courier New" w:hAnsi="Courier New"/>
          <w:sz w:val="16"/>
          <w:szCs w:val="16"/>
          <w:color w:val="auto"/>
        </w:rPr>
        <w:t>the Company as of such date and, if such Indebtedness is not permitted to be incurred as of such date under the covenant described under the caption "Incurrence of indebtedness and issuance of preferred stock,"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 -- 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38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"VOTING STOCK" of any Person as of any date means the Capital Stock of such Person that is at the time entitled to vote in the election of the Board of Directors of such Person.</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"WEIGHTED AVERAGE LIFE TO MATURITY" means, when applied to any Indebtedness at any date, the number of years obtained by dividing:</w:t>
      </w:r>
    </w:p>
    <w:p>
      <w:pPr>
        <w:spacing w:after="0" w:line="208" w:lineRule="exact"/>
        <w:rPr>
          <w:sz w:val="20"/>
          <w:szCs w:val="20"/>
          <w:color w:val="auto"/>
        </w:rPr>
      </w:pPr>
    </w:p>
    <w:p>
      <w:pPr>
        <w:ind w:left="740" w:right="1999" w:firstLine="5"/>
        <w:spacing w:after="0" w:line="237" w:lineRule="auto"/>
        <w:tabs>
          <w:tab w:leader="none" w:pos="116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04"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principal amount of such Indebtedness.</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"WHOLLY OWNED DOMESTIC RESTRICTED SUBSIDIARY" means, with respect to the Company, any Domestic Restricted Subsidiary that meets the definition of a Wholly Owned Restricted Subsidiary.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23" w:right="1440" w:bottom="1440" w:gutter="0" w:footer="0" w:header="0"/>
        </w:sectPr>
      </w:pPr>
    </w:p>
    <w:bookmarkStart w:id="80" w:name="page81"/>
    <w:bookmarkEnd w:id="80"/>
    <w:p>
      <w:pPr>
        <w:ind w:left="2320"/>
        <w:spacing w:after="0"/>
        <w:rPr>
          <w:sz w:val="20"/>
          <w:szCs w:val="20"/>
          <w:color w:val="auto"/>
        </w:rPr>
      </w:pPr>
      <w:r>
        <w:rPr>
          <w:rFonts w:ascii="Courier New" w:cs="Courier New" w:eastAsia="Courier New" w:hAnsi="Courier New"/>
          <w:sz w:val="18"/>
          <w:szCs w:val="18"/>
          <w:color w:val="auto"/>
        </w:rPr>
        <w:t>BOOK-ENTRY, SETTLEMENT AND CLEARANCE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GLOBAL NOTE</w:t>
      </w:r>
    </w:p>
    <w:p>
      <w:pPr>
        <w:spacing w:after="0" w:line="207"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The exchange notes will be issued in the form of a registered note in global form, without interest coupons (the "global note"). Upon issuance, the global note will be deposited with the Trustee as custodian for The Depository Trust Company and registered in the name of Cede &amp; Co., as nominee of DTC.</w:t>
      </w:r>
    </w:p>
    <w:p>
      <w:pPr>
        <w:spacing w:after="0" w:line="182"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OWNERSHIP OF BENEFICIAL INTERESTS IN THE GLOBAL NOTE WILL BE LIMITED TO PERSONS WHO HAVE ACCOUNTS WITH DTC ("DTC PARTICIPANTS") OR PERSONS WHO HOLD INTERESTS THROUGH DTC PARTICIPANTS. WE EXPECT THAT UNDER PROCEDURES ESTABLISHED BY DTC:</w:t>
      </w:r>
    </w:p>
    <w:p>
      <w:pPr>
        <w:spacing w:after="0" w:line="178" w:lineRule="exact"/>
        <w:rPr>
          <w:sz w:val="20"/>
          <w:szCs w:val="20"/>
          <w:color w:val="auto"/>
        </w:rPr>
      </w:pPr>
    </w:p>
    <w:p>
      <w:pPr>
        <w:ind w:left="740" w:right="1999" w:firstLine="5"/>
        <w:spacing w:after="0" w:line="279" w:lineRule="auto"/>
        <w:tabs>
          <w:tab w:leader="none" w:pos="95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deposit of the global note with DTC's custodian, DTC will credit portions of the principal amount of the global note to the accounts of the DTC participants designated by the initial purchasers; and</w:t>
      </w:r>
    </w:p>
    <w:p>
      <w:pPr>
        <w:spacing w:after="0" w:line="178" w:lineRule="exact"/>
        <w:rPr>
          <w:rFonts w:ascii="Courier New" w:cs="Courier New" w:eastAsia="Courier New" w:hAnsi="Courier New"/>
          <w:sz w:val="16"/>
          <w:szCs w:val="16"/>
          <w:color w:val="auto"/>
        </w:rPr>
      </w:pPr>
    </w:p>
    <w:p>
      <w:pPr>
        <w:ind w:left="740" w:right="1879" w:firstLine="5"/>
        <w:spacing w:after="0" w:line="237" w:lineRule="auto"/>
        <w:tabs>
          <w:tab w:leader="none" w:pos="951"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beneficial interests in the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Investors may hold their interests in the global note directly through Euroclear or Clearstream, if they are participants in those systems, or indirectly through organizations that are participants in those systems. After the Distribution Compliance Period ends, investors may also hold their interests in the global note through organizations other than Euroclear or Clearstream that are DTC participants. Each of Euroclear and Clearstream will appoint a DTC participant to act as its depositary for the interests in the global note that are held within DTC for the account of each settlement system on behalf of its participants.</w:t>
      </w:r>
    </w:p>
    <w:p>
      <w:pPr>
        <w:spacing w:after="0" w:line="21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Beneficial interests in the global note may not be exchanged for notes in physical, certificated form except in the limited circumstances described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PROCEDURES FOR THE GLOBAL NOTE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interests in the global note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We are not responsible for those operations or procedures.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999" w:firstLine="5"/>
        <w:spacing w:after="0" w:line="235" w:lineRule="auto"/>
        <w:tabs>
          <w:tab w:leader="none" w:pos="95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w:t>
      </w:r>
    </w:p>
    <w:p>
      <w:pPr>
        <w:spacing w:after="0" w:line="208"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"banking organization" within the meaning of the New York State Banking Law;</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the Federal Reserve System;</w:t>
      </w:r>
    </w:p>
    <w:p>
      <w:pPr>
        <w:spacing w:after="0" w:line="206" w:lineRule="exact"/>
        <w:rPr>
          <w:rFonts w:ascii="Courier New" w:cs="Courier New" w:eastAsia="Courier New" w:hAnsi="Courier New"/>
          <w:sz w:val="18"/>
          <w:szCs w:val="18"/>
          <w:color w:val="auto"/>
        </w:rPr>
      </w:pPr>
    </w:p>
    <w:p>
      <w:pPr>
        <w:ind w:left="740" w:right="1999" w:firstLine="5"/>
        <w:spacing w:after="0" w:line="235" w:lineRule="auto"/>
        <w:tabs>
          <w:tab w:leader="none" w:pos="95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2319" w:firstLine="5"/>
        <w:spacing w:after="0" w:line="235" w:lineRule="auto"/>
        <w:tabs>
          <w:tab w:leader="none" w:pos="95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under Section 17A of the Securities Exchange Act of 1934.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1440" w:gutter="0" w:footer="0" w:header="0"/>
        </w:sectPr>
      </w:pPr>
    </w:p>
    <w:bookmarkStart w:id="81" w:name="page82"/>
    <w:bookmarkEnd w:id="81"/>
    <w:p>
      <w:pPr>
        <w:ind w:right="1779"/>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07" w:lineRule="exact"/>
        <w:rPr>
          <w:sz w:val="20"/>
          <w:szCs w:val="20"/>
          <w:color w:val="auto"/>
        </w:rPr>
      </w:pPr>
    </w:p>
    <w:p>
      <w:pPr>
        <w:ind w:left="740" w:right="2419" w:firstLine="5"/>
        <w:spacing w:after="0" w:line="235" w:lineRule="auto"/>
        <w:tabs>
          <w:tab w:leader="none" w:pos="951"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entitled to have notes represented by the global note registered in their names;</w:t>
      </w:r>
    </w:p>
    <w:p>
      <w:pPr>
        <w:spacing w:after="0" w:line="208"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receive or be entitled to receive physical, certificated notes; and</w:t>
      </w:r>
    </w:p>
    <w:p>
      <w:pPr>
        <w:spacing w:after="0" w:line="208" w:lineRule="exact"/>
        <w:rPr>
          <w:rFonts w:ascii="Courier New" w:cs="Courier New" w:eastAsia="Courier New" w:hAnsi="Courier New"/>
          <w:sz w:val="18"/>
          <w:szCs w:val="18"/>
          <w:color w:val="auto"/>
        </w:rPr>
      </w:pPr>
    </w:p>
    <w:p>
      <w:pPr>
        <w:ind w:left="740" w:right="2099" w:firstLine="5"/>
        <w:spacing w:after="0" w:line="279" w:lineRule="auto"/>
        <w:tabs>
          <w:tab w:leader="none" w:pos="95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be considered the owners or holders of the notes under the Indenture for any purpose, including with respect to the giving of any direction, instruction or approval to the Trustee under the Indenture.</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23" w:right="1440" w:bottom="1440" w:gutter="0" w:footer="0" w:header="0"/>
        </w:sectPr>
      </w:pPr>
    </w:p>
    <w:bookmarkStart w:id="82" w:name="page83"/>
    <w:bookmarkEnd w:id="82"/>
    <w:p>
      <w:pPr>
        <w:ind w:right="1779"/>
        <w:spacing w:after="0" w:line="236" w:lineRule="auto"/>
        <w:rPr>
          <w:sz w:val="20"/>
          <w:szCs w:val="20"/>
          <w:color w:val="auto"/>
        </w:rPr>
      </w:pPr>
      <w:r>
        <w:rPr>
          <w:rFonts w:ascii="Courier New" w:cs="Courier New" w:eastAsia="Courier New" w:hAnsi="Courier New"/>
          <w:sz w:val="18"/>
          <w:szCs w:val="18"/>
          <w:color w:val="auto"/>
        </w:rPr>
        <w:t>payment under normal procedures for same-day funds settlement applicable to DTC. Euroclear and Clearstream participants may not deliver instructions directly to the DTC depositaries that are acting for Euroclear or Clearstream.</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NOTES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Notes in physical, certificated form will be issued and delivered to each person that DTC identifies as a beneficial owner of the related notes only if:</w:t>
      </w:r>
    </w:p>
    <w:p>
      <w:pPr>
        <w:spacing w:after="0" w:line="208" w:lineRule="exact"/>
        <w:rPr>
          <w:sz w:val="20"/>
          <w:szCs w:val="20"/>
          <w:color w:val="auto"/>
        </w:rPr>
      </w:pPr>
    </w:p>
    <w:p>
      <w:pPr>
        <w:ind w:left="740" w:right="1879" w:firstLine="5"/>
        <w:spacing w:after="0" w:line="236" w:lineRule="auto"/>
        <w:tabs>
          <w:tab w:leader="none" w:pos="951"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notifies us at any time that it is unwilling or unable to continue as depositary for the global notes and a successor depositary is not appointed within 90 days;</w:t>
      </w:r>
    </w:p>
    <w:p>
      <w:pPr>
        <w:spacing w:after="0" w:line="208" w:lineRule="exact"/>
        <w:rPr>
          <w:rFonts w:ascii="Courier New" w:cs="Courier New" w:eastAsia="Courier New" w:hAnsi="Courier New"/>
          <w:sz w:val="18"/>
          <w:szCs w:val="18"/>
          <w:color w:val="auto"/>
        </w:rPr>
      </w:pPr>
    </w:p>
    <w:p>
      <w:pPr>
        <w:jc w:val="both"/>
        <w:ind w:left="740" w:right="1999" w:firstLine="5"/>
        <w:spacing w:after="0" w:line="236" w:lineRule="auto"/>
        <w:tabs>
          <w:tab w:leader="none" w:pos="951"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ceases to be registered as a clearing agency under the Securities Exchange Act of 1934 and a successor depositary is not appointed within 90 days;</w:t>
      </w:r>
    </w:p>
    <w:p>
      <w:pPr>
        <w:spacing w:after="0" w:line="208" w:lineRule="exact"/>
        <w:rPr>
          <w:rFonts w:ascii="Courier New" w:cs="Courier New" w:eastAsia="Courier New" w:hAnsi="Courier New"/>
          <w:sz w:val="18"/>
          <w:szCs w:val="18"/>
          <w:color w:val="auto"/>
        </w:rPr>
      </w:pPr>
    </w:p>
    <w:p>
      <w:pPr>
        <w:ind w:left="740" w:right="2519" w:firstLine="5"/>
        <w:spacing w:after="0" w:line="235" w:lineRule="auto"/>
        <w:tabs>
          <w:tab w:leader="none" w:pos="951"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at our option, notify the Trustee that we elect to cause the issuance of certificated notes; or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events provided in the Indenture should occur.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22" w:right="1440" w:bottom="1440" w:gutter="0" w:footer="0" w:header="0"/>
        </w:sectPr>
      </w:pPr>
    </w:p>
    <w:bookmarkStart w:id="83" w:name="page84"/>
    <w:bookmarkEnd w:id="83"/>
    <w:p>
      <w:pPr>
        <w:jc w:val="center"/>
        <w:ind w:right="1879"/>
        <w:spacing w:after="0"/>
        <w:rPr>
          <w:sz w:val="20"/>
          <w:szCs w:val="20"/>
          <w:color w:val="auto"/>
        </w:rPr>
      </w:pPr>
      <w:r>
        <w:rPr>
          <w:rFonts w:ascii="Courier New" w:cs="Courier New" w:eastAsia="Courier New" w:hAnsi="Courier New"/>
          <w:sz w:val="18"/>
          <w:szCs w:val="18"/>
          <w:color w:val="auto"/>
        </w:rPr>
        <w:t>CERTAIN U.S. FEDERAL TAX CONSIDERATIONS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following is a general discussion of material U.S. federal income and estate tax considerations relating to the exchange of the original notes for the exchange notes in this exchange offer and relevant to the ownership and disposition of the exchange notes by holders thereof, but does not purport to be a complete analysis of all the potential tax considerations relating thereto. This summary is based on the current provisions of the U.S. Internal Revenue Code of 1986, as amended (the "Code"), applicable Treasury regulations, judicial authority and administrative rulings and practice as of the date hereof. These authorities may be changed, perhaps retroactively, so as to result in U.S. federal income and estate tax consequences different from those set forth below. We have not sought any ruling from the Internal Revenue Service or an opinion of counsel with respect to the statements made and the conclusions reached in the following summary, and there can be no assurance that the IRS will agree with such statements and conclusions.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When we use the term "United States Holder," we generally mean a holder of notes who (for United States Federal income tax purposes):</w:t>
      </w:r>
    </w:p>
    <w:p>
      <w:pPr>
        <w:spacing w:after="0" w:line="203" w:lineRule="exact"/>
        <w:rPr>
          <w:sz w:val="20"/>
          <w:szCs w:val="20"/>
          <w:color w:val="auto"/>
        </w:rPr>
      </w:pPr>
    </w:p>
    <w:p>
      <w:pPr>
        <w:ind w:left="960" w:hanging="215"/>
        <w:spacing w:after="0"/>
        <w:tabs>
          <w:tab w:leader="none" w:pos="96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citizen or resident of the United States;</w:t>
      </w:r>
    </w:p>
    <w:p>
      <w:pPr>
        <w:spacing w:after="0" w:line="206" w:lineRule="exact"/>
        <w:rPr>
          <w:rFonts w:ascii="Courier New" w:cs="Courier New" w:eastAsia="Courier New" w:hAnsi="Courier New"/>
          <w:sz w:val="18"/>
          <w:szCs w:val="18"/>
          <w:color w:val="auto"/>
        </w:rPr>
      </w:pPr>
    </w:p>
    <w:p>
      <w:pPr>
        <w:ind w:left="740" w:right="1879" w:firstLine="5"/>
        <w:spacing w:after="0" w:line="237" w:lineRule="auto"/>
        <w:tabs>
          <w:tab w:leader="none" w:pos="95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corporation or partnership (including entities treated as partnerships or corporations for federal income tax purposes) created or organized in or under the laws of the United States or any state thereof or the District of Columbia, unless, in the case of a partnership, Treasury Regulations provide otherwise;</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95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an estate, the income of which is subject to United States federal income taxation regardless of its source; or</w:t>
      </w:r>
    </w:p>
    <w:p>
      <w:pPr>
        <w:spacing w:after="0" w:line="208" w:lineRule="exact"/>
        <w:rPr>
          <w:rFonts w:ascii="Courier New" w:cs="Courier New" w:eastAsia="Courier New" w:hAnsi="Courier New"/>
          <w:sz w:val="18"/>
          <w:szCs w:val="18"/>
          <w:color w:val="auto"/>
        </w:rPr>
      </w:pPr>
    </w:p>
    <w:p>
      <w:pPr>
        <w:ind w:left="740" w:right="1779" w:firstLine="5"/>
        <w:spacing w:after="0" w:line="279" w:lineRule="auto"/>
        <w:tabs>
          <w:tab w:leader="none" w:pos="95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trust whose administration is subject to the primary supervision of a United States court and which has one or more United States persons who have the authority to control all substantial decisions of the trust.</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tax treatment applicable to each holder of the notes may vary depending upon the particular situation of such holder. United States persons acquiring the notes are subject to different rules than those discussed below. In addition, certain other holders (including insurance companies, tax exempt organizations, financial institutions, holders who do not hold the notes as capital assets and broker-dealers) may be subject to special rules not discussed below. If a partnership holds our notes, the tax treatment of a partner will generally depend upon the status of the partner and the activities of the partnership. If you are a partner of a partnership holding notes, you should consult your tax advisors. WE ADVISE YOU TO CONSULT WITH YOUR OWN TAX ADVISOR REGARDING THE TAX CONSEQUENCES TO YOU OF THE ACQUISITION, OWNERSHIP, EXCHANGE AND SALE OF THE NOTES, INCLUDING THE FEDERAL, STATE, LOCAL, FOREIGN, AND OTHER TAX CONSEQUENCES OF SUCH ACQUISITION, OWNERSHIP, EXCHANGE AND SALE AND OF POTENTIAL CHANGES IN APPLICABLE TAX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 the original notes for the exchange notes pursuant to the exchange offer should not be treated as a taxable transaction for federal income tax purposes, because the exchange notes should not be considered to differ materially in kind or extent from the original notes. As a result, there should be no federal income tax consequences to holders exchanging original notes for exchange notes pursuant to the exchange offer. Moreover, a</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17" w:right="1440" w:bottom="1440" w:gutter="0" w:footer="0" w:header="0"/>
        </w:sectPr>
      </w:pPr>
    </w:p>
    <w:bookmarkStart w:id="84" w:name="page85"/>
    <w:bookmarkEnd w:id="84"/>
    <w:p>
      <w:pPr>
        <w:ind w:right="1779"/>
        <w:spacing w:after="0" w:line="237" w:lineRule="auto"/>
        <w:rPr>
          <w:sz w:val="20"/>
          <w:szCs w:val="20"/>
          <w:color w:val="auto"/>
        </w:rPr>
      </w:pPr>
      <w:r>
        <w:rPr>
          <w:rFonts w:ascii="Courier New" w:cs="Courier New" w:eastAsia="Courier New" w:hAnsi="Courier New"/>
          <w:sz w:val="18"/>
          <w:szCs w:val="18"/>
          <w:color w:val="auto"/>
        </w:rPr>
        <w:t>holder should have the same adjusted basis and holding period in an exchange note as it had in an original note immediately prior to the exchange. Therefore, references to "notes" should apply equally to the exchange notes and the original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AMORTIZABLE BOND PREMIUM</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you purchased the notes for an amount in excess of the sum of all amounts payable on the note other than qualified stated interest, you will be considered to have purchased the note at a "premium." You generally may elect to amortize the premium over the remaining term of the note on a constant yield method as an offset to interest when includible in income under your regular accounting method. In the case of instruments that provide for alternative payment schedules, bond premium is calculated by assuming that (a) you will exercise or not exercise options in a manner that maximizes your yield, and (b) we will exercise or not exercise options in a manner that minimizes your yield (except that we will be assumed to exercise call options in a manner that maximizes your yield). If you do not elect to amortize bond premium, that premium will decrease the gain or increase the loss you would otherwise recognize on disposition of the note. Your election to amortize premium on a constant yield method will also apply to all debt obligations held or subsequently acquired by you on or after the first day of the first taxable year on which the election applies. You may not revoke the election without the consent of the IRS. You should consult your own tax advisor before making this election.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NON-UNITED STATES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paid by Scotts to a holder that is not a United States Holder (a "Non-United States Holder" will not be subject to United States federal income or withholding tax if such interest is not effectively connected with the conduct of a trade or business within the United States by such Non-United States Holder and such Non-United States Holder:</w:t>
      </w:r>
    </w:p>
    <w:p>
      <w:pPr>
        <w:spacing w:after="0" w:line="209" w:lineRule="exact"/>
        <w:rPr>
          <w:sz w:val="20"/>
          <w:szCs w:val="20"/>
          <w:color w:val="auto"/>
        </w:rPr>
      </w:pPr>
    </w:p>
    <w:p>
      <w:pPr>
        <w:ind w:left="740" w:right="2419" w:firstLine="5"/>
        <w:spacing w:after="0" w:line="235" w:lineRule="auto"/>
        <w:tabs>
          <w:tab w:leader="none" w:pos="951"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actually or constructively own 10% of the total combined voting power of all classes of stock of Scotts;</w:t>
      </w:r>
    </w:p>
    <w:p>
      <w:pPr>
        <w:spacing w:after="0" w:line="208" w:lineRule="exact"/>
        <w:rPr>
          <w:rFonts w:ascii="Courier New" w:cs="Courier New" w:eastAsia="Courier New" w:hAnsi="Courier New"/>
          <w:sz w:val="18"/>
          <w:szCs w:val="18"/>
          <w:color w:val="auto"/>
        </w:rPr>
      </w:pPr>
    </w:p>
    <w:p>
      <w:pPr>
        <w:ind w:left="740" w:right="2199" w:firstLine="5"/>
        <w:spacing w:after="0" w:line="236" w:lineRule="auto"/>
        <w:tabs>
          <w:tab w:leader="none" w:pos="951"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a "controlled foreign corporation" within the meaning of the Code, with respect to which Scotts is a "related person" (within the meaning of the Code); and</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951"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certifies, under penalties of perjury, that it is not a United States person and provides its name and address in an appropriate form (currently IRS Form W-8BEN) to Scotts or an agent appointed by Scotts for such purpose (or, a security clearing organization, bank or other financial institution, which holds the notes on your behalf in the ordinary course of its trade or business, certifies on your behalf that it has received such certification from you and provides a copy to Scotts or its agent of such certificates).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are not qualified for exemption under these rules, interest paid to you may be subject to withholding tax at the rate of 30% (or any lower applicable treaty rate, provided that applicable certification requirements are met). The payment of interest effectively connected with your United States trade or business, however, would not be subject to a 30% withholding tax so long a you provide Scotts or its paying agent an adequate certification as to that effect (currently IRS Form W-8ECI).</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2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GAIN ON DISPOSITION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Non-United States Holder will generally not be subject to United States federal income tax on gain recognized on a sale, redemption or other disposition of a note unless:</w:t>
      </w:r>
    </w:p>
    <w:p>
      <w:pPr>
        <w:spacing w:after="0" w:line="209" w:lineRule="exact"/>
        <w:rPr>
          <w:sz w:val="20"/>
          <w:szCs w:val="20"/>
          <w:color w:val="auto"/>
        </w:rPr>
      </w:pPr>
    </w:p>
    <w:p>
      <w:pPr>
        <w:ind w:left="740" w:right="2419" w:firstLine="5"/>
        <w:spacing w:after="0" w:line="235" w:lineRule="auto"/>
        <w:tabs>
          <w:tab w:leader="none" w:pos="95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investment gain on the notes is effectively connected with a United States trade or business that is conducted by you;</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95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 nonresident alien individual and you are present in the United States for 183 or more days in the taxable year within which such sale, redemption or other disposition takes place and certain other requirements are met; or</w:t>
      </w:r>
    </w:p>
    <w:p>
      <w:pPr>
        <w:spacing w:after="0" w:line="207"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subject to provisions of United Sates tax law applicable to certain United States expatriates.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conduct a United States trade or business and the income on the notes is effectively connected with such United States trade or business, the payment of interest or of gain on the sale of the notes will be subject to United States federal income tax on a net basis at the rates applicable to United States persons generally (and, if you are a corporation, may also be subject to a 30% branch profits tax).</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ESTATE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interest on the notes is exempt from withholding of United States federal income tax under the rules described above, the notes will not be included in the estate of a deceased Non-United States Holder for United States federal estate tax purposes, provided that (1) you do not actively (or constructively) own 10% or more of the total combined voting power of all classes of our voting stock within the meaning of the Code and applicable U.S. Treasury regulations and (2) interest on that note would not have been, if received at the time of your death, effectively connected with the conduct by you of a trade or business in the United States.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REPORTING AND BACKUP WITHHOLDING</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Scotts will, where required, report to the holders of notes and the Internal Revenue Service the amount of any interest paid on the notes in each calendar year and the amounts of tax withheld, if any, from those payments.</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case of payments of interest to Non-United States Holders, a backup withholding tax and certain information reporting requirements will not apply to payments for which the requisite certification, as described above, has been received or an exemption has otherwise been established; provided that neither Scotts nor its payment agent has actual knowledge that the holder is a United States person or that the conditions of any other exemption are not in fact satisfied. These information reporting and backup withholding requirements will apply, however, to the gross proceeds paid to a Non-United States Holder on the disposition of the notes by or through a United States office of a United States or foreign broker, unless the holder certifies to the broker under penalties of perjury as to its name, address and status as a foreign person or the holder otherwise establishes an exemption. As a general matter, information reporting and backup withholding will not apply to a payment of the proceeds of a disposition of the notes by or through a foreign office of a foreign broker. Information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17" w:right="1440" w:bottom="1440" w:gutter="0" w:footer="0" w:header="0"/>
        </w:sectPr>
      </w:pPr>
    </w:p>
    <w:bookmarkStart w:id="86" w:name="page87"/>
    <w:bookmarkEnd w:id="86"/>
    <w:p>
      <w:pPr>
        <w:ind w:right="1879"/>
        <w:spacing w:after="0" w:line="235" w:lineRule="auto"/>
        <w:rPr>
          <w:sz w:val="20"/>
          <w:szCs w:val="20"/>
          <w:color w:val="auto"/>
        </w:rPr>
      </w:pPr>
      <w:r>
        <w:rPr>
          <w:rFonts w:ascii="Courier New" w:cs="Courier New" w:eastAsia="Courier New" w:hAnsi="Courier New"/>
          <w:sz w:val="18"/>
          <w:szCs w:val="18"/>
          <w:color w:val="auto"/>
        </w:rPr>
        <w:t>reporting (but not backup withholding) will apply, however, to a payment of the proceeds of a sale of notes by a foreign office of a broker that:</w:t>
      </w:r>
    </w:p>
    <w:p>
      <w:pPr>
        <w:spacing w:after="0" w:line="203" w:lineRule="exact"/>
        <w:rPr>
          <w:sz w:val="20"/>
          <w:szCs w:val="20"/>
          <w:color w:val="auto"/>
        </w:rPr>
      </w:pPr>
    </w:p>
    <w:p>
      <w:pPr>
        <w:ind w:left="960" w:hanging="215"/>
        <w:spacing w:after="0"/>
        <w:tabs>
          <w:tab w:leader="none" w:pos="96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United States person;</w:t>
      </w:r>
    </w:p>
    <w:p>
      <w:pPr>
        <w:spacing w:after="0" w:line="206" w:lineRule="exact"/>
        <w:rPr>
          <w:rFonts w:ascii="Courier New" w:cs="Courier New" w:eastAsia="Courier New" w:hAnsi="Courier New"/>
          <w:sz w:val="18"/>
          <w:szCs w:val="18"/>
          <w:color w:val="auto"/>
        </w:rPr>
      </w:pPr>
    </w:p>
    <w:p>
      <w:pPr>
        <w:ind w:left="740" w:right="2099" w:firstLine="5"/>
        <w:spacing w:after="0" w:line="235" w:lineRule="auto"/>
        <w:tabs>
          <w:tab w:leader="none" w:pos="95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derives 50% or more of its gross income for certain periods from the conduct of a trade or business in the United States;</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"controlled foreign corporation" within the meaning of the Code;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8"/>
          <w:szCs w:val="18"/>
          <w:color w:val="auto"/>
        </w:rPr>
      </w:pPr>
    </w:p>
    <w:p>
      <w:pPr>
        <w:ind w:left="740" w:right="1779" w:firstLine="5"/>
        <w:spacing w:after="0" w:line="237" w:lineRule="auto"/>
        <w:tabs>
          <w:tab w:leader="none" w:pos="95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foreign partnership in which one or more United States persons, in the aggregate, own more than 50% of the income or capital interests in the partnership or a foreign partnership which is engaged in a trade or business in the United States.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Even if a broker meets one of these four conditions, information reporting will not apply if the broker has documentary evidence in its records that the holder is not a United States person and certain other conditions are met.</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Backup withholding is not an additional tax. Any amounts withheld under the backup withholding rules may be refunded or credited against the Non-United States Holder's United States federal income tax liability provided that the required information is furnished to the Internal Revenue Service.</w:t>
      </w:r>
    </w:p>
    <w:p>
      <w:pPr>
        <w:spacing w:after="0" w:line="18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FOREGOING DISCUSSION IS BASED ON THE PROVISIONS OF THE CODE, TREASURY REGULATIONS, RULINGS AND JUDICIAL DECISIONS NOW IN EFFECT, ALL OF WHICH ARE SUBJECT TO CHANGE. ANY CHANGES MAY BE APPLIED RETROACTIVELY IN A MANNER THAT COULD ADVERSELY AFFECT HOLDERS EXCHANGING NOTES. EACH HOLDER OF NOTES SHOULD CONSULT ITS OWN TAX ADVISOR WITH RESPECT TO THE TAX CONSEQUENCES TO IT, INCLUDING THE TAX CONSEQUENCES UNDER STATE, LOCAL, FOREIGN AND OTHER TAX LAWS, OF EXCHANGING ORIGINAL NOTES FOR EXCHANGE NOTES PURSUANT TO THE EXCHANGE OFFER.</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3" w:right="1440" w:bottom="1440" w:gutter="0" w:footer="0" w:header="0"/>
        </w:sectPr>
      </w:pPr>
    </w:p>
    <w:bookmarkStart w:id="87" w:name="page88"/>
    <w:bookmarkEnd w:id="87"/>
    <w:p>
      <w:pPr>
        <w:ind w:left="3160"/>
        <w:spacing w:after="0"/>
        <w:rPr>
          <w:sz w:val="20"/>
          <w:szCs w:val="20"/>
          <w:color w:val="auto"/>
        </w:rPr>
      </w:pPr>
      <w:r>
        <w:rPr>
          <w:rFonts w:ascii="Courier New" w:cs="Courier New" w:eastAsia="Courier New" w:hAnsi="Courier New"/>
          <w:sz w:val="18"/>
          <w:szCs w:val="18"/>
          <w:color w:val="auto"/>
        </w:rPr>
        <w:t>ERISA CONSIDERATIONS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is a summary of certain considerations associated with the purchase of the notes and exchange notes by employee benefit plans that are subject to Title I of ERISA, plans, individual retirement accounts and other arrangements that are subject to Section 4975 of the Code or provisions under any federal, state, local, non-U.S. or other laws or regulations that are substantially similar to the provisions of Title I of ERISA or Section 4975 of the Code ("Similar Laws"), and entities whose underlying assets are considered to include "plan assets" of such plans, accounts and arrangements (each, a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FIDUCIARY MATTERS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such an ERISA Plan or the management or disposition of the assets of such an ERISA Plan, or who renders investment advice for a fee or other compensation to such an ERISA Plan, is generally considered to be a fiduciary of the ERISA Plan.</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insurance company proposing to invest assets of its general account in the notes should consider the extent that such investment would be subject to the requirements of ERISA in light of the U.S. Supreme Court's decision in John Hancock Mutual Life Insurance Co. v. Harris Trust and Savings Bank and under any subsequent legislation or other guidance that has or may become available relating to that decision, including the enactment of Section 401(c) of ERISA by the Small Business Job Protection Act of 1996 and the regulations promulgated thereunder.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PROHIBITED TRANSACTION ISSUES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406 of ERISA and Section 4975 of the Code prohibit ERISA Plans from engaging in specified transactions involving plan assets with persons or entitles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notes by an ERISA Plan with respect to which we or the initial purchasers are considered a party in interest or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apply to the acquisition and holding of the notes. These class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17" w:right="1440" w:bottom="1440" w:gutter="0" w:footer="0" w:header="0"/>
        </w:sectPr>
      </w:pPr>
    </w:p>
    <w:bookmarkStart w:id="88" w:name="page89"/>
    <w:bookmarkEnd w:id="88"/>
    <w:p>
      <w:pPr>
        <w:ind w:right="1779"/>
        <w:spacing w:after="0" w:line="237" w:lineRule="auto"/>
        <w:rPr>
          <w:sz w:val="20"/>
          <w:szCs w:val="20"/>
          <w:color w:val="auto"/>
        </w:rPr>
      </w:pPr>
      <w:r>
        <w:rPr>
          <w:rFonts w:ascii="Courier New" w:cs="Courier New" w:eastAsia="Courier New" w:hAnsi="Courier New"/>
          <w:sz w:val="18"/>
          <w:szCs w:val="18"/>
          <w:color w:val="auto"/>
        </w:rPr>
        <w:t>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 determined by in-house asset managers, although there can be no assurance that all of the conditions of any such exemptions will be satisfied.</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Because of the foregoing, the notes should not be purchased or held by any person investing "plan assets" of any Plan, unless such purchase and holding (and the exchange of the notes for exchange notes) will not constitute a non-exempt prohibited transaction under ERISA and the Code or violation of any applicable Similar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Accordingly, by acceptance of a note or an exchange note, each purchaser and subsequent transferee will be deemed to have represented and warranted that either (1) no portion of the assets used by such purchaser or transferee to acquire and hold the notes constitutes assets of any Plan or (2) the purchase and holding of the notes (and the exchange of notes for exchange notes) by such purchaser or transferee will not constitute a non-exempt prohibited transaction under Section 406 of ERISA or Section 4975 of the Code or a violation under any applicable Similar Laws.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exchanging the notes) on behalf of, or with the assets of, any Plan, consult with their counsel regarding the potential applicability of ERISA, Section 4975 of the Code and any Similar Laws to such transaction and whether an exemption would be applicable.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22" w:right="1440" w:bottom="1440" w:gutter="0" w:footer="0" w:header="0"/>
        </w:sectPr>
      </w:pPr>
    </w:p>
    <w:bookmarkStart w:id="89" w:name="page90"/>
    <w:bookmarkEnd w:id="89"/>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to the exchange offer must acknowledge that it will deliver a prospectus in connection with any resale of the exchange notes. Broker-dealers may use this prospectus, as it may be amended or supplemented from time to time, in connection with the resale of exchange notes received in exchange for original notes where the broker-dealer acquired the original notes as a result of market-making activities or other trading activities. We have agreed that for a period of up to 180 days after the date that this registration statement is declared effective by the SEC, we will make this prospectus, as amended or supplemented, available to any broker-dealer that requests it in the letter of transmittal for use in connection with any such resale.</w:t>
      </w:r>
    </w:p>
    <w:p>
      <w:pPr>
        <w:spacing w:after="0" w:line="39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will not receive any proceeds from any sale of exchange notes by broker-dealers or any other persons. Broker-dealers may sell exchange notes received by broker-dealers for their own account pursuant to the exchange offer from time to time in one or more transactions in the over-the-counter market, in negotiated transactions, through the writing of options on the exchange notes or a combination of such methods of resale, at market prices prevailing at the time of resale, at prices related to the prevailing market prices or negotiated prices. Broker-dealers may resell exchange notes directly to purchasers or to or through brokers or dealers who may receive compensation in the form of commissions or concessions from any broker-dealer and/or the purchasers of the exchange notes. Any broker-dealer that resells exchange notes that were received by it for its own account pursuant to the exchange offer and any broker or dealer that participates in a distribution of the exchange notes may be deemed to be "underwriters" within the meaning of the Securities Act and any profit on any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agreed to pay all expenses incident to our performance of, or compliance with, the registration rights agreement and will indemnify you against liabilities under the Securities Act. By its acceptance of the exchange offer, any broker-dealer that receives exchange notes pursuant to the exchange offer agrees to notify us before using the prospectus in connection with the sale or transfer of exchange notes. The broker-dealer further acknowledges and agrees that, upon receipt of notice from us of the happening of any event which makes any statement in the prospectus untrue in any material respect or which requires the making of any changes in the prospectus to make the statements in the prospectus not misleading or which may impose upon us disclosure obligations that my have a material adverse effect on us, which notice we agree to deliver promptly to the broker-dealer, the broker-dealer will suspend use of the prospectus until we have notified the broker-dealer that delivery of the prospectus may resume and have furnished copies of any amendment or supplement to the prospectus to the broker-dealer.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Certain legal matters in connection with the notes offered hereby will be passed upon for us by Vorys, Sater, Seymour and Pease LLP, Columbus, Ohio.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717" w:right="1440" w:bottom="1440" w:gutter="0" w:footer="0" w:header="0"/>
        </w:sectPr>
      </w:pPr>
    </w:p>
    <w:bookmarkStart w:id="90" w:name="page91"/>
    <w:bookmarkEnd w:id="90"/>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financial statements of The Scotts Company incorporated into this prospectus by reference to the Current Report on Form 8-K/A dated September 13, 2002, have been so incorporated in reliance on the report of PricewaterhouseCoopers LLP, independent accountants, given on the authority of said firm as experts in auditing and accounting.</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Scotts is required to comply with the reporting requirements of the Securities Exchange Act and must file annual quarterly and other reports with the SEC. Scotts is also subject to the proxy solicitation requirements of the Securities Exchange Act and, accordingly, will furnish audited financial statements to our shareholders in connection with our annual meetings of shareholders.</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statements made in this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and other information filed with the SEC may be inspected without charge at the Public Reference Section of the Commission at Room 1024, 450 Fifth Street, N.W., Washington, D.C. 20549. You can also obtain copies of filed documents by mail from the public reference section of the SEC at Room 1024, 450 Fifth Avenue, N.W., Washington, D.C. 20549 at prescribed rates. Please call the SEC at 1-800-SEC-0330 for further information on the public reference rooms. Filed documents are also available to the public on the SEC's website at http://www.sec.gov.</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Copies of documents incorporated in this prospectus by reference or other documents referred to in this prospectus may be obtained upon request without charge by contacting The Scotts Company, 14111 Scottslawn Road, Marysville, Ohio 43041, Attention: Treasurer, (614) 644-0011.</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"incorporating" the following documents into this prospectus by reference, which means that we are disclosing important information to you by referring to documents that contain such information. The information incorporated by reference is an important part of this prospectus, and information we file later with the SEC will automatically update and supersede the information in this prospectus. We incorporate by reference the documents listed below that we have previously filed with the SEC:</w:t>
      </w:r>
    </w:p>
    <w:p>
      <w:pPr>
        <w:spacing w:after="0" w:line="211" w:lineRule="exact"/>
        <w:rPr>
          <w:sz w:val="20"/>
          <w:szCs w:val="20"/>
          <w:color w:val="auto"/>
        </w:rPr>
      </w:pPr>
    </w:p>
    <w:p>
      <w:pPr>
        <w:ind w:left="740" w:right="1879" w:firstLine="5"/>
        <w:spacing w:after="0" w:line="237" w:lineRule="auto"/>
        <w:tabs>
          <w:tab w:leader="none" w:pos="95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dated December 14, 2001, for the fiscal year ended September 30, 2001 (including information specifically incorporated by reference into our Form 10-K from our 2001 Annual Report to Shareholders and proxy statement for our 2002 annual meeting of shareholders);</w:t>
      </w:r>
    </w:p>
    <w:p>
      <w:pPr>
        <w:spacing w:after="0" w:line="208"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10-Q/A dated June 5, 2002, for the fiscal quarter ended December 29, 2001;</w:t>
      </w:r>
    </w:p>
    <w:p>
      <w:pPr>
        <w:spacing w:after="0" w:line="208" w:lineRule="exact"/>
        <w:rPr>
          <w:rFonts w:ascii="Courier New" w:cs="Courier New" w:eastAsia="Courier New" w:hAnsi="Courier New"/>
          <w:sz w:val="18"/>
          <w:szCs w:val="18"/>
          <w:color w:val="auto"/>
        </w:rPr>
      </w:pPr>
    </w:p>
    <w:p>
      <w:pPr>
        <w:ind w:left="740" w:right="2099" w:firstLine="5"/>
        <w:spacing w:after="0" w:line="235" w:lineRule="auto"/>
        <w:tabs>
          <w:tab w:leader="none" w:pos="95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March 30, 2002;</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95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June 29, 2002;</w:t>
      </w:r>
    </w:p>
    <w:p>
      <w:pPr>
        <w:spacing w:after="0" w:line="208" w:lineRule="exact"/>
        <w:rPr>
          <w:rFonts w:ascii="Courier New" w:cs="Courier New" w:eastAsia="Courier New" w:hAnsi="Courier New"/>
          <w:sz w:val="18"/>
          <w:szCs w:val="18"/>
          <w:color w:val="auto"/>
        </w:rPr>
      </w:pPr>
    </w:p>
    <w:p>
      <w:pPr>
        <w:ind w:left="4220" w:right="1879" w:hanging="3475"/>
        <w:spacing w:after="0" w:line="470" w:lineRule="auto"/>
        <w:tabs>
          <w:tab w:leader="none" w:pos="955"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January 30, 2002; 86</w:t>
      </w:r>
    </w:p>
    <w:p>
      <w:pPr>
        <w:sectPr>
          <w:pgSz w:w="11900" w:h="16838" w:orient="portrait"/>
          <w:cols w:equalWidth="0" w:num="1">
            <w:col w:w="10219"/>
          </w:cols>
          <w:pgMar w:left="240" w:top="717" w:right="1440" w:bottom="1440" w:gutter="0" w:footer="0" w:header="0"/>
        </w:sectPr>
      </w:pPr>
    </w:p>
    <w:bookmarkStart w:id="91" w:name="page92"/>
    <w:bookmarkEnd w:id="91"/>
    <w:p>
      <w:pPr>
        <w:ind w:left="740" w:right="1879" w:firstLine="5"/>
        <w:spacing w:after="0" w:line="272" w:lineRule="auto"/>
        <w:tabs>
          <w:tab w:leader="none" w:pos="95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filed with the SEC on June 24, 2002 and our Current Report on Form 8-K/A filed with the SEC on September 13, 2002, which amend certain items in our Form 10-K for the fiscal year ended September 30, 2001, to reflect retroactively the disclosures and presentations required by accounting pronouncements initially adopted by Scotts in our fiscal year beginning October 1, 2001; and</w:t>
      </w:r>
    </w:p>
    <w:p>
      <w:pPr>
        <w:spacing w:after="0" w:line="185" w:lineRule="exact"/>
        <w:rPr>
          <w:rFonts w:ascii="Courier New" w:cs="Courier New" w:eastAsia="Courier New" w:hAnsi="Courier New"/>
          <w:sz w:val="16"/>
          <w:szCs w:val="16"/>
          <w:color w:val="auto"/>
        </w:rPr>
      </w:pPr>
    </w:p>
    <w:p>
      <w:pPr>
        <w:ind w:left="740" w:right="2199" w:firstLine="5"/>
        <w:spacing w:after="0" w:line="235" w:lineRule="auto"/>
        <w:tabs>
          <w:tab w:leader="none" w:pos="951"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our 2002 annual meeting of shareholders, as filed with the Commission on December 20, 2001.</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Later information that we file with the SEC will update and/or supercede this information. We are also incorporating by reference all other reports that we file with the SEC under Sections 13(a), 13(c), 14 or 15(d) between the date of this prospectus and the date of the consummation of the exchange offer. Information furnished under Item 9 of any of our Current Reports on Form 8-K is not incorporated by reference in this prospectus. We furnished information under Item 9 of our Current Report on Form 8-K to the SEC on August 9, 2002, August 22, 2002 and September 18, 2002.</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87</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1)"/>
      <w:numFmt w:val="decimal"/>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1)"/>
      <w:numFmt w:val="decimal"/>
      <w:start w:val="2"/>
    </w:lvl>
  </w:abstractNum>
  <w:abstractNum w:abstractNumId="14">
    <w:nsid w:val="6F6DD9AC"/>
    <w:multiLevelType w:val="hybridMultilevel"/>
    <w:lvl w:ilvl="0">
      <w:lvlJc w:val="left"/>
      <w:lvlText w:val="(%1)"/>
      <w:numFmt w:val="decimal"/>
      <w:start w:val="10"/>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1)"/>
      <w:numFmt w:val="decimal"/>
      <w:start w:val="2"/>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1)"/>
      <w:numFmt w:val="decimal"/>
      <w:start w:val="1"/>
    </w:lvl>
    <w:lvl w:ilvl="1">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1)"/>
      <w:numFmt w:val="lowerLetter"/>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1)"/>
      <w:numFmt w:val="lowerLetter"/>
      <w:start w:val="3"/>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decimal"/>
      <w:start w:val="2"/>
    </w:lvl>
  </w:abstractNum>
  <w:abstractNum w:abstractNumId="46">
    <w:nsid w:val="73A1821B"/>
    <w:multiLevelType w:val="hybridMultilevel"/>
    <w:lvl w:ilvl="0">
      <w:lvlJc w:val="left"/>
      <w:lvlText w:val="(%1)"/>
      <w:numFmt w:val="decimal"/>
      <w:start w:val="617"/>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lvl w:ilvl="1">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1)"/>
      <w:numFmt w:val="decimal"/>
      <w:start w:val="2"/>
    </w:lvl>
  </w:abstractNum>
  <w:abstractNum w:abstractNumId="61">
    <w:nsid w:val="1D9F6E5F"/>
    <w:multiLevelType w:val="hybridMultilevel"/>
    <w:lvl w:ilvl="0">
      <w:lvlJc w:val="left"/>
      <w:lvlText w:val="(%1)"/>
      <w:numFmt w:val="decimal"/>
      <w:start w:val="5"/>
    </w:lvl>
  </w:abstractNum>
  <w:abstractNum w:abstractNumId="62">
    <w:nsid w:val="97E1B4E"/>
    <w:multiLevelType w:val="hybridMultilevel"/>
    <w:lvl w:ilvl="0">
      <w:lvlJc w:val="left"/>
      <w:lvlText w:val="(%1)"/>
      <w:numFmt w:val="decimal"/>
      <w:start w:val="10"/>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1)"/>
      <w:numFmt w:val="decimal"/>
      <w:start w:val="1"/>
    </w:lvl>
    <w:lvl w:ilvl="1">
      <w:lvlJc w:val="left"/>
      <w:lvlText w:val="(%2)"/>
      <w:numFmt w:val="lowerLetter"/>
      <w:start w:val="1"/>
    </w:lvl>
  </w:abstractNum>
  <w:abstractNum w:abstractNumId="66">
    <w:nsid w:val="415E286C"/>
    <w:multiLevelType w:val="hybridMultilevel"/>
    <w:lvl w:ilvl="0">
      <w:lvlJc w:val="left"/>
      <w:lvlText w:val="(%1)"/>
      <w:numFmt w:val="lowerLetter"/>
      <w:start w:val="2"/>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1)"/>
      <w:numFmt w:val="decimal"/>
      <w:start w:val="1"/>
    </w:lvl>
  </w:abstractNum>
  <w:abstractNum w:abstractNumId="70">
    <w:nsid w:val="5C10FE21"/>
    <w:multiLevelType w:val="hybridMultilevel"/>
    <w:lvl w:ilvl="0">
      <w:lvlJc w:val="left"/>
      <w:lvlText w:val="(%1)"/>
      <w:numFmt w:val="decimal"/>
      <w:start w:val="2"/>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decimal"/>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6">
    <w:nsid w:val="2B0D8DBE"/>
    <w:multiLevelType w:val="hybridMultilevel"/>
    <w:lvl w:ilvl="0">
      <w:lvlJc w:val="left"/>
      <w:lvlText w:val="(%1)"/>
      <w:numFmt w:val="lowerRoman"/>
      <w:start w:val="2"/>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4"/>
    </w:lvl>
    <w:lvl w:ilvl="1">
      <w:lvlJc w:val="left"/>
      <w:lvlText w:val="(%2)"/>
      <w:numFmt w:val="lowerLetter"/>
      <w:start w:val="1"/>
    </w:lvl>
  </w:abstractNum>
  <w:abstractNum w:abstractNumId="82">
    <w:nsid w:val="6AA7B75C"/>
    <w:multiLevelType w:val="hybridMultilevel"/>
    <w:lvl w:ilvl="0">
      <w:lvlJc w:val="left"/>
      <w:lvlText w:val="(%1)"/>
      <w:numFmt w:val="decimal"/>
      <w:start w:val="1"/>
    </w:lvl>
  </w:abstractNum>
  <w:abstractNum w:abstractNumId="83">
    <w:nsid w:val="1DF029D3"/>
    <w:multiLevelType w:val="hybridMultilevel"/>
    <w:lvl w:ilvl="0">
      <w:lvlJc w:val="left"/>
      <w:lvlText w:val="(%1)"/>
      <w:numFmt w:val="decimal"/>
      <w:start w:val="5"/>
    </w:lvl>
  </w:abstractNum>
  <w:abstractNum w:abstractNumId="84">
    <w:nsid w:val="5675FF36"/>
    <w:multiLevelType w:val="hybridMultilevel"/>
    <w:lvl w:ilvl="0">
      <w:lvlJc w:val="left"/>
      <w:lvlText w:val="(%1)"/>
      <w:numFmt w:val="decimal"/>
      <w:start w:val="1"/>
    </w:lvl>
    <w:lvl w:ilvl="1">
      <w:lvlJc w:val="left"/>
      <w:lvlText w:val="(%2)"/>
      <w:numFmt w:val="lowerLetter"/>
      <w:start w:val="1"/>
    </w:lvl>
  </w:abstractNum>
  <w:abstractNum w:abstractNumId="85">
    <w:nsid w:val="3DD15094"/>
    <w:multiLevelType w:val="hybridMultilevel"/>
    <w:lvl w:ilvl="0">
      <w:lvlJc w:val="left"/>
      <w:lvlText w:val="%1"/>
      <w:numFmt w:val="decimal"/>
      <w:start w:val="1"/>
    </w:lvl>
    <w:lvl w:ilvl="1">
      <w:lvlJc w:val="left"/>
      <w:lvlText w:val="(%2)"/>
      <w:numFmt w:val="lowerLetter"/>
      <w:start w:val="2"/>
    </w:lvl>
  </w:abstractNum>
  <w:abstractNum w:abstractNumId="86">
    <w:nsid w:val="3DB012B3"/>
    <w:multiLevelType w:val="hybridMultilevel"/>
    <w:lvl w:ilvl="0">
      <w:lvlJc w:val="left"/>
      <w:lvlText w:val="(%1)"/>
      <w:numFmt w:val="decimal"/>
      <w:start w:val="7"/>
    </w:lvl>
    <w:lvl w:ilvl="1">
      <w:lvlJc w:val="left"/>
      <w:lvlText w:val="%2"/>
      <w:numFmt w:val="lowerLetter"/>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1)"/>
      <w:numFmt w:val="decimal"/>
      <w:start w:val="3"/>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1)"/>
      <w:numFmt w:val="decimal"/>
      <w:start w:val="2"/>
    </w:lvl>
  </w:abstractNum>
  <w:abstractNum w:abstractNumId="92">
    <w:nsid w:val="34FD6B4F"/>
    <w:multiLevelType w:val="hybridMultilevel"/>
    <w:lvl w:ilvl="0">
      <w:lvlJc w:val="left"/>
      <w:lvlText w:val="(%1)"/>
      <w:numFmt w:val="decimal"/>
      <w:start w:val="1"/>
    </w:lvl>
    <w:lvl w:ilvl="1">
      <w:lvlJc w:val="left"/>
      <w:lvlText w:val="(%2)"/>
      <w:numFmt w:val="lowerLetter"/>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1)"/>
      <w:numFmt w:val="decimal"/>
      <w:start w:val="2"/>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4"/>
    </w:lvl>
    <w:lvl w:ilvl="1">
      <w:lvlJc w:val="left"/>
      <w:lvlText w:val="(%2)"/>
      <w:numFmt w:val="lowerLetter"/>
      <w:start w:val="1"/>
    </w:lvl>
  </w:abstractNum>
  <w:abstractNum w:abstractNumId="99">
    <w:nsid w:val="5046B5A9"/>
    <w:multiLevelType w:val="hybridMultilevel"/>
    <w:lvl w:ilvl="0">
      <w:lvlJc w:val="left"/>
      <w:lvlText w:val="(%1)"/>
      <w:numFmt w:val="decimal"/>
      <w:start w:val="6"/>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7"/>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decimal"/>
      <w:start w:val="1"/>
    </w:lvl>
  </w:abstractNum>
  <w:abstractNum w:abstractNumId="105">
    <w:nsid w:val="57A61A29"/>
    <w:multiLevelType w:val="hybridMultilevel"/>
    <w:lvl w:ilvl="0">
      <w:lvlJc w:val="left"/>
      <w:lvlText w:val="(%1)"/>
      <w:numFmt w:val="decimal"/>
      <w:start w:val="3"/>
    </w:lvl>
  </w:abstractNum>
  <w:abstractNum w:abstractNumId="106">
    <w:nsid w:val="5399C654"/>
    <w:multiLevelType w:val="hybridMultilevel"/>
    <w:lvl w:ilvl="0">
      <w:lvlJc w:val="left"/>
      <w:lvlText w:val="(%1)"/>
      <w:numFmt w:val="decimal"/>
      <w:start w:val="1"/>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1)"/>
      <w:numFmt w:val="decimal"/>
      <w:start w:val="1"/>
    </w:lvl>
    <w:lvl w:ilvl="1">
      <w:lvlJc w:val="left"/>
      <w:lvlText w:val="(%2)"/>
      <w:numFmt w:val="lowerLetter"/>
      <w:start w:val="9"/>
    </w:lvl>
  </w:abstractNum>
  <w:abstractNum w:abstractNumId="109">
    <w:nsid w:val="B37E80A"/>
    <w:multiLevelType w:val="hybridMultilevel"/>
    <w:lvl w:ilvl="0">
      <w:lvlJc w:val="left"/>
      <w:lvlText w:val="%1"/>
      <w:numFmt w:val="decimal"/>
      <w:start w:val="1"/>
    </w:lvl>
    <w:lvl w:ilvl="1">
      <w:lvlJc w:val="left"/>
      <w:lvlText w:val="(%2)"/>
      <w:numFmt w:val="lowerRoman"/>
      <w:start w:val="2"/>
    </w:lvl>
  </w:abstractNum>
  <w:abstractNum w:abstractNumId="110">
    <w:nsid w:val="2157F6BC"/>
    <w:multiLevelType w:val="hybridMultilevel"/>
    <w:lvl w:ilvl="0">
      <w:lvlJc w:val="left"/>
      <w:lvlText w:val="(%1)"/>
      <w:numFmt w:val="decimal"/>
      <w:start w:val="6"/>
    </w:lvl>
    <w:lvl w:ilvl="1">
      <w:lvlJc w:val="left"/>
      <w:lvlText w:val="%2"/>
      <w:numFmt w:val="lowerRoman"/>
      <w:start w:val="1"/>
    </w:lvl>
  </w:abstractNum>
  <w:abstractNum w:abstractNumId="111">
    <w:nsid w:val="704E1DD5"/>
    <w:multiLevelType w:val="hybridMultilevel"/>
    <w:lvl w:ilvl="0">
      <w:lvlJc w:val="left"/>
      <w:lvlText w:val="(%1)"/>
      <w:numFmt w:val="decimal"/>
      <w:start w:val="7"/>
    </w:lvl>
  </w:abstractNum>
  <w:abstractNum w:abstractNumId="112">
    <w:nsid w:val="57D2F10E"/>
    <w:multiLevelType w:val="hybridMultilevel"/>
    <w:lvl w:ilvl="0">
      <w:lvlJc w:val="left"/>
      <w:lvlText w:val="(%1)"/>
      <w:numFmt w:val="decimal"/>
      <w:start w:val="1"/>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1)"/>
      <w:numFmt w:val="decimal"/>
      <w:start w:val="5"/>
    </w:lvl>
  </w:abstractNum>
  <w:abstractNum w:abstractNumId="115">
    <w:nsid w:val="2E48F044"/>
    <w:multiLevelType w:val="hybridMultilevel"/>
    <w:lvl w:ilvl="0">
      <w:lvlJc w:val="left"/>
      <w:lvlText w:val="(%1)"/>
      <w:numFmt w:val="decimal"/>
      <w:start w:val="1"/>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decimal"/>
      <w:start w:val="3"/>
    </w:lvl>
  </w:abstractNum>
  <w:abstractNum w:abstractNumId="118">
    <w:nsid w:val="5551B9F3"/>
    <w:multiLevelType w:val="hybridMultilevel"/>
    <w:lvl w:ilvl="0">
      <w:lvlJc w:val="left"/>
      <w:lvlText w:val="(%1)"/>
      <w:numFmt w:val="decimal"/>
      <w:start w:val="1"/>
    </w:lvl>
  </w:abstractNum>
  <w:abstractNum w:abstractNumId="119">
    <w:nsid w:val="24F6AB8E"/>
    <w:multiLevelType w:val="hybridMultilevel"/>
    <w:lvl w:ilvl="0">
      <w:lvlJc w:val="left"/>
      <w:lvlText w:val="(%1)"/>
      <w:numFmt w:val="decimal"/>
      <w:start w:val="3"/>
    </w:lvl>
  </w:abstractNum>
  <w:abstractNum w:abstractNumId="120">
    <w:nsid w:val="634C574C"/>
    <w:multiLevelType w:val="hybridMultilevel"/>
    <w:lvl w:ilvl="0">
      <w:lvlJc w:val="left"/>
      <w:lvlText w:val="(%1)"/>
      <w:numFmt w:val="decimal"/>
      <w:start w:val="1"/>
    </w:lvl>
  </w:abstractNum>
  <w:abstractNum w:abstractNumId="121">
    <w:nsid w:val="24E99DD7"/>
    <w:multiLevelType w:val="hybridMultilevel"/>
    <w:lvl w:ilvl="0">
      <w:lvlJc w:val="left"/>
      <w:lvlText w:val="(%1)"/>
      <w:numFmt w:val="decimal"/>
      <w:start w:val="1"/>
    </w:lvl>
  </w:abstractNum>
  <w:abstractNum w:abstractNumId="122">
    <w:nsid w:val="2A31B62D"/>
    <w:multiLevelType w:val="hybridMultilevel"/>
    <w:lvl w:ilvl="0">
      <w:lvlJc w:val="left"/>
      <w:lvlText w:val="(%1)"/>
      <w:numFmt w:val="decimal"/>
      <w:start w:val="1"/>
    </w:lvl>
  </w:abstractNum>
  <w:abstractNum w:abstractNumId="123">
    <w:nsid w:val="1849C29B"/>
    <w:multiLevelType w:val="hybridMultilevel"/>
    <w:lvl w:ilvl="0">
      <w:lvlJc w:val="left"/>
      <w:lvlText w:val="(%1)"/>
      <w:numFmt w:val="decimal"/>
      <w:start w:val="1"/>
    </w:lvl>
  </w:abstractNum>
  <w:abstractNum w:abstractNumId="124">
    <w:nsid w:val="7DFF9D09"/>
    <w:multiLevelType w:val="hybridMultilevel"/>
    <w:lvl w:ilvl="0">
      <w:lvlJc w:val="left"/>
      <w:lvlText w:val="(%1)"/>
      <w:numFmt w:val="decimal"/>
      <w:start w:val="1"/>
    </w:lvl>
  </w:abstractNum>
  <w:abstractNum w:abstractNumId="125">
    <w:nsid w:val="754342"/>
    <w:multiLevelType w:val="hybridMultilevel"/>
    <w:lvl w:ilvl="0">
      <w:lvlJc w:val="left"/>
      <w:lvlText w:val="(%1)"/>
      <w:numFmt w:val="decimal"/>
      <w:start w:val="1"/>
    </w:lvl>
  </w:abstractNum>
  <w:abstractNum w:abstractNumId="126">
    <w:nsid w:val="69E7F3E5"/>
    <w:multiLevelType w:val="hybridMultilevel"/>
    <w:lvl w:ilvl="0">
      <w:lvlJc w:val="left"/>
      <w:lvlText w:val="(%1)"/>
      <w:numFmt w:val="decimal"/>
      <w:start w:val="2"/>
    </w:lvl>
  </w:abstractNum>
  <w:abstractNum w:abstractNumId="127">
    <w:nsid w:val="2A6DE806"/>
    <w:multiLevelType w:val="hybridMultilevel"/>
    <w:lvl w:ilvl="0">
      <w:lvlJc w:val="left"/>
      <w:lvlText w:val="(%1)"/>
      <w:numFmt w:val="decimal"/>
      <w:start w:val="1"/>
    </w:lvl>
  </w:abstractNum>
  <w:abstractNum w:abstractNumId="128">
    <w:nsid w:val="1816F8C4"/>
    <w:multiLevelType w:val="hybridMultilevel"/>
    <w:lvl w:ilvl="0">
      <w:lvlJc w:val="left"/>
      <w:lvlText w:val="(%1)"/>
      <w:numFmt w:val="decimal"/>
      <w:start w:val="1"/>
    </w:lvl>
  </w:abstractNum>
  <w:abstractNum w:abstractNumId="129">
    <w:nsid w:val="37DF2233"/>
    <w:multiLevelType w:val="hybridMultilevel"/>
    <w:lvl w:ilvl="0">
      <w:lvlJc w:val="left"/>
      <w:lvlText w:val="(%1)"/>
      <w:numFmt w:val="decimal"/>
      <w:start w:val="1"/>
    </w:lvl>
  </w:abstractNum>
  <w:abstractNum w:abstractNumId="130">
    <w:nsid w:val="7AB49DAF"/>
    <w:multiLevelType w:val="hybridMultilevel"/>
    <w:lvl w:ilvl="0">
      <w:lvlJc w:val="left"/>
      <w:lvlText w:val="(%1)"/>
      <w:numFmt w:val="decimal"/>
      <w:start w:val="1"/>
    </w:lvl>
  </w:abstractNum>
  <w:abstractNum w:abstractNumId="131">
    <w:nsid w:val="759F82CD"/>
    <w:multiLevelType w:val="hybridMultilevel"/>
    <w:lvl w:ilvl="0">
      <w:lvlJc w:val="left"/>
      <w:lvlText w:val="(%1)"/>
      <w:numFmt w:val="decimal"/>
      <w:start w:val="1"/>
    </w:lvl>
  </w:abstractNum>
  <w:abstractNum w:abstractNumId="132">
    <w:nsid w:val="61E74EA3"/>
    <w:multiLevelType w:val="hybridMultilevel"/>
    <w:lvl w:ilvl="0">
      <w:lvlJc w:val="left"/>
      <w:lvlText w:val="(%1)"/>
      <w:numFmt w:val="decimal"/>
      <w:start w:val="3"/>
    </w:lvl>
  </w:abstractNum>
  <w:abstractNum w:abstractNumId="133">
    <w:nsid w:val="597B4D84"/>
    <w:multiLevelType w:val="hybridMultilevel"/>
    <w:lvl w:ilvl="0">
      <w:lvlJc w:val="left"/>
      <w:lvlText w:val="(%1)"/>
      <w:numFmt w:val="decimal"/>
      <w:start w:val="1"/>
    </w:lvl>
    <w:lvl w:ilvl="1">
      <w:lvlJc w:val="left"/>
      <w:lvlText w:val="(%2)"/>
      <w:numFmt w:val="lowerLetter"/>
      <w:start w:val="1"/>
    </w:lvl>
  </w:abstractNum>
  <w:abstractNum w:abstractNumId="134">
    <w:nsid w:val="F819E7F"/>
    <w:multiLevelType w:val="hybridMultilevel"/>
    <w:lvl w:ilvl="0">
      <w:lvlJc w:val="left"/>
      <w:lvlText w:val="(%1)"/>
      <w:numFmt w:val="decimal"/>
      <w:start w:val="1"/>
    </w:lvl>
  </w:abstractNum>
  <w:abstractNum w:abstractNumId="135">
    <w:nsid w:val="57C7D42D"/>
    <w:multiLevelType w:val="hybridMultilevel"/>
    <w:lvl w:ilvl="0">
      <w:lvlJc w:val="left"/>
      <w:lvlText w:val="(%1)"/>
      <w:numFmt w:val="decimal"/>
      <w:start w:val="2"/>
    </w:lvl>
  </w:abstractNum>
  <w:abstractNum w:abstractNumId="136">
    <w:nsid w:val="312167AD"/>
    <w:multiLevelType w:val="hybridMultilevel"/>
    <w:lvl w:ilvl="0">
      <w:lvlJc w:val="left"/>
      <w:lvlText w:val="(%1)"/>
      <w:numFmt w:val="decimal"/>
      <w:start w:val="1"/>
    </w:lvl>
  </w:abstractNum>
  <w:abstractNum w:abstractNumId="137">
    <w:nsid w:val="631B64D4"/>
    <w:multiLevelType w:val="hybridMultilevel"/>
    <w:lvl w:ilvl="0">
      <w:lvlJc w:val="left"/>
      <w:lvlText w:val="(%1)"/>
      <w:numFmt w:val="decimal"/>
      <w:start w:val="3"/>
    </w:lvl>
  </w:abstractNum>
  <w:abstractNum w:abstractNumId="138">
    <w:nsid w:val="78B5E776"/>
    <w:multiLevelType w:val="hybridMultilevel"/>
    <w:lvl w:ilvl="0">
      <w:lvlJc w:val="left"/>
      <w:lvlText w:val="(%1)"/>
      <w:numFmt w:val="decimal"/>
      <w:start w:val="1"/>
    </w:lvl>
  </w:abstractNum>
  <w:abstractNum w:abstractNumId="139">
    <w:nsid w:val="75486E47"/>
    <w:multiLevelType w:val="hybridMultilevel"/>
    <w:lvl w:ilvl="0">
      <w:lvlJc w:val="left"/>
      <w:lvlText w:val="(%1)"/>
      <w:numFmt w:val="lowerLetter"/>
      <w:start w:val="35"/>
    </w:lvl>
  </w:abstractNum>
  <w:abstractNum w:abstractNumId="140">
    <w:nsid w:val="6E534CDE"/>
    <w:multiLevelType w:val="hybridMultilevel"/>
    <w:lvl w:ilvl="0">
      <w:lvlJc w:val="left"/>
      <w:lvlText w:val="(%1)"/>
      <w:numFmt w:val="lowerLetter"/>
      <w:start w:val="3"/>
    </w:lvl>
  </w:abstractNum>
  <w:abstractNum w:abstractNumId="141">
    <w:nsid w:val="1A0DDE32"/>
    <w:multiLevelType w:val="hybridMultilevel"/>
    <w:lvl w:ilvl="0">
      <w:lvlJc w:val="left"/>
      <w:lvlText w:val="(%1)"/>
      <w:numFmt w:val="decimal"/>
      <w:start w:val="1"/>
    </w:lvl>
  </w:abstractNum>
  <w:abstractNum w:abstractNumId="142">
    <w:nsid w:val="65968C1C"/>
    <w:multiLevelType w:val="hybridMultilevel"/>
    <w:lvl w:ilvl="0">
      <w:lvlJc w:val="left"/>
      <w:lvlText w:val="(%1)"/>
      <w:numFmt w:val="decimal"/>
      <w:start w:val="1"/>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decimal"/>
      <w:start w:val="1"/>
    </w:lvl>
  </w:abstractNum>
  <w:abstractNum w:abstractNumId="145">
    <w:nsid w:val="73D4D3C4"/>
    <w:multiLevelType w:val="hybridMultilevel"/>
    <w:lvl w:ilvl="0">
      <w:lvlJc w:val="left"/>
      <w:lvlText w:val="(%1)"/>
      <w:numFmt w:val="decimal"/>
      <w:start w:val="1"/>
    </w:lvl>
  </w:abstractNum>
  <w:abstractNum w:abstractNumId="146">
    <w:nsid w:val="746F2E30"/>
    <w:multiLevelType w:val="hybridMultilevel"/>
    <w:lvl w:ilvl="0">
      <w:lvlJc w:val="left"/>
      <w:lvlText w:val="-"/>
      <w:numFmt w:val="bullet"/>
      <w:start w:val="1"/>
    </w:lvl>
  </w:abstractNum>
  <w:abstractNum w:abstractNumId="147">
    <w:nsid w:val="6FDE8AF6"/>
    <w:multiLevelType w:val="hybridMultilevel"/>
    <w:lvl w:ilvl="0">
      <w:lvlJc w:val="left"/>
      <w:lvlText w:val="-"/>
      <w:numFmt w:val="bullet"/>
      <w:start w:val="1"/>
    </w:lvl>
  </w:abstractNum>
  <w:abstractNum w:abstractNumId="148">
    <w:nsid w:val="3FC32E20"/>
    <w:multiLevelType w:val="hybridMultilevel"/>
    <w:lvl w:ilvl="0">
      <w:lvlJc w:val="left"/>
      <w:lvlText w:val="-"/>
      <w:numFmt w:val="bullet"/>
      <w:start w:val="1"/>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
      <w:numFmt w:val="bullet"/>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2019-12-20T05:57:54Z</dcterms:created>
  <dcterms:modified xsi:type="dcterms:W3CDTF">2019-12-20T05:57:54Z</dcterms:modified>
</cp:coreProperties>
</file>