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_________________________________________</w:t>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75"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For the quarterly period ended March 30, 2013</w:t>
      </w:r>
    </w:p>
    <w:p>
      <w:pPr>
        <w:spacing w:after="0" w:line="11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40" w:hanging="691"/>
        <w:spacing w:after="0"/>
        <w:tabs>
          <w:tab w:leader="none" w:pos="74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634" w:right="239" w:bottom="1440" w:gutter="0" w:footer="0" w:header="0"/>
        </w:sectPr>
      </w:pPr>
    </w:p>
    <w:p>
      <w:pPr>
        <w:spacing w:after="0" w:line="229" w:lineRule="exact"/>
        <w:rPr>
          <w:sz w:val="24"/>
          <w:szCs w:val="24"/>
          <w:color w:val="auto"/>
        </w:rPr>
      </w:pPr>
    </w:p>
    <w:p>
      <w:pPr>
        <w:ind w:left="40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480" w:space="720"/>
            <w:col w:w="4220"/>
          </w:cols>
          <w:pgMar w:left="240" w:top="634" w:right="239" w:bottom="1440" w:gutter="0" w:footer="0" w:header="0"/>
          <w:type w:val="continuous"/>
        </w:sectPr>
      </w:pP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001-11593</w:t>
      </w:r>
    </w:p>
    <w:p>
      <w:pPr>
        <w:sectPr>
          <w:pgSz w:w="11900" w:h="16838" w:orient="portrait"/>
          <w:cols w:equalWidth="0" w:num="1">
            <w:col w:w="11420"/>
          </w:cols>
          <w:pgMar w:left="240" w:top="634" w:right="239" w:bottom="1440" w:gutter="0" w:footer="0" w:header="0"/>
          <w:type w:val="continuous"/>
        </w:sectPr>
      </w:pPr>
    </w:p>
    <w:p>
      <w:pPr>
        <w:spacing w:after="0" w:line="50"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Scotts Miracle-Gro Company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______________________________________________</w:t>
      </w:r>
    </w:p>
    <w:p>
      <w:pPr>
        <w:spacing w:after="0" w:line="153"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OHIO</w:t>
            </w:r>
          </w:p>
        </w:tc>
        <w:tc>
          <w:tcPr>
            <w:tcW w:w="1280" w:type="dxa"/>
            <w:vAlign w:val="bottom"/>
          </w:tcPr>
          <w:p>
            <w:pPr>
              <w:jc w:val="right"/>
              <w:ind w:right="41"/>
              <w:spacing w:after="0"/>
              <w:rPr>
                <w:sz w:val="20"/>
                <w:szCs w:val="20"/>
                <w:color w:val="auto"/>
              </w:rPr>
            </w:pPr>
            <w:r>
              <w:rPr>
                <w:rFonts w:ascii="Arial" w:cs="Arial" w:eastAsia="Arial" w:hAnsi="Arial"/>
                <w:sz w:val="18"/>
                <w:szCs w:val="18"/>
                <w:b w:val="1"/>
                <w:bCs w:val="1"/>
                <w:color w:val="auto"/>
              </w:rPr>
              <w:t>31-1414921</w:t>
            </w:r>
          </w:p>
        </w:tc>
      </w:tr>
      <w:tr>
        <w:trPr>
          <w:trHeight w:val="180"/>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4"/>
              </w:rPr>
              <w:t>incorporation or organization)</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380" w:type="dxa"/>
            <w:vAlign w:val="bottom"/>
          </w:tcPr>
          <w:p>
            <w:pPr>
              <w:jc w:val="center"/>
              <w:ind w:right="3918"/>
              <w:spacing w:after="0"/>
              <w:rPr>
                <w:sz w:val="20"/>
                <w:szCs w:val="20"/>
                <w:color w:val="auto"/>
              </w:rPr>
            </w:pPr>
            <w:r>
              <w:rPr>
                <w:rFonts w:ascii="Arial" w:cs="Arial" w:eastAsia="Arial" w:hAnsi="Arial"/>
                <w:sz w:val="18"/>
                <w:szCs w:val="18"/>
                <w:b w:val="1"/>
                <w:bCs w:val="1"/>
                <w:color w:val="auto"/>
                <w:w w:val="95"/>
              </w:rPr>
              <w:t>14111 SCOTTSLAWN ROAD,</w:t>
            </w:r>
          </w:p>
        </w:tc>
        <w:tc>
          <w:tcPr>
            <w:tcW w:w="1280" w:type="dxa"/>
            <w:vAlign w:val="bottom"/>
          </w:tcPr>
          <w:p>
            <w:pPr>
              <w:spacing w:after="0"/>
              <w:rPr>
                <w:sz w:val="24"/>
                <w:szCs w:val="24"/>
                <w:color w:val="auto"/>
              </w:rPr>
            </w:pPr>
          </w:p>
        </w:tc>
      </w:t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MARYSVILLE, OHIO</w:t>
            </w:r>
          </w:p>
        </w:tc>
        <w:tc>
          <w:tcPr>
            <w:tcW w:w="1280" w:type="dxa"/>
            <w:vAlign w:val="bottom"/>
          </w:tcPr>
          <w:p>
            <w:pPr>
              <w:jc w:val="right"/>
              <w:ind w:right="241"/>
              <w:spacing w:after="0"/>
              <w:rPr>
                <w:sz w:val="20"/>
                <w:szCs w:val="20"/>
                <w:color w:val="auto"/>
              </w:rPr>
            </w:pPr>
            <w:r>
              <w:rPr>
                <w:rFonts w:ascii="Arial" w:cs="Arial" w:eastAsia="Arial" w:hAnsi="Arial"/>
                <w:sz w:val="18"/>
                <w:szCs w:val="18"/>
                <w:b w:val="1"/>
                <w:bCs w:val="1"/>
                <w:color w:val="auto"/>
              </w:rPr>
              <w:t>43041</w:t>
            </w:r>
          </w:p>
        </w:tc>
      </w:tr>
      <w:tr>
        <w:trPr>
          <w:trHeight w:val="218"/>
        </w:trPr>
        <w:tc>
          <w:tcPr>
            <w:tcW w:w="6380" w:type="dxa"/>
            <w:vAlign w:val="bottom"/>
          </w:tcPr>
          <w:p>
            <w:pPr>
              <w:jc w:val="center"/>
              <w:ind w:right="39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8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(Zip Code)</w:t>
            </w:r>
          </w:p>
        </w:tc>
      </w:tr>
      <w:tr>
        <w:trPr>
          <w:trHeight w:val="313"/>
        </w:trPr>
        <w:tc>
          <w:tcPr>
            <w:tcW w:w="6380" w:type="dxa"/>
            <w:vAlign w:val="bottom"/>
          </w:tcPr>
          <w:p>
            <w:pPr>
              <w:jc w:val="center"/>
              <w:ind w:left="1858"/>
              <w:spacing w:after="0"/>
              <w:rPr>
                <w:sz w:val="20"/>
                <w:szCs w:val="20"/>
                <w:color w:val="auto"/>
              </w:rPr>
            </w:pPr>
            <w:r>
              <w:rPr>
                <w:rFonts w:ascii="Arial" w:cs="Arial" w:eastAsia="Arial" w:hAnsi="Arial"/>
                <w:sz w:val="18"/>
                <w:szCs w:val="18"/>
                <w:b w:val="1"/>
                <w:bCs w:val="1"/>
                <w:color w:val="auto"/>
                <w:w w:val="90"/>
              </w:rPr>
              <w:t>(937) 644-0011</w:t>
            </w:r>
          </w:p>
        </w:tc>
        <w:tc>
          <w:tcPr>
            <w:tcW w:w="1280" w:type="dxa"/>
            <w:vAlign w:val="bottom"/>
          </w:tcPr>
          <w:p>
            <w:pPr>
              <w:spacing w:after="0"/>
              <w:rPr>
                <w:sz w:val="24"/>
                <w:szCs w:val="24"/>
                <w:color w:val="auto"/>
              </w:rPr>
            </w:pPr>
          </w:p>
        </w:tc>
      </w:tr>
      <w:tr>
        <w:trPr>
          <w:trHeight w:val="170"/>
        </w:trPr>
        <w:tc>
          <w:tcPr>
            <w:tcW w:w="6380" w:type="dxa"/>
            <w:vAlign w:val="bottom"/>
          </w:tcPr>
          <w:p>
            <w:pPr>
              <w:jc w:val="center"/>
              <w:ind w:left="183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80" w:type="dxa"/>
            <w:vAlign w:val="bottom"/>
          </w:tcPr>
          <w:p>
            <w:pPr>
              <w:spacing w:after="0"/>
              <w:rPr>
                <w:sz w:val="14"/>
                <w:szCs w:val="14"/>
                <w:color w:val="auto"/>
              </w:rPr>
            </w:pPr>
          </w:p>
        </w:tc>
      </w:tr>
      <w:tr>
        <w:trPr>
          <w:trHeight w:val="230"/>
        </w:trPr>
        <w:tc>
          <w:tcPr>
            <w:tcW w:w="6380" w:type="dxa"/>
            <w:vAlign w:val="bottom"/>
          </w:tcPr>
          <w:p>
            <w:pPr>
              <w:jc w:val="center"/>
              <w:ind w:left="1798"/>
              <w:spacing w:after="0"/>
              <w:rPr>
                <w:sz w:val="20"/>
                <w:szCs w:val="20"/>
                <w:color w:val="auto"/>
              </w:rPr>
            </w:pPr>
            <w:r>
              <w:rPr>
                <w:rFonts w:ascii="Arial" w:cs="Arial" w:eastAsia="Arial" w:hAnsi="Arial"/>
                <w:sz w:val="18"/>
                <w:szCs w:val="18"/>
                <w:color w:val="auto"/>
                <w:w w:val="89"/>
              </w:rPr>
              <w:t>______________________________________________</w:t>
            </w:r>
          </w:p>
        </w:tc>
        <w:tc>
          <w:tcPr>
            <w:tcW w:w="1280" w:type="dxa"/>
            <w:vAlign w:val="bottom"/>
          </w:tcPr>
          <w:p>
            <w:pPr>
              <w:spacing w:after="0"/>
              <w:rPr>
                <w:sz w:val="20"/>
                <w:szCs w:val="20"/>
                <w:color w:val="auto"/>
              </w:rPr>
            </w:pPr>
          </w:p>
        </w:tc>
      </w:tr>
    </w:tbl>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34" w:right="239" w:bottom="1440" w:gutter="0" w:footer="0" w:header="0"/>
          <w:type w:val="continuous"/>
        </w:sectPr>
      </w:pPr>
    </w:p>
    <w:p>
      <w:pPr>
        <w:spacing w:after="0" w:line="1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720" w:space="720"/>
            <w:col w:w="5080" w:space="720"/>
            <w:col w:w="2120" w:space="720"/>
            <w:col w:w="340"/>
          </w:cols>
          <w:pgMar w:left="240" w:top="634" w:right="23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720" w:space="720"/>
            <w:col w:w="5080" w:space="720"/>
            <w:col w:w="2120" w:space="720"/>
            <w:col w:w="340"/>
          </w:cols>
          <w:pgMar w:left="240" w:top="63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7" w:lineRule="exact"/>
        <w:rPr>
          <w:sz w:val="24"/>
          <w:szCs w:val="24"/>
          <w:color w:val="auto"/>
        </w:rPr>
      </w:pPr>
    </w:p>
    <w:p>
      <w:pPr>
        <w:sectPr>
          <w:pgSz w:w="11900" w:h="16838" w:orient="portrait"/>
          <w:cols w:equalWidth="0" w:num="4">
            <w:col w:w="8180" w:space="180"/>
            <w:col w:w="260" w:space="100"/>
            <w:col w:w="160" w:space="180"/>
            <w:col w:w="2360"/>
          </w:cols>
          <w:pgMar w:left="240" w:top="634"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79" w:lineRule="exact"/>
        <w:rPr>
          <w:sz w:val="24"/>
          <w:szCs w:val="24"/>
          <w:color w:val="auto"/>
        </w:rPr>
      </w:pPr>
    </w:p>
    <w:tbl>
      <w:tblPr>
        <w:tblLayout w:type="fixed"/>
        <w:tblInd w:w="2160" w:type="dxa"/>
        <w:tblCellMar>
          <w:top w:w="0" w:type="dxa"/>
          <w:left w:w="0" w:type="dxa"/>
          <w:bottom w:w="0" w:type="dxa"/>
          <w:right w:w="0" w:type="dxa"/>
        </w:tblCellMar>
      </w:tblPr>
      <w:tr>
        <w:trPr>
          <w:trHeight w:val="230"/>
        </w:trPr>
        <w:tc>
          <w:tcPr>
            <w:tcW w:w="5920" w:type="dxa"/>
            <w:vAlign w:val="bottom"/>
            <w:gridSpan w:val="2"/>
          </w:tcPr>
          <w:p>
            <w:pPr>
              <w:jc w:val="center"/>
              <w:ind w:right="1120"/>
              <w:spacing w:after="0"/>
              <w:rPr>
                <w:sz w:val="20"/>
                <w:szCs w:val="20"/>
                <w:color w:val="auto"/>
              </w:rPr>
            </w:pPr>
            <w:r>
              <w:rPr>
                <w:rFonts w:ascii="Arial" w:cs="Arial" w:eastAsia="Arial" w:hAnsi="Arial"/>
                <w:sz w:val="18"/>
                <w:szCs w:val="18"/>
                <w:color w:val="auto"/>
                <w:w w:val="88"/>
              </w:rPr>
              <w:t>Class</w:t>
            </w:r>
          </w:p>
        </w:tc>
        <w:tc>
          <w:tcPr>
            <w:tcW w:w="3280" w:type="dxa"/>
            <w:vAlign w:val="bottom"/>
          </w:tcPr>
          <w:p>
            <w:pPr>
              <w:ind w:left="640"/>
              <w:spacing w:after="0"/>
              <w:rPr>
                <w:sz w:val="20"/>
                <w:szCs w:val="20"/>
                <w:color w:val="auto"/>
              </w:rPr>
            </w:pPr>
            <w:r>
              <w:rPr>
                <w:rFonts w:ascii="Arial" w:cs="Arial" w:eastAsia="Arial" w:hAnsi="Arial"/>
                <w:sz w:val="18"/>
                <w:szCs w:val="18"/>
                <w:color w:val="auto"/>
              </w:rPr>
              <w:t>Outstanding at May 3, 2013</w:t>
            </w:r>
          </w:p>
        </w:tc>
      </w:tr>
      <w:tr>
        <w:trPr>
          <w:trHeight w:val="27"/>
        </w:trPr>
        <w:tc>
          <w:tcPr>
            <w:tcW w:w="478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37"/>
        </w:trPr>
        <w:tc>
          <w:tcPr>
            <w:tcW w:w="5920" w:type="dxa"/>
            <w:vAlign w:val="bottom"/>
            <w:gridSpan w:val="2"/>
          </w:tcPr>
          <w:p>
            <w:pPr>
              <w:jc w:val="center"/>
              <w:ind w:right="1120"/>
              <w:spacing w:after="0"/>
              <w:rPr>
                <w:sz w:val="20"/>
                <w:szCs w:val="20"/>
                <w:color w:val="auto"/>
              </w:rPr>
            </w:pPr>
            <w:r>
              <w:rPr>
                <w:rFonts w:ascii="Arial" w:cs="Arial" w:eastAsia="Arial" w:hAnsi="Arial"/>
                <w:sz w:val="18"/>
                <w:szCs w:val="18"/>
                <w:color w:val="auto"/>
                <w:w w:val="88"/>
              </w:rPr>
              <w:t>Common Shares, $0.01 stated value, no par value</w:t>
            </w:r>
          </w:p>
        </w:tc>
        <w:tc>
          <w:tcPr>
            <w:tcW w:w="3280" w:type="dxa"/>
            <w:vAlign w:val="bottom"/>
          </w:tcPr>
          <w:p>
            <w:pPr>
              <w:ind w:left="660"/>
              <w:spacing w:after="0"/>
              <w:rPr>
                <w:sz w:val="20"/>
                <w:szCs w:val="20"/>
                <w:color w:val="auto"/>
              </w:rPr>
            </w:pPr>
            <w:r>
              <w:rPr>
                <w:rFonts w:ascii="Arial" w:cs="Arial" w:eastAsia="Arial" w:hAnsi="Arial"/>
                <w:sz w:val="18"/>
                <w:szCs w:val="18"/>
                <w:color w:val="auto"/>
              </w:rPr>
              <w:t>61,703,557 common shares</w:t>
            </w:r>
          </w:p>
        </w:tc>
      </w:tr>
      <w:tr>
        <w:trPr>
          <w:trHeight w:val="486"/>
        </w:trPr>
        <w:tc>
          <w:tcPr>
            <w:tcW w:w="4780" w:type="dxa"/>
            <w:vAlign w:val="bottom"/>
          </w:tcPr>
          <w:p>
            <w:pPr>
              <w:jc w:val="right"/>
              <w:ind w:right="1090"/>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24"/>
                <w:szCs w:val="24"/>
                <w:color w:val="auto"/>
              </w:rPr>
            </w:pPr>
          </w:p>
        </w:tc>
        <w:tc>
          <w:tcPr>
            <w:tcW w:w="3280" w:type="dxa"/>
            <w:vAlign w:val="bottom"/>
          </w:tcPr>
          <w:p>
            <w:pPr>
              <w:spacing w:after="0"/>
              <w:rPr>
                <w:sz w:val="24"/>
                <w:szCs w:val="24"/>
                <w:color w:val="auto"/>
              </w:rPr>
            </w:pPr>
          </w:p>
        </w:tc>
      </w:tr>
    </w:tbl>
    <w:p>
      <w:pPr>
        <w:sectPr>
          <w:pgSz w:w="11900" w:h="16838" w:orient="portrait"/>
          <w:cols w:equalWidth="0" w:num="1">
            <w:col w:w="11420"/>
          </w:cols>
          <w:pgMar w:left="240" w:top="634"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10360" w:type="dxa"/>
            <w:vAlign w:val="bottom"/>
            <w:gridSpan w:val="22"/>
          </w:tcPr>
          <w:p>
            <w:pPr>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88"/>
        </w:trPr>
        <w:tc>
          <w:tcPr>
            <w:tcW w:w="920" w:type="dxa"/>
            <w:vAlign w:val="bottom"/>
            <w:tcBorders>
              <w:top w:val="single" w:sz="8" w:color="0000FF"/>
            </w:tcBorders>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2000" w:type="dxa"/>
            <w:vAlign w:val="bottom"/>
            <w:tcBorders>
              <w:top w:val="single" w:sz="8" w:color="0000FF"/>
            </w:tcBorders>
            <w:gridSpan w:val="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744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4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Operations — Three and six months ended March 30, 2013 and March 31, 2012</w:t>
              </w:r>
            </w:hyperlink>
          </w:p>
        </w:tc>
        <w:tc>
          <w:tcPr>
            <w:tcW w:w="800" w:type="dxa"/>
            <w:vAlign w:val="bottom"/>
            <w:gridSpan w:val="2"/>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40" w:type="dxa"/>
            <w:vAlign w:val="bottom"/>
            <w:gridSpan w:val="18"/>
          </w:tcPr>
          <w:p>
            <w:pPr>
              <w:spacing w:after="0"/>
              <w:rPr>
                <w:rFonts w:ascii="Arial" w:cs="Arial" w:eastAsia="Arial" w:hAnsi="Arial"/>
                <w:sz w:val="18"/>
                <w:szCs w:val="18"/>
                <w:color w:val="0000FF"/>
                <w:w w:val="92"/>
              </w:rPr>
            </w:pPr>
            <w:hyperlink w:anchor="page3">
              <w:r>
                <w:rPr>
                  <w:rFonts w:ascii="Arial" w:cs="Arial" w:eastAsia="Arial" w:hAnsi="Arial"/>
                  <w:sz w:val="18"/>
                  <w:szCs w:val="18"/>
                  <w:color w:val="0000FF"/>
                  <w:w w:val="92"/>
                </w:rPr>
                <w:t>Condensed Consolidated Statements of Comprehensive Income — Three and six months ended March 30, 2013 and March 31,</w:t>
              </w:r>
            </w:hyperlink>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4"/>
              </w:rPr>
            </w:pPr>
            <w:hyperlink w:anchor="page3">
              <w:r>
                <w:rPr>
                  <w:rFonts w:ascii="Arial" w:cs="Arial" w:eastAsia="Arial" w:hAnsi="Arial"/>
                  <w:sz w:val="18"/>
                  <w:szCs w:val="18"/>
                  <w:color w:val="0000FF"/>
                  <w:w w:val="84"/>
                </w:rPr>
                <w:t>2012</w:t>
              </w:r>
            </w:hyperlink>
          </w:p>
        </w:tc>
        <w:tc>
          <w:tcPr>
            <w:tcW w:w="2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9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12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96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Cash Flows — Six months ended March 30, 2013 and March 31, 2012</w:t>
              </w:r>
            </w:hyperlink>
          </w:p>
        </w:tc>
        <w:tc>
          <w:tcPr>
            <w:tcW w:w="1480" w:type="dxa"/>
            <w:vAlign w:val="bottom"/>
            <w:gridSpan w:val="3"/>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38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Balance Sheets — March 30, 2013, March 31, 2012 and September 30, 2012</w:t>
              </w:r>
            </w:hyperlink>
          </w:p>
        </w:tc>
        <w:tc>
          <w:tcPr>
            <w:tcW w:w="2060" w:type="dxa"/>
            <w:vAlign w:val="bottom"/>
            <w:gridSpan w:val="4"/>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4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2.</w:t>
              </w:r>
            </w:hyperlink>
          </w:p>
        </w:tc>
        <w:tc>
          <w:tcPr>
            <w:tcW w:w="9440" w:type="dxa"/>
            <w:vAlign w:val="bottom"/>
            <w:gridSpan w:val="1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3.</w:t>
              </w:r>
            </w:hyperlink>
          </w:p>
        </w:tc>
        <w:tc>
          <w:tcPr>
            <w:tcW w:w="944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Quantitative and Qualitative Disclosures about Market Risk</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4.</w:t>
              </w:r>
            </w:hyperlink>
          </w:p>
        </w:tc>
        <w:tc>
          <w:tcPr>
            <w:tcW w:w="944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Controls and Procedures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2680" w:type="dxa"/>
            <w:vAlign w:val="bottom"/>
            <w:tcBorders>
              <w:bottom w:val="single" w:sz="8" w:color="0000FF"/>
            </w:tcBorders>
            <w:gridSpan w:val="12"/>
          </w:tcPr>
          <w:p>
            <w:pPr>
              <w:spacing w:after="0"/>
              <w:rPr>
                <w:rFonts w:ascii="Arial" w:cs="Arial" w:eastAsia="Arial" w:hAnsi="Arial"/>
                <w:sz w:val="18"/>
                <w:szCs w:val="18"/>
                <w:color w:val="0000FF"/>
                <w:w w:val="97"/>
              </w:rPr>
            </w:pPr>
            <w:hyperlink w:anchor="page44">
              <w:r>
                <w:rPr>
                  <w:rFonts w:ascii="Arial" w:cs="Arial" w:eastAsia="Arial" w:hAnsi="Arial"/>
                  <w:sz w:val="18"/>
                  <w:szCs w:val="18"/>
                  <w:color w:val="0000FF"/>
                  <w:w w:val="97"/>
                </w:rPr>
                <w:t>PART II. OTHER INFORMATION:</w:t>
              </w:r>
            </w:hyperlink>
          </w:p>
        </w:tc>
        <w:tc>
          <w:tcPr>
            <w:tcW w:w="7680" w:type="dxa"/>
            <w:vAlign w:val="bottom"/>
            <w:gridSpan w:val="10"/>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74"/>
        </w:trPr>
        <w:tc>
          <w:tcPr>
            <w:tcW w:w="920" w:type="dxa"/>
            <w:vAlign w:val="bottom"/>
            <w:gridSpan w:val="4"/>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1.</w:t>
              </w:r>
            </w:hyperlink>
          </w:p>
        </w:tc>
        <w:tc>
          <w:tcPr>
            <w:tcW w:w="944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Legal Proceedings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6"/>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FF"/>
                <w:w w:val="92"/>
              </w:rPr>
            </w:pPr>
            <w:hyperlink w:anchor="page45">
              <w:r>
                <w:rPr>
                  <w:rFonts w:ascii="Arial" w:cs="Arial" w:eastAsia="Arial" w:hAnsi="Arial"/>
                  <w:sz w:val="18"/>
                  <w:szCs w:val="18"/>
                  <w:color w:val="0000FF"/>
                  <w:w w:val="92"/>
                </w:rPr>
                <w:t>Item 1A.</w:t>
              </w:r>
            </w:hyperlink>
          </w:p>
        </w:tc>
        <w:tc>
          <w:tcPr>
            <w:tcW w:w="280" w:type="dxa"/>
            <w:vAlign w:val="bottom"/>
            <w:gridSpan w:val="2"/>
          </w:tcPr>
          <w:p>
            <w:pPr>
              <w:spacing w:after="0"/>
              <w:rPr>
                <w:sz w:val="21"/>
                <w:szCs w:val="21"/>
                <w:color w:val="auto"/>
              </w:rPr>
            </w:pPr>
          </w:p>
        </w:tc>
        <w:tc>
          <w:tcPr>
            <w:tcW w:w="944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Risk Factors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2.</w:t>
              </w:r>
            </w:hyperlink>
          </w:p>
        </w:tc>
        <w:tc>
          <w:tcPr>
            <w:tcW w:w="280" w:type="dxa"/>
            <w:vAlign w:val="bottom"/>
            <w:gridSpan w:val="2"/>
          </w:tcPr>
          <w:p>
            <w:pPr>
              <w:spacing w:after="0"/>
              <w:rPr>
                <w:sz w:val="21"/>
                <w:szCs w:val="21"/>
                <w:color w:val="auto"/>
              </w:rPr>
            </w:pPr>
          </w:p>
        </w:tc>
        <w:tc>
          <w:tcPr>
            <w:tcW w:w="944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Unregistered Sales of Equity Securities and Use of Proceeds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6"/>
            <w:shd w:val="clear" w:color="auto" w:fill="0000F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5.</w:t>
              </w:r>
            </w:hyperlink>
          </w:p>
        </w:tc>
        <w:tc>
          <w:tcPr>
            <w:tcW w:w="9440" w:type="dxa"/>
            <w:vAlign w:val="bottom"/>
            <w:gridSpan w:val="1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Other Information</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140" w:type="dxa"/>
            <w:vAlign w:val="bottom"/>
            <w:gridSpan w:val="1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6.</w:t>
              </w:r>
            </w:hyperlink>
          </w:p>
        </w:tc>
        <w:tc>
          <w:tcPr>
            <w:tcW w:w="9440" w:type="dxa"/>
            <w:vAlign w:val="bottom"/>
            <w:gridSpan w:val="18"/>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Exhibits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rFonts w:ascii="Arial" w:cs="Arial" w:eastAsia="Arial" w:hAnsi="Arial"/>
                <w:sz w:val="18"/>
                <w:szCs w:val="18"/>
                <w:color w:val="0000FF"/>
                <w:w w:val="85"/>
              </w:rPr>
            </w:pPr>
            <w:hyperlink w:anchor="page48">
              <w:r>
                <w:rPr>
                  <w:rFonts w:ascii="Arial" w:cs="Arial" w:eastAsia="Arial" w:hAnsi="Arial"/>
                  <w:sz w:val="18"/>
                  <w:szCs w:val="18"/>
                  <w:color w:val="0000FF"/>
                  <w:w w:val="85"/>
                </w:rPr>
                <w:t>Signatures</w:t>
              </w:r>
            </w:hyperlink>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49</w:t>
              </w:r>
            </w:hyperlink>
          </w:p>
        </w:tc>
      </w:tr>
      <w:tr>
        <w:trPr>
          <w:trHeight w:val="20"/>
        </w:trPr>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120" w:type="dxa"/>
            <w:vAlign w:val="bottom"/>
            <w:gridSpan w:val="1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FF"/>
                <w:w w:val="92"/>
              </w:rPr>
            </w:pPr>
            <w:hyperlink w:anchor="page49">
              <w:r>
                <w:rPr>
                  <w:rFonts w:ascii="Arial" w:cs="Arial" w:eastAsia="Arial" w:hAnsi="Arial"/>
                  <w:sz w:val="18"/>
                  <w:szCs w:val="18"/>
                  <w:color w:val="0000FF"/>
                  <w:w w:val="92"/>
                </w:rPr>
                <w:t>Index to Exhibits</w:t>
              </w:r>
            </w:hyperlink>
          </w:p>
        </w:tc>
        <w:tc>
          <w:tcPr>
            <w:tcW w:w="9120" w:type="dxa"/>
            <w:vAlign w:val="bottom"/>
            <w:gridSpan w:val="1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50</w:t>
              </w:r>
            </w:hyperlink>
          </w:p>
        </w:tc>
      </w:tr>
      <w:tr>
        <w:trPr>
          <w:trHeight w:val="507"/>
        </w:trPr>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gridSpan w:val="2"/>
          </w:tcPr>
          <w:p>
            <w:pPr>
              <w:spacing w:after="0"/>
              <w:rPr>
                <w:sz w:val="24"/>
                <w:szCs w:val="24"/>
                <w:color w:val="auto"/>
              </w:rPr>
            </w:pPr>
          </w:p>
        </w:tc>
        <w:tc>
          <w:tcPr>
            <w:tcW w:w="6140" w:type="dxa"/>
            <w:vAlign w:val="bottom"/>
            <w:gridSpan w:val="11"/>
          </w:tcPr>
          <w:p>
            <w:pPr>
              <w:jc w:val="right"/>
              <w:ind w:right="1660"/>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common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3"/>
                <w:szCs w:val="13"/>
                <w:color w:val="auto"/>
              </w:rPr>
            </w:pPr>
          </w:p>
        </w:tc>
        <w:tc>
          <w:tcPr>
            <w:tcW w:w="13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3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3"/>
                <w:szCs w:val="13"/>
                <w:color w:val="auto"/>
              </w:rPr>
            </w:pPr>
          </w:p>
        </w:tc>
        <w:tc>
          <w:tcPr>
            <w:tcW w:w="1240" w:type="dxa"/>
            <w:vAlign w:val="bottom"/>
          </w:tcPr>
          <w:p>
            <w:pPr>
              <w:jc w:val="right"/>
              <w:ind w:right="271"/>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640.8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708.5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815.5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882.5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sales—product registration and recall matters</w:t>
            </w:r>
          </w:p>
        </w:tc>
        <w:tc>
          <w:tcPr>
            <w:tcW w:w="2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9"/>
              </w:rPr>
              <w:t>Income from continuing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income per common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8"/>
              </w:rPr>
              <w:t>Weighted-average common shares outstanding during the period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income per common share:</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Diluted income per common share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1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1"/>
              </w:rPr>
              <w:t>Weighted-average common shares outstanding during the period plus</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potential common shares</w:t>
            </w:r>
          </w:p>
        </w:tc>
        <w:tc>
          <w:tcPr>
            <w:tcW w:w="2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Dividends declared per common share</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0.325</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0.300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0.650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0.600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30,</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30,</w:t>
            </w:r>
          </w:p>
        </w:tc>
        <w:tc>
          <w:tcPr>
            <w:tcW w:w="200" w:type="dxa"/>
            <w:vAlign w:val="bottom"/>
          </w:tcPr>
          <w:p>
            <w:pPr>
              <w:spacing w:after="0"/>
              <w:rPr>
                <w:sz w:val="13"/>
                <w:szCs w:val="13"/>
                <w:color w:val="auto"/>
              </w:rPr>
            </w:pPr>
          </w:p>
        </w:tc>
        <w:tc>
          <w:tcPr>
            <w:tcW w:w="116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2.3</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3"/>
                <w:szCs w:val="13"/>
                <w:color w:val="auto"/>
              </w:rPr>
            </w:pPr>
          </w:p>
        </w:tc>
        <w:tc>
          <w:tcPr>
            <w:tcW w:w="1240" w:type="dxa"/>
            <w:vAlign w:val="bottom"/>
          </w:tcPr>
          <w:p>
            <w:pPr>
              <w:jc w:val="right"/>
              <w:ind w:right="271"/>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53.3</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5.3</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25.4</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Loss on sale of long-lived assets</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assets and liabilities, net of acquired businesses: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(807.4)</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Prepaid and other assets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201.2</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132.6</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Restructuring reserves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Other non-current items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r>
      <w:tr>
        <w:trPr>
          <w:trHeight w:val="237"/>
        </w:trPr>
        <w:tc>
          <w:tcPr>
            <w:tcW w:w="8340" w:type="dxa"/>
            <w:vAlign w:val="bottom"/>
          </w:tcPr>
          <w:p>
            <w:pPr>
              <w:ind w:left="146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(620.4)</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8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acquired business, net of cash acquired</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14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8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1,705.6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(1,032.4)</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seller notes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 arrangements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4.8</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r>
      <w:tr>
        <w:trPr>
          <w:trHeight w:val="237"/>
        </w:trPr>
        <w:tc>
          <w:tcPr>
            <w:tcW w:w="8340" w:type="dxa"/>
            <w:vAlign w:val="bottom"/>
          </w:tcPr>
          <w:p>
            <w:pPr>
              <w:ind w:left="146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555.9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635.7</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122.4</w:t>
            </w:r>
          </w:p>
        </w:tc>
      </w:tr>
      <w:tr>
        <w:trPr>
          <w:trHeight w:val="67"/>
        </w:trPr>
        <w:tc>
          <w:tcPr>
            <w:tcW w:w="83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78"/>
        </w:trPr>
        <w:tc>
          <w:tcPr>
            <w:tcW w:w="8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paid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taxes refunded (paid)</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MARCH 30,</w:t>
            </w:r>
          </w:p>
        </w:tc>
        <w:tc>
          <w:tcPr>
            <w:tcW w:w="2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420" w:type="dxa"/>
            <w:vAlign w:val="bottom"/>
          </w:tcPr>
          <w:p>
            <w:pPr>
              <w:jc w:val="right"/>
              <w:ind w:right="171"/>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r>
      <w:tr>
        <w:trPr>
          <w:trHeight w:val="250"/>
        </w:trPr>
        <w:tc>
          <w:tcPr>
            <w:tcW w:w="6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21"/>
                <w:szCs w:val="21"/>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w w:val="99"/>
              </w:rPr>
              <w:t>Accounts receivable, less allowances of $13.3, $9.8 and $10.5, respectively</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713.9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899.0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330.9</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613.0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601.6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414.9</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122.3</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1,836.7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2,026.6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1,000.0</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Property, plant and equipment, net of accumulated depreciation of $565.9, $534.4 and</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$542.6,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314.5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309.4</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30.5</w:t>
            </w:r>
          </w:p>
        </w:tc>
      </w:tr>
      <w:tr>
        <w:trPr>
          <w:trHeight w:val="27"/>
        </w:trPr>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50"/>
        </w:trPr>
        <w:tc>
          <w:tcPr>
            <w:tcW w:w="8120" w:type="dxa"/>
            <w:vAlign w:val="bottom"/>
            <w:tcBorders>
              <w:bottom w:val="single" w:sz="8" w:color="CCEEFF"/>
            </w:tcBorders>
            <w:gridSpan w:val="4"/>
            <w:shd w:val="clear" w:color="auto" w:fill="CCEEFF"/>
          </w:tcPr>
          <w:p>
            <w:pPr>
              <w:ind w:left="376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327.5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152.3</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279.8</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888.2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433.6</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257.8</w:t>
            </w:r>
          </w:p>
        </w:tc>
      </w:tr>
      <w:tr>
        <w:trPr>
          <w:trHeight w:val="27"/>
        </w:trPr>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Commitments and contingencies (note 11)</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9"/>
        </w:trPr>
        <w:tc>
          <w:tcPr>
            <w:tcW w:w="6400" w:type="dxa"/>
            <w:vAlign w:val="bottom"/>
          </w:tcPr>
          <w:p>
            <w:pPr>
              <w:ind w:left="340"/>
              <w:spacing w:after="0"/>
              <w:rPr>
                <w:sz w:val="20"/>
                <w:szCs w:val="20"/>
                <w:color w:val="auto"/>
              </w:rPr>
            </w:pPr>
            <w:r>
              <w:rPr>
                <w:rFonts w:ascii="Arial" w:cs="Arial" w:eastAsia="Arial" w:hAnsi="Arial"/>
                <w:sz w:val="18"/>
                <w:szCs w:val="18"/>
                <w:color w:val="auto"/>
                <w:w w:val="89"/>
              </w:rPr>
              <w:t>Common shares and capital in excess of $.01 stated value per share, 61.7, 61.1 and</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6400" w:type="dxa"/>
            <w:vAlign w:val="bottom"/>
          </w:tcPr>
          <w:p>
            <w:pPr>
              <w:ind w:left="340"/>
              <w:spacing w:after="0"/>
              <w:rPr>
                <w:sz w:val="20"/>
                <w:szCs w:val="20"/>
                <w:color w:val="auto"/>
              </w:rPr>
            </w:pPr>
            <w:r>
              <w:rPr>
                <w:rFonts w:ascii="Arial" w:cs="Arial" w:eastAsia="Arial" w:hAnsi="Arial"/>
                <w:sz w:val="18"/>
                <w:szCs w:val="18"/>
                <w:color w:val="auto"/>
              </w:rPr>
              <w:t>61.3 shares issued and outstanding, respectively</w:t>
            </w:r>
          </w:p>
        </w:tc>
        <w:tc>
          <w:tcPr>
            <w:tcW w:w="220" w:type="dxa"/>
            <w:vAlign w:val="bottom"/>
          </w:tcPr>
          <w:p>
            <w:pPr>
              <w:spacing w:after="0"/>
              <w:rPr>
                <w:sz w:val="20"/>
                <w:szCs w:val="20"/>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402.7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412.5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408.6</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630.2</w:t>
            </w: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Treasury shares, at cost: 6.5, 7.1 and 6.8 shares, respectively</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(349.6)</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606.9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589.7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601.9</w:t>
            </w:r>
          </w:p>
        </w:tc>
      </w:tr>
      <w:tr>
        <w:trPr>
          <w:trHeight w:val="27"/>
        </w:trPr>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44"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6"/>
          <w:szCs w:val="16"/>
          <w:color w:val="auto"/>
        </w:rPr>
        <w:t>The Scotts Miracle-Gro Company (“Scotts Miracle-Gro”) and its subsidiaries (collectively, together with Scotts Miracle-Gro, the “Company”) are engaged in the manufacturing, marketing and sale of consumer branded products for lawn and garden care. The Company’s primary customers include home centers, mass merchandisers, warehouse clubs, large hardware chains, independent hardware stores, nurseries, garden centers and food and drug stores. The Company’s products are sold primarily in North America and the European Union. The Company also operates 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which provides residential and commercial lawn care, tree and shrub care and limited pest control services in the 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unaudited condensed consolidated financial statements for the three and six months ended March 30, 2013 and March 31, 2012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In the opinion of management, interim results reflect all normal and recurring adjustments and are not necessarily indicative of results for a full year.</w:t>
      </w:r>
    </w:p>
    <w:p>
      <w:pPr>
        <w:spacing w:after="0" w:line="1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or condensed pursuant to the rules and regulations of the Securities and Exchange Commission (“SEC”). Accordingly, this report should be read in conjunction with Scotts Miracle-Gro’s Annual Report on Form 10-K for the fiscal year ended September 30, 2012, which includes a complete set of footnote disclosures, including the Company’s significant accounting policies.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4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amounts reported and related disclosures. Although these estimates are based on management’s best knowledge of current events and actions the Company may undertake in the future, actual results ultimately may differ from the estimates.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Comprehensive Income</w:t>
      </w:r>
    </w:p>
    <w:p>
      <w:pPr>
        <w:spacing w:after="0" w:line="14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June 2011, the FASB issued amended accounting guidance on the presentation of comprehensive income. The amended guidance requires that all non-owner changes in stockholders’ equity be presented either in a single continuous statement of comprehensive income or in two separate but consecutive statements. The provisions were effective for the Company’s financial statements for the fiscal year beginning October 1, 2012 and the Company elected to present net income and other comprehensive income in two separate but consecutive statements. The adoption of the amended guidance did not have a significant impact on the Company's financial statements and related disclosures.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Balance Sheet Offsetting</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December 2011, the FASB issued an amendment to accounting guidance on the presentation of offsetting of derivatives, and financial assets and liabilities. The amended guidance requires quantitative disclosures regarding the gross amounts and their location within the statement of financial position. The provisions are effective for the Company's financial statements for the fiscal year beginning October 1, 2013. The adoption of the amended guidance will not have a significant impact on the Company's financial statements and related disclosures.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Reporting of Amounts Reclassified Out of Accumulated Other Comprehensive Income</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February 2013, the FASB issued an amendment to accounting guidance on the reporting of amounts reclassified out of accumulated other comprehensive income. The amended guidance requires presentation of reclassification adjustments from each component of accumulated other comprehensive income either in a single note or parenthetically on the face of the financial statements, for those amounts required to be reclassified into net income in their entirety in the same reporting period. For amounts that are not required to be reclassified in their entirety in the same reporting period, cross-reference to other disclosures is required. The provisions are effective for the Company's financial statements for the fiscal year beginning October 1, 2013. The adoption of the amended guidance will not have a significant impact on the Company's financial statements and related disclosures.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fourth quarter of fiscal year 2012, the Company completed the wind down of the Company's professional seed business. As a result, effective in its fourth quarter of fiscal 2012, the Company classified its results of operations for all periods presented to reflect the professional seed business as a discontinued operation.</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results of the professional seed business within discontinued operations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5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30, 2013</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31, 2012</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30, 2013</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4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20" w:type="dxa"/>
            <w:vAlign w:val="bottom"/>
            <w:gridSpan w:val="5"/>
          </w:tcPr>
          <w:p>
            <w:pPr>
              <w:ind w:left="11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6"/>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Operating costs</w:t>
            </w:r>
          </w:p>
        </w:tc>
        <w:tc>
          <w:tcPr>
            <w:tcW w:w="20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15.0</w:t>
            </w: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 charges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4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9"/>
        </w:trPr>
        <w:tc>
          <w:tcPr>
            <w:tcW w:w="4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before</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7"/>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w w:val="96"/>
              </w:rPr>
              <w:t>Income tax expense (benefit) from discontinued operations</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94"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8"/>
          <w:szCs w:val="18"/>
          <w:color w:val="auto"/>
        </w:rPr>
        <w:t>During the first quarter of fiscal 2013,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completed the acquisition of two franchisee businesses that individually and in the aggregate were not significant. The aggregate purchase price of these acquisitions was $7.2 million. The condensed consolidated financial statements include the results of operations from these business combinations from the date of each acquisition.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RESTRUCTURING AND OTHER</w:t>
      </w:r>
    </w:p>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and "Impairment, restructuring and other" lines in the Condensed Consolidated Statement of Operations.</w:t>
      </w:r>
    </w:p>
    <w:p>
      <w:pPr>
        <w:spacing w:after="0" w:line="89"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During the first quarter of fiscal 2013, the Company recognized income of $4.7 million related to the reimbursement by a vendor of a portion of the costs incurred for the development and commercialization of products including the active ingredient MAT 28 for the Global Consumer segment. During the second quarter of fiscal 2012, the Company recorded an impairment charge of $5.3 million to fully impair assets associated with the active ingredient MAT</w:t>
      </w:r>
    </w:p>
    <w:p>
      <w:pPr>
        <w:jc w:val="both"/>
        <w:ind w:firstLine="8"/>
        <w:spacing w:after="0" w:line="254" w:lineRule="auto"/>
        <w:tabs>
          <w:tab w:leader="none" w:pos="276"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first quarter of 2013, the Company also recognized a $4.3 million asset impairment charge as a result of issues with the commercialization of an insect repellent technology for the Global Consumer segment. In addition, for the three months ended March 30, 2013, the Company recognized $0.2 million in restructuring costs related to termination benefits provided to international employees in relation to the profitability improvement initiative announced in December 2012.</w:t>
      </w:r>
    </w:p>
    <w:p>
      <w:pPr>
        <w:spacing w:after="0" w:line="10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six months ended March 31, 2012, in continuation of the 2011 restructuring plan, the Company incurred an additional $1.9 million in restructuring costs related to termination benefits provided to employees who accepted voluntary retirement and special termination benefits provided to certain employees upon future separation as well as $0.2 million related to curtailment charges for its U.S. defined benefit pension and U.S retiree medical plans.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activity related to liabilities associated with the restructuring and other charges during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30, 2013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reserved for restructuring and other charges at September 30, 2012</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Restructuring and other charges</w:t>
            </w:r>
          </w:p>
        </w:tc>
        <w:tc>
          <w:tcPr>
            <w:tcW w:w="7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9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and other</w:t>
            </w: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9600" w:type="dxa"/>
            <w:vAlign w:val="bottom"/>
          </w:tcPr>
          <w:p>
            <w:pPr>
              <w:ind w:left="40"/>
              <w:spacing w:after="0"/>
              <w:rPr>
                <w:sz w:val="20"/>
                <w:szCs w:val="20"/>
                <w:color w:val="auto"/>
              </w:rPr>
            </w:pPr>
            <w:r>
              <w:rPr>
                <w:rFonts w:ascii="Arial" w:cs="Arial" w:eastAsia="Arial" w:hAnsi="Arial"/>
                <w:sz w:val="18"/>
                <w:szCs w:val="18"/>
                <w:color w:val="auto"/>
              </w:rPr>
              <w:t>Amounts reserved for restructuring and other charges at March 30, 2013</w:t>
            </w: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96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9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 portion of the amounts reserved as of March 30, 2013 will be paid out over the course of fiscal 2013. Included in the restructuring reserves is $3.8 million that is classified as long-term. Payments against the long-term reserves will be incurred as the employees covered by the 2011 restructuring plan retire.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420" w:type="dxa"/>
            <w:vAlign w:val="bottom"/>
          </w:tcPr>
          <w:p>
            <w:pPr>
              <w:jc w:val="right"/>
              <w:ind w:right="17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2012</w:t>
            </w:r>
          </w:p>
        </w:tc>
      </w:tr>
      <w:tr>
        <w:trPr>
          <w:trHeight w:val="250"/>
        </w:trPr>
        <w:tc>
          <w:tcPr>
            <w:tcW w:w="6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224.6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48.3</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142.0</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613.0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601.6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414.9</w:t>
            </w:r>
          </w:p>
        </w:tc>
      </w:tr>
      <w:tr>
        <w:trPr>
          <w:trHeight w:val="27"/>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Adjustments to reflect inventories at net realizeable values were $18.5 million at March 30, 2013, $26.5 million at March 31, 2012 and $21.0 million at September 30, 2012.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MARKETING AGREEMENT</w:t>
      </w:r>
    </w:p>
    <w:p>
      <w:pPr>
        <w:spacing w:after="0" w:line="148"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6"/>
          <w:szCs w:val="16"/>
          <w:color w:val="auto"/>
        </w:rPr>
        <w:t>The Company is Monsanto’s exclusive agent for the marketing and distribution of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herbicide products (with additional rights to new products containing glyphosate or other similar non-selective herbicides) in the consumer lawn and garden market within the United States and other specified countries, including Australia, Austria, Belgium, Canada, France, Germany, the Netherlands and the United Kingdom. Under the terms of the Marketing Agreement, the Company is entitled to receive an annual commission from Monsanto as consideration for the performance of the Company’s duties as agent. The annual gross commission under the Marketing Agreement is calculated as a percentage of the actual earnings before interest and income taxes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in the markets covered by the Marketing Agreement and is based on the achievement of two earnings thresholds, as defined in the Marketing Agreement. The Marketing Agreement also requires the Company to make annual payments to Monsanto as a contribution against the overall expenses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annual contribution payment is defined in the Marketing Agreement as $20 million.</w:t>
      </w:r>
    </w:p>
    <w:p>
      <w:pPr>
        <w:spacing w:after="0" w:line="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$32 million to Monsanto. The Company has deferred this amount on the basis that the payment will provide a future benefit through commissions that will be earned under the Marketing Agreement. The economic useful life over which the marketing fee is being amortized is 20 years, with a remaining amortization period of less than six years as of March 30, 2013.</w:t>
      </w:r>
    </w:p>
    <w:p>
      <w:pPr>
        <w:spacing w:after="0" w:line="106"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distribution and logistics, and selling and marketing support, on behalf of Monsanto in the conduct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“Cost of sales” and the reimbursement of these costs in “Net sales,” with no effect on gross profit dollars or net income.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gross commission earned under the Marketing Agreement, the contribution payments to Monsanto and the amortization of the initial marketing fee paid to Monsanto are included in the calculation of net sales in the Company’s Consolidated Statements of Operations. The elements of the net commission and reimbursements earned under the Marketing Agreement and included in “Net sales”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3"/>
                <w:szCs w:val="13"/>
                <w:color w:val="auto"/>
              </w:rPr>
            </w:pPr>
          </w:p>
        </w:tc>
        <w:tc>
          <w:tcPr>
            <w:tcW w:w="13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3"/>
                <w:szCs w:val="13"/>
                <w:color w:val="auto"/>
              </w:rPr>
            </w:pPr>
          </w:p>
        </w:tc>
        <w:tc>
          <w:tcPr>
            <w:tcW w:w="12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3"/>
                <w:szCs w:val="13"/>
                <w:color w:val="auto"/>
              </w:rPr>
            </w:pPr>
          </w:p>
        </w:tc>
        <w:tc>
          <w:tcPr>
            <w:tcW w:w="124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Contribution expenses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marketing fee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Net commission income</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23.0</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Reimbursements associated with Marketing Agreement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net sales associated with Marketing Agreement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64.2</w:t>
            </w: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Marketing Agreement has no definite term except as it relates to the European Union countries (the “EU term”). The EU term extends through September 30, 2013, with an automatic renewal period of two years, subject to non-renewal only upon the occurrence of certain performance defaults. Thereafter, the Marketing Agreement provides that the parties may agree to renew the EU term for an additional three years.</w:t>
      </w:r>
    </w:p>
    <w:p>
      <w:pPr>
        <w:spacing w:after="0" w:line="8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6"/>
          <w:szCs w:val="16"/>
          <w:color w:val="auto"/>
        </w:rPr>
        <w:t>The Marketing Agreement provides Monsanto with the right to terminate the Marketing Agreement upon an event of default (as defined in the Marketing Agreement) by the Company, a change in control of Monsanto or the sale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exceeding a certain threshold, but in no event will the termination fee be less than $16 million. If Monsanto were to terminate the Marketing Agreement for cause, the Company would not be entitled to any termination fee. Monsanto may also be able to terminate the Marketing Agreement within a given region, including North America, without paying a termination fee if unit volume sales to consumers in that region decline: (1) over a cumulative three-fiscal-year period; or (2) by more than 5% for each of two consecutive years. If the Marketing Agreement was terminated for any reason, the Company would also lose all, or a substantial portion, of the significant source of earnings and overhead expense absorption the Marketing Agreement provides.</w:t>
      </w:r>
    </w:p>
    <w:p>
      <w:pPr>
        <w:spacing w:after="0" w:line="113" w:lineRule="exact"/>
        <w:rPr>
          <w:sz w:val="20"/>
          <w:szCs w:val="20"/>
          <w:color w:val="auto"/>
        </w:rPr>
      </w:pPr>
    </w:p>
    <w:p>
      <w:pPr>
        <w:jc w:val="both"/>
        <w:ind w:firstLine="432"/>
        <w:spacing w:after="0" w:line="227" w:lineRule="auto"/>
        <w:rPr>
          <w:sz w:val="20"/>
          <w:szCs w:val="20"/>
          <w:color w:val="auto"/>
        </w:rPr>
      </w:pPr>
      <w:r>
        <w:rPr>
          <w:rFonts w:ascii="Arial" w:cs="Arial" w:eastAsia="Arial" w:hAnsi="Arial"/>
          <w:sz w:val="18"/>
          <w:szCs w:val="18"/>
          <w:color w:val="auto"/>
        </w:rPr>
        <w:t>Under the Marketing Agreement, Monsanto must provide the Company with notice of any proposed sale of the consumer Roundup business, allow the Company to participate in the sale process and negotiate in good faith with the Company with respect to any such proposed sale. In the event the Company acquires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in such a sale, the Company would receive as a credit against the purchase price the amount of the termination fee that would have been paid to the Company if Monsanto had exercised its right to terminate the Marketing Agreement in connection with a sale to another party. If Monsanto decides to sell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to another party, the Company must let Monsanto know whether the Company intends to terminate the Marketing Agreement and forfeit any right to a termination fee or whether it will agree to continue to perform under the Marketing Agreement on behalf of the purchaser.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long-term debt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30,</w:t>
            </w:r>
          </w:p>
        </w:tc>
        <w:tc>
          <w:tcPr>
            <w:tcW w:w="320" w:type="dxa"/>
            <w:vAlign w:val="bottom"/>
          </w:tcPr>
          <w:p>
            <w:pPr>
              <w:spacing w:after="0"/>
              <w:rPr>
                <w:sz w:val="14"/>
                <w:szCs w:val="14"/>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600" w:type="dxa"/>
            <w:vAlign w:val="bottom"/>
          </w:tcPr>
          <w:p>
            <w:pPr>
              <w:jc w:val="right"/>
              <w:ind w:right="294"/>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39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2012</w:t>
            </w:r>
          </w:p>
        </w:tc>
      </w:tr>
      <w:tr>
        <w:trPr>
          <w:trHeight w:val="250"/>
        </w:trPr>
        <w:tc>
          <w:tcPr>
            <w:tcW w:w="39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2"/>
          </w:tcPr>
          <w:p>
            <w:pPr>
              <w:ind w:left="2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 – revolving loans</w:t>
            </w:r>
          </w:p>
        </w:tc>
        <w:tc>
          <w:tcPr>
            <w:tcW w:w="20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377.1</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Senior Notes – 7.25%</w:t>
            </w:r>
          </w:p>
        </w:tc>
        <w:tc>
          <w:tcPr>
            <w:tcW w:w="1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200.0</w:t>
            </w:r>
          </w:p>
        </w:tc>
      </w:tr>
      <w:tr>
        <w:trPr>
          <w:trHeight w:val="27"/>
        </w:trPr>
        <w:tc>
          <w:tcPr>
            <w:tcW w:w="39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6.625%</w:t>
            </w:r>
          </w:p>
        </w:tc>
        <w:tc>
          <w:tcPr>
            <w:tcW w:w="1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MARP Agreement</w:t>
            </w:r>
          </w:p>
        </w:tc>
        <w:tc>
          <w:tcPr>
            <w:tcW w:w="1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222.5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9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r>
      <w:tr>
        <w:trPr>
          <w:trHeight w:val="237"/>
        </w:trPr>
        <w:tc>
          <w:tcPr>
            <w:tcW w:w="39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1,371.0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1,469.0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782.6</w:t>
            </w:r>
          </w:p>
        </w:tc>
      </w:tr>
      <w:tr>
        <w:trPr>
          <w:trHeight w:val="27"/>
        </w:trPr>
        <w:tc>
          <w:tcPr>
            <w:tcW w:w="39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portions</w:t>
            </w:r>
          </w:p>
        </w:tc>
        <w:tc>
          <w:tcPr>
            <w:tcW w:w="17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227.8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r>
      <w:tr>
        <w:trPr>
          <w:trHeight w:val="237"/>
        </w:trPr>
        <w:tc>
          <w:tcPr>
            <w:tcW w:w="398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17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1,163.0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1,241.2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781.1</w:t>
            </w:r>
          </w:p>
        </w:tc>
      </w:tr>
      <w:tr>
        <w:trPr>
          <w:trHeight w:val="27"/>
        </w:trPr>
        <w:tc>
          <w:tcPr>
            <w:tcW w:w="39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3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440"/>
        </w:trPr>
        <w:tc>
          <w:tcPr>
            <w:tcW w:w="3980" w:type="dxa"/>
            <w:vAlign w:val="bottom"/>
          </w:tcPr>
          <w:p>
            <w:pPr>
              <w:spacing w:after="0"/>
              <w:rPr>
                <w:sz w:val="24"/>
                <w:szCs w:val="24"/>
                <w:color w:val="auto"/>
              </w:rPr>
            </w:pPr>
          </w:p>
        </w:tc>
        <w:tc>
          <w:tcPr>
            <w:tcW w:w="2060" w:type="dxa"/>
            <w:vAlign w:val="bottom"/>
            <w:gridSpan w:val="2"/>
          </w:tcPr>
          <w:p>
            <w:pPr>
              <w:jc w:val="right"/>
              <w:ind w:right="150"/>
              <w:spacing w:after="0"/>
              <w:rPr>
                <w:sz w:val="20"/>
                <w:szCs w:val="20"/>
                <w:color w:val="auto"/>
              </w:rPr>
            </w:pPr>
            <w:r>
              <w:rPr>
                <w:rFonts w:ascii="Arial" w:cs="Arial" w:eastAsia="Arial" w:hAnsi="Arial"/>
                <w:sz w:val="18"/>
                <w:szCs w:val="18"/>
                <w:color w:val="auto"/>
              </w:rPr>
              <w:t>10</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30, 2013, there was $918.8 million of availability under the Company’s senior secured credit facility, including availability under letters of credit. Under the credit facility, the Company has the ability to issue letter of credit commitments up to $75 million. At March 30, 2013, the Company had letters of credit in the aggregate face amount of $23.7 million outstanding.</w:t>
      </w:r>
    </w:p>
    <w:p>
      <w:pPr>
        <w:spacing w:after="0" w:line="10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Company was in compliance with the terms of all debt covenants at March 30, 2013. The credit facility contains, among other obligations, an affirmative covenant regarding the Company’s leverage ratio, calculated as average total indebtedness, as described in the Company’s credit facility, relative to the Company’s earnings before interest, taxes, depreciation and amortization ("EBITDA"), as adjusted pursuant to the terms of the credit facility (“Adjusted EBITDA”). Under the terms of the credit facility, the maximum leverage ratio was 3.50 as of March 30, 2013. The Company’s leverage ratio was 3.24 at March 30, 2013. The Company’s credit facility also includes an affirmative covenant regarding its interest coverage ratio. Interest coverage ratio is calculated as Adjusted EBITDA divided by interest expense, as described in the credit facility, and excludes costs related to refinancings. Under the terms of the credit facility, the minimum interest coverage ratio was 3.50 for the twelve months ended March 30, 2013. The Company’s interest coverage ratio was 4.45 for the twelve months ended March 30, 2013.</w:t>
      </w:r>
    </w:p>
    <w:p>
      <w:pPr>
        <w:spacing w:after="0" w:line="98"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 accounts for the sale of receivables under the Master Accounts Receivable Purchase Agreement ("2012 MARP Agreement") as short-term debt and continues to carry the receivables on its Consolidated Balance Sheet, primarily as a result of the Company’s right to repurchase receivables sold. Refer to "NOTE 11. DEBT" in the Company's Form 10-K for the year ended September 30, 2012 for more information regarding the 2012 MARP Agreement. There were $202.1 million in borrowings under the MARP Agreements as of March 30, 2013 and $222.5 million as of March 31, 2012.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description of the methods and assumptions used to estimate the fair values of the Company’s debt instruments is as follows:</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44"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interest rate currently available to the Company fluctuates with the applicable LIBOR rate, prime rate or Federal Funds Effective Rate and thus the carrying value is a reasonable estimate of fair value. The fair value measurement for the credit facility was classified in Level 2 of the fair value hierarchy.</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7.25% Senior Notes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Scotts Miracle-Gro’s 7.25% Senior Notes due 2018 (the “7.25% Senior Notes”) can be determined based on the trading of the 7.25% Senior Notes in the open market. The difference between the carrying value and the fair value of the 7.25% Senior Notes represents the premium or discount on that date. Based on the trading value on or around March 30, 2013, March 31, 2012 and September 30, 2012, the fair value of the 7.25% Senior Notes was approximately $214.0 million, $216.0 million and $212.0 million, respectively. The fair value measurement for the 7.25% Senior Notes was classified in Level 1 of the fair value hierarchy.</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Scotts Miracle-Gro’s 6.625% Senior Notes due 2020 (the “6.625% Senior Notes”) can be determined based on the trading of the 6.625% Senior Notes in the open market. The difference between the carrying value and the fair value of the 6.625% Senior Notes represents the premium or discount on that date. Based on the trading value on or around March 30, 2013, March 31, 2012 and September 30, 2012, the fair value of the 6.625% Senior Notes was approximately $219.1 million, $212.0 million and $217.5 million, respectively. The fair value measurement for the 6.625% Senior Notes was classified in Level 1 of the fair value hierarchy.</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Swap Agreements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At March 30, 2013, March 31, 2012 and September 30, 2012, the Company had outstanding interest rate swap agreements with major financial institutions that effectively converted a portion of the Company’s variable-rate debt to a fixed rate. The swap agreements had a total U.S. dollar equivalent notional amount of $1,100 million, $700 million and $700.0 million at March 30, 2013, March 31, 2012 and September 30, 2012, respectively. Interest payments made between the effective date and expiration date are hedged by the swap agreements, except as noted below. The notional amount, effective date, expiration date and rate of each of these swap agreements are shown in the table below.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3"/>
              </w:rPr>
              <w:t>Notional Amount</w:t>
            </w:r>
          </w:p>
        </w:tc>
        <w:tc>
          <w:tcPr>
            <w:tcW w:w="360" w:type="dxa"/>
            <w:vAlign w:val="bottom"/>
          </w:tcPr>
          <w:p>
            <w:pPr>
              <w:spacing w:after="0"/>
              <w:rPr>
                <w:sz w:val="14"/>
                <w:szCs w:val="14"/>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Effective</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Expiration</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Fixed</w:t>
            </w:r>
          </w:p>
        </w:tc>
      </w:tr>
      <w:tr>
        <w:trPr>
          <w:trHeight w:val="192"/>
        </w:trPr>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6"/>
                <w:szCs w:val="16"/>
                <w:color w:val="auto"/>
              </w:rPr>
            </w:pPr>
          </w:p>
        </w:tc>
        <w:tc>
          <w:tcPr>
            <w:tcW w:w="2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Date (a)</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Rate</w:t>
            </w:r>
          </w:p>
        </w:tc>
      </w:tr>
      <w:tr>
        <w:trPr>
          <w:trHeight w:val="250"/>
        </w:trPr>
        <w:tc>
          <w:tcPr>
            <w:tcW w:w="26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7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2/14/2012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2/14/2016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3.78%</w:t>
            </w:r>
          </w:p>
        </w:tc>
      </w:tr>
      <w:tr>
        <w:trPr>
          <w:trHeight w:val="243"/>
        </w:trPr>
        <w:tc>
          <w:tcPr>
            <w:tcW w:w="2640" w:type="dxa"/>
            <w:vAlign w:val="bottom"/>
          </w:tcPr>
          <w:p>
            <w:pPr>
              <w:jc w:val="center"/>
              <w:spacing w:after="0"/>
              <w:rPr>
                <w:sz w:val="20"/>
                <w:szCs w:val="20"/>
                <w:color w:val="auto"/>
              </w:rPr>
            </w:pPr>
            <w:r>
              <w:rPr>
                <w:rFonts w:ascii="Arial" w:cs="Arial" w:eastAsia="Arial" w:hAnsi="Arial"/>
                <w:sz w:val="18"/>
                <w:szCs w:val="18"/>
                <w:color w:val="auto"/>
                <w:w w:val="93"/>
              </w:rPr>
              <w:t>150</w:t>
            </w:r>
          </w:p>
        </w:tc>
        <w:tc>
          <w:tcPr>
            <w:tcW w:w="360" w:type="dxa"/>
            <w:vAlign w:val="bottom"/>
          </w:tcPr>
          <w:p>
            <w:pPr>
              <w:ind w:left="80"/>
              <w:spacing w:after="0"/>
              <w:rPr>
                <w:sz w:val="20"/>
                <w:szCs w:val="20"/>
                <w:color w:val="auto"/>
              </w:rPr>
            </w:pPr>
            <w:r>
              <w:rPr>
                <w:rFonts w:ascii="Arial" w:cs="Arial" w:eastAsia="Arial" w:hAnsi="Arial"/>
                <w:sz w:val="13"/>
                <w:szCs w:val="13"/>
                <w:color w:val="auto"/>
              </w:rPr>
              <w:t>(b)</w:t>
            </w:r>
          </w:p>
        </w:tc>
        <w:tc>
          <w:tcPr>
            <w:tcW w:w="2740" w:type="dxa"/>
            <w:vAlign w:val="bottom"/>
          </w:tcPr>
          <w:p>
            <w:pPr>
              <w:jc w:val="center"/>
              <w:spacing w:after="0"/>
              <w:rPr>
                <w:sz w:val="20"/>
                <w:szCs w:val="20"/>
                <w:color w:val="auto"/>
              </w:rPr>
            </w:pPr>
            <w:r>
              <w:rPr>
                <w:rFonts w:ascii="Arial" w:cs="Arial" w:eastAsia="Arial" w:hAnsi="Arial"/>
                <w:sz w:val="18"/>
                <w:szCs w:val="18"/>
                <w:color w:val="auto"/>
                <w:w w:val="91"/>
              </w:rPr>
              <w:t>2/7/2012</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5/7/2016</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2.42%</w:t>
            </w:r>
          </w:p>
        </w:tc>
      </w:tr>
      <w:tr>
        <w:trPr>
          <w:trHeight w:val="27"/>
        </w:trPr>
        <w:tc>
          <w:tcPr>
            <w:tcW w:w="2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150</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(c)</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11/16/2009</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5/16/2016</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3.26%</w:t>
            </w:r>
          </w:p>
        </w:tc>
      </w:tr>
      <w:tr>
        <w:trPr>
          <w:trHeight w:val="243"/>
        </w:trPr>
        <w:tc>
          <w:tcPr>
            <w:tcW w:w="26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360" w:type="dxa"/>
            <w:vAlign w:val="bottom"/>
          </w:tcPr>
          <w:p>
            <w:pPr>
              <w:ind w:left="80"/>
              <w:spacing w:after="0"/>
              <w:rPr>
                <w:sz w:val="20"/>
                <w:szCs w:val="20"/>
                <w:color w:val="auto"/>
              </w:rPr>
            </w:pPr>
            <w:r>
              <w:rPr>
                <w:rFonts w:ascii="Arial" w:cs="Arial" w:eastAsia="Arial" w:hAnsi="Arial"/>
                <w:sz w:val="13"/>
                <w:szCs w:val="13"/>
                <w:color w:val="auto"/>
              </w:rPr>
              <w:t>(b)</w:t>
            </w:r>
          </w:p>
        </w:tc>
        <w:tc>
          <w:tcPr>
            <w:tcW w:w="2740" w:type="dxa"/>
            <w:vAlign w:val="bottom"/>
          </w:tcPr>
          <w:p>
            <w:pPr>
              <w:jc w:val="center"/>
              <w:spacing w:after="0"/>
              <w:rPr>
                <w:sz w:val="20"/>
                <w:szCs w:val="20"/>
                <w:color w:val="auto"/>
              </w:rPr>
            </w:pPr>
            <w:r>
              <w:rPr>
                <w:rFonts w:ascii="Arial" w:cs="Arial" w:eastAsia="Arial" w:hAnsi="Arial"/>
                <w:sz w:val="18"/>
                <w:szCs w:val="18"/>
                <w:color w:val="auto"/>
                <w:w w:val="89"/>
              </w:rPr>
              <w:t>2/16/2010</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5/16/2016</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3.05%</w:t>
            </w:r>
          </w:p>
        </w:tc>
      </w:tr>
      <w:tr>
        <w:trPr>
          <w:trHeight w:val="27"/>
        </w:trPr>
        <w:tc>
          <w:tcPr>
            <w:tcW w:w="2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(b)</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2/21/2012</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5/23/2016</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2.40%</w:t>
            </w:r>
          </w:p>
        </w:tc>
      </w:tr>
      <w:tr>
        <w:trPr>
          <w:trHeight w:val="243"/>
        </w:trPr>
        <w:tc>
          <w:tcPr>
            <w:tcW w:w="2640" w:type="dxa"/>
            <w:vAlign w:val="bottom"/>
          </w:tcPr>
          <w:p>
            <w:pPr>
              <w:jc w:val="center"/>
              <w:spacing w:after="0"/>
              <w:rPr>
                <w:sz w:val="20"/>
                <w:szCs w:val="20"/>
                <w:color w:val="auto"/>
              </w:rPr>
            </w:pPr>
            <w:r>
              <w:rPr>
                <w:rFonts w:ascii="Arial" w:cs="Arial" w:eastAsia="Arial" w:hAnsi="Arial"/>
                <w:sz w:val="18"/>
                <w:szCs w:val="18"/>
                <w:color w:val="auto"/>
                <w:w w:val="93"/>
              </w:rPr>
              <w:t>150</w:t>
            </w:r>
          </w:p>
        </w:tc>
        <w:tc>
          <w:tcPr>
            <w:tcW w:w="360" w:type="dxa"/>
            <w:vAlign w:val="bottom"/>
          </w:tcPr>
          <w:p>
            <w:pPr>
              <w:ind w:left="80"/>
              <w:spacing w:after="0"/>
              <w:rPr>
                <w:sz w:val="20"/>
                <w:szCs w:val="20"/>
                <w:color w:val="auto"/>
              </w:rPr>
            </w:pPr>
            <w:r>
              <w:rPr>
                <w:rFonts w:ascii="Arial" w:cs="Arial" w:eastAsia="Arial" w:hAnsi="Arial"/>
                <w:sz w:val="13"/>
                <w:szCs w:val="13"/>
                <w:color w:val="auto"/>
              </w:rPr>
              <w:t>(c)</w:t>
            </w:r>
          </w:p>
        </w:tc>
        <w:tc>
          <w:tcPr>
            <w:tcW w:w="2740" w:type="dxa"/>
            <w:vAlign w:val="bottom"/>
          </w:tcPr>
          <w:p>
            <w:pPr>
              <w:jc w:val="center"/>
              <w:spacing w:after="0"/>
              <w:rPr>
                <w:sz w:val="20"/>
                <w:szCs w:val="20"/>
                <w:color w:val="auto"/>
              </w:rPr>
            </w:pPr>
            <w:r>
              <w:rPr>
                <w:rFonts w:ascii="Arial" w:cs="Arial" w:eastAsia="Arial" w:hAnsi="Arial"/>
                <w:sz w:val="18"/>
                <w:szCs w:val="18"/>
                <w:color w:val="auto"/>
                <w:w w:val="90"/>
              </w:rPr>
              <w:t>12/20/2011</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6/20/2016</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2.61%</w:t>
            </w:r>
          </w:p>
        </w:tc>
      </w:tr>
      <w:tr>
        <w:trPr>
          <w:trHeight w:val="27"/>
        </w:trPr>
        <w:tc>
          <w:tcPr>
            <w:tcW w:w="2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(d)</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12/6/2012</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9/6/2017</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2.96%</w:t>
            </w:r>
          </w:p>
        </w:tc>
      </w:tr>
      <w:tr>
        <w:trPr>
          <w:trHeight w:val="243"/>
        </w:trPr>
        <w:tc>
          <w:tcPr>
            <w:tcW w:w="2640" w:type="dxa"/>
            <w:vAlign w:val="bottom"/>
          </w:tcPr>
          <w:p>
            <w:pPr>
              <w:jc w:val="center"/>
              <w:spacing w:after="0"/>
              <w:rPr>
                <w:sz w:val="20"/>
                <w:szCs w:val="20"/>
                <w:color w:val="auto"/>
              </w:rPr>
            </w:pPr>
            <w:r>
              <w:rPr>
                <w:rFonts w:ascii="Arial" w:cs="Arial" w:eastAsia="Arial" w:hAnsi="Arial"/>
                <w:sz w:val="18"/>
                <w:szCs w:val="18"/>
                <w:color w:val="auto"/>
                <w:w w:val="93"/>
              </w:rPr>
              <w:t>150</w:t>
            </w:r>
          </w:p>
        </w:tc>
        <w:tc>
          <w:tcPr>
            <w:tcW w:w="360" w:type="dxa"/>
            <w:vAlign w:val="bottom"/>
          </w:tcPr>
          <w:p>
            <w:pPr>
              <w:ind w:left="80"/>
              <w:spacing w:after="0"/>
              <w:rPr>
                <w:sz w:val="20"/>
                <w:szCs w:val="20"/>
                <w:color w:val="auto"/>
              </w:rPr>
            </w:pPr>
            <w:r>
              <w:rPr>
                <w:rFonts w:ascii="Arial" w:cs="Arial" w:eastAsia="Arial" w:hAnsi="Arial"/>
                <w:sz w:val="13"/>
                <w:szCs w:val="13"/>
                <w:color w:val="auto"/>
              </w:rPr>
              <w:t>(b)</w:t>
            </w:r>
          </w:p>
        </w:tc>
        <w:tc>
          <w:tcPr>
            <w:tcW w:w="2740" w:type="dxa"/>
            <w:vAlign w:val="bottom"/>
          </w:tcPr>
          <w:p>
            <w:pPr>
              <w:jc w:val="center"/>
              <w:spacing w:after="0"/>
              <w:rPr>
                <w:sz w:val="20"/>
                <w:szCs w:val="20"/>
                <w:color w:val="auto"/>
              </w:rPr>
            </w:pPr>
            <w:r>
              <w:rPr>
                <w:rFonts w:ascii="Arial" w:cs="Arial" w:eastAsia="Arial" w:hAnsi="Arial"/>
                <w:sz w:val="18"/>
                <w:szCs w:val="18"/>
                <w:color w:val="auto"/>
                <w:w w:val="91"/>
              </w:rPr>
              <w:t>2/7/2017</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5/7/2019</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2.12%</w:t>
            </w:r>
          </w:p>
        </w:tc>
      </w:tr>
      <w:tr>
        <w:trPr>
          <w:trHeight w:val="27"/>
        </w:trPr>
        <w:tc>
          <w:tcPr>
            <w:tcW w:w="2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(b)</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2/7/2017</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5/7/2019</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2.25%</w:t>
            </w:r>
          </w:p>
        </w:tc>
      </w:tr>
      <w:tr>
        <w:trPr>
          <w:trHeight w:val="243"/>
        </w:trPr>
        <w:tc>
          <w:tcPr>
            <w:tcW w:w="2640" w:type="dxa"/>
            <w:vAlign w:val="bottom"/>
          </w:tcPr>
          <w:p>
            <w:pPr>
              <w:jc w:val="center"/>
              <w:spacing w:after="0"/>
              <w:rPr>
                <w:sz w:val="20"/>
                <w:szCs w:val="20"/>
                <w:color w:val="auto"/>
              </w:rPr>
            </w:pPr>
            <w:r>
              <w:rPr>
                <w:rFonts w:ascii="Arial" w:cs="Arial" w:eastAsia="Arial" w:hAnsi="Arial"/>
                <w:sz w:val="18"/>
                <w:szCs w:val="18"/>
                <w:color w:val="auto"/>
                <w:w w:val="93"/>
              </w:rPr>
              <w:t>200</w:t>
            </w:r>
          </w:p>
        </w:tc>
        <w:tc>
          <w:tcPr>
            <w:tcW w:w="360" w:type="dxa"/>
            <w:vAlign w:val="bottom"/>
          </w:tcPr>
          <w:p>
            <w:pPr>
              <w:ind w:left="80"/>
              <w:spacing w:after="0"/>
              <w:rPr>
                <w:sz w:val="20"/>
                <w:szCs w:val="20"/>
                <w:color w:val="auto"/>
              </w:rPr>
            </w:pPr>
            <w:r>
              <w:rPr>
                <w:rFonts w:ascii="Arial" w:cs="Arial" w:eastAsia="Arial" w:hAnsi="Arial"/>
                <w:sz w:val="13"/>
                <w:szCs w:val="13"/>
                <w:color w:val="auto"/>
              </w:rPr>
              <w:t>(c)</w:t>
            </w:r>
          </w:p>
        </w:tc>
        <w:tc>
          <w:tcPr>
            <w:tcW w:w="2740" w:type="dxa"/>
            <w:vAlign w:val="bottom"/>
          </w:tcPr>
          <w:p>
            <w:pPr>
              <w:jc w:val="center"/>
              <w:spacing w:after="0"/>
              <w:rPr>
                <w:sz w:val="20"/>
                <w:szCs w:val="20"/>
                <w:color w:val="auto"/>
              </w:rPr>
            </w:pPr>
            <w:r>
              <w:rPr>
                <w:rFonts w:ascii="Arial" w:cs="Arial" w:eastAsia="Arial" w:hAnsi="Arial"/>
                <w:sz w:val="18"/>
                <w:szCs w:val="18"/>
                <w:color w:val="auto"/>
                <w:w w:val="90"/>
              </w:rPr>
              <w:t>12/20/2016</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6/20/2019</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2.13%</w:t>
            </w:r>
          </w:p>
        </w:tc>
      </w:tr>
    </w:tbl>
    <w:p>
      <w:pPr>
        <w:spacing w:after="0" w:line="341"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effective date refers to the date on which interest payments were, or will be, first hedged by the applicable swap agreement.</w:t>
      </w:r>
    </w:p>
    <w:p>
      <w:pPr>
        <w:spacing w:after="0" w:line="19" w:lineRule="exact"/>
        <w:rPr>
          <w:rFonts w:ascii="Arial" w:cs="Arial" w:eastAsia="Arial" w:hAnsi="Arial"/>
          <w:sz w:val="16"/>
          <w:szCs w:val="16"/>
          <w:color w:val="auto"/>
        </w:rPr>
      </w:pPr>
    </w:p>
    <w:p>
      <w:pPr>
        <w:ind w:left="660" w:hanging="652"/>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Interest payments made during the three-month period of each year that begins with the month and day of the effective date are hedged by the swap agreement.</w:t>
      </w:r>
    </w:p>
    <w:p>
      <w:pPr>
        <w:spacing w:after="0" w:line="19" w:lineRule="exact"/>
        <w:rPr>
          <w:rFonts w:ascii="Arial" w:cs="Arial" w:eastAsia="Arial" w:hAnsi="Arial"/>
          <w:sz w:val="15"/>
          <w:szCs w:val="15"/>
          <w:color w:val="auto"/>
        </w:rPr>
      </w:pPr>
    </w:p>
    <w:p>
      <w:pPr>
        <w:ind w:left="660" w:hanging="652"/>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5"/>
          <w:szCs w:val="15"/>
          <w:color w:val="auto"/>
        </w:rPr>
        <w:t>Interest payments made during the six-month period of each year that begins with the month and day of the effective date are hedged by the swap agreement.</w:t>
      </w:r>
    </w:p>
    <w:p>
      <w:pPr>
        <w:spacing w:after="0" w:line="16" w:lineRule="exact"/>
        <w:rPr>
          <w:rFonts w:ascii="Arial" w:cs="Arial" w:eastAsia="Arial" w:hAnsi="Arial"/>
          <w:sz w:val="17"/>
          <w:szCs w:val="17"/>
          <w:color w:val="auto"/>
        </w:rPr>
      </w:pPr>
    </w:p>
    <w:p>
      <w:pPr>
        <w:ind w:left="660" w:hanging="652"/>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5"/>
          <w:szCs w:val="15"/>
          <w:color w:val="auto"/>
        </w:rPr>
        <w:t>Interest payments made during the nine-month period of each year that begins with the month and day of the effective date are hedged by the swap agreement.</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2012 MARP Agreement fluctuates with the applicable LIBOR rate and thus the carrying value is a reasonable estimate of fair value. The fair value measurement for the MARP agreement was classified in Level 2 of the fair value hierarchy.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RETIREMENT AND RETIREE MEDICAL PLANS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summarizes the components of net periodic benefit cost for the retirement and retiree medical plans sponsored by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264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9"/>
              </w:rPr>
              <w:t>MARCH 30, 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9"/>
              </w:rPr>
              <w:t>MARCH 31, 2012</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152"/>
        </w:trPr>
        <w:tc>
          <w:tcPr>
            <w:tcW w:w="2640" w:type="dxa"/>
            <w:vAlign w:val="bottom"/>
          </w:tcPr>
          <w:p>
            <w:pPr>
              <w:spacing w:after="0"/>
              <w:rPr>
                <w:sz w:val="13"/>
                <w:szCs w:val="13"/>
                <w:color w:val="auto"/>
              </w:rPr>
            </w:pPr>
          </w:p>
        </w:tc>
        <w:tc>
          <w:tcPr>
            <w:tcW w:w="980" w:type="dxa"/>
            <w:vAlign w:val="bottom"/>
          </w:tcPr>
          <w:p>
            <w:pPr>
              <w:jc w:val="center"/>
              <w:ind w:left="359"/>
              <w:spacing w:after="0" w:line="153" w:lineRule="exact"/>
              <w:rPr>
                <w:sz w:val="20"/>
                <w:szCs w:val="20"/>
                <w:color w:val="auto"/>
              </w:rPr>
            </w:pPr>
            <w:r>
              <w:rPr>
                <w:rFonts w:ascii="Arial" w:cs="Arial" w:eastAsia="Arial" w:hAnsi="Arial"/>
                <w:sz w:val="14"/>
                <w:szCs w:val="14"/>
                <w:b w:val="1"/>
                <w:bCs w:val="1"/>
                <w:color w:val="auto"/>
                <w:w w:val="95"/>
              </w:rPr>
              <w:t>U.S.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87"/>
              </w:rPr>
              <w:t>U.S.</w:t>
            </w:r>
          </w:p>
        </w:tc>
        <w:tc>
          <w:tcPr>
            <w:tcW w:w="360" w:type="dxa"/>
            <w:vAlign w:val="bottom"/>
          </w:tcPr>
          <w:p>
            <w:pPr>
              <w:spacing w:after="0"/>
              <w:rPr>
                <w:sz w:val="13"/>
                <w:szCs w:val="13"/>
                <w:color w:val="auto"/>
              </w:rPr>
            </w:pPr>
          </w:p>
        </w:tc>
        <w:tc>
          <w:tcPr>
            <w:tcW w:w="110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80" w:type="dxa"/>
            <w:vAlign w:val="bottom"/>
          </w:tcPr>
          <w:p>
            <w:pPr>
              <w:spacing w:after="0"/>
              <w:rPr>
                <w:sz w:val="13"/>
                <w:szCs w:val="13"/>
                <w:color w:val="auto"/>
              </w:rPr>
            </w:pPr>
          </w:p>
        </w:tc>
        <w:tc>
          <w:tcPr>
            <w:tcW w:w="108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w w:val="87"/>
              </w:rPr>
              <w:t>U.S.</w:t>
            </w:r>
          </w:p>
        </w:tc>
      </w:tr>
      <w:tr>
        <w:trPr>
          <w:trHeight w:val="192"/>
        </w:trPr>
        <w:tc>
          <w:tcPr>
            <w:tcW w:w="2640" w:type="dxa"/>
            <w:vAlign w:val="bottom"/>
          </w:tcPr>
          <w:p>
            <w:pPr>
              <w:spacing w:after="0"/>
              <w:rPr>
                <w:sz w:val="16"/>
                <w:szCs w:val="16"/>
                <w:color w:val="auto"/>
              </w:rPr>
            </w:pPr>
          </w:p>
        </w:tc>
        <w:tc>
          <w:tcPr>
            <w:tcW w:w="980" w:type="dxa"/>
            <w:vAlign w:val="bottom"/>
            <w:tcBorders>
              <w:bottom w:val="single" w:sz="8" w:color="auto"/>
            </w:tcBorders>
          </w:tcPr>
          <w:p>
            <w:pPr>
              <w:jc w:val="center"/>
              <w:ind w:left="339"/>
              <w:spacing w:after="0"/>
              <w:rPr>
                <w:sz w:val="20"/>
                <w:szCs w:val="20"/>
                <w:color w:val="auto"/>
              </w:rPr>
            </w:pPr>
            <w:r>
              <w:rPr>
                <w:rFonts w:ascii="Arial" w:cs="Arial" w:eastAsia="Arial" w:hAnsi="Arial"/>
                <w:sz w:val="14"/>
                <w:szCs w:val="14"/>
                <w:b w:val="1"/>
                <w:bCs w:val="1"/>
                <w:color w:val="auto"/>
                <w:w w:val="88"/>
              </w:rPr>
              <w:t>Pension</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8"/>
              </w:rPr>
              <w:t>Pension</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3"/>
              </w:rPr>
              <w:t>Medical</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8"/>
              </w:rPr>
              <w:t>Pension</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Pension</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3"/>
              </w:rPr>
              <w:t>Medical</w:t>
            </w:r>
          </w:p>
        </w:tc>
      </w:tr>
      <w:tr>
        <w:trPr>
          <w:trHeight w:val="250"/>
        </w:trPr>
        <w:tc>
          <w:tcPr>
            <w:tcW w:w="2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w w:val="96"/>
              </w:rPr>
              <w:t>(In millions)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0.4</w:t>
            </w: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0.4</w:t>
            </w:r>
          </w:p>
        </w:tc>
      </w:tr>
      <w:tr>
        <w:trPr>
          <w:trHeight w:val="27"/>
        </w:trPr>
        <w:tc>
          <w:tcPr>
            <w:tcW w:w="2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9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0.6</w:t>
            </w: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528"/>
        </w:trPr>
        <w:tc>
          <w:tcPr>
            <w:tcW w:w="26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64"/>
        </w:trPr>
        <w:tc>
          <w:tcPr>
            <w:tcW w:w="264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9"/>
              </w:rPr>
              <w:t>MARCH 30, 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9"/>
              </w:rPr>
              <w:t>MARCH 31, 2012</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152"/>
        </w:trPr>
        <w:tc>
          <w:tcPr>
            <w:tcW w:w="2640" w:type="dxa"/>
            <w:vAlign w:val="bottom"/>
          </w:tcPr>
          <w:p>
            <w:pPr>
              <w:spacing w:after="0"/>
              <w:rPr>
                <w:sz w:val="13"/>
                <w:szCs w:val="13"/>
                <w:color w:val="auto"/>
              </w:rPr>
            </w:pPr>
          </w:p>
        </w:tc>
        <w:tc>
          <w:tcPr>
            <w:tcW w:w="980" w:type="dxa"/>
            <w:vAlign w:val="bottom"/>
          </w:tcPr>
          <w:p>
            <w:pPr>
              <w:jc w:val="center"/>
              <w:ind w:left="359"/>
              <w:spacing w:after="0" w:line="153" w:lineRule="exact"/>
              <w:rPr>
                <w:sz w:val="20"/>
                <w:szCs w:val="20"/>
                <w:color w:val="auto"/>
              </w:rPr>
            </w:pPr>
            <w:r>
              <w:rPr>
                <w:rFonts w:ascii="Arial" w:cs="Arial" w:eastAsia="Arial" w:hAnsi="Arial"/>
                <w:sz w:val="14"/>
                <w:szCs w:val="14"/>
                <w:b w:val="1"/>
                <w:bCs w:val="1"/>
                <w:color w:val="auto"/>
                <w:w w:val="95"/>
              </w:rPr>
              <w:t>U.S.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87"/>
              </w:rPr>
              <w:t>U.S.</w:t>
            </w:r>
          </w:p>
        </w:tc>
        <w:tc>
          <w:tcPr>
            <w:tcW w:w="360" w:type="dxa"/>
            <w:vAlign w:val="bottom"/>
          </w:tcPr>
          <w:p>
            <w:pPr>
              <w:spacing w:after="0"/>
              <w:rPr>
                <w:sz w:val="13"/>
                <w:szCs w:val="13"/>
                <w:color w:val="auto"/>
              </w:rPr>
            </w:pPr>
          </w:p>
        </w:tc>
        <w:tc>
          <w:tcPr>
            <w:tcW w:w="110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80" w:type="dxa"/>
            <w:vAlign w:val="bottom"/>
          </w:tcPr>
          <w:p>
            <w:pPr>
              <w:spacing w:after="0"/>
              <w:rPr>
                <w:sz w:val="13"/>
                <w:szCs w:val="13"/>
                <w:color w:val="auto"/>
              </w:rPr>
            </w:pPr>
          </w:p>
        </w:tc>
        <w:tc>
          <w:tcPr>
            <w:tcW w:w="108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w w:val="87"/>
              </w:rPr>
              <w:t>U.S.</w:t>
            </w:r>
          </w:p>
        </w:tc>
      </w:tr>
      <w:tr>
        <w:trPr>
          <w:trHeight w:val="192"/>
        </w:trPr>
        <w:tc>
          <w:tcPr>
            <w:tcW w:w="2640" w:type="dxa"/>
            <w:vAlign w:val="bottom"/>
          </w:tcPr>
          <w:p>
            <w:pPr>
              <w:spacing w:after="0"/>
              <w:rPr>
                <w:sz w:val="16"/>
                <w:szCs w:val="16"/>
                <w:color w:val="auto"/>
              </w:rPr>
            </w:pPr>
          </w:p>
        </w:tc>
        <w:tc>
          <w:tcPr>
            <w:tcW w:w="980" w:type="dxa"/>
            <w:vAlign w:val="bottom"/>
            <w:tcBorders>
              <w:bottom w:val="single" w:sz="8" w:color="auto"/>
            </w:tcBorders>
          </w:tcPr>
          <w:p>
            <w:pPr>
              <w:jc w:val="center"/>
              <w:ind w:left="339"/>
              <w:spacing w:after="0"/>
              <w:rPr>
                <w:sz w:val="20"/>
                <w:szCs w:val="20"/>
                <w:color w:val="auto"/>
              </w:rPr>
            </w:pPr>
            <w:r>
              <w:rPr>
                <w:rFonts w:ascii="Arial" w:cs="Arial" w:eastAsia="Arial" w:hAnsi="Arial"/>
                <w:sz w:val="14"/>
                <w:szCs w:val="14"/>
                <w:b w:val="1"/>
                <w:bCs w:val="1"/>
                <w:color w:val="auto"/>
                <w:w w:val="88"/>
              </w:rPr>
              <w:t>Pension</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8"/>
              </w:rPr>
              <w:t>Pension</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3"/>
              </w:rPr>
              <w:t>Medical</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8"/>
              </w:rPr>
              <w:t>Pension</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Pension</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3"/>
              </w:rPr>
              <w:t>Medical</w:t>
            </w:r>
          </w:p>
        </w:tc>
      </w:tr>
      <w:tr>
        <w:trPr>
          <w:trHeight w:val="250"/>
        </w:trPr>
        <w:tc>
          <w:tcPr>
            <w:tcW w:w="2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w w:val="96"/>
              </w:rPr>
              <w:t>(In millions)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0.8</w:t>
            </w: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0.8</w:t>
            </w:r>
          </w:p>
        </w:tc>
      </w:tr>
      <w:tr>
        <w:trPr>
          <w:trHeight w:val="27"/>
        </w:trPr>
        <w:tc>
          <w:tcPr>
            <w:tcW w:w="2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9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0.1</w:t>
            </w:r>
          </w:p>
        </w:tc>
      </w:tr>
      <w:tr>
        <w:trPr>
          <w:trHeight w:val="27"/>
        </w:trPr>
        <w:tc>
          <w:tcPr>
            <w:tcW w:w="2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loss</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98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w:t>
            </w:r>
          </w:p>
        </w:tc>
      </w:tr>
      <w:tr>
        <w:trPr>
          <w:trHeight w:val="27"/>
        </w:trPr>
        <w:tc>
          <w:tcPr>
            <w:tcW w:w="26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2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56"/>
        </w:trPr>
        <w:tc>
          <w:tcPr>
            <w:tcW w:w="2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89"/>
              </w:rPr>
              <w:t>12</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six months ended March 30, 2013, Scotts Miracle-Gro did not repurchase any Common Shares under the $700 million shares repurchase program approved by Scotts Miracle-Gro's Board of Directors. Since inception of the program in the fourth quarter of fiscal 2010 through March 30, 2013, Scotts Miracle-Gro has repurchased 7.8 million Common Shares for $401.2 million to be held in treasury.</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share-based awards granted during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4"/>
          </w:tcPr>
          <w:p>
            <w:pPr>
              <w:jc w:val="right"/>
              <w:ind w:right="1275"/>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3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right"/>
              <w:ind w:right="780"/>
              <w:spacing w:after="0" w:line="153" w:lineRule="exact"/>
              <w:rPr>
                <w:sz w:val="20"/>
                <w:szCs w:val="20"/>
                <w:color w:val="auto"/>
              </w:rPr>
            </w:pPr>
            <w:r>
              <w:rPr>
                <w:rFonts w:ascii="Arial" w:cs="Arial" w:eastAsia="Arial" w:hAnsi="Arial"/>
                <w:sz w:val="14"/>
                <w:szCs w:val="14"/>
                <w:b w:val="1"/>
                <w:bCs w:val="1"/>
                <w:color w:val="auto"/>
              </w:rPr>
              <w:t>MARCH 30,</w:t>
            </w:r>
          </w:p>
        </w:tc>
        <w:tc>
          <w:tcPr>
            <w:tcW w:w="440" w:type="dxa"/>
            <w:vAlign w:val="bottom"/>
          </w:tcPr>
          <w:p>
            <w:pPr>
              <w:spacing w:after="0"/>
              <w:rPr>
                <w:sz w:val="13"/>
                <w:szCs w:val="13"/>
                <w:color w:val="auto"/>
              </w:rPr>
            </w:pPr>
          </w:p>
        </w:tc>
        <w:tc>
          <w:tcPr>
            <w:tcW w:w="1600" w:type="dxa"/>
            <w:vAlign w:val="bottom"/>
          </w:tcPr>
          <w:p>
            <w:pPr>
              <w:jc w:val="right"/>
              <w:ind w:right="575"/>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3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2012</w:t>
            </w: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Employees</w:t>
            </w:r>
          </w:p>
        </w:tc>
        <w:tc>
          <w:tcPr>
            <w:tcW w:w="1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1"/>
        </w:trPr>
        <w:tc>
          <w:tcPr>
            <w:tcW w:w="37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14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464,061</w:t>
            </w: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Restricted stock units</w:t>
            </w:r>
          </w:p>
        </w:tc>
        <w:tc>
          <w:tcPr>
            <w:tcW w:w="1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129,069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106,844</w:t>
            </w:r>
          </w:p>
        </w:tc>
      </w:tr>
      <w:tr>
        <w:trPr>
          <w:trHeight w:val="27"/>
        </w:trPr>
        <w:tc>
          <w:tcPr>
            <w:tcW w:w="3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 units</w:t>
            </w:r>
          </w:p>
        </w:tc>
        <w:tc>
          <w:tcPr>
            <w:tcW w:w="14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178,321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110,079</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Board of Directors</w:t>
            </w:r>
          </w:p>
        </w:tc>
        <w:tc>
          <w:tcPr>
            <w:tcW w:w="1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stock units</w:t>
            </w:r>
          </w:p>
        </w:tc>
        <w:tc>
          <w:tcPr>
            <w:tcW w:w="14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29,443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27,259</w:t>
            </w: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Total share-based awards</w:t>
            </w:r>
          </w:p>
        </w:tc>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336,833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708,243</w:t>
            </w:r>
          </w:p>
        </w:tc>
      </w:tr>
      <w:tr>
        <w:trPr>
          <w:trHeight w:val="67"/>
        </w:trPr>
        <w:tc>
          <w:tcPr>
            <w:tcW w:w="3780" w:type="dxa"/>
            <w:vAlign w:val="bottom"/>
            <w:tcBorders>
              <w:bottom w:val="single" w:sz="8" w:color="CCEEFF"/>
            </w:tcBorders>
          </w:tcPr>
          <w:p>
            <w:pPr>
              <w:spacing w:after="0"/>
              <w:rPr>
                <w:sz w:val="5"/>
                <w:szCs w:val="5"/>
                <w:color w:val="auto"/>
              </w:rPr>
            </w:pPr>
          </w:p>
        </w:tc>
        <w:tc>
          <w:tcPr>
            <w:tcW w:w="148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r>
      <w:tr>
        <w:trPr>
          <w:trHeight w:val="278"/>
        </w:trPr>
        <w:tc>
          <w:tcPr>
            <w:tcW w:w="37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w w:val="99"/>
              </w:rPr>
              <w:t>Aggregate fair value at grant dates (in millions)</w:t>
            </w:r>
          </w:p>
        </w:tc>
        <w:tc>
          <w:tcPr>
            <w:tcW w:w="1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17.0</w:t>
            </w:r>
          </w:p>
        </w:tc>
      </w:tr>
      <w:tr>
        <w:trPr>
          <w:trHeight w:val="459"/>
        </w:trPr>
        <w:tc>
          <w:tcPr>
            <w:tcW w:w="7200" w:type="dxa"/>
            <w:vAlign w:val="bottom"/>
            <w:gridSpan w:val="4"/>
          </w:tcPr>
          <w:p>
            <w:pPr>
              <w:ind w:left="420"/>
              <w:spacing w:after="0"/>
              <w:rPr>
                <w:sz w:val="20"/>
                <w:szCs w:val="20"/>
                <w:color w:val="auto"/>
              </w:rPr>
            </w:pPr>
            <w:r>
              <w:rPr>
                <w:rFonts w:ascii="Arial" w:cs="Arial" w:eastAsia="Arial" w:hAnsi="Arial"/>
                <w:sz w:val="18"/>
                <w:szCs w:val="18"/>
                <w:color w:val="auto"/>
                <w:w w:val="99"/>
              </w:rPr>
              <w:t>Total share-based compensation recognized was as follows for the periods indicated: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9"/>
        </w:trPr>
        <w:tc>
          <w:tcPr>
            <w:tcW w:w="3780" w:type="dxa"/>
            <w:vAlign w:val="bottom"/>
          </w:tcPr>
          <w:p>
            <w:pPr>
              <w:spacing w:after="0"/>
              <w:rPr>
                <w:sz w:val="24"/>
                <w:szCs w:val="24"/>
                <w:color w:val="auto"/>
              </w:rPr>
            </w:pPr>
          </w:p>
        </w:tc>
        <w:tc>
          <w:tcPr>
            <w:tcW w:w="34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4"/>
          </w:tcPr>
          <w:p>
            <w:pPr>
              <w:jc w:val="right"/>
              <w:ind w:right="1055"/>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378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30, 2013</w:t>
            </w: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2012</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MARCH 30, 2013</w:t>
            </w:r>
          </w:p>
        </w:tc>
        <w:tc>
          <w:tcPr>
            <w:tcW w:w="4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37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6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480" w:type="dxa"/>
            <w:vAlign w:val="bottom"/>
            <w:tcBorders>
              <w:bottom w:val="single" w:sz="8" w:color="CCEEFF"/>
            </w:tcBorders>
            <w:shd w:val="clear" w:color="auto" w:fill="CCEEFF"/>
          </w:tcPr>
          <w:p>
            <w:pPr>
              <w:jc w:val="right"/>
              <w:ind w:right="1282"/>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6.6</w:t>
            </w:r>
          </w:p>
        </w:tc>
        <w:tc>
          <w:tcPr>
            <w:tcW w:w="158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8.9</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Tax benefit recognized</w:t>
            </w:r>
          </w:p>
        </w:tc>
        <w:tc>
          <w:tcPr>
            <w:tcW w:w="148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2.5</w:t>
            </w:r>
          </w:p>
        </w:tc>
        <w:tc>
          <w:tcPr>
            <w:tcW w:w="158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3.4</w:t>
            </w:r>
          </w:p>
        </w:tc>
      </w:tr>
    </w:tbl>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30, 2013, total unrecognized compensation cost related to non-vested share-based awards amounted to $15.3 million. This cost is expected to be recognized over a weighted-average period of 2.1 years. The tax benefit realized from the tax deductions associated with the exercise of share-based awards and the vesting of restricted stock totaled $1.1 million for the first six months of fiscal 2013.</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maximum of 26.5 million Common Shares are available for issuance under share-based award plans. At March 30, 2013, approximately 3.2 million Common Shares were not subject to outstanding awards and were available to underlie the grant of new share-based awards.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Options/SARs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Aggregate stock options and SARs activity consisted of the following (stock options/SARs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400" w:type="dxa"/>
            <w:vAlign w:val="bottom"/>
          </w:tcPr>
          <w:p>
            <w:pPr>
              <w:jc w:val="center"/>
              <w:ind w:left="368"/>
              <w:spacing w:after="0"/>
              <w:rPr>
                <w:sz w:val="20"/>
                <w:szCs w:val="20"/>
                <w:color w:val="auto"/>
              </w:rPr>
            </w:pPr>
            <w:r>
              <w:rPr>
                <w:rFonts w:ascii="Arial" w:cs="Arial" w:eastAsia="Arial" w:hAnsi="Arial"/>
                <w:sz w:val="14"/>
                <w:szCs w:val="14"/>
                <w:b w:val="1"/>
                <w:bCs w:val="1"/>
                <w:color w:val="auto"/>
                <w:w w:val="90"/>
              </w:rPr>
              <w:t>No. of</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ind w:right="474"/>
              <w:spacing w:after="0"/>
              <w:rPr>
                <w:sz w:val="20"/>
                <w:szCs w:val="20"/>
                <w:color w:val="auto"/>
              </w:rPr>
            </w:pPr>
            <w:r>
              <w:rPr>
                <w:rFonts w:ascii="Arial" w:cs="Arial" w:eastAsia="Arial" w:hAnsi="Arial"/>
                <w:sz w:val="14"/>
                <w:szCs w:val="14"/>
                <w:b w:val="1"/>
                <w:bCs w:val="1"/>
                <w:color w:val="auto"/>
              </w:rPr>
              <w:t>WTD. Avg.</w:t>
            </w:r>
          </w:p>
        </w:tc>
        <w:tc>
          <w:tcPr>
            <w:tcW w:w="0" w:type="dxa"/>
            <w:vAlign w:val="bottom"/>
          </w:tcPr>
          <w:p>
            <w:pPr>
              <w:spacing w:after="0"/>
              <w:rPr>
                <w:sz w:val="1"/>
                <w:szCs w:val="1"/>
                <w:color w:val="auto"/>
              </w:rPr>
            </w:pPr>
          </w:p>
        </w:tc>
      </w:tr>
      <w:tr>
        <w:trPr>
          <w:trHeight w:val="192"/>
        </w:trPr>
        <w:tc>
          <w:tcPr>
            <w:tcW w:w="76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3"/>
              </w:rPr>
              <w:t>Options/SARs</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2012</w:t>
            </w:r>
          </w:p>
        </w:tc>
        <w:tc>
          <w:tcPr>
            <w:tcW w:w="1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37.28</w:t>
            </w:r>
          </w:p>
        </w:tc>
        <w:tc>
          <w:tcPr>
            <w:tcW w:w="0" w:type="dxa"/>
            <w:vAlign w:val="bottom"/>
          </w:tcPr>
          <w:p>
            <w:pPr>
              <w:spacing w:after="0"/>
              <w:rPr>
                <w:sz w:val="1"/>
                <w:szCs w:val="1"/>
                <w:color w:val="auto"/>
              </w:rPr>
            </w:pPr>
          </w:p>
        </w:tc>
      </w:tr>
      <w:tr>
        <w:trPr>
          <w:trHeight w:val="243"/>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43"/>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March 30, 2013</w:t>
            </w:r>
          </w:p>
        </w:tc>
        <w:tc>
          <w:tcPr>
            <w:tcW w:w="14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color w:val="auto"/>
              </w:rPr>
              <w:t>Exercisable</w:t>
            </w: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702"/>
        </w:trPr>
        <w:tc>
          <w:tcPr>
            <w:tcW w:w="7660" w:type="dxa"/>
            <w:vAlign w:val="bottom"/>
          </w:tcPr>
          <w:p>
            <w:pPr>
              <w:ind w:left="5620"/>
              <w:spacing w:after="0"/>
              <w:rPr>
                <w:sz w:val="20"/>
                <w:szCs w:val="20"/>
                <w:color w:val="auto"/>
              </w:rPr>
            </w:pPr>
            <w:r>
              <w:rPr>
                <w:rFonts w:ascii="Arial" w:cs="Arial" w:eastAsia="Arial" w:hAnsi="Arial"/>
                <w:sz w:val="18"/>
                <w:szCs w:val="18"/>
                <w:color w:val="auto"/>
              </w:rPr>
              <w:t>13</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summarizes certain information pertaining to stock options and SAR awards outstanding and exercisable at March 30, 2013 (stock options/SARs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6"/>
              </w:rPr>
              <w:t>Awards Outstanding</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2"/>
              </w:rPr>
              <w:t>Awards Exercisable</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0" w:type="dxa"/>
            <w:vAlign w:val="bottom"/>
          </w:tcPr>
          <w:p>
            <w:pPr>
              <w:spacing w:after="0"/>
              <w:rPr>
                <w:sz w:val="13"/>
                <w:szCs w:val="13"/>
                <w:color w:val="auto"/>
              </w:rPr>
            </w:pPr>
          </w:p>
        </w:tc>
        <w:tc>
          <w:tcPr>
            <w:tcW w:w="18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Range of Exercise Price</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No. of</w:t>
            </w:r>
          </w:p>
        </w:tc>
        <w:tc>
          <w:tcPr>
            <w:tcW w:w="14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WTD. Avg.</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WTD. Avg.</w:t>
            </w: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No. of</w:t>
            </w: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9"/>
              </w:rPr>
              <w:t>WTD. Avg.</w:t>
            </w:r>
          </w:p>
        </w:tc>
        <w:tc>
          <w:tcPr>
            <w:tcW w:w="180" w:type="dxa"/>
            <w:vAlign w:val="bottom"/>
          </w:tcPr>
          <w:p>
            <w:pPr>
              <w:spacing w:after="0"/>
              <w:rPr>
                <w:sz w:val="13"/>
                <w:szCs w:val="13"/>
                <w:color w:val="auto"/>
              </w:rPr>
            </w:pPr>
          </w:p>
        </w:tc>
        <w:tc>
          <w:tcPr>
            <w:tcW w:w="118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WTD. Avg.</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1840" w:type="dxa"/>
            <w:vAlign w:val="bottom"/>
            <w:gridSpan w:val="3"/>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Options/SARs</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Remaining Life</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Exercise Price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Options/SARS</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Remaining Life</w:t>
            </w:r>
          </w:p>
        </w:tc>
        <w:tc>
          <w:tcPr>
            <w:tcW w:w="180" w:type="dxa"/>
            <w:vAlign w:val="bottom"/>
          </w:tcPr>
          <w:p>
            <w:pPr>
              <w:spacing w:after="0"/>
              <w:rPr>
                <w:sz w:val="16"/>
                <w:szCs w:val="16"/>
                <w:color w:val="auto"/>
              </w:rPr>
            </w:pPr>
          </w:p>
        </w:tc>
        <w:tc>
          <w:tcPr>
            <w:tcW w:w="118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Exercise Price</w:t>
            </w:r>
          </w:p>
        </w:tc>
        <w:tc>
          <w:tcPr>
            <w:tcW w:w="0" w:type="dxa"/>
            <w:vAlign w:val="bottom"/>
          </w:tcPr>
          <w:p>
            <w:pPr>
              <w:spacing w:after="0"/>
              <w:rPr>
                <w:sz w:val="1"/>
                <w:szCs w:val="1"/>
                <w:color w:val="auto"/>
              </w:rPr>
            </w:pPr>
          </w:p>
        </w:tc>
      </w:tr>
      <w:tr>
        <w:trPr>
          <w:trHeight w:val="250"/>
        </w:trPr>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20.12</w:t>
            </w:r>
          </w:p>
        </w:tc>
        <w:tc>
          <w:tcPr>
            <w:tcW w:w="5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21.65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43"/>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73"/>
              <w:spacing w:after="0"/>
              <w:rPr>
                <w:sz w:val="20"/>
                <w:szCs w:val="20"/>
                <w:color w:val="auto"/>
              </w:rPr>
            </w:pPr>
            <w:r>
              <w:rPr>
                <w:rFonts w:ascii="Arial" w:cs="Arial" w:eastAsia="Arial" w:hAnsi="Arial"/>
                <w:sz w:val="18"/>
                <w:szCs w:val="18"/>
                <w:color w:val="auto"/>
              </w:rPr>
              <w:t>24.45</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28.72</w:t>
            </w:r>
          </w:p>
        </w:tc>
        <w:tc>
          <w:tcPr>
            <w:tcW w:w="1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29.01</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31.62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29.18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43"/>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73"/>
              <w:spacing w:after="0"/>
              <w:rPr>
                <w:sz w:val="20"/>
                <w:szCs w:val="20"/>
                <w:color w:val="auto"/>
              </w:rPr>
            </w:pPr>
            <w:r>
              <w:rPr>
                <w:rFonts w:ascii="Arial" w:cs="Arial" w:eastAsia="Arial" w:hAnsi="Arial"/>
                <w:sz w:val="18"/>
                <w:szCs w:val="18"/>
                <w:color w:val="auto"/>
              </w:rPr>
              <w:t>33.25</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37.48</w:t>
            </w:r>
          </w:p>
        </w:tc>
        <w:tc>
          <w:tcPr>
            <w:tcW w:w="1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35.83</w:t>
            </w:r>
          </w:p>
        </w:tc>
        <w:tc>
          <w:tcPr>
            <w:tcW w:w="10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37.89</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38.90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38.57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38.57</w:t>
            </w:r>
          </w:p>
        </w:tc>
        <w:tc>
          <w:tcPr>
            <w:tcW w:w="0" w:type="dxa"/>
            <w:vAlign w:val="bottom"/>
          </w:tcPr>
          <w:p>
            <w:pPr>
              <w:spacing w:after="0"/>
              <w:rPr>
                <w:sz w:val="1"/>
                <w:szCs w:val="1"/>
                <w:color w:val="auto"/>
              </w:rPr>
            </w:pPr>
          </w:p>
        </w:tc>
      </w:tr>
      <w:tr>
        <w:trPr>
          <w:trHeight w:val="243"/>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73"/>
              <w:spacing w:after="0"/>
              <w:rPr>
                <w:sz w:val="20"/>
                <w:szCs w:val="20"/>
                <w:color w:val="auto"/>
              </w:rPr>
            </w:pPr>
            <w:r>
              <w:rPr>
                <w:rFonts w:ascii="Arial" w:cs="Arial" w:eastAsia="Arial" w:hAnsi="Arial"/>
                <w:sz w:val="18"/>
                <w:szCs w:val="18"/>
                <w:color w:val="auto"/>
              </w:rPr>
              <w:t>40.81</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51.73</w:t>
            </w:r>
          </w:p>
        </w:tc>
        <w:tc>
          <w:tcPr>
            <w:tcW w:w="1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47.07</w:t>
            </w:r>
          </w:p>
        </w:tc>
        <w:tc>
          <w:tcPr>
            <w:tcW w:w="10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37.38</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intrinsic values of the stock options and SAR awards outstanding and exercisable at March 30, 2013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6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480" w:type="dxa"/>
            <w:vAlign w:val="bottom"/>
          </w:tcPr>
          <w:p>
            <w:pPr>
              <w:jc w:val="right"/>
              <w:ind w:right="456"/>
              <w:spacing w:after="0"/>
              <w:rPr>
                <w:sz w:val="20"/>
                <w:szCs w:val="20"/>
                <w:color w:val="auto"/>
              </w:rPr>
            </w:pPr>
            <w:r>
              <w:rPr>
                <w:rFonts w:ascii="Arial" w:cs="Arial" w:eastAsia="Arial" w:hAnsi="Arial"/>
                <w:sz w:val="14"/>
                <w:szCs w:val="14"/>
                <w:color w:val="auto"/>
              </w:rPr>
              <w:t>(In millions)</w:t>
            </w: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4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Exercisable</w:t>
            </w:r>
          </w:p>
        </w:tc>
        <w:tc>
          <w:tcPr>
            <w:tcW w:w="468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23.1</w:t>
            </w:r>
          </w:p>
        </w:tc>
      </w:tr>
    </w:tbl>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six months ended March 30, 2013, the total intrinsic value of stock options exercised was $2.1 million. Cash received from the exercise of stock options for the six months ended March 30, 2013 was $2.7 million.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share-based awards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Restricted share-based award activity (including restricted stock, restricted stock units and deferred stock units)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No.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center"/>
              <w:ind w:right="97"/>
              <w:spacing w:after="0"/>
              <w:rPr>
                <w:sz w:val="20"/>
                <w:szCs w:val="20"/>
                <w:color w:val="auto"/>
              </w:rPr>
            </w:pPr>
            <w:r>
              <w:rPr>
                <w:rFonts w:ascii="Arial" w:cs="Arial" w:eastAsia="Arial" w:hAnsi="Arial"/>
                <w:sz w:val="14"/>
                <w:szCs w:val="14"/>
                <w:b w:val="1"/>
                <w:bCs w:val="1"/>
                <w:color w:val="auto"/>
                <w:w w:val="97"/>
              </w:rPr>
              <w:t>WTD. Avg.</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2"/>
        </w:trPr>
        <w:tc>
          <w:tcPr>
            <w:tcW w:w="766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2012</w:t>
            </w: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497,199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45.75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5"/>
              <w:spacing w:after="0"/>
              <w:rPr>
                <w:sz w:val="20"/>
                <w:szCs w:val="20"/>
                <w:color w:val="auto"/>
              </w:rPr>
            </w:pPr>
            <w:r>
              <w:rPr>
                <w:rFonts w:ascii="Arial" w:cs="Arial" w:eastAsia="Arial" w:hAnsi="Arial"/>
                <w:sz w:val="18"/>
                <w:szCs w:val="18"/>
                <w:color w:val="auto"/>
              </w:rPr>
              <w:t>158,512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44.90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(216,387)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39.30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(17,896)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46.94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March 30, 2013</w:t>
            </w:r>
          </w:p>
        </w:tc>
        <w:tc>
          <w:tcPr>
            <w:tcW w:w="1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421,428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48.69</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For the six months ended March 30, 2013, the total fair value of restricted stock units vested was $8.4 million.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Performance-based awards</w:t>
            </w: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60" w:type="dxa"/>
            <w:vAlign w:val="bottom"/>
          </w:tcPr>
          <w:p>
            <w:pPr>
              <w:ind w:left="440"/>
              <w:spacing w:after="0"/>
              <w:rPr>
                <w:sz w:val="20"/>
                <w:szCs w:val="20"/>
                <w:color w:val="auto"/>
              </w:rPr>
            </w:pPr>
            <w:r>
              <w:rPr>
                <w:rFonts w:ascii="Arial" w:cs="Arial" w:eastAsia="Arial" w:hAnsi="Arial"/>
                <w:sz w:val="18"/>
                <w:szCs w:val="18"/>
                <w:color w:val="auto"/>
              </w:rPr>
              <w:t>Performance-based award activity was as follows:</w:t>
            </w: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660" w:type="dxa"/>
            <w:vAlign w:val="bottom"/>
          </w:tcPr>
          <w:p>
            <w:pPr>
              <w:spacing w:after="0"/>
              <w:rPr>
                <w:sz w:val="24"/>
                <w:szCs w:val="24"/>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No. of</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97"/>
              <w:spacing w:after="0"/>
              <w:rPr>
                <w:sz w:val="20"/>
                <w:szCs w:val="20"/>
                <w:color w:val="auto"/>
              </w:rPr>
            </w:pPr>
            <w:r>
              <w:rPr>
                <w:rFonts w:ascii="Arial" w:cs="Arial" w:eastAsia="Arial" w:hAnsi="Arial"/>
                <w:sz w:val="14"/>
                <w:szCs w:val="14"/>
                <w:b w:val="1"/>
                <w:bCs w:val="1"/>
                <w:color w:val="auto"/>
                <w:w w:val="97"/>
              </w:rPr>
              <w:t>WTD. Avg.</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2"/>
        </w:trPr>
        <w:tc>
          <w:tcPr>
            <w:tcW w:w="766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per Unit</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2012</w:t>
            </w: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149,709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5"/>
              <w:spacing w:after="0"/>
              <w:rPr>
                <w:sz w:val="20"/>
                <w:szCs w:val="20"/>
                <w:color w:val="auto"/>
              </w:rPr>
            </w:pPr>
            <w:r>
              <w:rPr>
                <w:rFonts w:ascii="Arial" w:cs="Arial" w:eastAsia="Arial" w:hAnsi="Arial"/>
                <w:sz w:val="18"/>
                <w:szCs w:val="18"/>
                <w:color w:val="auto"/>
              </w:rPr>
              <w:t>178,321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(41,587)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March 30, 2013</w:t>
            </w:r>
          </w:p>
        </w:tc>
        <w:tc>
          <w:tcPr>
            <w:tcW w:w="1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286,443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46.96</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effective tax rate related to continuing operations for the six months ended March 30, 2013, was 36.9%, compared to 37.1% for the six months ended March 31, 2012. The effective tax rate related to continuing operations for the three months ended March 30, 2013, was 35.6%, compared to 36.5% for the three months ended March 31, 2012. The effective tax rate used for interim reporting purposes is based on management’s best estimate of factors impacting the effective tax rate for the full fiscal year. An allocation of the income tax expense has been separately determined to report the discontinued operations, net of tax. There can</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 no assurance that the effective tax rate estimated for interim financial reporting purposes will approximate the effective tax rate determined at fiscal year end.</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American Taxpayer Relief Act of 2012 (the "Act") was signed into law on January 2, 2013 and is therefore effective for the Company's second quarter of 2013 financial results. Management has included in its calculation of taxes its best estimate of the extensions of certain expired or expiring tax provisions, including a retroactive extension of the credit for certain research and experimentation expenses, extension of alternative fuel credits and an extension of fifty percent bonus depreciation for qualified property. There was no material change to the Company's consolidated financial position, results of operations or cash flows as a result of the Act.</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Scotts Miracle−Gro or one of its subsidiaries files income tax returns in the U.S. federal jurisdiction and various state, local and foreign jurisdictions. With few exceptions, which are discussed further below, the Company is no longer subject to examination by these tax authorities for fiscal years prior to 2009. The Company is currently under examination by certain foreign and U.S. state and local tax authorities. Regarding the foreign jurisdictions, audits are currently underway in multiple countries covering fiscal years 2008 through 2011. In regard to the U.S. state and local audits, the tax periods under examination are limited to fiscal years 1997 through 2011. In addition to the aforementioned audits, certain other tax deficiency notices and refund claims for previous years remain unresolved.</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12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CONTINGENCIES</w:t>
      </w:r>
    </w:p>
    <w:p>
      <w:pPr>
        <w:spacing w:after="0" w:line="17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its assessment of contingencies is reasonable and related reserves, in the aggregate, are adequate; however, there can be no assurance that final resolution of these matters will not have a material effect on the Company’s financial condition, results of operations or cash flows. The Company's identified contingencies include the matters set out below.</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71"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At March 30, 2013, $3.7 million was accrued in the “Other liabilities” line in the Condensed Consolidated Balance Sheet for compliance-related environmental actions, the majority of which is for site remediation. The amounts accrued are believed to be adequate to cover such known environmental exposures based on current facts and estimates of likely outcomes. Although it is possible that the costs to resolve such known environmental exposures will exceed the amounts accrued, any variation from accrued amounts is not expected to be material.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7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In connection with the sale of wild bird food products that were the subject of a voluntary recall in 2008, the Company has been named as a defendant in four putative class actions filed on and after June 27, 2012, which have now been consolidated in the United States District Court for the Southern District of California as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Lead Case No. 3:12-cv-01592-JAH-RBB. The plaintiffs allege various statutory and common law claims associated with the Company's sale of wild bird food products and a plea agreement entered into in previously pending government proceedings associated with such sales. The plaintiffs seek on behalf of themselves and various purported class members monetary damages, restitution, injunctive relief, declaratory relief, attorney's fees, interest and costs. The Company intends to vigorously defend the consolidated action. Given the early stages of the action, the Company cannot make a determination as to whether it could have a material effect on the Company's financial condition, results of operations or cash flows and has not recorded any accruals with respect thereto.</w:t>
      </w:r>
    </w:p>
    <w:p>
      <w:pPr>
        <w:spacing w:after="0" w:line="1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Company believes that the claims against it are without merit and is vigorously defending against them. It is not currently possible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reasonably estimate a probable loss, if any, associated with these cases and, accordingly, no reserves have been recorded in the Company’s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the Company’s financial condition, results of operations or cash flows.</w:t>
      </w:r>
    </w:p>
    <w:p>
      <w:pPr>
        <w:spacing w:after="0" w:line="13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INSTRUMENTS AND HEDGING ACTIVITIES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periodically uses foreign currency swap contracts to manage the exchange rate risk associated with intercompany loans with foreign subsidiaries that are denominated in local currencies. At March 30, 2013, the notional amount of outstanding foreign currency swap contracts was $266.8 million, with a fair value of $7.1 million. At March 31, 2012, the notional amount of outstanding foreign currency swap contracts was $243.1 million, with a negative fair value of $1.5 million. The fair value of foreign currency swap contracts is determined based on changes in spot rates. The contracts will mature over the next fiscal year. At September 30, 2012, the notional amount of outstanding foreign currency swap contracts was $61.8 million, with a negative fair value of $1.0 million. The fair value of foreign currency swap contracts is determined based on changes in spot rates. The contracts will mature over the next fiscal year.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enters into interest rate swap agreements as a means to hedge its variable interest rate risk on debt instruments. The fair values are reflected in the Company’s Condensed Consolidated Balance Sheets.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income (loss) (“AOCI”) within the Condensed Consolidated Balance Sheets. The fair value of the swap agreements is determined based on the present value of the estimated future net cash flows using implied rates in the applicable yield curve as of the valuation date.</w:t>
      </w:r>
    </w:p>
    <w:p>
      <w:pPr>
        <w:spacing w:after="0" w:line="9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At March 30, 2013, March 31, 2012 and September 30, 2012, the Company had outstanding interest rate swap agreements with major financial institutions that effectively converted a portion of the Company’s variable-rate debt to a fixed rate. The swap agreements had a total U.S. dollar equivalent notional amount of $1,100 million at March 30, 2013 and $700 million at March 31, 2012 and September 30, 2012. Included in the AOCI balance at March 30, 2013 was a loss of $3.9 million related to interest rate swap agreements that is expected to be reclassified to earnings during the next 12 months, consistent with the timing of the underlying hedged transactions.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had outstanding hedging arrangements at March 30, 2013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Unrealized gains or losses in the fair value of these contracts are recorded to the AOCI within the Condensed Consolidated Balance Sheets. Realized gains or losses remain as a component of AOCI until the related inventory is sold. Upon sale of the underlying inventory, the gain or loss is reclassified to cost of sales. Included in the AOCI balance at March 30, 2013 was a loss of $0.4 million related to urea derivatives that is expected to be reclassified to earnings during the next 12 months, consistent with the timing of the underlying hedged transactions.</w:t>
      </w:r>
    </w:p>
    <w:p>
      <w:pPr>
        <w:spacing w:after="0" w:line="1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Periodically, the Company also uses derivatives to partially mitigate the effect of fluctuating diesel and gasoline costs on operating results. Any such derivatives that do not qualify for hedge accounting treatment in accordance with GAAP are recorded at fair value, with unrealized gains and losses on open contracts and realized gains or losses on settled contracts recorded as an element of cost of sales. Unrealized gains or losses in the fair value of contracts that do qualify for hedge accounting are recorded in AOCI except for any ineffective portion of the change in fair value, which is immediately recorded in earnings. For the effective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portion of the change in fair value, realized gains or losses remain as a component of AOCI until the related fuel is consumed. Upon consumption of the fuel, the gain or loss is reclassified to cost of sales. Included in the AOCI balance at March 30, 2013 was a gain of $0.1 million related to fuel derivatives that is expected to be reclassified to earnings during the next 12 months, consistent with the timing of the underlying hedged transactions.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Commodity</w:t>
            </w:r>
          </w:p>
        </w:tc>
        <w:tc>
          <w:tcPr>
            <w:tcW w:w="2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MARCH 30, 2013</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MARCH 31, 2012</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7"/>
              </w:rPr>
              <w:t>SEPTEMBER 30, 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244"/>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Urea</w:t>
            </w:r>
          </w:p>
        </w:tc>
        <w:tc>
          <w:tcPr>
            <w:tcW w:w="22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22,500 tons</w:t>
            </w:r>
          </w:p>
        </w:tc>
        <w:tc>
          <w:tcPr>
            <w:tcW w:w="2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9,000 tons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34,500 tons</w:t>
            </w: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Diesel</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3,738,000 gallons</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3,234,000 gallons</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6,552,000 gallons</w:t>
            </w:r>
          </w:p>
        </w:tc>
      </w:tr>
      <w:tr>
        <w:trPr>
          <w:trHeight w:val="27"/>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Gasoline</w:t>
            </w:r>
          </w:p>
        </w:tc>
        <w:tc>
          <w:tcPr>
            <w:tcW w:w="22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644,000 gallons</w:t>
            </w:r>
          </w:p>
        </w:tc>
        <w:tc>
          <w:tcPr>
            <w:tcW w:w="2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217,000 gallons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224,000 gallons</w:t>
            </w: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Heating Oil</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2,856,000 gallons</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1,386,000 gallons</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5,208,000 gallons</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Company’s derivative instruments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ASSETS / (LIABILITIES)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ind w:right="293"/>
              <w:spacing w:after="0" w:line="153" w:lineRule="exact"/>
              <w:rPr>
                <w:sz w:val="20"/>
                <w:szCs w:val="20"/>
                <w:color w:val="auto"/>
              </w:rPr>
            </w:pPr>
            <w:r>
              <w:rPr>
                <w:rFonts w:ascii="Arial" w:cs="Arial" w:eastAsia="Arial" w:hAnsi="Arial"/>
                <w:sz w:val="14"/>
                <w:szCs w:val="14"/>
                <w:b w:val="1"/>
                <w:bCs w:val="1"/>
                <w:color w:val="auto"/>
              </w:rPr>
              <w:t>MARCH 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340" w:type="dxa"/>
            <w:vAlign w:val="bottom"/>
          </w:tcPr>
          <w:p>
            <w:pPr>
              <w:jc w:val="right"/>
              <w:ind w:right="113"/>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DESIGNATED AS HEDGING</w:t>
            </w:r>
          </w:p>
        </w:tc>
        <w:tc>
          <w:tcPr>
            <w:tcW w:w="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58"/>
        </w:trPr>
        <w:tc>
          <w:tcPr>
            <w:tcW w:w="3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Pr>
          <w:p>
            <w:pPr>
              <w:spacing w:after="0"/>
              <w:rPr>
                <w:sz w:val="16"/>
                <w:szCs w:val="16"/>
                <w:color w:val="auto"/>
              </w:rPr>
            </w:pPr>
          </w:p>
        </w:tc>
        <w:tc>
          <w:tcPr>
            <w:tcW w:w="3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12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gridSpan w:val="2"/>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w:t>
            </w:r>
          </w:p>
        </w:tc>
        <w:tc>
          <w:tcPr>
            <w:tcW w:w="1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0" w:type="dxa"/>
            <w:vAlign w:val="bottom"/>
            <w:tcBorders>
              <w:bottom w:val="single" w:sz="8" w:color="CCEEFF"/>
            </w:tcBorders>
          </w:tcPr>
          <w:p>
            <w:pPr>
              <w:spacing w:after="0"/>
              <w:rPr>
                <w:sz w:val="16"/>
                <w:szCs w:val="16"/>
                <w:color w:val="auto"/>
              </w:rPr>
            </w:pPr>
          </w:p>
        </w:tc>
        <w:tc>
          <w:tcPr>
            <w:tcW w:w="29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1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120" w:type="dxa"/>
            <w:vAlign w:val="bottom"/>
            <w:tcBorders>
              <w:bottom w:val="single" w:sz="8" w:color="CCEEFF"/>
            </w:tcBorders>
            <w:shd w:val="clear" w:color="auto" w:fill="CCEEFF"/>
          </w:tcPr>
          <w:p>
            <w:pPr>
              <w:spacing w:after="0"/>
              <w:rPr>
                <w:sz w:val="23"/>
                <w:szCs w:val="23"/>
                <w:color w:val="auto"/>
              </w:rPr>
            </w:pP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97"/>
        </w:trPr>
        <w:tc>
          <w:tcPr>
            <w:tcW w:w="676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Total derivatives not designated as hedging instruments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120" w:type="dxa"/>
            <w:vAlign w:val="bottom"/>
            <w:shd w:val="clear" w:color="auto" w:fill="CCEEFF"/>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effect of derivative instruments on AOCI and the Condensed Consolidated Statements of Operations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gridSpan w:val="9"/>
          </w:tcPr>
          <w:p>
            <w:pPr>
              <w:jc w:val="center"/>
              <w:ind w:left="840"/>
              <w:spacing w:after="0"/>
              <w:rPr>
                <w:sz w:val="20"/>
                <w:szCs w:val="20"/>
                <w:color w:val="auto"/>
              </w:rPr>
            </w:pPr>
            <w:r>
              <w:rPr>
                <w:rFonts w:ascii="Arial" w:cs="Arial" w:eastAsia="Arial" w:hAnsi="Arial"/>
                <w:sz w:val="14"/>
                <w:szCs w:val="14"/>
                <w:b w:val="1"/>
                <w:bCs w:val="1"/>
                <w:color w:val="auto"/>
              </w:rPr>
              <w:t>AMOUNT OF GAIN / (LOSS) RECOGNIZED IN AOCI</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0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30,</w:t>
            </w:r>
          </w:p>
        </w:tc>
        <w:tc>
          <w:tcPr>
            <w:tcW w:w="200" w:type="dxa"/>
            <w:vAlign w:val="bottom"/>
          </w:tcPr>
          <w:p>
            <w:pPr>
              <w:spacing w:after="0"/>
              <w:rPr>
                <w:sz w:val="13"/>
                <w:szCs w:val="13"/>
                <w:color w:val="auto"/>
              </w:rPr>
            </w:pPr>
          </w:p>
        </w:tc>
        <w:tc>
          <w:tcPr>
            <w:tcW w:w="12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3"/>
                <w:szCs w:val="13"/>
                <w:color w:val="auto"/>
              </w:rPr>
            </w:pPr>
          </w:p>
        </w:tc>
        <w:tc>
          <w:tcPr>
            <w:tcW w:w="1100" w:type="dxa"/>
            <w:vAlign w:val="bottom"/>
          </w:tcPr>
          <w:p>
            <w:pPr>
              <w:jc w:val="right"/>
              <w:ind w:right="217"/>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55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6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439"/>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43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437"/>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64"/>
        </w:trPr>
        <w:tc>
          <w:tcPr>
            <w:tcW w:w="54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720" w:type="dxa"/>
            <w:vAlign w:val="bottom"/>
            <w:tcBorders>
              <w:top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558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AMOUNT OF GAIN / (LOSS)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3"/>
        </w:trPr>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RECLASSIFIED FROM AOCI</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SIX MONTHS ENDED</w:t>
            </w:r>
          </w:p>
        </w:tc>
      </w:tr>
      <w:tr>
        <w:trPr>
          <w:trHeight w:val="153"/>
        </w:trPr>
        <w:tc>
          <w:tcPr>
            <w:tcW w:w="34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IN CASH FLOW</w:t>
            </w:r>
          </w:p>
        </w:tc>
        <w:tc>
          <w:tcPr>
            <w:tcW w:w="20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INTO STATEMENT OF</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30,</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30,</w:t>
            </w:r>
          </w:p>
        </w:tc>
        <w:tc>
          <w:tcPr>
            <w:tcW w:w="200" w:type="dxa"/>
            <w:vAlign w:val="bottom"/>
          </w:tcPr>
          <w:p>
            <w:pPr>
              <w:spacing w:after="0"/>
              <w:rPr>
                <w:sz w:val="13"/>
                <w:szCs w:val="13"/>
                <w:color w:val="auto"/>
              </w:rPr>
            </w:pPr>
          </w:p>
        </w:tc>
        <w:tc>
          <w:tcPr>
            <w:tcW w:w="116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3460" w:type="dxa"/>
            <w:vAlign w:val="bottom"/>
            <w:gridSpan w:val="2"/>
          </w:tcPr>
          <w:p>
            <w:pPr>
              <w:ind w:left="40"/>
              <w:spacing w:after="0"/>
              <w:rPr>
                <w:sz w:val="20"/>
                <w:szCs w:val="20"/>
                <w:color w:val="auto"/>
              </w:rPr>
            </w:pPr>
            <w:r>
              <w:rPr>
                <w:rFonts w:ascii="Arial" w:cs="Arial" w:eastAsia="Arial" w:hAnsi="Arial"/>
                <w:sz w:val="14"/>
                <w:szCs w:val="14"/>
                <w:b w:val="1"/>
                <w:bCs w:val="1"/>
                <w:color w:val="auto"/>
              </w:rPr>
              <w:t>HEDGING RELATIONSHIPS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OPERATIONS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6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2012</w:t>
            </w:r>
          </w:p>
        </w:tc>
      </w:tr>
      <w:tr>
        <w:trPr>
          <w:trHeight w:val="264"/>
        </w:trPr>
        <w:tc>
          <w:tcPr>
            <w:tcW w:w="3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760" w:type="dxa"/>
            <w:vAlign w:val="bottom"/>
            <w:tcBorders>
              <w:top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56"/>
        </w:trPr>
        <w:tc>
          <w:tcPr>
            <w:tcW w:w="3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346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20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1.0</w:t>
            </w: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17</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AMOUNT OF GAIN / (LOSS)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3"/>
        </w:trPr>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RECOGNIZED IN</w:t>
            </w:r>
          </w:p>
        </w:tc>
        <w:tc>
          <w:tcPr>
            <w:tcW w:w="2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SIX MONTHS ENDED</w:t>
            </w:r>
          </w:p>
        </w:tc>
      </w:tr>
      <w:tr>
        <w:trPr>
          <w:trHeight w:val="153"/>
        </w:trPr>
        <w:tc>
          <w:tcPr>
            <w:tcW w:w="34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w:t>
            </w:r>
          </w:p>
        </w:tc>
        <w:tc>
          <w:tcPr>
            <w:tcW w:w="21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rPr>
              <w:t>STATEMENT OF</w:t>
            </w:r>
          </w:p>
        </w:tc>
        <w:tc>
          <w:tcPr>
            <w:tcW w:w="20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30,</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30,</w:t>
            </w:r>
          </w:p>
        </w:tc>
        <w:tc>
          <w:tcPr>
            <w:tcW w:w="200" w:type="dxa"/>
            <w:vAlign w:val="bottom"/>
          </w:tcPr>
          <w:p>
            <w:pPr>
              <w:spacing w:after="0"/>
              <w:rPr>
                <w:sz w:val="13"/>
                <w:szCs w:val="13"/>
                <w:color w:val="auto"/>
              </w:rPr>
            </w:pPr>
          </w:p>
        </w:tc>
        <w:tc>
          <w:tcPr>
            <w:tcW w:w="116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34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HEDGING INSTRUMENTS</w:t>
            </w: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OPERATIONS</w:t>
            </w:r>
          </w:p>
        </w:tc>
        <w:tc>
          <w:tcPr>
            <w:tcW w:w="200" w:type="dxa"/>
            <w:vAlign w:val="bottom"/>
          </w:tcPr>
          <w:p>
            <w:pPr>
              <w:spacing w:after="0"/>
              <w:rPr>
                <w:sz w:val="16"/>
                <w:szCs w:val="16"/>
                <w:color w:val="auto"/>
              </w:rPr>
            </w:pPr>
          </w:p>
        </w:tc>
        <w:tc>
          <w:tcPr>
            <w:tcW w:w="1160" w:type="dxa"/>
            <w:vAlign w:val="bottom"/>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6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2012</w:t>
            </w:r>
          </w:p>
        </w:tc>
      </w:tr>
      <w:tr>
        <w:trPr>
          <w:trHeight w:val="264"/>
        </w:trPr>
        <w:tc>
          <w:tcPr>
            <w:tcW w:w="3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760" w:type="dxa"/>
            <w:vAlign w:val="bottom"/>
            <w:tcBorders>
              <w:top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56"/>
        </w:trPr>
        <w:tc>
          <w:tcPr>
            <w:tcW w:w="3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w:t>
            </w:r>
          </w:p>
        </w:tc>
      </w:tr>
      <w:tr>
        <w:trPr>
          <w:trHeight w:val="243"/>
        </w:trPr>
        <w:tc>
          <w:tcPr>
            <w:tcW w:w="346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218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1.9</w:t>
            </w: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44"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includes pricing models, discounted cash flow methodologies and similar techniques that use significant unobservable inputs.</w:t>
      </w:r>
    </w:p>
    <w:p>
      <w:pPr>
        <w:spacing w:after="0" w:line="13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Derivatives consist of foreign currency, interest rate and commodity derivative instruments. Foreign currency swap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10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current assets and other current liabilities.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equivalents consist of highly liquid investments purchased with a maturity of three months or less. The carrying value of these cash equivalents approximates fair value due to their short-term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financial assets consist of investment securities in non-qualified retirement plan assets. These securities are valued using observable market prices in active markets.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March 30, 2013: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Significant Other</w:t>
            </w:r>
          </w:p>
        </w:tc>
        <w:tc>
          <w:tcPr>
            <w:tcW w:w="28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34"/>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Foreign currency swap contracts</w:t>
            </w:r>
          </w:p>
        </w:tc>
        <w:tc>
          <w:tcPr>
            <w:tcW w:w="20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210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2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0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March 31, 2012: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Significant Other</w:t>
            </w:r>
          </w:p>
        </w:tc>
        <w:tc>
          <w:tcPr>
            <w:tcW w:w="28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35"/>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0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67"/>
        </w:trPr>
        <w:tc>
          <w:tcPr>
            <w:tcW w:w="36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Foreign currency swap contracts</w:t>
            </w:r>
          </w:p>
        </w:tc>
        <w:tc>
          <w:tcPr>
            <w:tcW w:w="20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jc w:val="right"/>
              <w:ind w:right="75"/>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Quoted Prices in Active</w:t>
            </w:r>
          </w:p>
        </w:tc>
        <w:tc>
          <w:tcPr>
            <w:tcW w:w="220" w:type="dxa"/>
            <w:vAlign w:val="bottom"/>
          </w:tcPr>
          <w:p>
            <w:pPr>
              <w:spacing w:after="0"/>
              <w:rPr>
                <w:sz w:val="14"/>
                <w:szCs w:val="14"/>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00" w:type="dxa"/>
            <w:vAlign w:val="bottom"/>
          </w:tcPr>
          <w:p>
            <w:pPr>
              <w:spacing w:after="0"/>
              <w:rPr>
                <w:sz w:val="14"/>
                <w:szCs w:val="14"/>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Unobservable</w:t>
            </w: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Markets for Identical Assets</w:t>
            </w:r>
          </w:p>
        </w:tc>
        <w:tc>
          <w:tcPr>
            <w:tcW w:w="22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00" w:type="dxa"/>
            <w:vAlign w:val="bottom"/>
          </w:tcPr>
          <w:p>
            <w:pPr>
              <w:spacing w:after="0"/>
              <w:rPr>
                <w:sz w:val="12"/>
                <w:szCs w:val="12"/>
                <w:color w:val="auto"/>
              </w:rPr>
            </w:pPr>
          </w:p>
        </w:tc>
        <w:tc>
          <w:tcPr>
            <w:tcW w:w="16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spacing w:after="0"/>
              <w:rPr>
                <w:sz w:val="12"/>
                <w:szCs w:val="12"/>
                <w:color w:val="auto"/>
              </w:rPr>
            </w:pPr>
          </w:p>
        </w:tc>
        <w:tc>
          <w:tcPr>
            <w:tcW w:w="1380" w:type="dxa"/>
            <w:vAlign w:val="bottom"/>
            <w:vMerge w:val="restart"/>
          </w:tcPr>
          <w:p>
            <w:pPr>
              <w:jc w:val="right"/>
              <w:ind w:right="6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3)</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ind w:right="15"/>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00" w:type="dxa"/>
            <w:vAlign w:val="bottom"/>
          </w:tcPr>
          <w:p>
            <w:pPr>
              <w:spacing w:after="0"/>
              <w:rPr>
                <w:sz w:val="21"/>
                <w:szCs w:val="21"/>
                <w:color w:val="auto"/>
              </w:rPr>
            </w:pP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67"/>
        </w:trPr>
        <w:tc>
          <w:tcPr>
            <w:tcW w:w="33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00" w:type="dxa"/>
            <w:vAlign w:val="bottom"/>
          </w:tcPr>
          <w:p>
            <w:pPr>
              <w:spacing w:after="0"/>
              <w:rPr>
                <w:sz w:val="21"/>
                <w:szCs w:val="21"/>
                <w:color w:val="auto"/>
              </w:rPr>
            </w:pP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148" w:lineRule="exact"/>
        <w:rPr>
          <w:sz w:val="20"/>
          <w:szCs w:val="20"/>
          <w:color w:val="auto"/>
        </w:rPr>
      </w:pPr>
    </w:p>
    <w:p>
      <w:pPr>
        <w:jc w:val="both"/>
        <w:ind w:right="20" w:firstLine="432"/>
        <w:spacing w:after="0" w:line="216" w:lineRule="auto"/>
        <w:rPr>
          <w:sz w:val="20"/>
          <w:szCs w:val="20"/>
          <w:color w:val="auto"/>
        </w:rPr>
      </w:pPr>
      <w:r>
        <w:rPr>
          <w:rFonts w:ascii="Arial" w:cs="Arial" w:eastAsia="Arial" w:hAnsi="Arial"/>
          <w:sz w:val="18"/>
          <w:szCs w:val="18"/>
          <w:color w:val="auto"/>
        </w:rPr>
        <w:t>The Company divides its business into the following segments —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This division of reportable segments is consistent with how the segments report to and are managed by the chief operating decision maker of the Company.</w:t>
      </w:r>
    </w:p>
    <w:p>
      <w:pPr>
        <w:spacing w:after="0" w:line="12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Segment performance is evaluated based on several factors, including income from continuing operations before amortization, product registration and recall costs, and impairment, restructuring and other charges, which is not a GAAP measure. Senior management of the Company uses this measure of operating profit to gauge segment performance because the Company believes this measure is the most indicative of performance trends and the overall earnings potential of each segment.</w:t>
      </w:r>
    </w:p>
    <w:p>
      <w:pPr>
        <w:spacing w:after="0" w:line="106"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Corporate &amp; Other consists of revenues and expenses associated with the Company’s supply agreements with Israel Chemicals, Ltd. ("ICL") and the amortization related to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 as well as corporate, general and administrative expenses and certain other income/expense items not allocated to the business segments. Corporate &amp; Other assets primarily include deferred financing and debt issuance costs and corporate intangible assets, as well as deferred tax assets.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summarized financial information concerning the Company’s reportable segments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5"/>
          </w:tcPr>
          <w:p>
            <w:pPr>
              <w:jc w:val="right"/>
              <w:ind w:right="8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ind w:right="413"/>
              <w:spacing w:after="0" w:line="153" w:lineRule="exact"/>
              <w:rPr>
                <w:sz w:val="20"/>
                <w:szCs w:val="20"/>
                <w:color w:val="auto"/>
              </w:rPr>
            </w:pPr>
            <w:r>
              <w:rPr>
                <w:rFonts w:ascii="Arial" w:cs="Arial" w:eastAsia="Arial" w:hAnsi="Arial"/>
                <w:sz w:val="14"/>
                <w:szCs w:val="14"/>
                <w:b w:val="1"/>
                <w:bCs w:val="1"/>
                <w:color w:val="auto"/>
              </w:rPr>
              <w:t>MARCH 30,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3"/>
                <w:szCs w:val="13"/>
                <w:color w:val="auto"/>
              </w:rPr>
            </w:pPr>
          </w:p>
        </w:tc>
        <w:tc>
          <w:tcPr>
            <w:tcW w:w="1440" w:type="dxa"/>
            <w:vAlign w:val="bottom"/>
            <w:gridSpan w:val="2"/>
          </w:tcPr>
          <w:p>
            <w:pPr>
              <w:jc w:val="center"/>
              <w:ind w:right="520"/>
              <w:spacing w:after="0" w:line="153" w:lineRule="exact"/>
              <w:rPr>
                <w:sz w:val="20"/>
                <w:szCs w:val="20"/>
                <w:color w:val="auto"/>
              </w:rPr>
            </w:pPr>
            <w:r>
              <w:rPr>
                <w:rFonts w:ascii="Arial" w:cs="Arial" w:eastAsia="Arial" w:hAnsi="Arial"/>
                <w:sz w:val="14"/>
                <w:szCs w:val="14"/>
                <w:b w:val="1"/>
                <w:bCs w:val="1"/>
                <w:color w:val="auto"/>
              </w:rPr>
              <w:t>MARCH 30,</w:t>
            </w:r>
          </w:p>
        </w:tc>
        <w:tc>
          <w:tcPr>
            <w:tcW w:w="200" w:type="dxa"/>
            <w:vAlign w:val="bottom"/>
          </w:tcPr>
          <w:p>
            <w:pPr>
              <w:spacing w:after="0"/>
              <w:rPr>
                <w:sz w:val="13"/>
                <w:szCs w:val="13"/>
                <w:color w:val="auto"/>
              </w:rPr>
            </w:pPr>
          </w:p>
        </w:tc>
        <w:tc>
          <w:tcPr>
            <w:tcW w:w="1500" w:type="dxa"/>
            <w:vAlign w:val="bottom"/>
          </w:tcPr>
          <w:p>
            <w:pPr>
              <w:jc w:val="center"/>
              <w:ind w:right="153"/>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2012</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974.6</w:t>
            </w:r>
          </w:p>
        </w:tc>
        <w:tc>
          <w:tcPr>
            <w:tcW w:w="3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1,119.6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1,127.8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1,268.7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280" w:type="dxa"/>
            <w:vAlign w:val="bottom"/>
          </w:tcPr>
          <w:p>
            <w:pPr>
              <w:spacing w:after="0"/>
              <w:rPr>
                <w:sz w:val="20"/>
                <w:szCs w:val="20"/>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1,007.5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1,155.5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1,205.5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1,342.2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1,019.6</w:t>
            </w:r>
          </w:p>
        </w:tc>
        <w:tc>
          <w:tcPr>
            <w:tcW w:w="120" w:type="dxa"/>
            <w:vAlign w:val="bottom"/>
            <w:gridSpan w:val="2"/>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1,170.4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1,225.4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1,370.0</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24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4"/>
              </w:rPr>
              <w:t>Income (loss) from continuing operations before income</w:t>
            </w: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220.1</w:t>
            </w:r>
          </w:p>
        </w:tc>
        <w:tc>
          <w:tcPr>
            <w:tcW w:w="3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280" w:type="dxa"/>
            <w:vAlign w:val="bottom"/>
          </w:tcPr>
          <w:p>
            <w:pPr>
              <w:spacing w:after="0"/>
              <w:rPr>
                <w:sz w:val="20"/>
                <w:szCs w:val="20"/>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203.1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155.2</w:t>
            </w:r>
          </w:p>
        </w:tc>
        <w:tc>
          <w:tcPr>
            <w:tcW w:w="120" w:type="dxa"/>
            <w:vAlign w:val="bottom"/>
            <w:gridSpan w:val="2"/>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MARCH 30,</w:t>
            </w:r>
          </w:p>
        </w:tc>
        <w:tc>
          <w:tcPr>
            <w:tcW w:w="380" w:type="dxa"/>
            <w:vAlign w:val="bottom"/>
          </w:tcPr>
          <w:p>
            <w:pPr>
              <w:spacing w:after="0"/>
              <w:rPr>
                <w:sz w:val="24"/>
                <w:szCs w:val="2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24"/>
                <w:szCs w:val="24"/>
                <w:color w:val="auto"/>
              </w:rPr>
            </w:pPr>
          </w:p>
        </w:tc>
        <w:tc>
          <w:tcPr>
            <w:tcW w:w="1500" w:type="dxa"/>
            <w:vAlign w:val="bottom"/>
          </w:tcPr>
          <w:p>
            <w:pPr>
              <w:jc w:val="center"/>
              <w:ind w:right="153"/>
              <w:spacing w:after="0"/>
              <w:rPr>
                <w:sz w:val="20"/>
                <w:szCs w:val="20"/>
                <w:color w:val="auto"/>
              </w:rPr>
            </w:pPr>
            <w:r>
              <w:rPr>
                <w:rFonts w:ascii="Arial" w:cs="Arial" w:eastAsia="Arial" w:hAnsi="Arial"/>
                <w:sz w:val="14"/>
                <w:szCs w:val="14"/>
                <w:b w:val="1"/>
                <w:bCs w:val="1"/>
                <w:color w:val="auto"/>
                <w:w w:val="99"/>
              </w:rPr>
              <w:t>SEPTEMBER 30,</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2012</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2,517.1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2,629.2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1,676.4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180.1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175.2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Corporate &amp; Other</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265.3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2,896.9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3,069.7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2,074.4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CCEEFF"/>
            </w:tcBorders>
            <w:vMerge w:val="restart"/>
          </w:tcPr>
          <w:p>
            <w:pPr>
              <w:jc w:val="right"/>
              <w:ind w:right="93"/>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FINANCIAL INFORMATION FOR SUBSIDIARY GUARANTORS AND NON-GUARANTORS</w:t>
      </w:r>
    </w:p>
    <w:p>
      <w:pPr>
        <w:spacing w:after="0" w:line="148"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8"/>
          <w:szCs w:val="18"/>
          <w:color w:val="auto"/>
        </w:rPr>
        <w:t xml:space="preserve">The 7.25% and 6.625% Senior Notes (collectively, the “Senior Notes”) issued by Scotts Miracle-Gro on January 14, 2010 and December 16, 2010, respectively, are guaranteed by certain of its domestic subsidiaries and, therefore, the Company has disclosed condensed consolidating financial information in accordance with SEC Regulation S-X Rule 3-10, </w:t>
      </w:r>
      <w:r>
        <w:rPr>
          <w:rFonts w:ascii="Arial" w:cs="Arial" w:eastAsia="Arial" w:hAnsi="Arial"/>
          <w:sz w:val="18"/>
          <w:szCs w:val="18"/>
          <w:i w:val="1"/>
          <w:iCs w:val="1"/>
          <w:color w:val="auto"/>
        </w:rPr>
        <w:t>Financial Statements of Guarantors and Issuers of Guaranteed Securities Registered or Being Registered</w:t>
      </w:r>
      <w:r>
        <w:rPr>
          <w:rFonts w:ascii="Arial" w:cs="Arial" w:eastAsia="Arial" w:hAnsi="Arial"/>
          <w:sz w:val="18"/>
          <w:szCs w:val="18"/>
          <w:color w:val="auto"/>
        </w:rPr>
        <w:t>. The following 100% directly or indirectly owned subsidiaries fully and unconditionally guarantee the Senior Notes on a joint and several basis: EG Systems, Inc., dba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Gutwein &amp; Co., Inc.; Hyponex Corporation; Miracle-Gro Lawn Products, Inc.; OMS Investments, Inc.; Rod McLellan Company; Sanford Scientific, Inc.; Scotts Temecula Operations, LLC; Scotts Manufacturing Company; Scotts Products Co.; Scotts Professional Products Co.; Scotts-Sierra Investments, Inc.; SMG Brands, Inc.; SMG Growing Media, Inc.; Swiss Farms Products, Inc.; and The Scotts Company LLC (collectively, the “Guarantors”).</w:t>
      </w:r>
    </w:p>
    <w:p>
      <w:pPr>
        <w:spacing w:after="0" w:line="120"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The following information presents Condensed Consolidating Statements of Operations for the three and six months ended March 30, 2013 and March 31, 2012, Condensed Consolidating Statements of Comprehensive Income for the three and six months ended March 30, 2013 and March 31, 2012, Condensed Consolidating Statements of Cash Flows for the six months ended March 30, 2013 and March 31, 2012, and Condensed Consolidating Balance Sheets as of March 30, 2013, March 31, 2012 and September 30, 2012.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30, 2013</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523.3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640.8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378.7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income in subsidiaries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30, 2013</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1,225.4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655.2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815.5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income (loss) in subsidiaries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30, 2013</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comprehensive income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30, 2013</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six months ended March 30, 2013</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Parent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6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5"/>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Guarantors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Investment in acquired business, net of cash acquired</w:t>
            </w:r>
          </w:p>
        </w:tc>
        <w:tc>
          <w:tcPr>
            <w:tcW w:w="2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2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949.7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217.1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1,166.8</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(572.9)</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seller notes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 arrangements</w:t>
            </w:r>
          </w:p>
        </w:tc>
        <w:tc>
          <w:tcPr>
            <w:tcW w:w="2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Intercompany financing</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226.1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555.9</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6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27</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30, 2013</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713.9</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613.0</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1,836.7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314.5</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849.1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1,796.8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2,499.2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595.9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(1,995.0)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2,896.9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80" w:type="dxa"/>
            <w:vAlign w:val="bottom"/>
          </w:tcPr>
          <w:p>
            <w:pPr>
              <w:spacing w:after="0"/>
              <w:rPr>
                <w:sz w:val="24"/>
                <w:szCs w:val="24"/>
                <w:color w:val="auto"/>
              </w:rPr>
            </w:pPr>
          </w:p>
        </w:tc>
        <w:tc>
          <w:tcPr>
            <w:tcW w:w="4000" w:type="dxa"/>
            <w:vAlign w:val="bottom"/>
            <w:gridSpan w:val="8"/>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204.3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888.2</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1,157.5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736.6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1,163.0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1,189.9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1,820.4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2,290.0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1,796.8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2,499.2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595.9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(1,995.0)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2,896.9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2012</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572.2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708.5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sales—product registration and recall matters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387.1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461.7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31, 2012</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704.6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882.5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sales—product registration and recall matters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487.3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359.5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2012</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5260" w:type="dxa"/>
            <w:vAlign w:val="bottom"/>
          </w:tcPr>
          <w:p>
            <w:pPr>
              <w:ind w:left="50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31, 2012</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31, 2012</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1,705.6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arrangements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financing</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507.7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635.7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2012</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899.0</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601.6</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2,026.6</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825.4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1,860.8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2,586.2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658.1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(2,035.4)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3,069.7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680" w:type="dxa"/>
            <w:vAlign w:val="bottom"/>
          </w:tcPr>
          <w:p>
            <w:pPr>
              <w:spacing w:after="0"/>
              <w:rPr>
                <w:sz w:val="24"/>
                <w:szCs w:val="24"/>
                <w:color w:val="auto"/>
              </w:rPr>
            </w:pPr>
          </w:p>
        </w:tc>
        <w:tc>
          <w:tcPr>
            <w:tcW w:w="4000" w:type="dxa"/>
            <w:vAlign w:val="bottom"/>
            <w:gridSpan w:val="8"/>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224.3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438.5</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1,237.1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654.1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1,241.2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1,931.1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2,480.0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589.7</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1,860.8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2,586.2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658.1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(2,035.4)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3,069.7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2012</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671.6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2,074.4</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680" w:type="dxa"/>
            <w:vAlign w:val="bottom"/>
          </w:tcPr>
          <w:p>
            <w:pPr>
              <w:spacing w:after="0"/>
              <w:rPr>
                <w:sz w:val="24"/>
                <w:szCs w:val="24"/>
                <w:color w:val="auto"/>
              </w:rPr>
            </w:pPr>
          </w:p>
        </w:tc>
        <w:tc>
          <w:tcPr>
            <w:tcW w:w="4000" w:type="dxa"/>
            <w:vAlign w:val="bottom"/>
            <w:gridSpan w:val="8"/>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433.6</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777.1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813.0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965.6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1,472.5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601.9</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1,414.9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1,623.9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(1,428.4)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2,074.4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Management’s Discussion and Analysis is divided into the following sections:</w:t>
      </w:r>
    </w:p>
    <w:p>
      <w:pPr>
        <w:spacing w:after="0" w:line="7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4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This discussion and analysis should be read in conjunction with “Management’s Discussion and Analysis of Financial Condition and Results of Operations” included in Scotts Miracle-Gro’s Annual Report on Form 10-K for the fiscal year ended September 30, 2012.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48" w:lineRule="exact"/>
        <w:rPr>
          <w:sz w:val="20"/>
          <w:szCs w:val="20"/>
          <w:color w:val="auto"/>
        </w:rPr>
      </w:pPr>
    </w:p>
    <w:p>
      <w:pPr>
        <w:jc w:val="both"/>
        <w:ind w:firstLine="432"/>
        <w:spacing w:after="0" w:line="224" w:lineRule="auto"/>
        <w:rPr>
          <w:sz w:val="20"/>
          <w:szCs w:val="20"/>
          <w:color w:val="auto"/>
        </w:rPr>
      </w:pPr>
      <w:r>
        <w:rPr>
          <w:rFonts w:ascii="Arial" w:cs="Arial" w:eastAsia="Arial" w:hAnsi="Arial"/>
          <w:sz w:val="18"/>
          <w:szCs w:val="18"/>
          <w:color w:val="auto"/>
        </w:rPr>
        <w:t>We are a leading manufacturer and marketer of consumer branded products for lawn and garden care in North America and Europe. We are Monsanto’s exclusive agent for the marketing and distribution of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non-selective herbicide products within the United States and other contractually specified countries. We have a presence in similar consumer branded products in Australia, the Far East and Latin America. We also operate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the second largest lawn care service business in the United States. Our operations are divided into the following reportable segments: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5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As a leading consumer branded lawn and garden company, our product development and marketing efforts are largely focused on providing innovative and differentiated products and on continually increasing brand and product awareness to inspire consumers and create retail demand. We have successfully applied this model for a number of years by focusing on research and development and investing in advertising to support and promote our products and brands. We continually explore new and innovative ways to communicate with consumers. We believe that we receive a significant return on these expenditures and anticipate a similar commitment to research and development, advertising and marketing investments in the future, with the continuing objective of driving profitable growth. We are undertaking initiatives in fiscal 2013 to focus on improving profitability while balancing the need to continually build stronger capabilities for future growth. These initiatives include price optimization, product cost-out initiatives and SG&amp;A productivity.</w:t>
      </w:r>
    </w:p>
    <w:p>
      <w:pPr>
        <w:spacing w:after="0" w:line="11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Effective in our fourth quarter of fiscal 2012, we classified our professional seed business as discontinued operations. Prior to being reported as discontinued operations, our professional seed business was included as part of Corporate &amp; Other.</w:t>
      </w:r>
    </w:p>
    <w:p>
      <w:pPr>
        <w:spacing w:after="0" w:line="8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Due to the nature of the lawn and garden business, significant portions of our products ship to our retail customers during our second and third fiscal quarters, as noted in the chart below. Our annual sales are further concentrated in the second and third fiscal quarters by retailers who rely on our ability to deliver products closer to when consumers buy our products, thereby reducing retailers’ pre-season inventories. For fiscal 2013, the Company expects the percent of total annual net sales from continuing operations for the second and third quarters to be in-line with fiscal 2010 and years prior.</w:t>
      </w:r>
    </w:p>
    <w:p>
      <w:pPr>
        <w:spacing w:after="0" w:line="271"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Percent of Net Sales from</w:t>
      </w:r>
    </w:p>
    <w:p>
      <w:pPr>
        <w:spacing w:after="0" w:line="4"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Continuing 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13335</wp:posOffset>
            </wp:positionV>
            <wp:extent cx="28473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gridSpan w:val="2"/>
          </w:tcPr>
          <w:p>
            <w:pPr>
              <w:ind w:left="7480"/>
              <w:spacing w:after="0"/>
              <w:rPr>
                <w:sz w:val="20"/>
                <w:szCs w:val="20"/>
                <w:color w:val="auto"/>
              </w:rPr>
            </w:pPr>
            <w:r>
              <w:rPr>
                <w:rFonts w:ascii="Arial" w:cs="Arial" w:eastAsia="Arial" w:hAnsi="Arial"/>
                <w:sz w:val="14"/>
                <w:szCs w:val="14"/>
                <w:b w:val="1"/>
                <w:bCs w:val="1"/>
                <w:color w:val="auto"/>
                <w:w w:val="96"/>
              </w:rPr>
              <w:t>2012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2010</w:t>
            </w:r>
          </w:p>
        </w:tc>
      </w:tr>
      <w:tr>
        <w:trPr>
          <w:trHeight w:val="250"/>
        </w:trPr>
        <w:tc>
          <w:tcPr>
            <w:tcW w:w="6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41.4%</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7"/>
        </w:trPr>
        <w:tc>
          <w:tcPr>
            <w:tcW w:w="6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14.2%</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Scotts Miracle-Gro Board of Directors has authorized the repurchase of up to $700 million of our Common Shares through September 30, 2014. Further, on August 9, 2012, we announced that the Scotts Miracle-Gro Board of Directors had increased our quarterly dividend from $0.30 to $0.325 per Common Share. The decision to increase the amount of cash we intend to return to our shareholders reflects our continued confidence in the business and our desire to maintain a consistent capital structure. From the inception of the share repurchase program in the fourth quarter of fiscal 2010 through the second quarter of fiscal 2013, we have repurchased approximately 7.8 million of our Common Shares in open market transactions for $401.2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classified our professional seed business as discontinued operations, for all periods presented, beginning in our fourth quarter of fiscal 2012. As a result, and unless specifically stated, all discussions regarding results for the three and six months ended March 30, 2013 and March 31, 2012, reflect results from our continuing operations.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income and expense as a percentage of net sales: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3420" w:type="dxa"/>
            <w:vAlign w:val="bottom"/>
            <w:tcBorders>
              <w:bottom w:val="single" w:sz="8" w:color="auto"/>
            </w:tcBorders>
            <w:gridSpan w:val="3"/>
          </w:tcPr>
          <w:p>
            <w:pPr>
              <w:jc w:val="right"/>
              <w:ind w:right="7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440" w:type="dxa"/>
            <w:vAlign w:val="bottom"/>
            <w:tcBorders>
              <w:bottom w:val="single" w:sz="8" w:color="auto"/>
            </w:tcBorders>
            <w:gridSpan w:val="3"/>
          </w:tcPr>
          <w:p>
            <w:pPr>
              <w:jc w:val="right"/>
              <w:ind w:right="89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460" w:type="dxa"/>
            <w:vAlign w:val="bottom"/>
          </w:tcPr>
          <w:p>
            <w:pPr>
              <w:spacing w:after="0"/>
              <w:rPr>
                <w:sz w:val="22"/>
                <w:szCs w:val="22"/>
                <w:color w:val="auto"/>
              </w:rPr>
            </w:pPr>
          </w:p>
        </w:tc>
        <w:tc>
          <w:tcPr>
            <w:tcW w:w="176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30, 2013</w:t>
            </w:r>
          </w:p>
        </w:tc>
        <w:tc>
          <w:tcPr>
            <w:tcW w:w="176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31, 2012</w:t>
            </w:r>
          </w:p>
        </w:tc>
        <w:tc>
          <w:tcPr>
            <w:tcW w:w="1780" w:type="dxa"/>
            <w:vAlign w:val="bottom"/>
            <w:gridSpan w:val="2"/>
          </w:tcPr>
          <w:p>
            <w:pPr>
              <w:ind w:left="300"/>
              <w:spacing w:after="0"/>
              <w:rPr>
                <w:sz w:val="20"/>
                <w:szCs w:val="20"/>
                <w:color w:val="auto"/>
              </w:rPr>
            </w:pPr>
            <w:r>
              <w:rPr>
                <w:rFonts w:ascii="Arial" w:cs="Arial" w:eastAsia="Arial" w:hAnsi="Arial"/>
                <w:sz w:val="14"/>
                <w:szCs w:val="14"/>
                <w:b w:val="1"/>
                <w:bCs w:val="1"/>
                <w:color w:val="auto"/>
              </w:rPr>
              <w:t>MARCH 30, 2013</w:t>
            </w:r>
          </w:p>
        </w:tc>
        <w:tc>
          <w:tcPr>
            <w:tcW w:w="1660" w:type="dxa"/>
            <w:vAlign w:val="bottom"/>
          </w:tcPr>
          <w:p>
            <w:pPr>
              <w:jc w:val="right"/>
              <w:ind w:right="191"/>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1680" w:type="dxa"/>
            <w:vAlign w:val="bottom"/>
          </w:tcPr>
          <w:p>
            <w:pPr>
              <w:jc w:val="right"/>
              <w:ind w:right="152"/>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64.4</w:t>
            </w:r>
          </w:p>
        </w:tc>
      </w:tr>
      <w:tr>
        <w:trPr>
          <w:trHeight w:val="27"/>
        </w:trPr>
        <w:tc>
          <w:tcPr>
            <w:tcW w:w="4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Cost of sales – product registration and recall matters</w:t>
            </w:r>
          </w:p>
        </w:tc>
        <w:tc>
          <w:tcPr>
            <w:tcW w:w="1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35.6</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26.3</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1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0.5</w:t>
            </w:r>
          </w:p>
        </w:tc>
      </w:tr>
      <w:tr>
        <w:trPr>
          <w:trHeight w:val="27"/>
        </w:trPr>
        <w:tc>
          <w:tcPr>
            <w:tcW w:w="4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1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0.3</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60" w:type="dxa"/>
            <w:vAlign w:val="bottom"/>
          </w:tcPr>
          <w:p>
            <w:pPr>
              <w:jc w:val="right"/>
              <w:ind w:right="7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60" w:type="dxa"/>
            <w:vAlign w:val="bottom"/>
          </w:tcPr>
          <w:p>
            <w:pPr>
              <w:jc w:val="right"/>
              <w:ind w:right="71"/>
              <w:spacing w:after="0"/>
              <w:rPr>
                <w:sz w:val="20"/>
                <w:szCs w:val="20"/>
                <w:color w:val="auto"/>
              </w:rPr>
            </w:pPr>
            <w:r>
              <w:rPr>
                <w:rFonts w:ascii="Arial" w:cs="Arial" w:eastAsia="Arial" w:hAnsi="Arial"/>
                <w:sz w:val="18"/>
                <w:szCs w:val="18"/>
                <w:color w:val="auto"/>
              </w:rPr>
              <w:t>(0.1)</w:t>
            </w:r>
          </w:p>
        </w:tc>
      </w:tr>
      <w:tr>
        <w:trPr>
          <w:trHeight w:val="27"/>
        </w:trPr>
        <w:tc>
          <w:tcPr>
            <w:tcW w:w="44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8.6</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8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2.4</w:t>
            </w:r>
          </w:p>
        </w:tc>
      </w:tr>
      <w:tr>
        <w:trPr>
          <w:trHeight w:val="27"/>
        </w:trPr>
        <w:tc>
          <w:tcPr>
            <w:tcW w:w="44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Income from continuing operations before income taxes</w:t>
            </w: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6.2</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Income tax expense from continuing operations</w:t>
            </w: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680" w:type="dxa"/>
            <w:vAlign w:val="bottom"/>
          </w:tcPr>
          <w:p>
            <w:pPr>
              <w:jc w:val="right"/>
              <w:ind w:right="15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2.3</w:t>
            </w:r>
          </w:p>
        </w:tc>
      </w:tr>
      <w:tr>
        <w:trPr>
          <w:trHeight w:val="27"/>
        </w:trPr>
        <w:tc>
          <w:tcPr>
            <w:tcW w:w="44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3.9</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Income from discontinued operations, net of tax</w:t>
            </w:r>
          </w:p>
        </w:tc>
        <w:tc>
          <w:tcPr>
            <w:tcW w:w="1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80" w:type="dxa"/>
            <w:vAlign w:val="bottom"/>
          </w:tcPr>
          <w:p>
            <w:pPr>
              <w:jc w:val="right"/>
              <w:ind w:right="15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sales for the three months ended March 30, 2013, were $1,019.6 million, a decrease of 12.9% from net sales of $1,170.4 million for the three months ended March 31, 2012. Net sales for the six months ended March 30, 2013, were $1,225.4 million, a decrease of 10.6% from net sales of $1,370.0 million for the six months ended March 31, 2012. The change in net sales was attributable to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3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2940" w:type="dxa"/>
            <w:vAlign w:val="bottom"/>
          </w:tcPr>
          <w:p>
            <w:pPr>
              <w:jc w:val="right"/>
              <w:ind w:right="655"/>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460" w:type="dxa"/>
            <w:vAlign w:val="bottom"/>
          </w:tcPr>
          <w:p>
            <w:pPr>
              <w:spacing w:after="0"/>
              <w:rPr>
                <w:sz w:val="24"/>
                <w:szCs w:val="24"/>
                <w:color w:val="auto"/>
              </w:rPr>
            </w:pPr>
          </w:p>
        </w:tc>
        <w:tc>
          <w:tcPr>
            <w:tcW w:w="3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MARCH 30, 2013</w:t>
            </w:r>
          </w:p>
        </w:tc>
        <w:tc>
          <w:tcPr>
            <w:tcW w:w="2940" w:type="dxa"/>
            <w:vAlign w:val="bottom"/>
          </w:tcPr>
          <w:p>
            <w:pPr>
              <w:jc w:val="right"/>
              <w:ind w:right="835"/>
              <w:spacing w:after="0"/>
              <w:rPr>
                <w:sz w:val="20"/>
                <w:szCs w:val="20"/>
                <w:color w:val="auto"/>
              </w:rPr>
            </w:pPr>
            <w:r>
              <w:rPr>
                <w:rFonts w:ascii="Arial" w:cs="Arial" w:eastAsia="Arial" w:hAnsi="Arial"/>
                <w:sz w:val="14"/>
                <w:szCs w:val="14"/>
                <w:b w:val="1"/>
                <w:bCs w:val="1"/>
                <w:color w:val="auto"/>
              </w:rPr>
              <w:t>MARCH 30, 2013</w:t>
            </w:r>
          </w:p>
        </w:tc>
      </w:tr>
      <w:tr>
        <w:trPr>
          <w:trHeight w:val="250"/>
        </w:trPr>
        <w:tc>
          <w:tcPr>
            <w:tcW w:w="5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2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Pricing</w:t>
            </w:r>
          </w:p>
        </w:tc>
        <w:tc>
          <w:tcPr>
            <w:tcW w:w="2920" w:type="dxa"/>
            <w:vAlign w:val="bottom"/>
          </w:tcPr>
          <w:p>
            <w:pPr>
              <w:jc w:val="right"/>
              <w:ind w:right="154"/>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940" w:type="dxa"/>
            <w:vAlign w:val="bottom"/>
          </w:tcPr>
          <w:p>
            <w:pPr>
              <w:jc w:val="right"/>
              <w:ind w:right="155"/>
              <w:spacing w:after="0"/>
              <w:rPr>
                <w:sz w:val="20"/>
                <w:szCs w:val="20"/>
                <w:color w:val="auto"/>
              </w:rPr>
            </w:pPr>
            <w:r>
              <w:rPr>
                <w:rFonts w:ascii="Arial" w:cs="Arial" w:eastAsia="Arial" w:hAnsi="Arial"/>
                <w:sz w:val="18"/>
                <w:szCs w:val="18"/>
                <w:color w:val="auto"/>
              </w:rPr>
              <w:t>0.8</w:t>
            </w:r>
          </w:p>
        </w:tc>
      </w:tr>
      <w:tr>
        <w:trPr>
          <w:trHeight w:val="27"/>
        </w:trPr>
        <w:tc>
          <w:tcPr>
            <w:tcW w:w="54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rates</w:t>
            </w:r>
          </w:p>
        </w:tc>
        <w:tc>
          <w:tcPr>
            <w:tcW w:w="2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(0.3)</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2920" w:type="dxa"/>
            <w:vAlign w:val="bottom"/>
          </w:tcPr>
          <w:p>
            <w:pPr>
              <w:jc w:val="right"/>
              <w:ind w:right="15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940" w:type="dxa"/>
            <w:vAlign w:val="bottom"/>
          </w:tcPr>
          <w:p>
            <w:pPr>
              <w:jc w:val="right"/>
              <w:ind w:right="155"/>
              <w:spacing w:after="0"/>
              <w:rPr>
                <w:sz w:val="20"/>
                <w:szCs w:val="20"/>
                <w:color w:val="auto"/>
              </w:rPr>
            </w:pPr>
            <w:r>
              <w:rPr>
                <w:rFonts w:ascii="Arial" w:cs="Arial" w:eastAsia="Arial" w:hAnsi="Arial"/>
                <w:sz w:val="18"/>
                <w:szCs w:val="18"/>
                <w:color w:val="auto"/>
              </w:rPr>
              <w:t>0.2</w:t>
            </w:r>
          </w:p>
        </w:tc>
      </w:tr>
      <w:tr>
        <w:trPr>
          <w:trHeight w:val="27"/>
        </w:trPr>
        <w:tc>
          <w:tcPr>
            <w:tcW w:w="5460" w:type="dxa"/>
            <w:vAlign w:val="bottom"/>
            <w:tcBorders>
              <w:bottom w:val="single" w:sz="8" w:color="CCEEFF"/>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69"/>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sales</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460" w:type="dxa"/>
            <w:vAlign w:val="bottom"/>
          </w:tcPr>
          <w:p>
            <w:pPr>
              <w:spacing w:after="0"/>
              <w:rPr>
                <w:sz w:val="24"/>
                <w:szCs w:val="24"/>
                <w:color w:val="auto"/>
              </w:rPr>
            </w:pPr>
          </w:p>
        </w:tc>
        <w:tc>
          <w:tcPr>
            <w:tcW w:w="2920" w:type="dxa"/>
            <w:vAlign w:val="bottom"/>
          </w:tcPr>
          <w:p>
            <w:pPr>
              <w:jc w:val="right"/>
              <w:ind w:right="249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29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net sales for the three months ended March 30, 2013, was primarily driven by:</w:t>
      </w:r>
    </w:p>
    <w:p>
      <w:pPr>
        <w:spacing w:after="0" w:line="117"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decreased volume in our Global Consumer segment, resulting from a decrease in U.S. and international sales within all product categories due to a delay in the start of the spring lawn and garden selling season;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decrease in sales related to ICL supply agreements, which were entered into in connection with the sale of Global Pro in February 2011; and</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unfavorable impact of foreign exchange rates as a result of the slight strengthening of the U.S. dollar relative to other currencies.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decrease in net sales for the six months ended March 30, 2013, was primarily driven by:</w:t>
      </w:r>
    </w:p>
    <w:p>
      <w:pPr>
        <w:spacing w:after="0" w:line="117"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decreased volume in our Global Consumer segment, driven by a decrease in U.S. and international sales within all product categories due to a delay in the start of the spring lawn and garden selling season;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decrease in sales related to ICL supply agreements, which were entered into in connection with the sale of Global Pro in February 2011;</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unfavorable impact of foreign exchange rates as a result of the slight strengthening of the U.S. dollar relative to other currencies;</w:t>
      </w:r>
    </w:p>
    <w:p>
      <w:pPr>
        <w:spacing w:after="0" w:line="117" w:lineRule="exact"/>
        <w:rPr>
          <w:rFonts w:ascii="Arial" w:cs="Arial" w:eastAsia="Arial" w:hAnsi="Arial"/>
          <w:sz w:val="18"/>
          <w:szCs w:val="18"/>
          <w:color w:val="auto"/>
        </w:rPr>
      </w:pPr>
    </w:p>
    <w:p>
      <w:pPr>
        <w:ind w:left="660" w:hanging="328"/>
        <w:spacing w:after="0" w:line="21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partially offset by increased volume within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due to increased customer count and a weather driven delay of sales from the fourth quarter of fiscal 2012 to the first quarter of fiscal 2013.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4"/>
          </w:tcPr>
          <w:p>
            <w:pPr>
              <w:jc w:val="right"/>
              <w:ind w:right="105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30, 2013</w:t>
            </w: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30, 2013</w:t>
            </w: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3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20" w:type="dxa"/>
            <w:vAlign w:val="bottom"/>
            <w:gridSpan w:val="5"/>
          </w:tcPr>
          <w:p>
            <w:pPr>
              <w:ind w:left="13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394.9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489.4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541.0</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Manufacturing labor and overhead</w:t>
            </w:r>
          </w:p>
        </w:tc>
        <w:tc>
          <w:tcPr>
            <w:tcW w:w="22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146.1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152.5</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and warehousing</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Roundup reimbursements</w:t>
            </w:r>
          </w:p>
        </w:tc>
        <w:tc>
          <w:tcPr>
            <w:tcW w:w="22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41.2</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882.5</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r>
      <w:tr>
        <w:trPr>
          <w:trHeight w:val="237"/>
        </w:trPr>
        <w:tc>
          <w:tcPr>
            <w:tcW w:w="39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640.9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708.7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815.6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882.7</w:t>
            </w:r>
          </w:p>
        </w:tc>
      </w:tr>
      <w:tr>
        <w:trPr>
          <w:trHeight w:val="27"/>
        </w:trPr>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SIX MONTHS ENDED</w:t>
            </w:r>
          </w:p>
        </w:tc>
      </w:tr>
      <w:tr>
        <w:trPr>
          <w:trHeight w:val="250"/>
        </w:trPr>
        <w:tc>
          <w:tcPr>
            <w:tcW w:w="5620" w:type="dxa"/>
            <w:vAlign w:val="bottom"/>
          </w:tcPr>
          <w:p>
            <w:pPr>
              <w:spacing w:after="0"/>
              <w:rPr>
                <w:sz w:val="21"/>
                <w:szCs w:val="21"/>
                <w:color w:val="auto"/>
              </w:rPr>
            </w:pPr>
          </w:p>
        </w:tc>
        <w:tc>
          <w:tcPr>
            <w:tcW w:w="23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MARCH 30, 2013</w:t>
            </w:r>
          </w:p>
        </w:tc>
        <w:tc>
          <w:tcPr>
            <w:tcW w:w="5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MARCH 30, 2013</w:t>
            </w:r>
          </w:p>
        </w:tc>
      </w:tr>
      <w:tr>
        <w:trPr>
          <w:trHeight w:val="250"/>
        </w:trPr>
        <w:tc>
          <w:tcPr>
            <w:tcW w:w="56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1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234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costs</w:t>
            </w:r>
          </w:p>
        </w:tc>
        <w:tc>
          <w:tcPr>
            <w:tcW w:w="2320" w:type="dxa"/>
            <w:vAlign w:val="bottom"/>
            <w:tcBorders>
              <w:bottom w:val="single" w:sz="8" w:color="CCEEFF"/>
            </w:tcBorders>
            <w:shd w:val="clear" w:color="auto" w:fill="CCEEFF"/>
          </w:tcPr>
          <w:p>
            <w:pPr>
              <w:jc w:val="right"/>
              <w:ind w:right="213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2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Volume and product mix</w:t>
            </w:r>
          </w:p>
        </w:tc>
        <w:tc>
          <w:tcPr>
            <w:tcW w:w="2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(69.3)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(66.0)</w:t>
            </w:r>
          </w:p>
        </w:tc>
      </w:tr>
      <w:tr>
        <w:trPr>
          <w:trHeight w:val="27"/>
        </w:trPr>
        <w:tc>
          <w:tcPr>
            <w:tcW w:w="56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232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2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62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cost of sales</w:t>
            </w:r>
          </w:p>
        </w:tc>
        <w:tc>
          <w:tcPr>
            <w:tcW w:w="2320" w:type="dxa"/>
            <w:vAlign w:val="bottom"/>
            <w:tcBorders>
              <w:bottom w:val="single" w:sz="8" w:color="CCEEFF"/>
            </w:tcBorders>
            <w:shd w:val="clear" w:color="auto" w:fill="CCEEFF"/>
          </w:tcPr>
          <w:p>
            <w:pPr>
              <w:jc w:val="right"/>
              <w:ind w:right="213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(67.7)</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23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0.1</w:t>
            </w:r>
          </w:p>
        </w:tc>
      </w:tr>
      <w:tr>
        <w:trPr>
          <w:trHeight w:val="27"/>
        </w:trPr>
        <w:tc>
          <w:tcPr>
            <w:tcW w:w="56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23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Change in cost of sales</w:t>
            </w:r>
          </w:p>
        </w:tc>
        <w:tc>
          <w:tcPr>
            <w:tcW w:w="2320" w:type="dxa"/>
            <w:vAlign w:val="bottom"/>
            <w:tcBorders>
              <w:top w:val="single" w:sz="8" w:color="auto"/>
            </w:tcBorders>
          </w:tcPr>
          <w:p>
            <w:pPr>
              <w:jc w:val="right"/>
              <w:ind w:right="2137"/>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(67.8)</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2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w:t>
            </w:r>
          </w:p>
        </w:tc>
      </w:tr>
      <w:tr>
        <w:trPr>
          <w:trHeight w:val="27"/>
        </w:trPr>
        <w:tc>
          <w:tcPr>
            <w:tcW w:w="562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cost of sales, for the three and six months ended March 30, 2013, were primarily driven by:</w:t>
      </w:r>
    </w:p>
    <w:p>
      <w:pPr>
        <w:spacing w:after="0" w:line="13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decreased volume in our Global Consumer segment, resulting from a delay in the start of the spring lawn and garden selling season;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lower reimbursements attributable to our marketing agreement with Monsanto;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favorable impact of foreign exchange rates as a results of a slight strengthening of the U.S. dollar relative to other currencies;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partially offset by higher material costs due to increased prices of packaging for products and fertilizer inputs.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a percentage of net sales, our gross profit rate was 37.1% and 39.4% for the three months ended March 30, 2013 and March 31, 2012, respectively. As a percentage of net sales, our gross profit rate was 33.4% and 35.6% for the six months ended March 30, 2013 and March 31, 2012, respectively. Factors contributing to the change in gross profit rate are outlined in the following table: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36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SIX MONTHS ENDED</w:t>
            </w:r>
          </w:p>
        </w:tc>
      </w:tr>
      <w:tr>
        <w:trPr>
          <w:trHeight w:val="250"/>
        </w:trPr>
        <w:tc>
          <w:tcPr>
            <w:tcW w:w="5480" w:type="dxa"/>
            <w:vAlign w:val="bottom"/>
            <w:tcBorders>
              <w:bottom w:val="single" w:sz="8" w:color="CCEEFF"/>
            </w:tcBorders>
          </w:tcPr>
          <w:p>
            <w:pPr>
              <w:spacing w:after="0"/>
              <w:rPr>
                <w:sz w:val="21"/>
                <w:szCs w:val="21"/>
                <w:color w:val="auto"/>
              </w:rPr>
            </w:pPr>
          </w:p>
        </w:tc>
        <w:tc>
          <w:tcPr>
            <w:tcW w:w="23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9"/>
              </w:rPr>
              <w:t>MARCH 30, 2013</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92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MARCH 30, 2013</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43"/>
        </w:trPr>
        <w:tc>
          <w:tcPr>
            <w:tcW w:w="7840" w:type="dxa"/>
            <w:vAlign w:val="bottom"/>
            <w:gridSpan w:val="2"/>
          </w:tcPr>
          <w:p>
            <w:pPr>
              <w:ind w:left="40"/>
              <w:spacing w:after="0"/>
              <w:rPr>
                <w:sz w:val="20"/>
                <w:szCs w:val="20"/>
                <w:color w:val="auto"/>
              </w:rPr>
            </w:pPr>
            <w:r>
              <w:rPr>
                <w:rFonts w:ascii="Arial" w:cs="Arial" w:eastAsia="Arial" w:hAnsi="Arial"/>
                <w:sz w:val="18"/>
                <w:szCs w:val="18"/>
                <w:color w:val="auto"/>
              </w:rPr>
              <w:t>Material costs</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w w:val="97"/>
              </w:rPr>
              <w:t>(0.6)</w:t>
            </w:r>
          </w:p>
        </w:tc>
        <w:tc>
          <w:tcPr>
            <w:tcW w:w="100" w:type="dxa"/>
            <w:vAlign w:val="bottom"/>
          </w:tcPr>
          <w:p>
            <w:pPr>
              <w:spacing w:after="0"/>
              <w:rPr>
                <w:sz w:val="21"/>
                <w:szCs w:val="21"/>
                <w:color w:val="auto"/>
              </w:rPr>
            </w:pPr>
          </w:p>
        </w:tc>
        <w:tc>
          <w:tcPr>
            <w:tcW w:w="2920" w:type="dxa"/>
            <w:vAlign w:val="bottom"/>
          </w:tcPr>
          <w:p>
            <w:pPr>
              <w:jc w:val="right"/>
              <w:ind w:right="93"/>
              <w:spacing w:after="0"/>
              <w:rPr>
                <w:sz w:val="20"/>
                <w:szCs w:val="20"/>
                <w:color w:val="auto"/>
              </w:rPr>
            </w:pPr>
            <w:r>
              <w:rPr>
                <w:rFonts w:ascii="Arial" w:cs="Arial" w:eastAsia="Arial" w:hAnsi="Arial"/>
                <w:sz w:val="18"/>
                <w:szCs w:val="18"/>
                <w:color w:val="auto"/>
              </w:rPr>
              <w:t>(0.6)</w:t>
            </w:r>
          </w:p>
        </w:tc>
      </w:tr>
      <w:tr>
        <w:trPr>
          <w:trHeight w:val="27"/>
        </w:trPr>
        <w:tc>
          <w:tcPr>
            <w:tcW w:w="5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50"/>
        </w:trPr>
        <w:tc>
          <w:tcPr>
            <w:tcW w:w="7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 mix and volume:</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1"/>
                <w:szCs w:val="21"/>
                <w:color w:val="auto"/>
              </w:rPr>
            </w:pPr>
          </w:p>
        </w:tc>
      </w:tr>
      <w:tr>
        <w:trPr>
          <w:trHeight w:val="270"/>
        </w:trPr>
        <w:tc>
          <w:tcPr>
            <w:tcW w:w="784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w w:val="97"/>
              </w:rPr>
              <w:t>(0.3)</w:t>
            </w:r>
          </w:p>
        </w:tc>
        <w:tc>
          <w:tcPr>
            <w:tcW w:w="100" w:type="dxa"/>
            <w:vAlign w:val="bottom"/>
          </w:tcPr>
          <w:p>
            <w:pPr>
              <w:spacing w:after="0"/>
              <w:rPr>
                <w:sz w:val="23"/>
                <w:szCs w:val="23"/>
                <w:color w:val="auto"/>
              </w:rPr>
            </w:pPr>
          </w:p>
        </w:tc>
        <w:tc>
          <w:tcPr>
            <w:tcW w:w="2920" w:type="dxa"/>
            <w:vAlign w:val="bottom"/>
          </w:tcPr>
          <w:p>
            <w:pPr>
              <w:jc w:val="right"/>
              <w:ind w:right="93"/>
              <w:spacing w:after="0"/>
              <w:rPr>
                <w:sz w:val="20"/>
                <w:szCs w:val="20"/>
                <w:color w:val="auto"/>
              </w:rPr>
            </w:pPr>
            <w:r>
              <w:rPr>
                <w:rFonts w:ascii="Arial" w:cs="Arial" w:eastAsia="Arial" w:hAnsi="Arial"/>
                <w:sz w:val="18"/>
                <w:szCs w:val="18"/>
                <w:color w:val="auto"/>
              </w:rPr>
              <w:t>(0.2)</w:t>
            </w:r>
          </w:p>
        </w:tc>
      </w:tr>
      <w:tr>
        <w:trPr>
          <w:trHeight w:val="250"/>
        </w:trPr>
        <w:tc>
          <w:tcPr>
            <w:tcW w:w="7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(0.1)</w:t>
            </w:r>
          </w:p>
        </w:tc>
      </w:tr>
      <w:tr>
        <w:trPr>
          <w:trHeight w:val="270"/>
        </w:trPr>
        <w:tc>
          <w:tcPr>
            <w:tcW w:w="784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23"/>
                <w:szCs w:val="23"/>
                <w:color w:val="auto"/>
              </w:rPr>
            </w:pPr>
          </w:p>
        </w:tc>
        <w:tc>
          <w:tcPr>
            <w:tcW w:w="2920" w:type="dxa"/>
            <w:vAlign w:val="bottom"/>
          </w:tcPr>
          <w:p>
            <w:pPr>
              <w:jc w:val="right"/>
              <w:ind w:right="153"/>
              <w:spacing w:after="0"/>
              <w:rPr>
                <w:sz w:val="20"/>
                <w:szCs w:val="20"/>
                <w:color w:val="auto"/>
              </w:rPr>
            </w:pPr>
            <w:r>
              <w:rPr>
                <w:rFonts w:ascii="Arial" w:cs="Arial" w:eastAsia="Arial" w:hAnsi="Arial"/>
                <w:sz w:val="18"/>
                <w:szCs w:val="18"/>
                <w:color w:val="auto"/>
              </w:rPr>
              <w:t>0.1</w:t>
            </w:r>
          </w:p>
        </w:tc>
      </w:tr>
      <w:tr>
        <w:trPr>
          <w:trHeight w:val="270"/>
        </w:trPr>
        <w:tc>
          <w:tcPr>
            <w:tcW w:w="7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Global Consumer mix and volume</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w:t>
            </w: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color w:val="auto"/>
              </w:rPr>
              <w:t>Change in gross profit rate</w:t>
            </w:r>
          </w:p>
        </w:tc>
        <w:tc>
          <w:tcPr>
            <w:tcW w:w="23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(2.3)%</w:t>
            </w:r>
          </w:p>
        </w:tc>
        <w:tc>
          <w:tcPr>
            <w:tcW w:w="100" w:type="dxa"/>
            <w:vAlign w:val="bottom"/>
          </w:tcPr>
          <w:p>
            <w:pPr>
              <w:spacing w:after="0"/>
              <w:rPr>
                <w:sz w:val="20"/>
                <w:szCs w:val="20"/>
                <w:color w:val="auto"/>
              </w:rPr>
            </w:pPr>
          </w:p>
        </w:tc>
        <w:tc>
          <w:tcPr>
            <w:tcW w:w="2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48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2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9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r>
      <w:tr>
        <w:trPr>
          <w:trHeight w:val="243"/>
        </w:trPr>
        <w:tc>
          <w:tcPr>
            <w:tcW w:w="7840" w:type="dxa"/>
            <w:vAlign w:val="bottom"/>
            <w:gridSpan w:val="2"/>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92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gross profit rate</w:t>
            </w:r>
          </w:p>
        </w:tc>
        <w:tc>
          <w:tcPr>
            <w:tcW w:w="23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the gross profit rates, for the three and six months ended March 30, 2013, was primarily driven by:</w:t>
      </w:r>
    </w:p>
    <w:p>
      <w:pPr>
        <w:spacing w:after="0" w:line="13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sales volume in our Global Consumer segment resulting in reduced leverage of fixed manufacturing and warehousing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material costs due to increased prices of packaging for products and fertilizer inputs;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partially offset by increased pricing for the Global Consumer segment primarily within the U.S.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105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37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30, 2013</w:t>
            </w: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2012</w:t>
            </w:r>
          </w:p>
        </w:tc>
        <w:tc>
          <w:tcPr>
            <w:tcW w:w="3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30, 2013</w:t>
            </w: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3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8.9</w:t>
            </w: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3.7</w:t>
            </w: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selling, 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240.0</w:t>
            </w:r>
          </w:p>
        </w:tc>
      </w:tr>
      <w:tr>
        <w:trPr>
          <w:trHeight w:val="237"/>
        </w:trPr>
        <w:tc>
          <w:tcPr>
            <w:tcW w:w="37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331.5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359.5</w:t>
            </w:r>
          </w:p>
        </w:tc>
      </w:tr>
      <w:tr>
        <w:trPr>
          <w:trHeight w:val="27"/>
        </w:trPr>
        <w:tc>
          <w:tcPr>
            <w:tcW w:w="3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Selling, general and administrative (“SG&amp;A”) expenses decreased $29.9 million, or 12.6%, to $207.0 million for the second quarter of fiscal 2013 compared to the same period of fiscal 2012. The decrease in advertising of $17.7 million was driven by our media purchasing efficiencies and a delay in advertising expense closer to the later start of the lawn and garden season for the current fiscal period. The decrease in other SG&amp;A of $12.2 million was driven by a decrease in outside consulting expenditures and marketing related expenditures due to cost productivity initiatives, partially offset by higher employee related costs, including severance.</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SG&amp;A expenses decreased $28.0 million, or 7.8%, to $331.5 million for the first six months of fiscal 2013 compared to the same period of fiscal 2012. The decrease in advertising of $17.4 million was driven by our media purchasing efficiencies and a delay in advertising expense closer to the later start of the lawn and garden season for the current fiscal period. The decrease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SG&amp;A of $8.8 million was driven by a decrease in outside consulting and marketing related expenditures due to cost productivity initiatives, partially offset by higher employee related costs, including severance.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three months ended March 30, 2013, we recognized expense of $0.2 million related to international employee severance within the Global Consumer segment. For the six months ended March 30, 2013, we recognized income of $4.7 million related to the reimbursement by a vendor for a portion of the costs incurred for the development and commercialization of products including the active ingredient MAT 28 in the Global Consumer segment. We also recognized a $4.3 million asset impairment charge as a result of issues with the commercialization of an insect repellent technology for the Global Consumer segment.</w:t>
      </w:r>
    </w:p>
    <w:p>
      <w:pPr>
        <w:spacing w:after="0" w:line="10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six months ended March 31, 2012, in continuation of the 2011 restructuring plan, the Company incurred an additional $1.9 million in restructuring costs related to termination benefits provided to employees who accepted voluntary retirement and special termination benefits provided to certain employees upon future separation as well as $0.2 million related to curtailment charges for its U.S. defined benefit pension and U.S retiree medical plans.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7"/>
          <w:szCs w:val="17"/>
          <w:color w:val="auto"/>
        </w:rPr>
        <w:t>Other income was $1.5 million for the three months ended March 30, 2013 compared to $0.7 million for the three months ended March 31, 2012. Other income was $2.6 million for the six months ended March 30, 2013 compared to $1.3 million for the six months ended March 31, 2012. Other income is comprised of activities outside our normal business operations, such as royalty income from the licensing of certain of our brand names, franchise fee income from our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foreign exchange gains/losses and gains/losses from the sale of non-inventory assets.</w:t>
      </w: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Interest expense was $17.9 million for the three months ended March 30, 2013 compared to $17.9 million for the three months ended March 31, 2012. Excluding the impact of foreign exchange rates, average borrowings declined by approximately $99.2 million during the three months ended March 30, 2013, as compared to the same prior year period. The decline in average borrowings was driven by lower working capital needs associated with lower production of inventory. Additionally, there was an increase in our weighted average interest rate of 42 basis points primarily due to an increase in our credit facility rate due to an increase in our leverage ratio.</w:t>
      </w:r>
    </w:p>
    <w:p>
      <w:pPr>
        <w:spacing w:after="0" w:line="10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Interest expense was $31.1 million for the six months ended March 30, 2013 compared to $33.2 million for the six months ended March 31, 2012. Excluding the impact of foreign exchange rates, average borrowings declined by approximately $67.0 million during the six months ended March 30, 2013, as compared to the same prior year period. The decline in average borrowings was primarily driven by lower working capital needs associated with lower production of inventory. Additionally, there was no change in our weighted average interest rate compared to the six months ended March 31, 2012, as the February 2012 expiration of our of 5.2% interest rate swap was offset by higher interest rates on our credit facility.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effective tax rate related to continuing operations for the three months ended March 30, 2013 was 35.6% compared to 36.5% for the three months ended March 31, 2012. The effective tax rate related to continuing operations for the six months ended March 30, 2013 was 36.9% compared to 37.1% for the six months ended March 31, 2012. The effective tax rate used for interim purposes was based on management’s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assurances that the effective tax rate estimated for interim financial reporting purposes will approximate the effective tax rate determined at fiscal year end.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14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reported income from continuing operations of $99.9 million, or $1.60 per diluted share, for the second quarter of fiscal 2013 compared to $126.5 million, or $2.04 per diluted share, for the second quarter of fiscal 2012. Income from continuing operations for the first six months of fiscal 2013 was $31.6 million, or $0.51 per diluted share, compared to $53.4 million, or $0.86 per diluted share, for the same period of fiscal 2012. The decrease in our income from continuing operations for the first three and six months ended March 30, 2013 was driven primarily by the impact of lower net sales, offset by lower general and administrative expenses. Diluted average common shares used in the diluted net income per common share calculation were 62.4 million for the second quarter of fiscal 2013 compared to 62.0 million for the same period a year ago. Diluted average common shares used in the diluted net income per common share calculation were 62.3 million for the first six months ended March 30, 2013 compared to 61.7 million for the first six months ended March 31, 2012. The increase in dilutive average common shares for the three and six months ended March 30, 2013 was a result of the exercise and issuance of share-based compensation awards.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7"/>
          <w:szCs w:val="17"/>
          <w:color w:val="auto"/>
        </w:rPr>
        <w:t>Our continuing operations are divided into the following reportable segments: Global Consumer and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This division of reportable segments is consistent with how the segments report to and are managed by the chief operating decision maker of the Company. Corporate &amp; Other consists of revenues and expenses associated with our supply agreements with ICL and amortization related to the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Marketing Agreement, as well as corporate, general and administrative expenses and certain other income/expense items not allocated to the business segments.</w:t>
      </w:r>
    </w:p>
    <w:p>
      <w:pPr>
        <w:spacing w:after="0" w:line="1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Segment performance is evaluated based on several factors, including income from continuing operations before amortization, product registration and recall costs, and impairment, restructuring and other charges, which is not a measure recognized under GAAP. Senior management uses this measure of operating profit to gauge segment performance because we believe this measure is most indicative of performance trends and the overall earnings potential of each segment.</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by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30, 2013</w:t>
            </w: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2012</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30, 2013</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4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20" w:type="dxa"/>
            <w:vAlign w:val="bottom"/>
            <w:gridSpan w:val="5"/>
          </w:tcPr>
          <w:p>
            <w:pPr>
              <w:ind w:left="11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Consumer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1,268.7</w:t>
            </w:r>
          </w:p>
        </w:tc>
      </w:tr>
      <w:tr>
        <w:trPr>
          <w:trHeight w:val="270"/>
        </w:trPr>
        <w:tc>
          <w:tcPr>
            <w:tcW w:w="42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73.5</w:t>
            </w:r>
          </w:p>
        </w:tc>
      </w:tr>
      <w:tr>
        <w:trPr>
          <w:trHeight w:val="244"/>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Segment total</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1,342.2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220" w:type="dxa"/>
            <w:vAlign w:val="bottom"/>
          </w:tcPr>
          <w:p>
            <w:pPr>
              <w:spacing w:after="0"/>
              <w:rPr>
                <w:sz w:val="21"/>
                <w:szCs w:val="21"/>
                <w:color w:val="auto"/>
              </w:rPr>
            </w:pP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27.8</w:t>
            </w: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1,225.4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1,370.0</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segment income from continuing operations before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30, 2013</w:t>
            </w: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2012</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30, 2013</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4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20" w:type="dxa"/>
            <w:vAlign w:val="bottom"/>
            <w:gridSpan w:val="5"/>
          </w:tcPr>
          <w:p>
            <w:pPr>
              <w:ind w:left="11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Consumer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205.7</w:t>
            </w:r>
          </w:p>
        </w:tc>
      </w:tr>
      <w:tr>
        <w:trPr>
          <w:trHeight w:val="270"/>
        </w:trPr>
        <w:tc>
          <w:tcPr>
            <w:tcW w:w="42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r>
      <w:tr>
        <w:trPr>
          <w:trHeight w:val="244"/>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Segment total</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220" w:type="dxa"/>
            <w:vAlign w:val="bottom"/>
          </w:tcPr>
          <w:p>
            <w:pPr>
              <w:spacing w:after="0"/>
              <w:rPr>
                <w:sz w:val="21"/>
                <w:szCs w:val="21"/>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Consumer</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Global Consumer segment net sales were $974.6 million in the second quarter of fiscal 2013, a decrease of 13.0% from the second quarter of fiscal 2012 sales of $1,119.6 million, and were $1,127.8 million for the first six months of fiscal 2013, a decrease of 11.1% from the first six months of fiscal 2012 sales of $1,268.7 million. For the three months ended March 30, 2013, volume and foreign exchange rates unfavorably impacted net sales by 13.8% and 0.3%, respectively, partially offset by favorable price</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and acquisition impacts of 1.0% and 0.1%, respectively. For the six months ended March 30, 2013, volume and foreign exchange rates unfavorably impacted net sales by 12.0% and 0.3%, respectively, partially offset by favorable price and acquisition impacts of 1.0% and 0.1%, respectively.</w:t>
      </w:r>
    </w:p>
    <w:p>
      <w:pPr>
        <w:spacing w:after="0" w:line="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sales in the U.S. decreased $111.0 million, or 12.1% and $107.3 million, or 10.6%, for the second quarter and first six months of fiscal 2013, respectively, as compared to the same periods in fiscal 2012. The decrease in U.S. net sales for the second quarter and first six months was driven by lower sales within all product categories due to a delay in the start of the spring lawn and garden selling season.</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Excluding the impact of changes in foreign exchange rates, net sales internationally decreased by $30.5 million, or 14.8% and $30.6 million, or 12.2%, for the second quarter and first six months of fiscal 2013, respectively. The decrease in sales internationally was primarily driven by lower sales in Europe within all product categories due to a delay in the start of the spring lawn and garden selling season.</w:t>
      </w:r>
    </w:p>
    <w:p>
      <w:pPr>
        <w:spacing w:after="0" w:line="10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Global Consumer segment operating income declined by $55.1 million, or 20.0%, and $54.3 million, or 26.4%, in the second quarter and first six months of fiscal 2013, respectively, as compared to the same period of fiscal 2012. Excluding the impact of changes in foreign exchange rates, the decline was 19.8% and 26.2% for the second quarter and first six months of fiscal 2013, respectively. The decrease was primarily driven by the impact of the volume declines in the U.S. and internationally.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Scotts LawnService</w:t>
      </w:r>
      <w:r>
        <w:rPr>
          <w:rFonts w:ascii="Arial" w:cs="Arial" w:eastAsia="Arial" w:hAnsi="Arial"/>
          <w:sz w:val="25"/>
          <w:szCs w:val="25"/>
          <w:b w:val="1"/>
          <w:bCs w:val="1"/>
          <w:i w:val="1"/>
          <w:iCs w:val="1"/>
          <w:color w:val="auto"/>
          <w:vertAlign w:val="superscript"/>
        </w:rPr>
        <w:t>®</w:t>
      </w:r>
    </w:p>
    <w:p>
      <w:pPr>
        <w:spacing w:after="0" w:line="64" w:lineRule="exact"/>
        <w:rPr>
          <w:sz w:val="20"/>
          <w:szCs w:val="20"/>
          <w:color w:val="auto"/>
        </w:rPr>
      </w:pPr>
    </w:p>
    <w:p>
      <w:pPr>
        <w:jc w:val="both"/>
        <w:ind w:firstLine="432"/>
        <w:spacing w:after="0" w:line="245" w:lineRule="auto"/>
        <w:rPr>
          <w:sz w:val="20"/>
          <w:szCs w:val="20"/>
          <w:color w:val="auto"/>
        </w:rPr>
      </w:pPr>
      <w:r>
        <w:rPr>
          <w:rFonts w:ascii="Arial" w:cs="Arial" w:eastAsia="Arial" w:hAnsi="Arial"/>
          <w:sz w:val="17"/>
          <w:szCs w:val="17"/>
          <w:color w:val="auto"/>
        </w:rPr>
        <w:t>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net sales decreased by $3.0 million, or 8.4%, and increased $4.2 million, or 5.7% in the second quarter and first six months of fiscal 2013, respectively, as compared to the same period of fiscal 2012. The decrease in net sales in the second quarter was driven by poor weather during the month of March 2013. The second quarter decrease was partially offset by a 19.2% increase in sales in the first quarter driven by increased customer count and a weather driven delay of sales from the fourth quarter of fiscal 2012 into the first quarter of 2013.</w:t>
      </w:r>
    </w:p>
    <w:p>
      <w:pPr>
        <w:spacing w:after="0" w:line="119"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8"/>
          <w:szCs w:val="18"/>
          <w:color w:val="auto"/>
        </w:rPr>
        <w:t>The operating loss for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increased by $4.1 million, or 31.8%, and by $0.4 million, or 2.3%, in the second quarter and first six months of fiscal 2013, respectively, as compared to the same period of fiscal 2012. The decline in performance was primarily driven by higher SG&amp;A spending.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net operating loss for Corporate &amp; Other was $27.3 million and $47.5 million for the three and six months ended March 30, 2013, respectively compared to $34.6 million and $54.3 million for the three and six months ended March 31, 2012, respectively. The decrease for the three and six months ended March 30, 2013 was primarily related to reductions in our outside consulting expenditures due to our cost productivity initiatives, partially offset by higher employee related costs, including severance and incentive compensation.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Cash used in operating activities totaled $545.3 million and $620.4 million for the six months ended March 30, 2013 and March 31, 2012, respectively. Cash used by operating activities declined $75.1 million primarily due to a decrease in cash used for working capital of $94.6 million, partially offset by a decline in net income of $21.0 million. The decrease in cash used for working capital was primarily due to reduced sales volume as a result of the delay in the lawn and garden season.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jc w:val="both"/>
        <w:ind w:firstLine="405"/>
        <w:spacing w:after="0" w:line="278" w:lineRule="auto"/>
        <w:rPr>
          <w:sz w:val="20"/>
          <w:szCs w:val="20"/>
          <w:color w:val="auto"/>
        </w:rPr>
      </w:pPr>
      <w:r>
        <w:rPr>
          <w:rFonts w:ascii="Arial" w:cs="Arial" w:eastAsia="Arial" w:hAnsi="Arial"/>
          <w:sz w:val="17"/>
          <w:szCs w:val="17"/>
          <w:color w:val="auto"/>
        </w:rPr>
        <w:t>Cash used in investing activities totaled $37.7 million and $25.2 million for the six months ended March 30, 2013 and March 31, 2012, respectively. Cash used for investments in property, plant and equipment during the first six months of fiscal 2013 and fiscal 2012 was $34.6 million and $25.7 million, respectively, primarily related to investments to increase efficiencies at existing production facilities. Additionally, during the six months ended March 30, 2013, we completed acquisitions of two franchisee businesses within our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segment.</w:t>
      </w: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Financing activities provided cash of $555.9 million and $635.7 million for the six months ended March 30, 2013 and March 31, 2012, respectively. The decrease in cash provided by financing activities was primarily the result of lower net borrowings under our credit facility of $79.3 million during the second quarter of fiscal 2013, a decrease in net cash received from stock option activity of $13.8 million, partially offset by a decrease in repurchases of our common shares in fiscal 2012 of $17.5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cash and cash equivalents were held in cash depository accounts with major financial institutions around the world or invested in high quality, short-term liquid investments with a balance of $99.1 million as of March 30, 2013, compared to $122.4 million as of March 31, 2012. The cash and cash equivalents balance at March 30, 2013 included $94.1 million held by controlled foreign corporations. Our current plans do not demonstrate a need to, nor do we have plans to, repatriate the retained earnings from these foreign corporations as the earnings are indefinitely reinvested. However, in the future, if we determine it is necessary to repatriate these funds, or we sell or liquidate any of these foreign corporations, we may be required to pay associated taxes on the repatriation.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primary sources of liquidity are cash generated by operations and borrowings under our credit agreement, which is guaranteed by substantially all of Scotts Miracle-Gro’s domestic subsidiaries. On June 30, 2011, Scotts Miracle-Gro and certain of its subsidiaries entered into a second amended and restated senior secured credit facility, providing for revolving loans in the aggregate principal amount of up to $1.7 billion over a five-year term. Borrowings may be made in various currencies including U.S. dollars, Euros, British pounds, Australian dollars and Canadian dollars. Under this credit facility, we may request up to an additional $450 million in revolving and/or term commitments, subject to certain specified conditions, including approval from our lenders.</w:t>
      </w:r>
    </w:p>
    <w:p>
      <w:pPr>
        <w:spacing w:after="0" w:line="7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Under our credit facility, we have the ability to issue letters of credit up to $75 million. At March 30, 2013, we had letters of credit in the aggregate face amount of $23.7 million outstanding and $918.8 million of availability under our credit facility, subject to our continued compliance with covenants discussed below.</w:t>
      </w:r>
    </w:p>
    <w:p>
      <w:pPr>
        <w:spacing w:after="0" w:line="46"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On November 15, 2012, we entered into a new Master Accounts Receivable Purchase Agreement (the “2012 MARP Agreement”), with an initial stated termination date of October 30, 2013, or such later date as may be mutually agreed by the Company and the banks party thereto. The 2012 MARP Agreement, which is uncommitted, provides for the discretionary sale by the Company, and the discretionary purchase by the banks, on a revolving basis, of accounts receivable generated by sales to three specified debtors in an aggregate amount not to exceed $400 million, with debtor sublimits ranging from $100 million to $200 million. Under the terms of the 2012 MARP Agreement, the banks have the opportunity, but not the obligation, to purchase those accounts receivable offered by us at a discount (from the agreed base value thereof) effectively equal to the greater of 7-day or 3-month LIBOR plus 0.75%.</w:t>
      </w:r>
    </w:p>
    <w:p>
      <w:pPr>
        <w:spacing w:after="0" w:line="8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account for the sale of receivables under the 2012 MARP Agreement as short-term debt and continue to carry the receivables on our Consolidated Balance Sheet, primarily as a result of our right to repurchase receivables sold. There were short-term borrowings under the 2012 MARP Agreement of $202.1 million as of March 30, 2013 and $222.5 million as of March 31, 2012.</w:t>
      </w:r>
    </w:p>
    <w:p>
      <w:pPr>
        <w:spacing w:after="0" w:line="10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March 30, 2013, we were in compliance with all debt covenants. Our credit facility contains, among other obligations, an affirmative covenant regarding our leverage ratio, calculated as indebtedness relative to our earnings before interest, taxes, depreciation and amortization. Under the terms of the credit facility, the maximum leverage ratio was 3.50 as of March 30, 2013. Our leverage ratio was 3.24 at March 30, 2013. Our credit facility also includes an affirmative covenant regarding our interest coverage. Under the terms of the credit facility, the minimum interest coverage ratio was 3.50 for the twelve months ended March 30, 2013. Our interest coverage ratio was 4.45 for the twelve months ended March 30, 2013.</w:t>
      </w:r>
    </w:p>
    <w:p>
      <w:pPr>
        <w:spacing w:after="0" w:line="9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continue to monitor our compliance with the leverage ratio, interest coverage ratio and other covenants contained in the credit facility and, based upon our current operating assumptions, we expect to remain in compliance with the permissible leverage ratio and interest coverage ratio throughout fiscal 2013. However, an unanticipated charge to earnings, an increase in debt or other factors could materially affect our ability to remain in compliance with the financial or other covenants of our credit facility, potentially causing us to have to seek an amendment or waiver from our lending group which could result in repricing of our credit facility. While we believe we have good relationships with our banking group, we can provide no assurance that such a request would result in a modified or replacement credit facility on reasonable terms, if at all.</w:t>
      </w:r>
    </w:p>
    <w:p>
      <w:pPr>
        <w:spacing w:after="0" w:line="9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our opinion, cash flows from operations and borrowings under our credit agreement will be sufficient to meet debt service and working capital needs during fiscal 2013, and thereafter for the foreseeable future. However, we cannot ensure that our business will generate sufficient cash flow from operations or that future borrowings will be available under our credit facility in amounts sufficient to pay indebtedness or fund other liquidity needs. Actual results of operations will depend on numerous factors, many of which are beyond our control.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effect on our financial condition, results of operations or cash flows; however, there can be no assurance that future quarterly or annual operating results will not be materially affected by final resolution of these matters.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There have been no material changes outside of the ordinary course of business, in our outstanding contractual obligations since the end of fiscal 2012 and through March 30, 2013.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Scotts Miracle Gro’s Annual Report on Form 10-K for the fiscal year ended September 30, 2012, under “ITEM 1. BUSINESS — Regulatory Considerations” and “ITEM 3. LEGAL PROCEEDINGS.”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Scotts Miracle-Gro’s Annual Report on Form 10-K for the fiscal year ended September 30, 2012 includes additional information about us, our operations, our financial condition, our critical accounting policies and accounting estimates, and should be read in conjunction with this Quarterly Report on Form 10-Q.</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Market risks have not changed significantly from those disclosed in Scotts Miracle-Gro’s Annual Report on Form 10-K for the fiscal year ended September 30, 2012.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at the reasonable assurance level.</w:t>
      </w:r>
    </w:p>
    <w:p>
      <w:pPr>
        <w:spacing w:after="0" w:line="10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March 30, 2013 that have materially affected, or are reasonably likely to materially affect, the Registrant’s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than as discussed in “NOTE 11. CONTINGENCIES” of the Notes to Condensed Consolidated Financial Statements, pending material legal proceedings have not changed significantly since those disclosed in Scotts Miracle-Gro's Annual Report on Form 10-K for the fiscal year ended September 30, 2012.</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Company's risk factors as of March 30, 2013 have not changed materially from those described in “ITEM IA. RISK FACTORS” in Scotts Miracle-Gro's Annual Report on Form 10-K for the fiscal year ended September 30, 2012.</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Scotts Miracle-Gro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Forward-looking statements contained in this Quarterly Report on Form 10-Q are predictions only and actual results could differ materially from management's expectations due to a variety of factors, including those described in “ITEM 1A. RISK FACTORS” in Scotts Miracle-Gro's Annual Report on Form 10-K for the fiscal year ended September 30, 2012. All forward-looking statements attributable to us or persons working on our behalf are expressly qualified in their entirety by such risk factors.</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Company's credit facility restricts future dividend payments to an aggregate of $125 million annually through fiscal 2013 and $150 million annually beginning in fiscal 2014 if our leverage ratio, after giving effect to any such annual dividend payment, exceeds 2.50. Our leverage ratio was 3.24 at March 30, 2013.</w:t>
      </w:r>
    </w:p>
    <w:p>
      <w:pPr>
        <w:spacing w:after="0" w:line="188"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fiscal month in the six months ended March 30, 2013: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4"/>
              </w:rPr>
              <w:t>Value of Common Shares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 Paid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4"/>
              </w:rPr>
              <w:t>per Common Share(2)</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30, 2012 through January 26, 2013</w:t>
            </w:r>
          </w:p>
        </w:tc>
        <w:tc>
          <w:tcPr>
            <w:tcW w:w="1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44.61</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298,816,786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January 27, 2013 through February 23, 2013</w:t>
            </w:r>
          </w:p>
        </w:tc>
        <w:tc>
          <w:tcPr>
            <w:tcW w:w="17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tcPr>
          <w:p>
            <w:pPr>
              <w:ind w:left="144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5"/>
              <w:spacing w:after="0"/>
              <w:rPr>
                <w:sz w:val="20"/>
                <w:szCs w:val="20"/>
                <w:color w:val="auto"/>
              </w:rPr>
            </w:pPr>
            <w:r>
              <w:rPr>
                <w:rFonts w:ascii="Arial" w:cs="Arial" w:eastAsia="Arial" w:hAnsi="Arial"/>
                <w:sz w:val="16"/>
                <w:szCs w:val="16"/>
                <w:color w:val="auto"/>
              </w:rPr>
              <w:t>298,816,786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February 24, 32013 through March 30, 2013</w:t>
            </w:r>
          </w:p>
        </w:tc>
        <w:tc>
          <w:tcPr>
            <w:tcW w:w="1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2,649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45.65</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298,816,786</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Total</w:t>
            </w:r>
          </w:p>
        </w:tc>
        <w:tc>
          <w:tcPr>
            <w:tcW w:w="17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2,709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bottom w:val="single" w:sz="8" w:color="auto"/>
            </w:tcBorders>
          </w:tcPr>
          <w:p>
            <w:pPr>
              <w:ind w:left="1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500" w:right="20" w:hanging="465"/>
        <w:spacing w:after="0" w:line="286"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Amounts in this column represent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195" w:lineRule="exact"/>
        <w:rPr>
          <w:rFonts w:ascii="Arial" w:cs="Arial" w:eastAsia="Arial" w:hAnsi="Arial"/>
          <w:sz w:val="16"/>
          <w:szCs w:val="16"/>
          <w:color w:val="auto"/>
        </w:rPr>
      </w:pPr>
    </w:p>
    <w:p>
      <w:pPr>
        <w:ind w:left="500" w:hanging="465"/>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jc w:val="both"/>
        <w:ind w:left="500" w:right="40" w:hanging="465"/>
        <w:spacing w:after="0" w:line="279"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August 2010, the Scotts Miracle-Gro Board of Directors authorized the repurchase of up to $500 million of the Common Shares over a four-year period (through September 30, 2014). On May 4, 2011, the Scotts Miracle-Gro Board of Directors authorized the repurchase of up to an additional $200 million of the Common Shares, resulting in authority to repurchase up to a total of $700 million of the Common Shares through September 30, 2014. The dollar amounts in the “Approximate Dollar Value” column reflect the total $700 million authorized repurchase program.</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Adoption of Accounting Guidance for Revised Comprehensive Income Presentation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with the first quarter ended December 29, 2012, The Scotts Miracle-Gro Company ("the Company") adopted accounting guidance that changed how comprehensive income is presented in the consolidated financial statements. This guidance was applied retrospectively for the interim periods presented. The adoption of this guidance changed the presentation of the consolidated financial statements but did not affect the calculation of net income, comprehensive income or earnings per share. The revised presentation of comprehensive income for the three most recently completed fiscal years ended September 30, 2012, 2011 and 2010 is presented herein.</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has unsecured senior obligations outstanding that require the presentation of condensed, consolidating financial information in accordance with SEC Regulation S-X Rule 3-10, </w:t>
      </w:r>
      <w:r>
        <w:rPr>
          <w:rFonts w:ascii="Arial" w:cs="Arial" w:eastAsia="Arial" w:hAnsi="Arial"/>
          <w:sz w:val="18"/>
          <w:szCs w:val="18"/>
          <w:i w:val="1"/>
          <w:iCs w:val="1"/>
          <w:color w:val="auto"/>
        </w:rPr>
        <w:t>Financial Statements of Guarantors and Issuers of Guaranteed Securities Registered or Being Registered</w:t>
      </w:r>
      <w:r>
        <w:rPr>
          <w:rFonts w:ascii="Arial" w:cs="Arial" w:eastAsia="Arial" w:hAnsi="Arial"/>
          <w:sz w:val="18"/>
          <w:szCs w:val="18"/>
          <w:color w:val="auto"/>
        </w:rPr>
        <w:t xml:space="preserve"> . Accordingly, the revised presentation of comprehensive income (loss) is also presented for the parent, subsidiary guarantors and subsidiary non-guarantors for the years ended September 30, 2012, 2011 and 2010.</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financial information should be read in conjunction with the Company’s Annual Report on Form 10-K for the fiscal year ended September 30, 2012 and other Company filings with the Securities and Exchange Commission.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September 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106.5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167.9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204.1</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8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derivatives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loss</w:t>
            </w:r>
          </w:p>
        </w:tc>
        <w:tc>
          <w:tcPr>
            <w:tcW w:w="8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86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199.8</w:t>
            </w:r>
          </w:p>
        </w:tc>
      </w:tr>
      <w:tr>
        <w:trPr>
          <w:trHeight w:val="27"/>
        </w:trPr>
        <w:tc>
          <w:tcPr>
            <w:tcW w:w="7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9040" w:type="dxa"/>
            <w:vAlign w:val="bottom"/>
            <w:gridSpan w:val="10"/>
          </w:tcPr>
          <w:p>
            <w:pPr>
              <w:jc w:val="center"/>
              <w:ind w:left="2310"/>
              <w:spacing w:after="0"/>
              <w:rPr>
                <w:sz w:val="20"/>
                <w:szCs w:val="20"/>
                <w:color w:val="auto"/>
              </w:rPr>
            </w:pPr>
            <w:r>
              <w:rPr>
                <w:rFonts w:ascii="Arial" w:cs="Arial" w:eastAsia="Arial" w:hAnsi="Arial"/>
                <w:sz w:val="18"/>
                <w:szCs w:val="18"/>
                <w:b w:val="1"/>
                <w:bCs w:val="1"/>
                <w:color w:val="auto"/>
                <w:w w:val="88"/>
              </w:rPr>
              <w:t>Condensed Consolidating Statements of Comprehensive Income</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0" w:type="dxa"/>
            <w:vAlign w:val="bottom"/>
            <w:gridSpan w:val="7"/>
          </w:tcPr>
          <w:p>
            <w:pPr>
              <w:jc w:val="center"/>
              <w:ind w:left="3530"/>
              <w:spacing w:after="0"/>
              <w:rPr>
                <w:sz w:val="20"/>
                <w:szCs w:val="20"/>
                <w:color w:val="auto"/>
              </w:rPr>
            </w:pPr>
            <w:r>
              <w:rPr>
                <w:rFonts w:ascii="Arial" w:cs="Arial" w:eastAsia="Arial" w:hAnsi="Arial"/>
                <w:sz w:val="18"/>
                <w:szCs w:val="18"/>
                <w:b w:val="1"/>
                <w:bCs w:val="1"/>
                <w:color w:val="auto"/>
                <w:w w:val="89"/>
              </w:rPr>
              <w:t>for the year ended September 30, 2010</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p>
        </w:tc>
        <w:tc>
          <w:tcPr>
            <w:tcW w:w="1300" w:type="dxa"/>
            <w:vAlign w:val="bottom"/>
            <w:gridSpan w:val="3"/>
          </w:tcPr>
          <w:p>
            <w:pPr>
              <w:jc w:val="center"/>
              <w:ind w:right="400"/>
              <w:spacing w:after="0"/>
              <w:rPr>
                <w:sz w:val="20"/>
                <w:szCs w:val="20"/>
                <w:color w:val="auto"/>
              </w:rPr>
            </w:pPr>
            <w:r>
              <w:rPr>
                <w:rFonts w:ascii="Arial" w:cs="Arial" w:eastAsia="Arial" w:hAnsi="Arial"/>
                <w:sz w:val="18"/>
                <w:szCs w:val="18"/>
                <w:color w:val="auto"/>
                <w:w w:val="97"/>
              </w:rPr>
              <w:t>(In millions)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24"/>
                <w:szCs w:val="2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24"/>
                <w:szCs w:val="2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Index to Exhibits at page 50 for a list of the exhibits included herewith.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May 7, 2013</w:t>
      </w:r>
      <w:r>
        <w:rPr>
          <w:sz w:val="20"/>
          <w:szCs w:val="20"/>
          <w:color w:val="auto"/>
        </w:rPr>
        <w:tab/>
      </w:r>
      <w:r>
        <w:rPr>
          <w:rFonts w:ascii="Arial" w:cs="Arial" w:eastAsia="Arial" w:hAnsi="Arial"/>
          <w:sz w:val="17"/>
          <w:szCs w:val="17"/>
          <w:color w:val="auto"/>
        </w:rPr>
        <w:t>/s/ LAWRENCE A. HILSHEIMER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Lawrence A. Hilsheimer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20" w:type="dxa"/>
            <w:vAlign w:val="bottom"/>
          </w:tcPr>
          <w:p>
            <w:pPr>
              <w:jc w:val="center"/>
              <w:ind w:left="1193"/>
              <w:spacing w:after="0"/>
              <w:rPr>
                <w:sz w:val="20"/>
                <w:szCs w:val="20"/>
                <w:color w:val="auto"/>
              </w:rPr>
            </w:pPr>
            <w:r>
              <w:rPr>
                <w:rFonts w:ascii="Arial" w:cs="Arial" w:eastAsia="Arial" w:hAnsi="Arial"/>
                <w:sz w:val="18"/>
                <w:szCs w:val="18"/>
                <w:color w:val="auto"/>
                <w:w w:val="96"/>
              </w:rPr>
              <w:t>THE SCOTTS MIRACLE-GRO COMPANY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20" w:type="dxa"/>
            <w:vAlign w:val="bottom"/>
          </w:tcPr>
          <w:p>
            <w:pPr>
              <w:jc w:val="center"/>
              <w:ind w:left="1193"/>
              <w:spacing w:after="0"/>
              <w:rPr>
                <w:sz w:val="20"/>
                <w:szCs w:val="20"/>
                <w:color w:val="auto"/>
              </w:rPr>
            </w:pPr>
            <w:r>
              <w:rPr>
                <w:rFonts w:ascii="Arial" w:cs="Arial" w:eastAsia="Arial" w:hAnsi="Arial"/>
                <w:sz w:val="18"/>
                <w:szCs w:val="18"/>
                <w:color w:val="auto"/>
                <w:w w:val="94"/>
              </w:rPr>
              <w:t>QUARTERLY REPORT ON FORM 10-Q</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20" w:type="dxa"/>
            <w:vAlign w:val="bottom"/>
          </w:tcPr>
          <w:p>
            <w:pPr>
              <w:jc w:val="center"/>
              <w:ind w:left="1193"/>
              <w:spacing w:after="0"/>
              <w:rPr>
                <w:sz w:val="20"/>
                <w:szCs w:val="20"/>
                <w:color w:val="auto"/>
              </w:rPr>
            </w:pPr>
            <w:r>
              <w:rPr>
                <w:rFonts w:ascii="Arial" w:cs="Arial" w:eastAsia="Arial" w:hAnsi="Arial"/>
                <w:sz w:val="18"/>
                <w:szCs w:val="18"/>
                <w:color w:val="auto"/>
                <w:w w:val="93"/>
              </w:rPr>
              <w:t>FOR THE QUARTERLY PERIOD ENDED March 30, 2013</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20" w:type="dxa"/>
            <w:vAlign w:val="bottom"/>
          </w:tcPr>
          <w:p>
            <w:pPr>
              <w:jc w:val="center"/>
              <w:ind w:left="1153"/>
              <w:spacing w:after="0"/>
              <w:rPr>
                <w:sz w:val="20"/>
                <w:szCs w:val="20"/>
                <w:color w:val="auto"/>
              </w:rPr>
            </w:pPr>
            <w:r>
              <w:rPr>
                <w:rFonts w:ascii="Arial" w:cs="Arial" w:eastAsia="Arial" w:hAnsi="Arial"/>
                <w:sz w:val="18"/>
                <w:szCs w:val="18"/>
                <w:color w:val="auto"/>
                <w:w w:val="98"/>
              </w:rPr>
              <w:t>INDEX TO EXHIBITS</w:t>
            </w:r>
          </w:p>
        </w:tc>
        <w:tc>
          <w:tcPr>
            <w:tcW w:w="0" w:type="dxa"/>
            <w:vAlign w:val="bottom"/>
          </w:tcPr>
          <w:p>
            <w:pPr>
              <w:spacing w:after="0"/>
              <w:rPr>
                <w:sz w:val="1"/>
                <w:szCs w:val="1"/>
                <w:color w:val="auto"/>
              </w:rPr>
            </w:pPr>
          </w:p>
        </w:tc>
      </w:tr>
      <w:tr>
        <w:trPr>
          <w:trHeight w:val="301"/>
        </w:trPr>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EXHIBIT</w:t>
            </w:r>
          </w:p>
        </w:tc>
        <w:tc>
          <w:tcPr>
            <w:tcW w:w="7620" w:type="dxa"/>
            <w:vAlign w:val="bottom"/>
            <w:vMerge w:val="restart"/>
          </w:tcPr>
          <w:p>
            <w:pPr>
              <w:ind w:left="3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NO.</w:t>
            </w:r>
          </w:p>
        </w:tc>
        <w:tc>
          <w:tcPr>
            <w:tcW w:w="7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10.1</w:t>
            </w:r>
          </w:p>
        </w:tc>
        <w:tc>
          <w:tcPr>
            <w:tcW w:w="140" w:type="dxa"/>
            <w:vAlign w:val="bottom"/>
          </w:tcPr>
          <w:p>
            <w:pPr>
              <w:spacing w:after="0"/>
              <w:rPr>
                <w:sz w:val="24"/>
                <w:szCs w:val="24"/>
                <w:color w:val="auto"/>
              </w:rPr>
            </w:pPr>
          </w:p>
        </w:tc>
        <w:tc>
          <w:tcPr>
            <w:tcW w:w="7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The Scotts Miracle-Gro Company Long-Term Incentive Plan (effective as of January 17, 2013)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right="100" w:hanging="879"/>
        <w:spacing w:after="0" w:line="259" w:lineRule="auto"/>
        <w:tabs>
          <w:tab w:leader="none" w:pos="12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Specimen form of Deferred Stock Unit Award Agreement for Nonemployee Directors (with Related Dividend Equivalents) used to evidence grants of Deferred Stock Units which may be made under The Scotts Miracle-Gro Company Long-Term Incentive Plan (Deferral of Cash Retainer — post-January 17, 2013 version)</w:t>
      </w:r>
    </w:p>
    <w:p>
      <w:pPr>
        <w:spacing w:after="0" w:line="200" w:lineRule="exact"/>
        <w:rPr>
          <w:sz w:val="20"/>
          <w:szCs w:val="20"/>
          <w:color w:val="auto"/>
        </w:rPr>
      </w:pPr>
    </w:p>
    <w:p>
      <w:pPr>
        <w:spacing w:after="0" w:line="379" w:lineRule="exact"/>
        <w:rPr>
          <w:sz w:val="20"/>
          <w:szCs w:val="20"/>
          <w:color w:val="auto"/>
        </w:rPr>
      </w:pPr>
    </w:p>
    <w:p>
      <w:pPr>
        <w:ind w:left="1300" w:right="200" w:hanging="879"/>
        <w:spacing w:after="0" w:line="286" w:lineRule="auto"/>
        <w:tabs>
          <w:tab w:leader="none" w:pos="12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Specimen form of Deferred Stock Unit Award Agreement for Nonemployee Directors (with Related Dividend Equivalents) used to evidence grants of Deferred Stock Units which may be made under The Scotts Miracle-Gro Company Long-Term Incentive Plan (post-January 17, 2013 version)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1300" w:right="340" w:hanging="879"/>
        <w:spacing w:after="0" w:line="312" w:lineRule="auto"/>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Specimen form of Deferred Stock Unit Award Agreement for Nonemployee Directors (with Related Dividend Equivalents) used to evidence grants of Deferred Stock Units made on January 18, 2013 to William G. Jurgensen under The Scotts Miracle-Gro Company Long-Term Incentive Plan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300" w:right="340" w:hanging="879"/>
        <w:spacing w:after="0" w:line="312" w:lineRule="auto"/>
        <w:tabs>
          <w:tab w:leader="none" w:pos="12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Specimen form of Restricted Stock Unit Award Agreement for Employees (with Related Dividend Equivalents) used to evidence grants of Restricted Stock Units which may be made under The Scotts Miracle-Gro Company Long-Term Incentive Plan (post-January 17, 2013 version)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300" w:right="260" w:hanging="879"/>
        <w:spacing w:after="0" w:line="286" w:lineRule="auto"/>
        <w:tabs>
          <w:tab w:leader="none" w:pos="12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Specimen form of Restricted Stock Unit Award Agreement for Employees (with Related Dividend Equivalents) used to evidence grants of Restricted Stock Units made on April 1, 2013 to Lawrence A. Hilsheimer under The Scotts Miracle-Gro Company Long-Term Incentive Plan</w:t>
      </w:r>
    </w:p>
    <w:p>
      <w:pPr>
        <w:spacing w:after="0" w:line="125" w:lineRule="exact"/>
        <w:rPr>
          <w:sz w:val="20"/>
          <w:szCs w:val="20"/>
          <w:color w:val="auto"/>
        </w:rPr>
      </w:pPr>
    </w:p>
    <w:p>
      <w:pPr>
        <w:ind w:left="1300" w:right="600" w:hanging="879"/>
        <w:spacing w:after="0" w:line="312" w:lineRule="auto"/>
        <w:tabs>
          <w:tab w:leader="none" w:pos="12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Specimen form of Performance Unit Award Agreement for Employees (with Related Dividend Equivalents) used to evidence grants of Performance Units which may be made under The Scotts Miracle-Gro Company Long-Term Incentive Plan (post-January 17, 2013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Incorporated herein by reference to the Registrant's Current Report on Form 8-K filed January 24, 2013 (File No. 1-11593) [Exhibit 10.1]</w:t>
      </w:r>
    </w:p>
    <w:p>
      <w:pPr>
        <w:spacing w:after="0" w:line="14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Incorporated herein by reference to the Registrant's Quarterly Report on Form 10-Q for the quarterly period ended December 29, 2012 (File No. 1-11593) [Exhibit 10.2]</w:t>
      </w:r>
    </w:p>
    <w:p>
      <w:pPr>
        <w:spacing w:after="0" w:line="12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Incorporated herein by reference to the Registrant's Quarterly Report on Form 10-Q for the quarterly period ended December 29, 2012 (File No. 1-11593) [Exhibit 10.3]</w:t>
      </w:r>
    </w:p>
    <w:p>
      <w:pPr>
        <w:spacing w:after="0" w:line="12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Incorporated herein by reference to the Registrant's Quarterly Report on Form 10-Q for the quarterly period ended December 29, 2012 (File No. 1-11593) [Exhibit 10.4]</w:t>
      </w:r>
    </w:p>
    <w:p>
      <w:pPr>
        <w:spacing w:after="0" w:line="12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Incorporated herein by reference to the Registrant's Quarterly Report on Form 10-Q for the quarterly period ended December 29, 2012 (File No. 1-11593) [Exhibit 10.5]</w:t>
      </w:r>
    </w:p>
    <w:p>
      <w:pPr>
        <w:spacing w:after="0" w:line="1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Incorporated herein by reference to the Registrant's Quarterly Report on Form 10-Q for the quarterly period ended December 29, 2012 (File No. 1-11593) [Exhibit 10.6]</w:t>
      </w:r>
    </w:p>
    <w:p>
      <w:pPr>
        <w:sectPr>
          <w:pgSz w:w="11900" w:h="16838" w:orient="portrait"/>
          <w:cols w:equalWidth="0" w:num="2">
            <w:col w:w="8880" w:space="160"/>
            <w:col w:w="2300"/>
          </w:cols>
          <w:pgMar w:left="240" w:top="125" w:right="31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1300" w:right="220" w:hanging="879"/>
        <w:spacing w:after="0" w:line="259" w:lineRule="auto"/>
        <w:tabs>
          <w:tab w:leader="none" w:pos="12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Specimen form of Performance Unit Award Agreement for Employees (with Related Dividend Equivalents) used to evidence grants of Performance Units made on January 18, 2013 to James Hagedorn under The Scotts Miracle-Gro Company Long-Term Incentive Plan (post-January 17, 2013 version)</w:t>
      </w:r>
    </w:p>
    <w:p>
      <w:pPr>
        <w:spacing w:after="0" w:line="146" w:lineRule="exact"/>
        <w:rPr>
          <w:sz w:val="20"/>
          <w:szCs w:val="20"/>
          <w:color w:val="auto"/>
        </w:rPr>
      </w:pPr>
    </w:p>
    <w:p>
      <w:pPr>
        <w:jc w:val="both"/>
        <w:ind w:left="1300" w:hanging="879"/>
        <w:spacing w:after="0" w:line="264" w:lineRule="auto"/>
        <w:tabs>
          <w:tab w:leader="none" w:pos="12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Specimen form of Nonqualified Stock Option Award Agreement for Employees used to evidence grants of Nonqualified Stock Options which may be made under The Scotts Miracle-Gro Company Long-Term Incentive Plan (post-January 17, 2013 version)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300" w:right="140" w:hanging="924"/>
        <w:spacing w:after="0" w:line="277" w:lineRule="auto"/>
        <w:tabs>
          <w:tab w:leader="none" w:pos="12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Third Amendment to The Scotts Company LLC Executive Retirement Plan, as Amended and Restated as of January 1, 2011 (effective as of January 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31.1</w:t>
            </w:r>
          </w:p>
        </w:tc>
        <w:tc>
          <w:tcPr>
            <w:tcW w:w="6680" w:type="dxa"/>
            <w:vAlign w:val="bottom"/>
          </w:tcPr>
          <w:p>
            <w:pPr>
              <w:ind w:left="300"/>
              <w:spacing w:after="0"/>
              <w:rPr>
                <w:sz w:val="20"/>
                <w:szCs w:val="20"/>
                <w:color w:val="auto"/>
              </w:rPr>
            </w:pPr>
            <w:r>
              <w:rPr>
                <w:rFonts w:ascii="Arial" w:cs="Arial" w:eastAsia="Arial" w:hAnsi="Arial"/>
                <w:sz w:val="18"/>
                <w:szCs w:val="18"/>
                <w:color w:val="auto"/>
              </w:rPr>
              <w:t>Rule 13a-14(a)/15d-14(a) Certifications (Principal Executive Officer)</w:t>
            </w:r>
          </w:p>
        </w:tc>
      </w:tr>
      <w:tr>
        <w:trPr>
          <w:trHeight w:val="39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31.2</w:t>
            </w:r>
          </w:p>
        </w:tc>
        <w:tc>
          <w:tcPr>
            <w:tcW w:w="6680" w:type="dxa"/>
            <w:vAlign w:val="bottom"/>
          </w:tcPr>
          <w:p>
            <w:pPr>
              <w:ind w:left="300"/>
              <w:spacing w:after="0"/>
              <w:rPr>
                <w:sz w:val="20"/>
                <w:szCs w:val="20"/>
                <w:color w:val="auto"/>
              </w:rPr>
            </w:pPr>
            <w:r>
              <w:rPr>
                <w:rFonts w:ascii="Arial" w:cs="Arial" w:eastAsia="Arial" w:hAnsi="Arial"/>
                <w:sz w:val="18"/>
                <w:szCs w:val="18"/>
                <w:color w:val="auto"/>
              </w:rPr>
              <w:t>Rule 13a-14(a)/15d-14(a) Certifications (Principal Financial Officer)</w:t>
            </w:r>
          </w:p>
        </w:tc>
      </w:tr>
      <w:tr>
        <w:trPr>
          <w:trHeight w:val="39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9"/>
              </w:rPr>
              <w:t>32</w:t>
            </w:r>
          </w:p>
        </w:tc>
        <w:tc>
          <w:tcPr>
            <w:tcW w:w="6680" w:type="dxa"/>
            <w:vAlign w:val="bottom"/>
          </w:tcPr>
          <w:p>
            <w:pPr>
              <w:ind w:left="300"/>
              <w:spacing w:after="0"/>
              <w:rPr>
                <w:sz w:val="20"/>
                <w:szCs w:val="20"/>
                <w:color w:val="auto"/>
              </w:rPr>
            </w:pPr>
            <w:r>
              <w:rPr>
                <w:rFonts w:ascii="Arial" w:cs="Arial" w:eastAsia="Arial" w:hAnsi="Arial"/>
                <w:sz w:val="18"/>
                <w:szCs w:val="18"/>
                <w:color w:val="auto"/>
                <w:w w:val="92"/>
              </w:rPr>
              <w:t>Section 1350 Certifications (Principal Executive Officer and Principal Financial Officer)</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668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668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668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668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668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668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391" w:lineRule="exact"/>
        <w:rPr>
          <w:sz w:val="20"/>
          <w:szCs w:val="20"/>
          <w:color w:val="auto"/>
        </w:rPr>
      </w:pPr>
    </w:p>
    <w:p>
      <w:pPr>
        <w:ind w:left="680" w:hanging="645"/>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Included herewith</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Incorporated herein by reference to the Registrant's Quarterly Report on Form 10-Q for the quarterly period ended December 29, 2012 (File No. 1-11593) [Exhibit 10.7]</w:t>
      </w:r>
    </w:p>
    <w:p>
      <w:pPr>
        <w:spacing w:after="0" w:line="12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Incorporated herein by reference to the Registrant's Quarterly Report on Form 10-Q for the quarterly period ended December 29, 2012 (File No. 1-11593) [Exhibit 10.10]</w:t>
      </w:r>
    </w:p>
    <w:p>
      <w:pPr>
        <w:spacing w:after="0" w:line="1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8820" w:space="220"/>
            <w:col w:w="2300"/>
          </w:cols>
          <w:pgMar w:left="240" w:top="125" w:right="31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10.6</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January 17, 2013)</w:t>
      </w:r>
    </w:p>
    <w:p>
      <w:pPr>
        <w:spacing w:after="0" w:line="23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RESTRICTED STOCK UNIT AWARD AGREEMENT FOR EMPLOYEES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(with related dividend equivalents)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GRANTED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LAWRENCE A. HILSHEIMER ON APRIL 1, 2013</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This Award Agreement describes the type of Award that you have been granted and the terms and conditions of your Award.</w:t>
      </w:r>
    </w:p>
    <w:p>
      <w:pPr>
        <w:spacing w:after="0" w:line="289" w:lineRule="exact"/>
        <w:rPr>
          <w:sz w:val="20"/>
          <w:szCs w:val="20"/>
          <w:color w:val="auto"/>
        </w:rPr>
      </w:pPr>
    </w:p>
    <w:p>
      <w:pPr>
        <w:jc w:val="both"/>
        <w:ind w:firstLine="8"/>
        <w:spacing w:after="0" w:line="247" w:lineRule="auto"/>
        <w:tabs>
          <w:tab w:leader="none" w:pos="556"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DESCRIPTION OF YOUR RESTRICTED STOCK UNITS. </w:t>
      </w:r>
      <w:r>
        <w:rPr>
          <w:rFonts w:ascii="Arial" w:cs="Arial" w:eastAsia="Arial" w:hAnsi="Arial"/>
          <w:sz w:val="22"/>
          <w:szCs w:val="22"/>
          <w:color w:val="auto"/>
        </w:rPr>
        <w:t>You have been granted</w:t>
      </w:r>
      <w:r>
        <w:rPr>
          <w:rFonts w:ascii="Arial" w:cs="Arial" w:eastAsia="Arial" w:hAnsi="Arial"/>
          <w:sz w:val="22"/>
          <w:szCs w:val="22"/>
          <w:b w:val="1"/>
          <w:bCs w:val="1"/>
          <w:color w:val="auto"/>
        </w:rPr>
        <w:t xml:space="preserve"> 32,665 </w:t>
      </w:r>
      <w:r>
        <w:rPr>
          <w:rFonts w:ascii="Arial" w:cs="Arial" w:eastAsia="Arial" w:hAnsi="Arial"/>
          <w:sz w:val="22"/>
          <w:szCs w:val="22"/>
          <w:color w:val="auto"/>
        </w:rPr>
        <w:t>Restricted Stock Units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(“RSUs”) and an equal number of related dividend equivalents. The “Grant Date” of your Award is </w:t>
      </w:r>
      <w:r>
        <w:rPr>
          <w:rFonts w:ascii="Arial" w:cs="Arial" w:eastAsia="Arial" w:hAnsi="Arial"/>
          <w:sz w:val="22"/>
          <w:szCs w:val="22"/>
          <w:b w:val="1"/>
          <w:bCs w:val="1"/>
          <w:color w:val="auto"/>
        </w:rPr>
        <w:t>April 1, 2013</w:t>
      </w:r>
      <w:r>
        <w:rPr>
          <w:rFonts w:ascii="Arial" w:cs="Arial" w:eastAsia="Arial" w:hAnsi="Arial"/>
          <w:sz w:val="22"/>
          <w:szCs w:val="22"/>
          <w:color w:val="auto"/>
        </w:rPr>
        <w:t xml:space="preserve">. Each whole RSU represents the right to receive one full Share at the time and in the manner described in this Award Agreement. Subject to Section 5 of this Award Agreement, each dividend equivalent represents the right to receive an amount equal to the dividends that are declared and paid during the period beginning on the Grant Date and ending on the Settlement Date (as described in Section 4(a) of this Award Agreement) with respect to the Share represented by the related RSU. To accept this Award Agreement, you must return a signed copy of this Award Agreement no later than </w:t>
      </w:r>
      <w:r>
        <w:rPr>
          <w:rFonts w:ascii="Arial" w:cs="Arial" w:eastAsia="Arial" w:hAnsi="Arial"/>
          <w:sz w:val="22"/>
          <w:szCs w:val="22"/>
          <w:b w:val="1"/>
          <w:bCs w:val="1"/>
          <w:color w:val="auto"/>
        </w:rPr>
        <w:t>May 15, 2013</w:t>
      </w:r>
      <w:r>
        <w:rPr>
          <w:rFonts w:ascii="Arial" w:cs="Arial" w:eastAsia="Arial" w:hAnsi="Arial"/>
          <w:sz w:val="22"/>
          <w:szCs w:val="22"/>
          <w:color w:val="auto"/>
        </w:rPr>
        <w:t xml:space="preserve">, to </w:t>
      </w:r>
      <w:r>
        <w:rPr>
          <w:rFonts w:ascii="Arial" w:cs="Arial" w:eastAsia="Arial" w:hAnsi="Arial"/>
          <w:sz w:val="22"/>
          <w:szCs w:val="22"/>
          <w:b w:val="1"/>
          <w:bCs w:val="1"/>
          <w:color w:val="auto"/>
        </w:rPr>
        <w:t>Merrill Lynch</w:t>
      </w:r>
      <w:r>
        <w:rPr>
          <w:rFonts w:ascii="Arial" w:cs="Arial" w:eastAsia="Arial" w:hAnsi="Arial"/>
          <w:sz w:val="22"/>
          <w:szCs w:val="22"/>
          <w:color w:val="auto"/>
        </w:rPr>
        <w:t xml:space="preserve"> (the “Third Party Administrator”) as follows:</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Merrill Lynch</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Stephen Smith</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8245 Pulsar Place, Suite 200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Columbus, OH 43240</w:t>
      </w:r>
    </w:p>
    <w:p>
      <w:pPr>
        <w:spacing w:after="0" w:line="4" w:lineRule="exact"/>
        <w:rPr>
          <w:sz w:val="20"/>
          <w:szCs w:val="20"/>
          <w:color w:val="auto"/>
        </w:rPr>
      </w:pPr>
    </w:p>
    <w:p>
      <w:pPr>
        <w:ind w:left="2480" w:hanging="527"/>
        <w:spacing w:after="0"/>
        <w:tabs>
          <w:tab w:leader="none" w:pos="2480" w:val="left"/>
        </w:tabs>
        <w:numPr>
          <w:ilvl w:val="2"/>
          <w:numId w:val="15"/>
        </w:numPr>
        <w:rPr>
          <w:rFonts w:ascii="Arial" w:cs="Arial" w:eastAsia="Arial" w:hAnsi="Arial"/>
          <w:sz w:val="22"/>
          <w:szCs w:val="22"/>
          <w:color w:val="auto"/>
        </w:rPr>
      </w:pPr>
      <w:r>
        <w:rPr>
          <w:rFonts w:ascii="Arial" w:cs="Arial" w:eastAsia="Arial" w:hAnsi="Arial"/>
          <w:sz w:val="22"/>
          <w:szCs w:val="22"/>
          <w:color w:val="auto"/>
        </w:rPr>
        <w:t>285-0648</w:t>
      </w:r>
    </w:p>
    <w:p>
      <w:pPr>
        <w:spacing w:after="0" w:line="236" w:lineRule="exact"/>
        <w:rPr>
          <w:rFonts w:ascii="Arial" w:cs="Arial" w:eastAsia="Arial" w:hAnsi="Arial"/>
          <w:sz w:val="22"/>
          <w:szCs w:val="22"/>
          <w:color w:val="auto"/>
        </w:rPr>
      </w:pPr>
    </w:p>
    <w:p>
      <w:pPr>
        <w:ind w:left="660" w:hanging="652"/>
        <w:spacing w:after="0"/>
        <w:tabs>
          <w:tab w:leader="none" w:pos="66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INCORPORATION OF PLAN AND DEFINITIONS.</w:t>
      </w:r>
    </w:p>
    <w:p>
      <w:pPr>
        <w:spacing w:after="0" w:line="266" w:lineRule="exact"/>
        <w:rPr>
          <w:rFonts w:ascii="Arial" w:cs="Arial" w:eastAsia="Arial" w:hAnsi="Arial"/>
          <w:sz w:val="22"/>
          <w:szCs w:val="22"/>
          <w:b w:val="1"/>
          <w:bCs w:val="1"/>
          <w:color w:val="auto"/>
        </w:rPr>
      </w:pPr>
    </w:p>
    <w:p>
      <w:pPr>
        <w:jc w:val="both"/>
        <w:ind w:left="1320" w:hanging="664"/>
        <w:spacing w:after="0" w:line="248" w:lineRule="auto"/>
        <w:tabs>
          <w:tab w:leader="none" w:pos="1302" w:val="left"/>
        </w:tabs>
        <w:numPr>
          <w:ilvl w:val="1"/>
          <w:numId w:val="16"/>
        </w:numPr>
        <w:rPr>
          <w:rFonts w:ascii="Arial" w:cs="Arial" w:eastAsia="Arial" w:hAnsi="Arial"/>
          <w:sz w:val="22"/>
          <w:szCs w:val="22"/>
          <w:color w:val="auto"/>
        </w:rPr>
      </w:pPr>
      <w:r>
        <w:rPr>
          <w:rFonts w:ascii="Arial" w:cs="Arial" w:eastAsia="Arial" w:hAnsi="Arial"/>
          <w:sz w:val="22"/>
          <w:szCs w:val="22"/>
          <w:color w:val="auto"/>
        </w:rPr>
        <w:t>This Award Agreement and your RSUs are granted pursuant to and in accordance with The Scotts Miracle-Gro Company Long-Term Incentive Plan as amended and restated January 17, 2013 (the “Plan”). All provisions of the Plan are incorporated herein by reference, and your RSUs and related dividend equivalents are subject to the terms of the Plan and this Award Agreement. To the extent there is a conflict between this Award Agreement and the Plan, the Plan will govern.</w:t>
      </w:r>
    </w:p>
    <w:p>
      <w:pPr>
        <w:spacing w:after="0" w:line="232" w:lineRule="exact"/>
        <w:rPr>
          <w:rFonts w:ascii="Arial" w:cs="Arial" w:eastAsia="Arial" w:hAnsi="Arial"/>
          <w:sz w:val="22"/>
          <w:szCs w:val="22"/>
          <w:color w:val="auto"/>
        </w:rPr>
      </w:pPr>
    </w:p>
    <w:p>
      <w:pPr>
        <w:ind w:left="1300" w:hanging="644"/>
        <w:spacing w:after="0"/>
        <w:tabs>
          <w:tab w:leader="none" w:pos="1300" w:val="left"/>
        </w:tabs>
        <w:numPr>
          <w:ilvl w:val="1"/>
          <w:numId w:val="16"/>
        </w:numPr>
        <w:rPr>
          <w:rFonts w:ascii="Arial" w:cs="Arial" w:eastAsia="Arial" w:hAnsi="Arial"/>
          <w:sz w:val="22"/>
          <w:szCs w:val="22"/>
          <w:color w:val="auto"/>
        </w:rPr>
      </w:pPr>
      <w:r>
        <w:rPr>
          <w:rFonts w:ascii="Arial" w:cs="Arial" w:eastAsia="Arial" w:hAnsi="Arial"/>
          <w:sz w:val="22"/>
          <w:szCs w:val="22"/>
          <w:color w:val="auto"/>
        </w:rPr>
        <w:t>Capitalized terms that are not defined in this Award Agreement have the same meanings as in the Plan.</w:t>
      </w:r>
    </w:p>
    <w:p>
      <w:pPr>
        <w:spacing w:after="0" w:line="254" w:lineRule="exact"/>
        <w:rPr>
          <w:rFonts w:ascii="Arial" w:cs="Arial" w:eastAsia="Arial" w:hAnsi="Arial"/>
          <w:sz w:val="22"/>
          <w:szCs w:val="22"/>
          <w:color w:val="auto"/>
        </w:rPr>
      </w:pPr>
    </w:p>
    <w:p>
      <w:pPr>
        <w:ind w:firstLine="8"/>
        <w:spacing w:after="0" w:line="282" w:lineRule="auto"/>
        <w:tabs>
          <w:tab w:leader="none" w:pos="369"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Except as provided in Section 6 of this Award Agreement, the RSUs described in this Award Agreement will vest</w:t>
      </w:r>
      <w:r>
        <w:rPr>
          <w:rFonts w:ascii="Arial" w:cs="Arial" w:eastAsia="Arial" w:hAnsi="Arial"/>
          <w:sz w:val="22"/>
          <w:szCs w:val="22"/>
          <w:b w:val="1"/>
          <w:bCs w:val="1"/>
          <w:color w:val="auto"/>
        </w:rPr>
        <w:t xml:space="preserve"> </w:t>
      </w:r>
      <w:r>
        <w:rPr>
          <w:rFonts w:ascii="Arial" w:cs="Arial" w:eastAsia="Arial" w:hAnsi="Arial"/>
          <w:sz w:val="22"/>
          <w:szCs w:val="22"/>
          <w:color w:val="auto"/>
        </w:rPr>
        <w:t>as follows:</w:t>
      </w:r>
    </w:p>
    <w:p>
      <w:pPr>
        <w:sectPr>
          <w:pgSz w:w="11900" w:h="16838" w:orient="portrait"/>
          <w:cols w:equalWidth="0" w:num="1">
            <w:col w:w="11420"/>
          </w:cols>
          <w:pgMar w:left="240" w:top="639" w:right="239" w:bottom="1440" w:gutter="0" w:footer="0" w:header="0"/>
        </w:sectPr>
      </w:pPr>
    </w:p>
    <w:bookmarkStart w:id="52" w:name="page53"/>
    <w:bookmarkEnd w:id="52"/>
    <w:p>
      <w:pPr>
        <w:ind w:left="1460" w:hanging="804"/>
        <w:spacing w:after="0"/>
        <w:tabs>
          <w:tab w:leader="none" w:pos="1460" w:val="left"/>
        </w:tabs>
        <w:numPr>
          <w:ilvl w:val="0"/>
          <w:numId w:val="17"/>
        </w:numPr>
        <w:rPr>
          <w:rFonts w:ascii="Arial" w:cs="Arial" w:eastAsia="Arial" w:hAnsi="Arial"/>
          <w:sz w:val="19"/>
          <w:szCs w:val="19"/>
          <w:color w:val="auto"/>
        </w:rPr>
      </w:pPr>
      <w:r>
        <w:rPr>
          <w:rFonts w:ascii="Arial" w:cs="Arial" w:eastAsia="Arial" w:hAnsi="Arial"/>
          <w:sz w:val="19"/>
          <w:szCs w:val="19"/>
          <w:b w:val="1"/>
          <w:bCs w:val="1"/>
          <w:color w:val="auto"/>
        </w:rPr>
        <w:t xml:space="preserve">Vesting Of RSUs. </w:t>
      </w:r>
      <w:r>
        <w:rPr>
          <w:rFonts w:ascii="Arial" w:cs="Arial" w:eastAsia="Arial" w:hAnsi="Arial"/>
          <w:sz w:val="19"/>
          <w:szCs w:val="19"/>
          <w:color w:val="auto"/>
        </w:rPr>
        <w:t>Except as provided in Section 7 of this Agreement, the RSUs described in this Agreement will</w:t>
      </w:r>
    </w:p>
    <w:p>
      <w:pPr>
        <w:spacing w:after="0" w:line="6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vest as follows:</w:t>
      </w:r>
    </w:p>
    <w:p>
      <w:pPr>
        <w:spacing w:after="0" w:line="236"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 xml:space="preserve">General Vesting. </w:t>
      </w:r>
      <w:r>
        <w:rPr>
          <w:rFonts w:ascii="Arial" w:cs="Arial" w:eastAsia="Arial" w:hAnsi="Arial"/>
          <w:sz w:val="22"/>
          <w:szCs w:val="22"/>
          <w:color w:val="auto"/>
        </w:rPr>
        <w:t>In general, the “Vesting Schedule” is as follows:</w:t>
      </w:r>
    </w:p>
    <w:p>
      <w:pPr>
        <w:spacing w:after="0" w:line="266"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18"/>
        </w:numPr>
        <w:rPr>
          <w:rFonts w:ascii="Arial" w:cs="Arial" w:eastAsia="Arial" w:hAnsi="Arial"/>
          <w:sz w:val="22"/>
          <w:szCs w:val="22"/>
          <w:color w:val="auto"/>
        </w:rPr>
      </w:pPr>
      <w:r>
        <w:rPr>
          <w:rFonts w:ascii="Arial" w:cs="Arial" w:eastAsia="Arial" w:hAnsi="Arial"/>
          <w:sz w:val="22"/>
          <w:szCs w:val="22"/>
          <w:color w:val="auto"/>
        </w:rPr>
        <w:t xml:space="preserve">If Participant’s employment continues uninterrupted from the Grant Date until the first anniversary of the Grant Date, </w:t>
      </w:r>
      <w:r>
        <w:rPr>
          <w:rFonts w:ascii="Arial" w:cs="Arial" w:eastAsia="Arial" w:hAnsi="Arial"/>
          <w:sz w:val="22"/>
          <w:szCs w:val="22"/>
          <w:b w:val="1"/>
          <w:bCs w:val="1"/>
          <w:color w:val="auto"/>
        </w:rPr>
        <w:t>8,166</w:t>
      </w:r>
      <w:r>
        <w:rPr>
          <w:rFonts w:ascii="Arial" w:cs="Arial" w:eastAsia="Arial" w:hAnsi="Arial"/>
          <w:sz w:val="22"/>
          <w:szCs w:val="22"/>
          <w:color w:val="auto"/>
        </w:rPr>
        <w:t xml:space="preserve"> of the RSUs described in this Agreement will become vested;</w:t>
      </w:r>
    </w:p>
    <w:p>
      <w:pPr>
        <w:spacing w:after="0" w:line="215" w:lineRule="exact"/>
        <w:rPr>
          <w:rFonts w:ascii="Arial" w:cs="Arial" w:eastAsia="Arial" w:hAnsi="Arial"/>
          <w:sz w:val="22"/>
          <w:szCs w:val="22"/>
          <w:color w:val="auto"/>
        </w:rPr>
      </w:pPr>
    </w:p>
    <w:p>
      <w:pPr>
        <w:ind w:left="1960" w:hanging="655"/>
        <w:spacing w:after="0" w:line="287" w:lineRule="auto"/>
        <w:tabs>
          <w:tab w:leader="none" w:pos="1960" w:val="left"/>
        </w:tabs>
        <w:numPr>
          <w:ilvl w:val="1"/>
          <w:numId w:val="18"/>
        </w:numPr>
        <w:rPr>
          <w:rFonts w:ascii="Arial" w:cs="Arial" w:eastAsia="Arial" w:hAnsi="Arial"/>
          <w:sz w:val="21"/>
          <w:szCs w:val="21"/>
          <w:color w:val="auto"/>
        </w:rPr>
      </w:pPr>
      <w:r>
        <w:rPr>
          <w:rFonts w:ascii="Arial" w:cs="Arial" w:eastAsia="Arial" w:hAnsi="Arial"/>
          <w:sz w:val="21"/>
          <w:szCs w:val="21"/>
          <w:color w:val="auto"/>
        </w:rPr>
        <w:t xml:space="preserve">If Participant’s employment continues uninterrupted from Grant Date until the second anniversary of the Grant Date, an additional </w:t>
      </w:r>
      <w:r>
        <w:rPr>
          <w:rFonts w:ascii="Arial" w:cs="Arial" w:eastAsia="Arial" w:hAnsi="Arial"/>
          <w:sz w:val="21"/>
          <w:szCs w:val="21"/>
          <w:b w:val="1"/>
          <w:bCs w:val="1"/>
          <w:color w:val="auto"/>
        </w:rPr>
        <w:t>8,166</w:t>
      </w:r>
      <w:r>
        <w:rPr>
          <w:rFonts w:ascii="Arial" w:cs="Arial" w:eastAsia="Arial" w:hAnsi="Arial"/>
          <w:sz w:val="21"/>
          <w:szCs w:val="21"/>
          <w:color w:val="auto"/>
        </w:rPr>
        <w:t xml:space="preserve"> of the RSUs described in this Agreement will become vested; and</w:t>
      </w:r>
    </w:p>
    <w:p>
      <w:pPr>
        <w:spacing w:after="0" w:line="192" w:lineRule="exact"/>
        <w:rPr>
          <w:rFonts w:ascii="Arial" w:cs="Arial" w:eastAsia="Arial" w:hAnsi="Arial"/>
          <w:sz w:val="21"/>
          <w:szCs w:val="21"/>
          <w:color w:val="auto"/>
        </w:rPr>
      </w:pPr>
    </w:p>
    <w:p>
      <w:pPr>
        <w:ind w:left="1960" w:right="20" w:hanging="655"/>
        <w:spacing w:after="0" w:line="287" w:lineRule="auto"/>
        <w:tabs>
          <w:tab w:leader="none" w:pos="1960" w:val="left"/>
        </w:tabs>
        <w:numPr>
          <w:ilvl w:val="1"/>
          <w:numId w:val="18"/>
        </w:numPr>
        <w:rPr>
          <w:rFonts w:ascii="Arial" w:cs="Arial" w:eastAsia="Arial" w:hAnsi="Arial"/>
          <w:sz w:val="21"/>
          <w:szCs w:val="21"/>
          <w:color w:val="auto"/>
        </w:rPr>
      </w:pPr>
      <w:r>
        <w:rPr>
          <w:rFonts w:ascii="Arial" w:cs="Arial" w:eastAsia="Arial" w:hAnsi="Arial"/>
          <w:sz w:val="21"/>
          <w:szCs w:val="21"/>
          <w:color w:val="auto"/>
        </w:rPr>
        <w:t xml:space="preserve">If Participant’s employment continues uninterrupted from the Grant Date until the third anniversary of the Grant Date, the final </w:t>
      </w:r>
      <w:r>
        <w:rPr>
          <w:rFonts w:ascii="Arial" w:cs="Arial" w:eastAsia="Arial" w:hAnsi="Arial"/>
          <w:sz w:val="21"/>
          <w:szCs w:val="21"/>
          <w:b w:val="1"/>
          <w:bCs w:val="1"/>
          <w:color w:val="auto"/>
        </w:rPr>
        <w:t>16,333</w:t>
      </w:r>
      <w:r>
        <w:rPr>
          <w:rFonts w:ascii="Arial" w:cs="Arial" w:eastAsia="Arial" w:hAnsi="Arial"/>
          <w:sz w:val="21"/>
          <w:szCs w:val="21"/>
          <w:color w:val="auto"/>
        </w:rPr>
        <w:t xml:space="preserve"> of the RSUs described in this Agreement will become vested.</w:t>
      </w:r>
    </w:p>
    <w:p>
      <w:pPr>
        <w:spacing w:after="0" w:line="186" w:lineRule="exact"/>
        <w:rPr>
          <w:rFonts w:ascii="Arial" w:cs="Arial" w:eastAsia="Arial" w:hAnsi="Arial"/>
          <w:sz w:val="21"/>
          <w:szCs w:val="21"/>
          <w:color w:val="auto"/>
        </w:rPr>
      </w:pPr>
    </w:p>
    <w:p>
      <w:pPr>
        <w:ind w:left="1300" w:hanging="644"/>
        <w:spacing w:after="0"/>
        <w:tabs>
          <w:tab w:leader="none" w:pos="1300" w:val="left"/>
        </w:tabs>
        <w:numPr>
          <w:ilvl w:val="0"/>
          <w:numId w:val="18"/>
        </w:numPr>
        <w:rPr>
          <w:rFonts w:ascii="Arial" w:cs="Arial" w:eastAsia="Arial" w:hAnsi="Arial"/>
          <w:sz w:val="19"/>
          <w:szCs w:val="19"/>
          <w:color w:val="auto"/>
        </w:rPr>
      </w:pPr>
      <w:r>
        <w:rPr>
          <w:rFonts w:ascii="Arial" w:cs="Arial" w:eastAsia="Arial" w:hAnsi="Arial"/>
          <w:sz w:val="19"/>
          <w:szCs w:val="19"/>
          <w:b w:val="1"/>
          <w:bCs w:val="1"/>
          <w:color w:val="auto"/>
        </w:rPr>
        <w:t xml:space="preserve">Accelerated Vesting. </w:t>
      </w:r>
      <w:r>
        <w:rPr>
          <w:rFonts w:ascii="Arial" w:cs="Arial" w:eastAsia="Arial" w:hAnsi="Arial"/>
          <w:sz w:val="19"/>
          <w:szCs w:val="19"/>
          <w:color w:val="auto"/>
        </w:rPr>
        <w:t>Under the following circumstances, any outstanding RSUs not previously vested will become</w:t>
      </w:r>
    </w:p>
    <w:p>
      <w:pPr>
        <w:spacing w:after="0" w:line="62" w:lineRule="exact"/>
        <w:rPr>
          <w:rFonts w:ascii="Arial" w:cs="Arial" w:eastAsia="Arial" w:hAnsi="Arial"/>
          <w:sz w:val="19"/>
          <w:szCs w:val="19"/>
          <w:color w:val="auto"/>
        </w:rPr>
      </w:pPr>
    </w:p>
    <w:p>
      <w:pPr>
        <w:ind w:left="1320"/>
        <w:spacing w:after="0"/>
        <w:rPr>
          <w:rFonts w:ascii="Arial" w:cs="Arial" w:eastAsia="Arial" w:hAnsi="Arial"/>
          <w:sz w:val="19"/>
          <w:szCs w:val="19"/>
          <w:color w:val="auto"/>
        </w:rPr>
      </w:pPr>
      <w:r>
        <w:rPr>
          <w:rFonts w:ascii="Arial" w:cs="Arial" w:eastAsia="Arial" w:hAnsi="Arial"/>
          <w:sz w:val="22"/>
          <w:szCs w:val="22"/>
          <w:color w:val="auto"/>
        </w:rPr>
        <w:t>100% vested earlier than as provided in the Vesting Schedule:</w:t>
      </w:r>
    </w:p>
    <w:p>
      <w:pPr>
        <w:spacing w:after="0" w:line="242" w:lineRule="exact"/>
        <w:rPr>
          <w:sz w:val="20"/>
          <w:szCs w:val="20"/>
          <w:color w:val="auto"/>
        </w:rPr>
      </w:pPr>
    </w:p>
    <w:p>
      <w:pPr>
        <w:jc w:val="both"/>
        <w:ind w:left="1960" w:hanging="655"/>
        <w:spacing w:after="0" w:line="288" w:lineRule="auto"/>
        <w:tabs>
          <w:tab w:leader="none" w:pos="19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If you Terminate because of your death or because you become Disabled (as defined below), any outstanding RSUs not previously vested will become 100% vested as of the date of such event and will be settled in accordance with Section 4 of this Award Agreement. For purposes of this Award Agreement, “Disabled” means (A) you are unable to engage in any substantial gainful activity by reason of any medically determinable physical or mental impairment that can be expected to result in death or can be expected to last for a continuous period of not less than 12 months, (B) you are,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your employer, or (C) you are determined to be totally disabled by the Social Security Administration or Railroad Retirement Board; or</w:t>
      </w:r>
    </w:p>
    <w:p>
      <w:pPr>
        <w:spacing w:after="0" w:line="200" w:lineRule="exact"/>
        <w:rPr>
          <w:rFonts w:ascii="Arial" w:cs="Arial" w:eastAsia="Arial" w:hAnsi="Arial"/>
          <w:sz w:val="19"/>
          <w:szCs w:val="19"/>
          <w:color w:val="auto"/>
        </w:rPr>
      </w:pPr>
    </w:p>
    <w:p>
      <w:pPr>
        <w:jc w:val="both"/>
        <w:ind w:left="1960" w:hanging="655"/>
        <w:spacing w:after="0" w:line="250" w:lineRule="auto"/>
        <w:tabs>
          <w:tab w:leader="none" w:pos="19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If you Terminate for a reason other than Cause after reaching age 55 and completing at least 10 years of employment with the Company, its Affiliates and/or its Subsidiaries, any outstanding RSUs not previously vested will become 100% vested as of the date of such event and will be settled in accordance with Section 4 of this Award Agreement.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9" w:right="239" w:bottom="1440" w:gutter="0" w:footer="0" w:header="0"/>
        </w:sectPr>
      </w:pPr>
    </w:p>
    <w:bookmarkStart w:id="53" w:name="page54"/>
    <w:bookmarkEnd w:id="53"/>
    <w:p>
      <w:pPr>
        <w:ind w:left="380" w:hanging="372"/>
        <w:spacing w:after="0"/>
        <w:tabs>
          <w:tab w:leader="none" w:pos="38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w:t>
      </w:r>
    </w:p>
    <w:p>
      <w:pPr>
        <w:spacing w:after="0" w:line="225" w:lineRule="exact"/>
        <w:rPr>
          <w:rFonts w:ascii="Arial" w:cs="Arial" w:eastAsia="Arial" w:hAnsi="Arial"/>
          <w:sz w:val="22"/>
          <w:szCs w:val="22"/>
          <w:b w:val="1"/>
          <w:bCs w:val="1"/>
          <w:color w:val="auto"/>
        </w:rPr>
      </w:pPr>
    </w:p>
    <w:p>
      <w:pPr>
        <w:jc w:val="both"/>
        <w:ind w:left="1300" w:hanging="644"/>
        <w:spacing w:after="0" w:line="288" w:lineRule="auto"/>
        <w:tabs>
          <w:tab w:leader="none" w:pos="1300" w:val="left"/>
        </w:tabs>
        <w:numPr>
          <w:ilvl w:val="1"/>
          <w:numId w:val="20"/>
        </w:numPr>
        <w:rPr>
          <w:rFonts w:ascii="Arial" w:cs="Arial" w:eastAsia="Arial" w:hAnsi="Arial"/>
          <w:sz w:val="19"/>
          <w:szCs w:val="19"/>
          <w:color w:val="auto"/>
        </w:rPr>
      </w:pPr>
      <w:r>
        <w:rPr>
          <w:rFonts w:ascii="Arial" w:cs="Arial" w:eastAsia="Arial" w:hAnsi="Arial"/>
          <w:sz w:val="19"/>
          <w:szCs w:val="19"/>
          <w:color w:val="auto"/>
        </w:rPr>
        <w:t>Subject to the terms of the Plan and this Award Agreement, your vested RSUs, minus any shares that are withheld for taxes as provided under Section 4(c), shall be settled in a lump sum as soon as administratively practicable, but no later than 60 days following the earliest date to occur of: (i) your Termination due to your death or Disability; or</w:t>
      </w:r>
    </w:p>
    <w:p>
      <w:pPr>
        <w:spacing w:after="0" w:line="1" w:lineRule="exact"/>
        <w:rPr>
          <w:rFonts w:ascii="Arial" w:cs="Arial" w:eastAsia="Arial" w:hAnsi="Arial"/>
          <w:sz w:val="19"/>
          <w:szCs w:val="19"/>
          <w:color w:val="auto"/>
        </w:rPr>
      </w:pPr>
    </w:p>
    <w:p>
      <w:pPr>
        <w:jc w:val="both"/>
        <w:ind w:left="1300" w:firstLine="5"/>
        <w:spacing w:after="0" w:line="245" w:lineRule="auto"/>
        <w:tabs>
          <w:tab w:leader="none" w:pos="1622" w:val="left"/>
        </w:tabs>
        <w:numPr>
          <w:ilvl w:val="2"/>
          <w:numId w:val="20"/>
        </w:numPr>
        <w:rPr>
          <w:rFonts w:ascii="Arial" w:cs="Arial" w:eastAsia="Arial" w:hAnsi="Arial"/>
          <w:sz w:val="22"/>
          <w:szCs w:val="22"/>
          <w:color w:val="auto"/>
        </w:rPr>
      </w:pPr>
      <w:r>
        <w:rPr>
          <w:rFonts w:ascii="Arial" w:cs="Arial" w:eastAsia="Arial" w:hAnsi="Arial"/>
          <w:sz w:val="22"/>
          <w:szCs w:val="22"/>
          <w:color w:val="auto"/>
        </w:rPr>
        <w:t>the third anniversary of the Grant Date (the “Settlement Date”). Your whole RSUs shall be settled in full Shares, and any fractional RSU shall be settled in cash, determined based upon the Fair Market Value of a Share on the Settlement Date.</w:t>
      </w:r>
    </w:p>
    <w:p>
      <w:pPr>
        <w:spacing w:after="0" w:line="193" w:lineRule="exact"/>
        <w:rPr>
          <w:rFonts w:ascii="Arial" w:cs="Arial" w:eastAsia="Arial" w:hAnsi="Arial"/>
          <w:sz w:val="22"/>
          <w:szCs w:val="22"/>
          <w:color w:val="auto"/>
        </w:rPr>
      </w:pPr>
    </w:p>
    <w:p>
      <w:pPr>
        <w:ind w:left="1300" w:hanging="644"/>
        <w:spacing w:after="0" w:line="287" w:lineRule="auto"/>
        <w:tabs>
          <w:tab w:leader="none" w:pos="1300" w:val="left"/>
        </w:tabs>
        <w:numPr>
          <w:ilvl w:val="1"/>
          <w:numId w:val="20"/>
        </w:numPr>
        <w:rPr>
          <w:rFonts w:ascii="Arial" w:cs="Arial" w:eastAsia="Arial" w:hAnsi="Arial"/>
          <w:sz w:val="21"/>
          <w:szCs w:val="21"/>
          <w:color w:val="auto"/>
        </w:rPr>
      </w:pPr>
      <w:r>
        <w:rPr>
          <w:rFonts w:ascii="Arial" w:cs="Arial" w:eastAsia="Arial" w:hAnsi="Arial"/>
          <w:sz w:val="21"/>
          <w:szCs w:val="21"/>
          <w:color w:val="auto"/>
        </w:rPr>
        <w:t>Except as provided in Section 5 of this Award Agreement, you will have none of the rights of a shareholder with respect to Shares underlying the RSUs unless and until you become the record holder of such Shares.</w:t>
      </w:r>
    </w:p>
    <w:p>
      <w:pPr>
        <w:spacing w:after="0" w:line="151"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1"/>
          <w:numId w:val="20"/>
        </w:numPr>
        <w:rPr>
          <w:rFonts w:ascii="Arial" w:cs="Arial" w:eastAsia="Arial" w:hAnsi="Arial"/>
          <w:sz w:val="22"/>
          <w:szCs w:val="22"/>
          <w:color w:val="auto"/>
        </w:rPr>
      </w:pPr>
      <w:r>
        <w:rPr>
          <w:rFonts w:ascii="Arial" w:cs="Arial" w:eastAsia="Arial" w:hAnsi="Arial"/>
          <w:sz w:val="22"/>
          <w:szCs w:val="22"/>
          <w:color w:val="auto"/>
        </w:rPr>
        <w:t>You may use one of the following methods to pay the required withholding taxes related to the vesting of your RSUs. You will decide on the method at the time prescribed by the Company. If you do not elect one of these methods, the Company will apply the Net Settlement method described below:</w:t>
      </w:r>
    </w:p>
    <w:p>
      <w:pPr>
        <w:spacing w:after="0" w:line="185"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2"/>
          <w:numId w:val="21"/>
        </w:numPr>
        <w:rPr>
          <w:rFonts w:ascii="Arial" w:cs="Arial" w:eastAsia="Arial" w:hAnsi="Arial"/>
          <w:sz w:val="22"/>
          <w:szCs w:val="22"/>
          <w:color w:val="auto"/>
        </w:rPr>
      </w:pPr>
      <w:r>
        <w:rPr>
          <w:rFonts w:ascii="Arial" w:cs="Arial" w:eastAsia="Arial" w:hAnsi="Arial"/>
          <w:sz w:val="22"/>
          <w:szCs w:val="22"/>
          <w:color w:val="auto"/>
        </w:rPr>
        <w:t>CASH PAYMENT: If you elect this alternative, you will be responsible for paying the Company through the Third Party Administrator cash equal to the minimum statutory withholding requirements applicable on your RSUs.</w:t>
      </w:r>
    </w:p>
    <w:p>
      <w:pPr>
        <w:spacing w:after="0" w:line="226" w:lineRule="exact"/>
        <w:rPr>
          <w:rFonts w:ascii="Arial" w:cs="Arial" w:eastAsia="Arial" w:hAnsi="Arial"/>
          <w:sz w:val="22"/>
          <w:szCs w:val="22"/>
          <w:color w:val="auto"/>
        </w:rPr>
      </w:pPr>
    </w:p>
    <w:p>
      <w:pPr>
        <w:ind w:left="1960" w:hanging="655"/>
        <w:spacing w:after="0" w:line="287" w:lineRule="auto"/>
        <w:tabs>
          <w:tab w:leader="none" w:pos="1960" w:val="left"/>
        </w:tabs>
        <w:numPr>
          <w:ilvl w:val="2"/>
          <w:numId w:val="21"/>
        </w:numPr>
        <w:rPr>
          <w:rFonts w:ascii="Arial" w:cs="Arial" w:eastAsia="Arial" w:hAnsi="Arial"/>
          <w:sz w:val="21"/>
          <w:szCs w:val="21"/>
          <w:color w:val="auto"/>
        </w:rPr>
      </w:pPr>
      <w:r>
        <w:rPr>
          <w:rFonts w:ascii="Arial" w:cs="Arial" w:eastAsia="Arial" w:hAnsi="Arial"/>
          <w:sz w:val="21"/>
          <w:szCs w:val="21"/>
          <w:color w:val="auto"/>
        </w:rPr>
        <w:t>NET SETTLEMENT: If you elect this alternative, the Company will retain the number of shares with a Fair Market Value equal to the minimum statutory withholding requirements applicable on your RSUs.</w:t>
      </w:r>
    </w:p>
    <w:p>
      <w:pPr>
        <w:spacing w:after="0" w:line="192"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1"/>
          <w:numId w:val="22"/>
        </w:numPr>
        <w:rPr>
          <w:rFonts w:ascii="Arial" w:cs="Arial" w:eastAsia="Arial" w:hAnsi="Arial"/>
          <w:sz w:val="22"/>
          <w:szCs w:val="22"/>
          <w:color w:val="auto"/>
        </w:rPr>
      </w:pPr>
      <w:r>
        <w:rPr>
          <w:rFonts w:ascii="Arial" w:cs="Arial" w:eastAsia="Arial" w:hAnsi="Arial"/>
          <w:sz w:val="22"/>
          <w:szCs w:val="22"/>
          <w:color w:val="auto"/>
        </w:rPr>
        <w:t>Normally, your RSUs will vest and be settled only under the circumstances described above. However, if there is a Change in Control, your RSUs will become 100% vested on the date of the Change in Control and will be settled as described in the Plan. See the Plan for further details.</w:t>
      </w:r>
    </w:p>
    <w:p>
      <w:pPr>
        <w:spacing w:after="0" w:line="220" w:lineRule="exact"/>
        <w:rPr>
          <w:rFonts w:ascii="Arial" w:cs="Arial" w:eastAsia="Arial" w:hAnsi="Arial"/>
          <w:sz w:val="22"/>
          <w:szCs w:val="22"/>
          <w:color w:val="auto"/>
        </w:rPr>
      </w:pPr>
    </w:p>
    <w:p>
      <w:pPr>
        <w:jc w:val="both"/>
        <w:ind w:firstLine="8"/>
        <w:spacing w:after="0" w:line="248" w:lineRule="auto"/>
        <w:tabs>
          <w:tab w:leader="none" w:pos="40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 EQUIVALENTS. </w:t>
      </w:r>
      <w:r>
        <w:rPr>
          <w:rFonts w:ascii="Arial" w:cs="Arial" w:eastAsia="Arial" w:hAnsi="Arial"/>
          <w:sz w:val="22"/>
          <w:szCs w:val="22"/>
          <w:color w:val="auto"/>
        </w:rPr>
        <w:t>You will be entitled to receive a dividend equivalent equal to any dividends declared and paid</w:t>
      </w:r>
      <w:r>
        <w:rPr>
          <w:rFonts w:ascii="Arial" w:cs="Arial" w:eastAsia="Arial" w:hAnsi="Arial"/>
          <w:sz w:val="22"/>
          <w:szCs w:val="22"/>
          <w:b w:val="1"/>
          <w:bCs w:val="1"/>
          <w:color w:val="auto"/>
        </w:rPr>
        <w:t xml:space="preserve"> </w:t>
      </w:r>
      <w:r>
        <w:rPr>
          <w:rFonts w:ascii="Arial" w:cs="Arial" w:eastAsia="Arial" w:hAnsi="Arial"/>
          <w:sz w:val="22"/>
          <w:szCs w:val="22"/>
          <w:color w:val="auto"/>
        </w:rPr>
        <w:t>on each Share represented by a related RSU, subject to the same terms and conditions as the related RSU. Any dividend equivalents described in this Section 5 will be distributed to you in accordance with Section 4 of this Award Agreement or forfeited, depending on whether or not you have met the conditions described in this Award Agreement and the Plan. Any such distributions will be made in (i) cash, for any dividend equivalents relating to cash dividends and/or (ii) Shares, for any dividend equivalents relating to Share dividends.</w:t>
      </w:r>
    </w:p>
    <w:p>
      <w:pPr>
        <w:spacing w:after="0" w:line="227" w:lineRule="exact"/>
        <w:rPr>
          <w:rFonts w:ascii="Arial" w:cs="Arial" w:eastAsia="Arial" w:hAnsi="Arial"/>
          <w:sz w:val="22"/>
          <w:szCs w:val="22"/>
          <w:b w:val="1"/>
          <w:bCs w:val="1"/>
          <w:color w:val="auto"/>
        </w:rPr>
      </w:pPr>
    </w:p>
    <w:p>
      <w:pPr>
        <w:ind w:left="380" w:hanging="372"/>
        <w:spacing w:after="0"/>
        <w:tabs>
          <w:tab w:leader="none" w:pos="38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w:t>
      </w:r>
    </w:p>
    <w:p>
      <w:pPr>
        <w:spacing w:after="0" w:line="266" w:lineRule="exact"/>
        <w:rPr>
          <w:rFonts w:ascii="Arial" w:cs="Arial" w:eastAsia="Arial" w:hAnsi="Arial"/>
          <w:sz w:val="22"/>
          <w:szCs w:val="22"/>
          <w:b w:val="1"/>
          <w:bCs w:val="1"/>
          <w:color w:val="auto"/>
        </w:rPr>
      </w:pPr>
    </w:p>
    <w:p>
      <w:pPr>
        <w:ind w:left="1300" w:hanging="644"/>
        <w:spacing w:after="0" w:line="263" w:lineRule="auto"/>
        <w:tabs>
          <w:tab w:leader="none" w:pos="1300" w:val="left"/>
        </w:tabs>
        <w:numPr>
          <w:ilvl w:val="1"/>
          <w:numId w:val="23"/>
        </w:numPr>
        <w:rPr>
          <w:rFonts w:ascii="Arial" w:cs="Arial" w:eastAsia="Arial" w:hAnsi="Arial"/>
          <w:sz w:val="22"/>
          <w:szCs w:val="22"/>
          <w:color w:val="auto"/>
        </w:rPr>
      </w:pPr>
      <w:r>
        <w:rPr>
          <w:rFonts w:ascii="Arial" w:cs="Arial" w:eastAsia="Arial" w:hAnsi="Arial"/>
          <w:sz w:val="22"/>
          <w:szCs w:val="22"/>
          <w:color w:val="auto"/>
        </w:rPr>
        <w:t>Except as otherwise provided in Section 3 or Section 4(d) of this Award Agreement, you will forfeit your unvested RSUs if you Terminate prior to the Vesting Date.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69" w:right="239" w:bottom="1440" w:gutter="0" w:footer="0" w:header="0"/>
        </w:sectPr>
      </w:pPr>
    </w:p>
    <w:bookmarkStart w:id="54" w:name="page55"/>
    <w:bookmarkEnd w:id="54"/>
    <w:p>
      <w:pPr>
        <w:jc w:val="both"/>
        <w:ind w:left="1300" w:hanging="644"/>
        <w:spacing w:after="0" w:line="250" w:lineRule="auto"/>
        <w:tabs>
          <w:tab w:leader="none" w:pos="1300" w:val="left"/>
        </w:tabs>
        <w:numPr>
          <w:ilvl w:val="1"/>
          <w:numId w:val="24"/>
        </w:numPr>
        <w:rPr>
          <w:rFonts w:ascii="Arial" w:cs="Arial" w:eastAsia="Arial" w:hAnsi="Arial"/>
          <w:sz w:val="22"/>
          <w:szCs w:val="22"/>
          <w:color w:val="auto"/>
        </w:rPr>
      </w:pPr>
      <w:r>
        <w:rPr>
          <w:rFonts w:ascii="Arial" w:cs="Arial" w:eastAsia="Arial" w:hAnsi="Arial"/>
          <w:sz w:val="22"/>
          <w:szCs w:val="22"/>
          <w:color w:val="auto"/>
        </w:rPr>
        <w:t>If you engage in “Conduct That Is Harmful To The Company” (as described below), you will forfeit your RSUs and related dividend equivalents and must return to the Company all Shares and other amounts you have received through the Plan or this Award Agreement if, without the Company’s written consent, you do any of the following within 180 days before and 730 days after you Terminate:</w:t>
      </w:r>
    </w:p>
    <w:p>
      <w:pPr>
        <w:spacing w:after="0" w:line="228"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24"/>
        </w:numPr>
        <w:rPr>
          <w:rFonts w:ascii="Arial" w:cs="Arial" w:eastAsia="Arial" w:hAnsi="Arial"/>
          <w:sz w:val="22"/>
          <w:szCs w:val="22"/>
          <w:color w:val="auto"/>
        </w:rPr>
      </w:pPr>
      <w:r>
        <w:rPr>
          <w:rFonts w:ascii="Arial" w:cs="Arial" w:eastAsia="Arial" w:hAnsi="Arial"/>
          <w:sz w:val="22"/>
          <w:szCs w:val="22"/>
          <w:color w:val="auto"/>
        </w:rPr>
        <w:t>You breach any confidentiality, nondisclosure, and/or noncompetition obligations under any agreement or plan with the Company or any Affiliate or Subsidiary;</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24"/>
        </w:numPr>
        <w:rPr>
          <w:rFonts w:ascii="Arial" w:cs="Arial" w:eastAsia="Arial" w:hAnsi="Arial"/>
          <w:sz w:val="22"/>
          <w:szCs w:val="22"/>
          <w:color w:val="auto"/>
        </w:rPr>
      </w:pPr>
      <w:r>
        <w:rPr>
          <w:rFonts w:ascii="Arial" w:cs="Arial" w:eastAsia="Arial" w:hAnsi="Arial"/>
          <w:sz w:val="22"/>
          <w:szCs w:val="22"/>
          <w:color w:val="auto"/>
        </w:rPr>
        <w:t>You fail or refuse to consult with, supply information to or otherwise cooperate with the Company or any Affiliate or Subsidiary after having been requested to do so;</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24"/>
        </w:numPr>
        <w:rPr>
          <w:rFonts w:ascii="Arial" w:cs="Arial" w:eastAsia="Arial" w:hAnsi="Arial"/>
          <w:sz w:val="22"/>
          <w:szCs w:val="22"/>
          <w:color w:val="auto"/>
        </w:rPr>
      </w:pPr>
      <w:r>
        <w:rPr>
          <w:rFonts w:ascii="Arial" w:cs="Arial" w:eastAsia="Arial" w:hAnsi="Arial"/>
          <w:sz w:val="22"/>
          <w:szCs w:val="22"/>
          <w:color w:val="auto"/>
        </w:rPr>
        <w:t>You deliberately engage in any action that the Company concludes has caused substantial harm to the interests of the Company or any Affiliate or Subsidiary;</w:t>
      </w:r>
    </w:p>
    <w:p>
      <w:pPr>
        <w:spacing w:after="0" w:line="215" w:lineRule="exact"/>
        <w:rPr>
          <w:rFonts w:ascii="Arial" w:cs="Arial" w:eastAsia="Arial" w:hAnsi="Arial"/>
          <w:sz w:val="22"/>
          <w:szCs w:val="22"/>
          <w:color w:val="auto"/>
        </w:rPr>
      </w:pPr>
    </w:p>
    <w:p>
      <w:pPr>
        <w:jc w:val="both"/>
        <w:ind w:left="1960" w:hanging="655"/>
        <w:spacing w:after="0" w:line="247" w:lineRule="auto"/>
        <w:tabs>
          <w:tab w:leader="none" w:pos="1960" w:val="left"/>
        </w:tabs>
        <w:numPr>
          <w:ilvl w:val="2"/>
          <w:numId w:val="24"/>
        </w:numPr>
        <w:rPr>
          <w:rFonts w:ascii="Arial" w:cs="Arial" w:eastAsia="Arial" w:hAnsi="Arial"/>
          <w:sz w:val="22"/>
          <w:szCs w:val="22"/>
          <w:color w:val="auto"/>
        </w:rPr>
      </w:pPr>
      <w:r>
        <w:rPr>
          <w:rFonts w:ascii="Arial" w:cs="Arial" w:eastAsia="Arial" w:hAnsi="Arial"/>
          <w:sz w:val="22"/>
          <w:szCs w:val="22"/>
          <w:color w:val="auto"/>
        </w:rPr>
        <w:t>You fail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provided to you in the course of your employment with the Company or any Affiliate or Subsidiary; or</w:t>
      </w:r>
    </w:p>
    <w:p>
      <w:pPr>
        <w:spacing w:after="0" w:line="234"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24"/>
        </w:numPr>
        <w:rPr>
          <w:rFonts w:ascii="Arial" w:cs="Arial" w:eastAsia="Arial" w:hAnsi="Arial"/>
          <w:sz w:val="22"/>
          <w:szCs w:val="22"/>
          <w:color w:val="auto"/>
        </w:rPr>
      </w:pPr>
      <w:r>
        <w:rPr>
          <w:rFonts w:ascii="Arial" w:cs="Arial" w:eastAsia="Arial" w:hAnsi="Arial"/>
          <w:sz w:val="22"/>
          <w:szCs w:val="22"/>
          <w:color w:val="auto"/>
        </w:rPr>
        <w:t>You engaged in conduct that the Committee reasonably concludes would have given rise to a Termination for Cause had it been discovered before you Terminated.</w:t>
      </w:r>
    </w:p>
    <w:p>
      <w:pPr>
        <w:spacing w:after="0" w:line="209" w:lineRule="exact"/>
        <w:rPr>
          <w:rFonts w:ascii="Arial" w:cs="Arial" w:eastAsia="Arial" w:hAnsi="Arial"/>
          <w:sz w:val="22"/>
          <w:szCs w:val="22"/>
          <w:color w:val="auto"/>
        </w:rPr>
      </w:pPr>
    </w:p>
    <w:p>
      <w:pPr>
        <w:ind w:firstLine="8"/>
        <w:spacing w:after="0" w:line="269" w:lineRule="auto"/>
        <w:tabs>
          <w:tab w:leader="none" w:pos="402"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AND TERMINATION. </w:t>
      </w:r>
      <w:r>
        <w:rPr>
          <w:rFonts w:ascii="Arial" w:cs="Arial" w:eastAsia="Arial" w:hAnsi="Arial"/>
          <w:sz w:val="22"/>
          <w:szCs w:val="22"/>
          <w:color w:val="auto"/>
        </w:rPr>
        <w:t>Subject to the terms of the Plan, the Company may amend or terminate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the Plan at any time.</w:t>
      </w:r>
    </w:p>
    <w:p>
      <w:pPr>
        <w:spacing w:after="0" w:line="162" w:lineRule="exact"/>
        <w:rPr>
          <w:rFonts w:ascii="Arial" w:cs="Arial" w:eastAsia="Arial" w:hAnsi="Arial"/>
          <w:sz w:val="22"/>
          <w:szCs w:val="22"/>
          <w:b w:val="1"/>
          <w:bCs w:val="1"/>
          <w:color w:val="auto"/>
        </w:rPr>
      </w:pPr>
    </w:p>
    <w:p>
      <w:pPr>
        <w:jc w:val="both"/>
        <w:ind w:firstLine="8"/>
        <w:spacing w:after="0" w:line="248" w:lineRule="auto"/>
        <w:tabs>
          <w:tab w:leader="none" w:pos="443"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BENEFICIARY DESIGNATION. </w:t>
      </w:r>
      <w:r>
        <w:rPr>
          <w:rFonts w:ascii="Arial" w:cs="Arial" w:eastAsia="Arial" w:hAnsi="Arial"/>
          <w:sz w:val="22"/>
          <w:szCs w:val="22"/>
          <w:color w:val="auto"/>
        </w:rPr>
        <w:t>You may name a beneficiary or beneficiaries to receive any RSUs and related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that vest before you die but are settled after you die. This may be done only on the attached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187" w:lineRule="exact"/>
        <w:rPr>
          <w:rFonts w:ascii="Arial" w:cs="Arial" w:eastAsia="Arial" w:hAnsi="Arial"/>
          <w:sz w:val="22"/>
          <w:szCs w:val="22"/>
          <w:b w:val="1"/>
          <w:bCs w:val="1"/>
          <w:color w:val="auto"/>
        </w:rPr>
      </w:pPr>
    </w:p>
    <w:p>
      <w:pPr>
        <w:jc w:val="both"/>
        <w:ind w:firstLine="8"/>
        <w:spacing w:after="0" w:line="256" w:lineRule="auto"/>
        <w:tabs>
          <w:tab w:leader="none" w:pos="439"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TRANSFERRING YOUR RSUs AND RELATED DIVIDEND EQUIVALENTS. </w:t>
      </w:r>
      <w:r>
        <w:rPr>
          <w:rFonts w:ascii="Arial" w:cs="Arial" w:eastAsia="Arial" w:hAnsi="Arial"/>
          <w:sz w:val="22"/>
          <w:szCs w:val="22"/>
          <w:color w:val="auto"/>
        </w:rPr>
        <w:t>Except as described in Section 8, your</w:t>
      </w:r>
      <w:r>
        <w:rPr>
          <w:rFonts w:ascii="Arial" w:cs="Arial" w:eastAsia="Arial" w:hAnsi="Arial"/>
          <w:sz w:val="22"/>
          <w:szCs w:val="22"/>
          <w:b w:val="1"/>
          <w:bCs w:val="1"/>
          <w:color w:val="auto"/>
        </w:rPr>
        <w:t xml:space="preserve"> </w:t>
      </w:r>
      <w:r>
        <w:rPr>
          <w:rFonts w:ascii="Arial" w:cs="Arial" w:eastAsia="Arial" w:hAnsi="Arial"/>
          <w:sz w:val="22"/>
          <w:szCs w:val="22"/>
          <w:color w:val="auto"/>
        </w:rPr>
        <w:t>RSUs and related dividend equivalents may not be transferred to another person. Also, the Committee may allow you to place your RSUs and related dividend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55" w:name="page56"/>
    <w:bookmarkEnd w:id="55"/>
    <w:p>
      <w:pPr>
        <w:ind w:right="20"/>
        <w:spacing w:after="0" w:line="263" w:lineRule="auto"/>
        <w:rPr>
          <w:sz w:val="20"/>
          <w:szCs w:val="20"/>
          <w:color w:val="auto"/>
        </w:rPr>
      </w:pPr>
      <w:r>
        <w:rPr>
          <w:rFonts w:ascii="Arial" w:cs="Arial" w:eastAsia="Arial" w:hAnsi="Arial"/>
          <w:sz w:val="22"/>
          <w:szCs w:val="22"/>
          <w:color w:val="auto"/>
        </w:rPr>
        <w:t>equivalents into a trust established for your benefit or the benefit of your family. Contact the Third Party Administrator for further details.</w:t>
      </w:r>
    </w:p>
    <w:p>
      <w:pPr>
        <w:spacing w:after="0" w:line="209" w:lineRule="exact"/>
        <w:rPr>
          <w:sz w:val="20"/>
          <w:szCs w:val="20"/>
          <w:color w:val="auto"/>
        </w:rPr>
      </w:pPr>
    </w:p>
    <w:p>
      <w:pPr>
        <w:jc w:val="both"/>
        <w:ind w:firstLine="8"/>
        <w:spacing w:after="0" w:line="256" w:lineRule="auto"/>
        <w:tabs>
          <w:tab w:leader="none" w:pos="508"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Award Agreement shall be governed by the laws of the State of Ohio, excluding any conflicts or</w:t>
      </w:r>
      <w:r>
        <w:rPr>
          <w:rFonts w:ascii="Arial" w:cs="Arial" w:eastAsia="Arial" w:hAnsi="Arial"/>
          <w:sz w:val="22"/>
          <w:szCs w:val="22"/>
          <w:b w:val="1"/>
          <w:bCs w:val="1"/>
          <w:color w:val="auto"/>
        </w:rPr>
        <w:t xml:space="preserve"> </w:t>
      </w:r>
      <w:r>
        <w:rPr>
          <w:rFonts w:ascii="Arial" w:cs="Arial" w:eastAsia="Arial" w:hAnsi="Arial"/>
          <w:sz w:val="22"/>
          <w:szCs w:val="22"/>
          <w:color w:val="auto"/>
        </w:rPr>
        <w:t>choice of law rule or principle that might otherwise refer construction or interpretation of the Plan to the substantive law of another jurisdiction.</w:t>
      </w:r>
    </w:p>
    <w:p>
      <w:pPr>
        <w:spacing w:after="0" w:line="216" w:lineRule="exact"/>
        <w:rPr>
          <w:rFonts w:ascii="Arial" w:cs="Arial" w:eastAsia="Arial" w:hAnsi="Arial"/>
          <w:sz w:val="22"/>
          <w:szCs w:val="22"/>
          <w:b w:val="1"/>
          <w:bCs w:val="1"/>
          <w:color w:val="auto"/>
        </w:rPr>
      </w:pPr>
    </w:p>
    <w:p>
      <w:pPr>
        <w:jc w:val="both"/>
        <w:ind w:firstLine="8"/>
        <w:spacing w:after="0" w:line="264" w:lineRule="auto"/>
        <w:tabs>
          <w:tab w:leader="none" w:pos="474" w:val="left"/>
        </w:tabs>
        <w:numPr>
          <w:ilvl w:val="0"/>
          <w:numId w:val="2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OTHER AGREEMENTS AND POLICIES. </w:t>
      </w:r>
      <w:r>
        <w:rPr>
          <w:rFonts w:ascii="Arial" w:cs="Arial" w:eastAsia="Arial" w:hAnsi="Arial"/>
          <w:sz w:val="21"/>
          <w:szCs w:val="21"/>
          <w:color w:val="auto"/>
        </w:rPr>
        <w:t>Your RSUs and related dividend equivalents will be subject to the terms of any</w:t>
      </w:r>
      <w:r>
        <w:rPr>
          <w:rFonts w:ascii="Arial" w:cs="Arial" w:eastAsia="Arial" w:hAnsi="Arial"/>
          <w:sz w:val="21"/>
          <w:szCs w:val="21"/>
          <w:b w:val="1"/>
          <w:bCs w:val="1"/>
          <w:color w:val="auto"/>
        </w:rPr>
        <w:t xml:space="preserve"> </w:t>
      </w:r>
      <w:r>
        <w:rPr>
          <w:rFonts w:ascii="Arial" w:cs="Arial" w:eastAsia="Arial" w:hAnsi="Arial"/>
          <w:sz w:val="21"/>
          <w:szCs w:val="21"/>
          <w:color w:val="auto"/>
        </w:rPr>
        <w:t>other written agreements between you and the Company or any Affiliate or Subsidiary to the extent that those other agreements do not directly conflict with the terms of the Plan or this Award Agreement. Your RSUs and related dividend equivalents granted under the Plan shall be subject to any applicable Company clawback or recoupment policies, share trading policies and other policies that may be implemented by the Company from time to time.</w:t>
      </w:r>
    </w:p>
    <w:p>
      <w:pPr>
        <w:spacing w:after="0" w:line="170" w:lineRule="exact"/>
        <w:rPr>
          <w:rFonts w:ascii="Arial" w:cs="Arial" w:eastAsia="Arial" w:hAnsi="Arial"/>
          <w:sz w:val="21"/>
          <w:szCs w:val="21"/>
          <w:b w:val="1"/>
          <w:bCs w:val="1"/>
          <w:color w:val="auto"/>
        </w:rPr>
      </w:pPr>
    </w:p>
    <w:p>
      <w:pPr>
        <w:jc w:val="both"/>
        <w:ind w:firstLine="8"/>
        <w:spacing w:after="0" w:line="256" w:lineRule="auto"/>
        <w:tabs>
          <w:tab w:leader="none" w:pos="528"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TO YOUR RSUs. </w:t>
      </w:r>
      <w:r>
        <w:rPr>
          <w:rFonts w:ascii="Arial" w:cs="Arial" w:eastAsia="Arial" w:hAnsi="Arial"/>
          <w:sz w:val="22"/>
          <w:szCs w:val="22"/>
          <w:color w:val="auto"/>
        </w:rPr>
        <w:t>Subject to the terms of the Plan, your RSUs and related dividend equivalents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adjusted, if appropriate, to reflect any change to the Company’s capital structure (e.g., the number of Shares underlying your RSUs will be adjusted to reflect a stock split).</w:t>
      </w:r>
    </w:p>
    <w:p>
      <w:pPr>
        <w:spacing w:after="0" w:line="176" w:lineRule="exact"/>
        <w:rPr>
          <w:rFonts w:ascii="Arial" w:cs="Arial" w:eastAsia="Arial" w:hAnsi="Arial"/>
          <w:sz w:val="22"/>
          <w:szCs w:val="22"/>
          <w:b w:val="1"/>
          <w:bCs w:val="1"/>
          <w:color w:val="auto"/>
        </w:rPr>
      </w:pPr>
    </w:p>
    <w:p>
      <w:pPr>
        <w:ind w:left="480" w:hanging="472"/>
        <w:spacing w:after="0"/>
        <w:tabs>
          <w:tab w:leader="none" w:pos="48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YOUR ACKNOWLEDGMENT OF AND AGREEMENT TO AWARD CONDITIONS.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By signing below, you acknowledge and agree that:</w:t>
      </w:r>
    </w:p>
    <w:p>
      <w:pPr>
        <w:spacing w:after="0" w:line="220" w:lineRule="exact"/>
        <w:rPr>
          <w:sz w:val="20"/>
          <w:szCs w:val="20"/>
          <w:color w:val="auto"/>
        </w:rPr>
      </w:pPr>
    </w:p>
    <w:p>
      <w:pPr>
        <w:ind w:left="1100" w:hanging="444"/>
        <w:spacing w:after="0"/>
        <w:tabs>
          <w:tab w:leader="none" w:pos="11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 copy of the Plan has been made available to you;</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You understand and accept the terms and conditions of your Award;</w:t>
      </w:r>
    </w:p>
    <w:p>
      <w:pPr>
        <w:spacing w:after="0" w:line="219"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182" w:lineRule="exact"/>
        <w:rPr>
          <w:rFonts w:ascii="Arial" w:cs="Arial" w:eastAsia="Arial" w:hAnsi="Arial"/>
          <w:sz w:val="22"/>
          <w:szCs w:val="22"/>
          <w:color w:val="auto"/>
        </w:rPr>
      </w:pPr>
    </w:p>
    <w:p>
      <w:pPr>
        <w:ind w:left="1300" w:hanging="644"/>
        <w:spacing w:after="0"/>
        <w:tabs>
          <w:tab w:leader="none" w:pos="1300" w:val="left"/>
        </w:tabs>
        <w:numPr>
          <w:ilvl w:val="0"/>
          <w:numId w:val="27"/>
        </w:numPr>
        <w:rPr>
          <w:rFonts w:ascii="Arial" w:cs="Arial" w:eastAsia="Arial" w:hAnsi="Arial"/>
          <w:sz w:val="21"/>
          <w:szCs w:val="21"/>
          <w:color w:val="auto"/>
        </w:rPr>
      </w:pPr>
      <w:r>
        <w:rPr>
          <w:rFonts w:ascii="Arial" w:cs="Arial" w:eastAsia="Arial" w:hAnsi="Arial"/>
          <w:sz w:val="21"/>
          <w:szCs w:val="21"/>
          <w:color w:val="auto"/>
        </w:rPr>
        <w:t xml:space="preserve">You must return a signed copy of this Award Agreement to the address given above before </w:t>
      </w:r>
      <w:r>
        <w:rPr>
          <w:rFonts w:ascii="Arial" w:cs="Arial" w:eastAsia="Arial" w:hAnsi="Arial"/>
          <w:sz w:val="21"/>
          <w:szCs w:val="21"/>
          <w:b w:val="1"/>
          <w:bCs w:val="1"/>
          <w:color w:val="auto"/>
        </w:rPr>
        <w:t>May 10, 2013.</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4480" w:type="dxa"/>
            <w:vAlign w:val="bottom"/>
            <w:vMerge w:val="restart"/>
          </w:tcPr>
          <w:p>
            <w:pPr>
              <w:spacing w:after="0"/>
              <w:rPr>
                <w:sz w:val="20"/>
                <w:szCs w:val="20"/>
                <w:color w:val="auto"/>
              </w:rPr>
            </w:pPr>
            <w:r>
              <w:rPr>
                <w:rFonts w:ascii="Arial" w:cs="Arial" w:eastAsia="Arial" w:hAnsi="Arial"/>
                <w:sz w:val="22"/>
                <w:szCs w:val="22"/>
                <w:b w:val="1"/>
                <w:bCs w:val="1"/>
                <w:color w:val="auto"/>
              </w:rPr>
              <w:t>Lawrence A. Hilsheimer</w:t>
            </w:r>
          </w:p>
        </w:tc>
        <w:tc>
          <w:tcPr>
            <w:tcW w:w="5340" w:type="dxa"/>
            <w:vAlign w:val="bottom"/>
            <w:gridSpan w:val="3"/>
          </w:tcPr>
          <w:p>
            <w:pPr>
              <w:ind w:left="760"/>
              <w:spacing w:after="0"/>
              <w:rPr>
                <w:sz w:val="20"/>
                <w:szCs w:val="20"/>
                <w:color w:val="auto"/>
              </w:rPr>
            </w:pPr>
            <w:r>
              <w:rPr>
                <w:rFonts w:ascii="Arial" w:cs="Arial" w:eastAsia="Arial" w:hAnsi="Arial"/>
                <w:sz w:val="22"/>
                <w:szCs w:val="22"/>
                <w:color w:val="auto"/>
              </w:rPr>
              <w:t>THE SCOTTS MIRACLE-GRO COMPANY</w:t>
            </w:r>
          </w:p>
        </w:tc>
        <w:tc>
          <w:tcPr>
            <w:tcW w:w="0" w:type="dxa"/>
            <w:vAlign w:val="bottom"/>
          </w:tcPr>
          <w:p>
            <w:pPr>
              <w:spacing w:after="0"/>
              <w:rPr>
                <w:sz w:val="1"/>
                <w:szCs w:val="1"/>
                <w:color w:val="auto"/>
              </w:rPr>
            </w:pPr>
          </w:p>
        </w:tc>
      </w:tr>
      <w:tr>
        <w:trPr>
          <w:trHeight w:val="243"/>
        </w:trPr>
        <w:tc>
          <w:tcPr>
            <w:tcW w:w="4480" w:type="dxa"/>
            <w:vAlign w:val="bottom"/>
            <w:vMerge w:val="continue"/>
          </w:tcPr>
          <w:p>
            <w:pPr>
              <w:spacing w:after="0"/>
              <w:rPr>
                <w:sz w:val="21"/>
                <w:szCs w:val="21"/>
                <w:color w:val="auto"/>
              </w:rPr>
            </w:pPr>
          </w:p>
        </w:tc>
        <w:tc>
          <w:tcPr>
            <w:tcW w:w="2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5"/>
        </w:trPr>
        <w:tc>
          <w:tcPr>
            <w:tcW w:w="4480" w:type="dxa"/>
            <w:vAlign w:val="bottom"/>
          </w:tcPr>
          <w:p>
            <w:pPr>
              <w:spacing w:after="0"/>
              <w:rPr>
                <w:sz w:val="24"/>
                <w:szCs w:val="24"/>
                <w:color w:val="auto"/>
              </w:rPr>
            </w:pPr>
          </w:p>
        </w:tc>
        <w:tc>
          <w:tcPr>
            <w:tcW w:w="5340" w:type="dxa"/>
            <w:vAlign w:val="bottom"/>
            <w:gridSpan w:val="3"/>
          </w:tcPr>
          <w:p>
            <w:pPr>
              <w:ind w:left="840"/>
              <w:spacing w:after="0"/>
              <w:rPr>
                <w:sz w:val="20"/>
                <w:szCs w:val="20"/>
                <w:color w:val="auto"/>
              </w:rPr>
            </w:pPr>
            <w:r>
              <w:rPr>
                <w:rFonts w:ascii="Arial" w:cs="Arial" w:eastAsia="Arial" w:hAnsi="Arial"/>
                <w:sz w:val="22"/>
                <w:szCs w:val="22"/>
                <w:color w:val="auto"/>
                <w:w w:val="96"/>
              </w:rPr>
              <w:t>By: ___________________________________</w:t>
            </w:r>
          </w:p>
        </w:tc>
        <w:tc>
          <w:tcPr>
            <w:tcW w:w="0" w:type="dxa"/>
            <w:vAlign w:val="bottom"/>
          </w:tcPr>
          <w:p>
            <w:pPr>
              <w:spacing w:after="0"/>
              <w:rPr>
                <w:sz w:val="1"/>
                <w:szCs w:val="1"/>
                <w:color w:val="auto"/>
              </w:rPr>
            </w:pPr>
          </w:p>
        </w:tc>
      </w:tr>
      <w:tr>
        <w:trPr>
          <w:trHeight w:val="243"/>
        </w:trPr>
        <w:tc>
          <w:tcPr>
            <w:tcW w:w="4480" w:type="dxa"/>
            <w:vAlign w:val="bottom"/>
          </w:tcPr>
          <w:p>
            <w:pPr>
              <w:spacing w:after="0" w:line="243" w:lineRule="exact"/>
              <w:rPr>
                <w:sz w:val="20"/>
                <w:szCs w:val="20"/>
                <w:color w:val="auto"/>
              </w:rPr>
            </w:pPr>
            <w:r>
              <w:rPr>
                <w:rFonts w:ascii="Arial" w:cs="Arial" w:eastAsia="Arial" w:hAnsi="Arial"/>
                <w:sz w:val="22"/>
                <w:szCs w:val="22"/>
                <w:color w:val="auto"/>
              </w:rPr>
              <w:t>By: ______________________________</w:t>
            </w:r>
          </w:p>
        </w:tc>
        <w:tc>
          <w:tcPr>
            <w:tcW w:w="5340" w:type="dxa"/>
            <w:vAlign w:val="bottom"/>
            <w:gridSpan w:val="3"/>
          </w:tcPr>
          <w:p>
            <w:pPr>
              <w:ind w:left="840"/>
              <w:spacing w:after="0" w:line="243" w:lineRule="exact"/>
              <w:rPr>
                <w:sz w:val="20"/>
                <w:szCs w:val="20"/>
                <w:color w:val="auto"/>
              </w:rPr>
            </w:pPr>
            <w:r>
              <w:rPr>
                <w:rFonts w:ascii="Arial" w:cs="Arial" w:eastAsia="Arial" w:hAnsi="Arial"/>
                <w:sz w:val="22"/>
                <w:szCs w:val="22"/>
                <w:color w:val="auto"/>
              </w:rPr>
              <w:t>Denise Stump</w:t>
            </w:r>
          </w:p>
        </w:tc>
        <w:tc>
          <w:tcPr>
            <w:tcW w:w="0" w:type="dxa"/>
            <w:vAlign w:val="bottom"/>
          </w:tcPr>
          <w:p>
            <w:pPr>
              <w:spacing w:after="0"/>
              <w:rPr>
                <w:sz w:val="1"/>
                <w:szCs w:val="1"/>
                <w:color w:val="auto"/>
              </w:rPr>
            </w:pPr>
          </w:p>
        </w:tc>
      </w:tr>
      <w:tr>
        <w:trPr>
          <w:trHeight w:val="275"/>
        </w:trPr>
        <w:tc>
          <w:tcPr>
            <w:tcW w:w="4480" w:type="dxa"/>
            <w:vAlign w:val="bottom"/>
          </w:tcPr>
          <w:p>
            <w:pPr>
              <w:spacing w:after="0"/>
              <w:rPr>
                <w:sz w:val="23"/>
                <w:szCs w:val="23"/>
                <w:color w:val="auto"/>
              </w:rPr>
            </w:pPr>
          </w:p>
        </w:tc>
        <w:tc>
          <w:tcPr>
            <w:tcW w:w="5340" w:type="dxa"/>
            <w:vAlign w:val="bottom"/>
            <w:gridSpan w:val="3"/>
          </w:tcPr>
          <w:p>
            <w:pPr>
              <w:ind w:left="840"/>
              <w:spacing w:after="0"/>
              <w:rPr>
                <w:sz w:val="20"/>
                <w:szCs w:val="20"/>
                <w:color w:val="auto"/>
              </w:rPr>
            </w:pPr>
            <w:r>
              <w:rPr>
                <w:rFonts w:ascii="Arial" w:cs="Arial" w:eastAsia="Arial" w:hAnsi="Arial"/>
                <w:sz w:val="22"/>
                <w:szCs w:val="22"/>
                <w:color w:val="auto"/>
                <w:w w:val="88"/>
              </w:rPr>
              <w:t>Executive Vice President, Global Human Resources</w:t>
            </w:r>
          </w:p>
        </w:tc>
        <w:tc>
          <w:tcPr>
            <w:tcW w:w="0" w:type="dxa"/>
            <w:vAlign w:val="bottom"/>
          </w:tcPr>
          <w:p>
            <w:pPr>
              <w:spacing w:after="0"/>
              <w:rPr>
                <w:sz w:val="1"/>
                <w:szCs w:val="1"/>
                <w:color w:val="auto"/>
              </w:rPr>
            </w:pPr>
          </w:p>
        </w:tc>
      </w:tr>
      <w:tr>
        <w:trPr>
          <w:trHeight w:val="436"/>
        </w:trPr>
        <w:tc>
          <w:tcPr>
            <w:tcW w:w="4480" w:type="dxa"/>
            <w:vAlign w:val="bottom"/>
            <w:vMerge w:val="restart"/>
          </w:tcPr>
          <w:p>
            <w:pPr>
              <w:spacing w:after="0"/>
              <w:rPr>
                <w:sz w:val="20"/>
                <w:szCs w:val="20"/>
                <w:color w:val="auto"/>
              </w:rPr>
            </w:pPr>
            <w:r>
              <w:rPr>
                <w:rFonts w:ascii="Arial" w:cs="Arial" w:eastAsia="Arial" w:hAnsi="Arial"/>
                <w:sz w:val="22"/>
                <w:szCs w:val="22"/>
                <w:color w:val="auto"/>
              </w:rPr>
              <w:t>Date signed: ________________________</w:t>
            </w:r>
          </w:p>
        </w:tc>
        <w:tc>
          <w:tcPr>
            <w:tcW w:w="5340" w:type="dxa"/>
            <w:vAlign w:val="bottom"/>
            <w:gridSpan w:val="3"/>
          </w:tcPr>
          <w:p>
            <w:pPr>
              <w:ind w:left="840"/>
              <w:spacing w:after="0"/>
              <w:rPr>
                <w:sz w:val="20"/>
                <w:szCs w:val="20"/>
                <w:color w:val="auto"/>
              </w:rPr>
            </w:pPr>
            <w:r>
              <w:rPr>
                <w:rFonts w:ascii="Arial" w:cs="Arial" w:eastAsia="Arial" w:hAnsi="Arial"/>
                <w:sz w:val="22"/>
                <w:szCs w:val="22"/>
                <w:color w:val="auto"/>
              </w:rPr>
              <w:t>Date signed: _______, 2013_______</w:t>
            </w:r>
          </w:p>
        </w:tc>
        <w:tc>
          <w:tcPr>
            <w:tcW w:w="0" w:type="dxa"/>
            <w:vAlign w:val="bottom"/>
          </w:tcPr>
          <w:p>
            <w:pPr>
              <w:spacing w:after="0"/>
              <w:rPr>
                <w:sz w:val="1"/>
                <w:szCs w:val="1"/>
                <w:color w:val="auto"/>
              </w:rPr>
            </w:pPr>
          </w:p>
        </w:tc>
      </w:tr>
      <w:tr>
        <w:trPr>
          <w:trHeight w:val="274"/>
        </w:trPr>
        <w:tc>
          <w:tcPr>
            <w:tcW w:w="4480" w:type="dxa"/>
            <w:vAlign w:val="bottom"/>
            <w:vMerge w:val="continue"/>
          </w:tcPr>
          <w:p>
            <w:pPr>
              <w:spacing w:after="0"/>
              <w:rPr>
                <w:sz w:val="23"/>
                <w:szCs w:val="23"/>
                <w:color w:val="auto"/>
              </w:rPr>
            </w:pPr>
          </w:p>
        </w:tc>
        <w:tc>
          <w:tcPr>
            <w:tcW w:w="2740" w:type="dxa"/>
            <w:vAlign w:val="bottom"/>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t>Exhibit 10.8</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January 17, 2013)</w:t>
      </w:r>
    </w:p>
    <w:p>
      <w:pPr>
        <w:spacing w:after="0" w:line="23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PERFORMANCE UNIT AWARD AGREEMENT FOR EMPLOYEES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(with related dividend equivalents)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UNITS GRANTED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[Grantee’s Name] ON [Grant Date]</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This Award Agreement describes the type of Award that you have been granted and the terms and conditions of your Award.</w:t>
      </w:r>
    </w:p>
    <w:p>
      <w:pPr>
        <w:spacing w:after="0" w:line="289" w:lineRule="exact"/>
        <w:rPr>
          <w:sz w:val="20"/>
          <w:szCs w:val="20"/>
          <w:color w:val="auto"/>
        </w:rPr>
      </w:pPr>
    </w:p>
    <w:p>
      <w:pPr>
        <w:jc w:val="both"/>
        <w:ind w:left="320" w:hanging="312"/>
        <w:spacing w:after="0" w:line="249" w:lineRule="auto"/>
        <w:tabs>
          <w:tab w:leader="none" w:pos="320"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DESCRIPTION OF YOUR PERFORMANCE UNITS. </w:t>
      </w:r>
      <w:r>
        <w:rPr>
          <w:rFonts w:ascii="Arial" w:cs="Arial" w:eastAsia="Arial" w:hAnsi="Arial"/>
          <w:sz w:val="22"/>
          <w:szCs w:val="22"/>
          <w:color w:val="auto"/>
        </w:rPr>
        <w:t>You have received a grant of [</w:t>
      </w:r>
      <w:r>
        <w:rPr>
          <w:rFonts w:ascii="Arial" w:cs="Arial" w:eastAsia="Arial" w:hAnsi="Arial"/>
          <w:sz w:val="22"/>
          <w:szCs w:val="22"/>
          <w:b w:val="1"/>
          <w:bCs w:val="1"/>
          <w:color w:val="auto"/>
        </w:rPr>
        <w:t>Number</w:t>
      </w:r>
      <w:r>
        <w:rPr>
          <w:rFonts w:ascii="Arial" w:cs="Arial" w:eastAsia="Arial" w:hAnsi="Arial"/>
          <w:sz w:val="22"/>
          <w:szCs w:val="22"/>
          <w:color w:val="auto"/>
        </w:rPr>
        <w:t>] Performance Units</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Units”), based on a target level of performance, and an equal number of related dividend equivalents. If the minimum performance is achieved (and if all other service and vesting requirements are met), the Performance Units and related dividend equivalents that will actually be awarded to you may be more or less than the number of Performance Units granted. See Sections 3, 6 and Exhibit A for more details.</w:t>
      </w:r>
    </w:p>
    <w:p>
      <w:pPr>
        <w:spacing w:after="0" w:line="186" w:lineRule="exact"/>
        <w:rPr>
          <w:rFonts w:ascii="Arial" w:cs="Arial" w:eastAsia="Arial" w:hAnsi="Arial"/>
          <w:sz w:val="22"/>
          <w:szCs w:val="22"/>
          <w:b w:val="1"/>
          <w:bCs w:val="1"/>
          <w:color w:val="auto"/>
        </w:rPr>
      </w:pPr>
    </w:p>
    <w:p>
      <w:pPr>
        <w:jc w:val="both"/>
        <w:ind w:left="340"/>
        <w:spacing w:after="0" w:line="256" w:lineRule="auto"/>
        <w:rPr>
          <w:rFonts w:ascii="Arial" w:cs="Arial" w:eastAsia="Arial" w:hAnsi="Arial"/>
          <w:sz w:val="22"/>
          <w:szCs w:val="22"/>
          <w:b w:val="1"/>
          <w:bCs w:val="1"/>
          <w:color w:val="auto"/>
        </w:rPr>
      </w:pPr>
      <w:r>
        <w:rPr>
          <w:rFonts w:ascii="Arial" w:cs="Arial" w:eastAsia="Arial" w:hAnsi="Arial"/>
          <w:sz w:val="22"/>
          <w:szCs w:val="22"/>
          <w:color w:val="auto"/>
        </w:rPr>
        <w:t>The “Grant Date” of your Award is [</w:t>
      </w:r>
      <w:r>
        <w:rPr>
          <w:rFonts w:ascii="Arial" w:cs="Arial" w:eastAsia="Arial" w:hAnsi="Arial"/>
          <w:sz w:val="22"/>
          <w:szCs w:val="22"/>
          <w:b w:val="1"/>
          <w:bCs w:val="1"/>
          <w:color w:val="auto"/>
        </w:rPr>
        <w:t>Grant Date</w:t>
      </w:r>
      <w:r>
        <w:rPr>
          <w:rFonts w:ascii="Arial" w:cs="Arial" w:eastAsia="Arial" w:hAnsi="Arial"/>
          <w:sz w:val="22"/>
          <w:szCs w:val="22"/>
          <w:color w:val="auto"/>
        </w:rPr>
        <w:t>]. To accept this Award Agreement, you must return a signed copy of this Award Agreement no later than [</w:t>
      </w:r>
      <w:r>
        <w:rPr>
          <w:rFonts w:ascii="Arial" w:cs="Arial" w:eastAsia="Arial" w:hAnsi="Arial"/>
          <w:sz w:val="22"/>
          <w:szCs w:val="22"/>
          <w:b w:val="1"/>
          <w:bCs w:val="1"/>
          <w:color w:val="auto"/>
        </w:rPr>
        <w:t>Date 30 Days After Grant Date</w:t>
      </w:r>
      <w:r>
        <w:rPr>
          <w:rFonts w:ascii="Arial" w:cs="Arial" w:eastAsia="Arial" w:hAnsi="Arial"/>
          <w:sz w:val="22"/>
          <w:szCs w:val="22"/>
          <w:color w:val="auto"/>
        </w:rPr>
        <w:t>], to [</w:t>
      </w:r>
      <w:r>
        <w:rPr>
          <w:rFonts w:ascii="Arial" w:cs="Arial" w:eastAsia="Arial" w:hAnsi="Arial"/>
          <w:sz w:val="22"/>
          <w:szCs w:val="22"/>
          <w:b w:val="1"/>
          <w:bCs w:val="1"/>
          <w:color w:val="auto"/>
        </w:rPr>
        <w:t>Third Party Administrator</w:t>
      </w:r>
      <w:r>
        <w:rPr>
          <w:rFonts w:ascii="Arial" w:cs="Arial" w:eastAsia="Arial" w:hAnsi="Arial"/>
          <w:sz w:val="22"/>
          <w:szCs w:val="22"/>
          <w:color w:val="auto"/>
        </w:rPr>
        <w:t>] (the “Third Party Administrator”) as follows:</w:t>
      </w:r>
    </w:p>
    <w:p>
      <w:pPr>
        <w:spacing w:after="0" w:line="17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Administrator</w:t>
      </w:r>
      <w:r>
        <w:rPr>
          <w:rFonts w:ascii="Arial" w:cs="Arial" w:eastAsia="Arial" w:hAnsi="Arial"/>
          <w:sz w:val="22"/>
          <w:szCs w:val="22"/>
          <w:color w:val="auto"/>
        </w:rPr>
        <w:t>]</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w:t>
      </w:r>
      <w:r>
        <w:rPr>
          <w:rFonts w:ascii="Arial" w:cs="Arial" w:eastAsia="Arial" w:hAnsi="Arial"/>
          <w:sz w:val="22"/>
          <w:szCs w:val="22"/>
          <w:b w:val="1"/>
          <w:bCs w:val="1"/>
          <w:color w:val="auto"/>
        </w:rPr>
        <w:t>TPA Contact’s Name</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Contact’s Address</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Telephone Number</w:t>
      </w:r>
      <w:r>
        <w:rPr>
          <w:rFonts w:ascii="Arial" w:cs="Arial" w:eastAsia="Arial" w:hAnsi="Arial"/>
          <w:sz w:val="22"/>
          <w:szCs w:val="22"/>
          <w:color w:val="auto"/>
        </w:rPr>
        <w:t>]</w:t>
      </w:r>
    </w:p>
    <w:p>
      <w:pPr>
        <w:spacing w:after="0" w:line="236"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INCORPORATION OF PLAN AND DEFINITIONS.</w:t>
      </w:r>
    </w:p>
    <w:p>
      <w:pPr>
        <w:spacing w:after="0" w:line="266" w:lineRule="exact"/>
        <w:rPr>
          <w:rFonts w:ascii="Arial" w:cs="Arial" w:eastAsia="Arial" w:hAnsi="Arial"/>
          <w:sz w:val="22"/>
          <w:szCs w:val="22"/>
          <w:b w:val="1"/>
          <w:bCs w:val="1"/>
          <w:color w:val="auto"/>
        </w:rPr>
      </w:pPr>
    </w:p>
    <w:p>
      <w:pPr>
        <w:jc w:val="both"/>
        <w:ind w:left="1320" w:hanging="664"/>
        <w:spacing w:after="0" w:line="248" w:lineRule="auto"/>
        <w:tabs>
          <w:tab w:leader="none" w:pos="1302"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This Award Agreement and your Performance Units are granted pursuant to the terms and conditions of The Scotts Miracle-Gro Company Long-Term Incentive Plan as amended and restated January 17, 2013 (the “Plan”) and this Award Agreement. All provisions of the Plan are incorporated herein by reference, and your Performance Units and related dividend equivalents are subject to the terms of the Plan. To the extent there is a conflict between this Award Agreement and the Plan, the Plan will govern.</w:t>
      </w:r>
    </w:p>
    <w:p>
      <w:pPr>
        <w:spacing w:after="0" w:line="232" w:lineRule="exact"/>
        <w:rPr>
          <w:rFonts w:ascii="Arial" w:cs="Arial" w:eastAsia="Arial" w:hAnsi="Arial"/>
          <w:sz w:val="22"/>
          <w:szCs w:val="22"/>
          <w:color w:val="auto"/>
        </w:rPr>
      </w:pPr>
    </w:p>
    <w:p>
      <w:pPr>
        <w:ind w:left="1300" w:hanging="644"/>
        <w:spacing w:after="0"/>
        <w:tabs>
          <w:tab w:leader="none" w:pos="1300" w:val="left"/>
        </w:tabs>
        <w:numPr>
          <w:ilvl w:val="1"/>
          <w:numId w:val="29"/>
        </w:numPr>
        <w:rPr>
          <w:rFonts w:ascii="Arial" w:cs="Arial" w:eastAsia="Arial" w:hAnsi="Arial"/>
          <w:sz w:val="22"/>
          <w:szCs w:val="22"/>
          <w:color w:val="auto"/>
        </w:rPr>
      </w:pPr>
      <w:r>
        <w:rPr>
          <w:rFonts w:ascii="Arial" w:cs="Arial" w:eastAsia="Arial" w:hAnsi="Arial"/>
          <w:sz w:val="22"/>
          <w:szCs w:val="22"/>
          <w:color w:val="auto"/>
        </w:rPr>
        <w:t>Capitalized terms that are not defined in this Award Agreement have the same meanings as in the Plan.</w:t>
      </w:r>
    </w:p>
    <w:p>
      <w:pPr>
        <w:sectPr>
          <w:pgSz w:w="11900" w:h="16838" w:orient="portrait"/>
          <w:cols w:equalWidth="0" w:num="1">
            <w:col w:w="11420"/>
          </w:cols>
          <w:pgMar w:left="240" w:top="909" w:right="239" w:bottom="1440" w:gutter="0" w:footer="0" w:header="0"/>
        </w:sectPr>
      </w:pPr>
    </w:p>
    <w:bookmarkStart w:id="57" w:name="page58"/>
    <w:bookmarkEnd w:id="57"/>
    <w:p>
      <w:pPr>
        <w:jc w:val="both"/>
        <w:ind w:firstLine="8"/>
        <w:spacing w:after="0" w:line="295" w:lineRule="auto"/>
        <w:tabs>
          <w:tab w:leader="none" w:pos="559"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PERFORMANCE UNIT ACHIEVEMENT. </w:t>
      </w:r>
      <w:r>
        <w:rPr>
          <w:rFonts w:ascii="Arial" w:cs="Arial" w:eastAsia="Arial" w:hAnsi="Arial"/>
          <w:sz w:val="19"/>
          <w:szCs w:val="19"/>
          <w:color w:val="auto"/>
        </w:rPr>
        <w:t>The number of Performance Units Achieved will be calculated as follows:</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Performance Units Achieved = Performance Units * Payout Percentage. </w:t>
      </w:r>
      <w:r>
        <w:rPr>
          <w:rFonts w:ascii="Arial" w:cs="Arial" w:eastAsia="Arial" w:hAnsi="Arial"/>
          <w:sz w:val="19"/>
          <w:szCs w:val="19"/>
          <w:color w:val="auto"/>
        </w:rPr>
        <w:t>The number of Performance Units Achieved is subject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satisfaction of the performance criteria set forth on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over the period beginning on [</w:t>
      </w:r>
      <w:r>
        <w:rPr>
          <w:rFonts w:ascii="Arial" w:cs="Arial" w:eastAsia="Arial" w:hAnsi="Arial"/>
          <w:sz w:val="19"/>
          <w:szCs w:val="19"/>
          <w:b w:val="1"/>
          <w:bCs w:val="1"/>
          <w:color w:val="auto"/>
        </w:rPr>
        <w:t>Beginning Date</w:t>
      </w:r>
      <w:r>
        <w:rPr>
          <w:rFonts w:ascii="Arial" w:cs="Arial" w:eastAsia="Arial" w:hAnsi="Arial"/>
          <w:sz w:val="19"/>
          <w:szCs w:val="19"/>
          <w:color w:val="auto"/>
        </w:rPr>
        <w:t>] and ending on [</w:t>
      </w:r>
      <w:r>
        <w:rPr>
          <w:rFonts w:ascii="Arial" w:cs="Arial" w:eastAsia="Arial" w:hAnsi="Arial"/>
          <w:sz w:val="19"/>
          <w:szCs w:val="19"/>
          <w:b w:val="1"/>
          <w:bCs w:val="1"/>
          <w:color w:val="auto"/>
        </w:rPr>
        <w:t>Ending Date</w:t>
      </w:r>
      <w:r>
        <w:rPr>
          <w:rFonts w:ascii="Arial" w:cs="Arial" w:eastAsia="Arial" w:hAnsi="Arial"/>
          <w:sz w:val="19"/>
          <w:szCs w:val="19"/>
          <w:color w:val="auto"/>
        </w:rPr>
        <w:t>] (the “Performance Period”), and will be determined at the end of the Performance Period. If actual performance is below the Minimum performance level indicated, no Performance Units will be achieved. Each whole Performance Unit Achieved represents the right to receive one full Share at the time and in the manner described in this Award Agreement.</w:t>
      </w:r>
    </w:p>
    <w:p>
      <w:pPr>
        <w:spacing w:after="0" w:line="306" w:lineRule="exact"/>
        <w:rPr>
          <w:rFonts w:ascii="Arial" w:cs="Arial" w:eastAsia="Arial" w:hAnsi="Arial"/>
          <w:sz w:val="19"/>
          <w:szCs w:val="19"/>
          <w:b w:val="1"/>
          <w:bCs w:val="1"/>
          <w:color w:val="auto"/>
        </w:rPr>
      </w:pPr>
    </w:p>
    <w:p>
      <w:pPr>
        <w:ind w:firstLine="8"/>
        <w:spacing w:after="0" w:line="269" w:lineRule="auto"/>
        <w:tabs>
          <w:tab w:leader="none" w:pos="563"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Except as provided in Section 7 of this Award Agreement, the Performance Units Achieved, as described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3 of this Award Agreement, are also subject to achieving the vesting criteria as follows:</w:t>
      </w:r>
    </w:p>
    <w:p>
      <w:pPr>
        <w:spacing w:after="0" w:line="202" w:lineRule="exact"/>
        <w:rPr>
          <w:rFonts w:ascii="Arial" w:cs="Arial" w:eastAsia="Arial" w:hAnsi="Arial"/>
          <w:sz w:val="22"/>
          <w:szCs w:val="22"/>
          <w:b w:val="1"/>
          <w:bCs w:val="1"/>
          <w:color w:val="auto"/>
        </w:rPr>
      </w:pPr>
    </w:p>
    <w:p>
      <w:pPr>
        <w:ind w:left="1300" w:right="20" w:hanging="644"/>
        <w:spacing w:after="0" w:line="350" w:lineRule="auto"/>
        <w:tabs>
          <w:tab w:leader="none" w:pos="1300" w:val="left"/>
        </w:tabs>
        <w:numPr>
          <w:ilvl w:val="1"/>
          <w:numId w:val="30"/>
        </w:numPr>
        <w:rPr>
          <w:rFonts w:ascii="Arial" w:cs="Arial" w:eastAsia="Arial" w:hAnsi="Arial"/>
          <w:sz w:val="19"/>
          <w:szCs w:val="19"/>
          <w:color w:val="auto"/>
        </w:rPr>
      </w:pPr>
      <w:r>
        <w:rPr>
          <w:rFonts w:ascii="Arial" w:cs="Arial" w:eastAsia="Arial" w:hAnsi="Arial"/>
          <w:sz w:val="19"/>
          <w:szCs w:val="19"/>
          <w:b w:val="1"/>
          <w:bCs w:val="1"/>
          <w:color w:val="auto"/>
        </w:rPr>
        <w:t xml:space="preserve">General Vesting. </w:t>
      </w:r>
      <w:r>
        <w:rPr>
          <w:rFonts w:ascii="Arial" w:cs="Arial" w:eastAsia="Arial" w:hAnsi="Arial"/>
          <w:sz w:val="19"/>
          <w:szCs w:val="19"/>
          <w:color w:val="auto"/>
        </w:rPr>
        <w:t>If your employment continues from the Grant Date until [</w:t>
      </w:r>
      <w:r>
        <w:rPr>
          <w:rFonts w:ascii="Arial" w:cs="Arial" w:eastAsia="Arial" w:hAnsi="Arial"/>
          <w:sz w:val="19"/>
          <w:szCs w:val="19"/>
          <w:b w:val="1"/>
          <w:bCs w:val="1"/>
          <w:color w:val="auto"/>
        </w:rPr>
        <w:t>Third Anniversary of Grant Date</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“Vesting Date”) the number of Performance Units Achieved shall become 100% vested on the Vesting Date; or</w:t>
      </w:r>
    </w:p>
    <w:p>
      <w:pPr>
        <w:spacing w:after="0" w:line="132" w:lineRule="exact"/>
        <w:rPr>
          <w:rFonts w:ascii="Arial" w:cs="Arial" w:eastAsia="Arial" w:hAnsi="Arial"/>
          <w:sz w:val="19"/>
          <w:szCs w:val="19"/>
          <w:color w:val="auto"/>
        </w:rPr>
      </w:pPr>
    </w:p>
    <w:p>
      <w:pPr>
        <w:jc w:val="both"/>
        <w:ind w:left="1320" w:hanging="664"/>
        <w:spacing w:after="0" w:line="256" w:lineRule="auto"/>
        <w:tabs>
          <w:tab w:leader="none" w:pos="1302" w:val="left"/>
        </w:tabs>
        <w:numPr>
          <w:ilvl w:val="1"/>
          <w:numId w:val="30"/>
        </w:numPr>
        <w:rPr>
          <w:rFonts w:ascii="Arial" w:cs="Arial" w:eastAsia="Arial" w:hAnsi="Arial"/>
          <w:sz w:val="22"/>
          <w:szCs w:val="22"/>
          <w:color w:val="auto"/>
        </w:rPr>
      </w:pPr>
      <w:r>
        <w:rPr>
          <w:rFonts w:ascii="Arial" w:cs="Arial" w:eastAsia="Arial" w:hAnsi="Arial"/>
          <w:sz w:val="22"/>
          <w:szCs w:val="22"/>
          <w:b w:val="1"/>
          <w:bCs w:val="1"/>
          <w:color w:val="auto"/>
        </w:rPr>
        <w:t xml:space="preserve">Accelerated Vesting. </w:t>
      </w:r>
      <w:r>
        <w:rPr>
          <w:rFonts w:ascii="Arial" w:cs="Arial" w:eastAsia="Arial" w:hAnsi="Arial"/>
          <w:sz w:val="22"/>
          <w:szCs w:val="22"/>
          <w:color w:val="auto"/>
        </w:rPr>
        <w:t>Under the following circumstances, the Performance Units Achieved will be deemed to</w:t>
      </w:r>
      <w:r>
        <w:rPr>
          <w:rFonts w:ascii="Arial" w:cs="Arial" w:eastAsia="Arial" w:hAnsi="Arial"/>
          <w:sz w:val="22"/>
          <w:szCs w:val="22"/>
          <w:b w:val="1"/>
          <w:bCs w:val="1"/>
          <w:color w:val="auto"/>
        </w:rPr>
        <w:t xml:space="preserve"> </w:t>
      </w:r>
      <w:r>
        <w:rPr>
          <w:rFonts w:ascii="Arial" w:cs="Arial" w:eastAsia="Arial" w:hAnsi="Arial"/>
          <w:sz w:val="22"/>
          <w:szCs w:val="22"/>
          <w:color w:val="auto"/>
        </w:rPr>
        <w:t>become 100% vested, even if you Terminate prior to the Vesting Date (subject to the performance criteria as described in Section 3 and Exhibit A):</w:t>
      </w:r>
    </w:p>
    <w:p>
      <w:pPr>
        <w:spacing w:after="0" w:line="222" w:lineRule="exact"/>
        <w:rPr>
          <w:rFonts w:ascii="Arial" w:cs="Arial" w:eastAsia="Arial" w:hAnsi="Arial"/>
          <w:sz w:val="22"/>
          <w:szCs w:val="22"/>
          <w:color w:val="auto"/>
        </w:rPr>
      </w:pPr>
    </w:p>
    <w:p>
      <w:pPr>
        <w:jc w:val="both"/>
        <w:ind w:left="1960" w:hanging="655"/>
        <w:spacing w:after="0" w:line="288" w:lineRule="auto"/>
        <w:tabs>
          <w:tab w:leader="none" w:pos="1960" w:val="left"/>
        </w:tabs>
        <w:numPr>
          <w:ilvl w:val="2"/>
          <w:numId w:val="30"/>
        </w:numPr>
        <w:rPr>
          <w:rFonts w:ascii="Arial" w:cs="Arial" w:eastAsia="Arial" w:hAnsi="Arial"/>
          <w:sz w:val="19"/>
          <w:szCs w:val="19"/>
          <w:color w:val="auto"/>
        </w:rPr>
      </w:pPr>
      <w:r>
        <w:rPr>
          <w:rFonts w:ascii="Arial" w:cs="Arial" w:eastAsia="Arial" w:hAnsi="Arial"/>
          <w:sz w:val="19"/>
          <w:szCs w:val="19"/>
          <w:color w:val="auto"/>
        </w:rPr>
        <w:t>If you Terminate because of your death or because you become Disabled (as defined below), the number of Performance Units Achieved, as described in this Award Agreement, will be deemed to become 100% vested as of the Vesting Date. For purposes of this Award Agreement, “Disabled” means (A) you are unable to engage in any substantial gainful activity by reason of any medically determinable physical or mental impairment that can be expected to result in death or can be expected to last for a continuous period of not less than 12 months, (B) you are,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your employer, or (C) you are determined to be totally disabled by the Social Security Administration or Railroad Retirement Board; or</w:t>
      </w:r>
    </w:p>
    <w:p>
      <w:pPr>
        <w:spacing w:after="0" w:line="200" w:lineRule="exact"/>
        <w:rPr>
          <w:rFonts w:ascii="Arial" w:cs="Arial" w:eastAsia="Arial" w:hAnsi="Arial"/>
          <w:sz w:val="19"/>
          <w:szCs w:val="19"/>
          <w:color w:val="auto"/>
        </w:rPr>
      </w:pPr>
    </w:p>
    <w:p>
      <w:pPr>
        <w:jc w:val="both"/>
        <w:ind w:left="1960" w:hanging="655"/>
        <w:spacing w:after="0" w:line="250" w:lineRule="auto"/>
        <w:tabs>
          <w:tab w:leader="none" w:pos="1960" w:val="left"/>
        </w:tabs>
        <w:numPr>
          <w:ilvl w:val="2"/>
          <w:numId w:val="30"/>
        </w:numPr>
        <w:rPr>
          <w:rFonts w:ascii="Arial" w:cs="Arial" w:eastAsia="Arial" w:hAnsi="Arial"/>
          <w:sz w:val="22"/>
          <w:szCs w:val="22"/>
          <w:color w:val="auto"/>
        </w:rPr>
      </w:pPr>
      <w:r>
        <w:rPr>
          <w:rFonts w:ascii="Arial" w:cs="Arial" w:eastAsia="Arial" w:hAnsi="Arial"/>
          <w:sz w:val="22"/>
          <w:szCs w:val="22"/>
          <w:color w:val="auto"/>
        </w:rPr>
        <w:t>If you Terminate for a reason other than Cause after reaching age 55 and completing at least 10 years of employment with the Company, its Affiliates and/or its Subsidiaries, the number of Performance Units Achieved, as described in this Award Agreement, will be deemed to become 100% vested as of the Vesting Date.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9" w:right="239" w:bottom="1440" w:gutter="0" w:footer="0" w:header="0"/>
        </w:sectPr>
      </w:pPr>
    </w:p>
    <w:bookmarkStart w:id="58" w:name="page59"/>
    <w:bookmarkEnd w:id="58"/>
    <w:p>
      <w:pPr>
        <w:ind w:left="380" w:hanging="372"/>
        <w:spacing w:after="0"/>
        <w:tabs>
          <w:tab w:leader="none" w:pos="38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w:t>
      </w:r>
    </w:p>
    <w:p>
      <w:pPr>
        <w:spacing w:after="0" w:line="225" w:lineRule="exact"/>
        <w:rPr>
          <w:rFonts w:ascii="Arial" w:cs="Arial" w:eastAsia="Arial" w:hAnsi="Arial"/>
          <w:sz w:val="22"/>
          <w:szCs w:val="22"/>
          <w:b w:val="1"/>
          <w:bCs w:val="1"/>
          <w:color w:val="auto"/>
        </w:rPr>
      </w:pPr>
    </w:p>
    <w:p>
      <w:pPr>
        <w:jc w:val="both"/>
        <w:ind w:left="1300" w:hanging="644"/>
        <w:spacing w:after="0" w:line="297" w:lineRule="auto"/>
        <w:tabs>
          <w:tab w:leader="none" w:pos="13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Subject to the terms of the Plan and this Award Agreement, the number of vested Performance Units Achieved, minus any shares that are withheld for taxes as provided under Section 5(c), shall be settled in a lump sum as soon as administratively practicable, but no later than 90 days following the Vesting Date (the “Settlement Date”). Your whole Performance Units Achieved shall be settled in full Shares, and any fractional Performance Unit Achieved shall be settled in cash, determined based upon the Fair Market Value of a Share on the Settlement Date.</w:t>
      </w:r>
    </w:p>
    <w:p>
      <w:pPr>
        <w:spacing w:after="0" w:line="147" w:lineRule="exact"/>
        <w:rPr>
          <w:rFonts w:ascii="Arial" w:cs="Arial" w:eastAsia="Arial" w:hAnsi="Arial"/>
          <w:sz w:val="19"/>
          <w:szCs w:val="19"/>
          <w:color w:val="auto"/>
        </w:rPr>
      </w:pPr>
    </w:p>
    <w:p>
      <w:pPr>
        <w:ind w:left="1300" w:hanging="644"/>
        <w:spacing w:after="0" w:line="343" w:lineRule="auto"/>
        <w:tabs>
          <w:tab w:leader="none" w:pos="13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Except as provided in Section 6 of this Award Agreement, you will have none of the rights of a shareholder with respect to Shares underlying the Performance Units unless and until you become the record holder of such Shares.</w:t>
      </w:r>
    </w:p>
    <w:p>
      <w:pPr>
        <w:spacing w:after="0" w:line="145" w:lineRule="exact"/>
        <w:rPr>
          <w:rFonts w:ascii="Arial" w:cs="Arial" w:eastAsia="Arial" w:hAnsi="Arial"/>
          <w:sz w:val="19"/>
          <w:szCs w:val="19"/>
          <w:color w:val="auto"/>
        </w:rPr>
      </w:pPr>
    </w:p>
    <w:p>
      <w:pPr>
        <w:jc w:val="both"/>
        <w:ind w:left="1300" w:hanging="644"/>
        <w:spacing w:after="0" w:line="271" w:lineRule="auto"/>
        <w:tabs>
          <w:tab w:leader="none" w:pos="1300" w:val="left"/>
        </w:tabs>
        <w:numPr>
          <w:ilvl w:val="1"/>
          <w:numId w:val="31"/>
        </w:numPr>
        <w:rPr>
          <w:rFonts w:ascii="Arial" w:cs="Arial" w:eastAsia="Arial" w:hAnsi="Arial"/>
          <w:sz w:val="21"/>
          <w:szCs w:val="21"/>
          <w:color w:val="auto"/>
        </w:rPr>
      </w:pPr>
      <w:r>
        <w:rPr>
          <w:rFonts w:ascii="Arial" w:cs="Arial" w:eastAsia="Arial" w:hAnsi="Arial"/>
          <w:sz w:val="21"/>
          <w:szCs w:val="21"/>
          <w:color w:val="auto"/>
        </w:rPr>
        <w:t>You may use one of the following methods to pay the required withholding taxes related to the settlement of your Performance Units Achieved. You will decide on the method at the time prescribed by the Company. If you do not elect one of these methods, the Company will apply the Net Settlement method described below:</w:t>
      </w:r>
    </w:p>
    <w:p>
      <w:pPr>
        <w:spacing w:after="0" w:line="167" w:lineRule="exact"/>
        <w:rPr>
          <w:rFonts w:ascii="Arial" w:cs="Arial" w:eastAsia="Arial" w:hAnsi="Arial"/>
          <w:sz w:val="21"/>
          <w:szCs w:val="21"/>
          <w:color w:val="auto"/>
        </w:rPr>
      </w:pPr>
    </w:p>
    <w:p>
      <w:pPr>
        <w:jc w:val="both"/>
        <w:ind w:left="1960" w:hanging="655"/>
        <w:spacing w:after="0" w:line="253" w:lineRule="auto"/>
        <w:tabs>
          <w:tab w:leader="none" w:pos="1960" w:val="left"/>
        </w:tabs>
        <w:numPr>
          <w:ilvl w:val="2"/>
          <w:numId w:val="31"/>
        </w:numPr>
        <w:rPr>
          <w:rFonts w:ascii="Arial" w:cs="Arial" w:eastAsia="Arial" w:hAnsi="Arial"/>
          <w:sz w:val="22"/>
          <w:szCs w:val="22"/>
          <w:color w:val="auto"/>
        </w:rPr>
      </w:pPr>
      <w:r>
        <w:rPr>
          <w:rFonts w:ascii="Arial" w:cs="Arial" w:eastAsia="Arial" w:hAnsi="Arial"/>
          <w:sz w:val="22"/>
          <w:szCs w:val="22"/>
          <w:color w:val="auto"/>
        </w:rPr>
        <w:t>CASH PAYMENT: If you elect this alternative, you will be responsible for paying the Company through the Third Party Administrator cash equal to the minimum statutory withholding requirements applicable on your Performance Units.</w:t>
      </w:r>
    </w:p>
    <w:p>
      <w:pPr>
        <w:spacing w:after="0" w:line="226"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2"/>
          <w:numId w:val="31"/>
        </w:numPr>
        <w:rPr>
          <w:rFonts w:ascii="Arial" w:cs="Arial" w:eastAsia="Arial" w:hAnsi="Arial"/>
          <w:sz w:val="22"/>
          <w:szCs w:val="22"/>
          <w:color w:val="auto"/>
        </w:rPr>
      </w:pPr>
      <w:r>
        <w:rPr>
          <w:rFonts w:ascii="Arial" w:cs="Arial" w:eastAsia="Arial" w:hAnsi="Arial"/>
          <w:sz w:val="22"/>
          <w:szCs w:val="22"/>
          <w:color w:val="auto"/>
        </w:rPr>
        <w:t>NET SETTLEMENT: If you elect this alternative, the Company will retain the number of shares with a Fair Market Value equal to the minimum statutory withholding requirements applicable on your Performance Units.</w:t>
      </w:r>
    </w:p>
    <w:p>
      <w:pPr>
        <w:spacing w:after="0" w:line="226" w:lineRule="exact"/>
        <w:rPr>
          <w:rFonts w:ascii="Arial" w:cs="Arial" w:eastAsia="Arial" w:hAnsi="Arial"/>
          <w:sz w:val="22"/>
          <w:szCs w:val="22"/>
          <w:color w:val="auto"/>
        </w:rPr>
      </w:pPr>
    </w:p>
    <w:p>
      <w:pPr>
        <w:jc w:val="both"/>
        <w:ind w:left="1300" w:hanging="644"/>
        <w:spacing w:after="0" w:line="312" w:lineRule="auto"/>
        <w:tabs>
          <w:tab w:leader="none" w:pos="13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Normally, the number of Performance Units Achieved will vest and be settled only under the circumstances described above. However, if there is a Change in Control, your Performance Units will become 100% vested on the date of the Change in Control and will be settled as described in the Plan. See the Plan for further details.</w:t>
      </w:r>
    </w:p>
    <w:p>
      <w:pPr>
        <w:spacing w:after="0" w:line="168" w:lineRule="exact"/>
        <w:rPr>
          <w:rFonts w:ascii="Arial" w:cs="Arial" w:eastAsia="Arial" w:hAnsi="Arial"/>
          <w:sz w:val="19"/>
          <w:szCs w:val="19"/>
          <w:color w:val="auto"/>
        </w:rPr>
      </w:pPr>
    </w:p>
    <w:p>
      <w:pPr>
        <w:jc w:val="both"/>
        <w:ind w:firstLine="8"/>
        <w:spacing w:after="0" w:line="291" w:lineRule="auto"/>
        <w:tabs>
          <w:tab w:leader="none" w:pos="400" w:val="left"/>
        </w:tabs>
        <w:numPr>
          <w:ilvl w:val="0"/>
          <w:numId w:val="3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DIVIDEND EQUIVALENTS. </w:t>
      </w:r>
      <w:r>
        <w:rPr>
          <w:rFonts w:ascii="Arial" w:cs="Arial" w:eastAsia="Arial" w:hAnsi="Arial"/>
          <w:sz w:val="19"/>
          <w:szCs w:val="19"/>
          <w:color w:val="auto"/>
        </w:rPr>
        <w:t>Each dividend equivalent represents the right to receive an amount equal to the dividends that</w:t>
      </w:r>
      <w:r>
        <w:rPr>
          <w:rFonts w:ascii="Arial" w:cs="Arial" w:eastAsia="Arial" w:hAnsi="Arial"/>
          <w:sz w:val="19"/>
          <w:szCs w:val="19"/>
          <w:b w:val="1"/>
          <w:bCs w:val="1"/>
          <w:color w:val="auto"/>
        </w:rPr>
        <w:t xml:space="preserve"> </w:t>
      </w:r>
      <w:r>
        <w:rPr>
          <w:rFonts w:ascii="Arial" w:cs="Arial" w:eastAsia="Arial" w:hAnsi="Arial"/>
          <w:sz w:val="19"/>
          <w:szCs w:val="19"/>
          <w:color w:val="auto"/>
        </w:rPr>
        <w:t>are declared and paid during the period beginning on the Grant Date and ending on the Settlement Date (as described in Section 5(a) of this Award Agreement) with respect to the Share represented by the related Performance Unit Achieved, subject to the same terms and conditions. The dividend equivalents on Performance Units Achieved shall be payable only when and to the extent that the performance criteria and vesting criteria are satisfied</w:t>
      </w:r>
      <w:r>
        <w:rPr>
          <w:rFonts w:ascii="Arial" w:cs="Arial" w:eastAsia="Arial" w:hAnsi="Arial"/>
          <w:sz w:val="19"/>
          <w:szCs w:val="19"/>
          <w:u w:val="single" w:color="auto"/>
          <w:color w:val="0000FF"/>
        </w:rPr>
        <w:t>.</w:t>
      </w:r>
      <w:r>
        <w:rPr>
          <w:rFonts w:ascii="Arial" w:cs="Arial" w:eastAsia="Arial" w:hAnsi="Arial"/>
          <w:sz w:val="19"/>
          <w:szCs w:val="19"/>
          <w:color w:val="auto"/>
        </w:rPr>
        <w:t xml:space="preserve"> Any dividend equivalents described in this Section 6 will be distributed to you in accordance with Section 5 of this Award Agreement or forfeited, depending on whether or not you have met the conditions described in this Award Agreement and the Plan. Any such distributions will be made in (i) cash, for any dividend equivalents relating to cash dividends and/or (ii) Shares, for any dividend equivalents relating to Share dividends.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69" w:right="239" w:bottom="1440" w:gutter="0" w:footer="0" w:header="0"/>
        </w:sectPr>
      </w:pPr>
    </w:p>
    <w:bookmarkStart w:id="59" w:name="page60"/>
    <w:bookmarkEnd w:id="59"/>
    <w:p>
      <w:pPr>
        <w:ind w:left="380" w:hanging="372"/>
        <w:spacing w:after="0"/>
        <w:tabs>
          <w:tab w:leader="none" w:pos="38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w:t>
      </w:r>
    </w:p>
    <w:p>
      <w:pPr>
        <w:spacing w:after="0" w:line="266" w:lineRule="exact"/>
        <w:rPr>
          <w:rFonts w:ascii="Arial" w:cs="Arial" w:eastAsia="Arial" w:hAnsi="Arial"/>
          <w:sz w:val="22"/>
          <w:szCs w:val="22"/>
          <w:b w:val="1"/>
          <w:bCs w:val="1"/>
          <w:color w:val="auto"/>
        </w:rPr>
      </w:pPr>
    </w:p>
    <w:p>
      <w:pPr>
        <w:ind w:left="1300" w:hanging="644"/>
        <w:spacing w:after="0" w:line="343" w:lineRule="auto"/>
        <w:tabs>
          <w:tab w:leader="none" w:pos="1300" w:val="left"/>
        </w:tabs>
        <w:numPr>
          <w:ilvl w:val="1"/>
          <w:numId w:val="32"/>
        </w:numPr>
        <w:rPr>
          <w:rFonts w:ascii="Arial" w:cs="Arial" w:eastAsia="Arial" w:hAnsi="Arial"/>
          <w:sz w:val="19"/>
          <w:szCs w:val="19"/>
          <w:color w:val="auto"/>
        </w:rPr>
      </w:pPr>
      <w:r>
        <w:rPr>
          <w:rFonts w:ascii="Arial" w:cs="Arial" w:eastAsia="Arial" w:hAnsi="Arial"/>
          <w:sz w:val="19"/>
          <w:szCs w:val="19"/>
          <w:color w:val="auto"/>
        </w:rPr>
        <w:t>Except as otherwise provided in Section 4 or Section 5(d) of this Award Agreement, you will forfeit your unvested Performance Units if you Terminate prior to the Vesting Date, whether the performance criteria are achieved or not.</w:t>
      </w:r>
    </w:p>
    <w:p>
      <w:pPr>
        <w:spacing w:after="0" w:line="145" w:lineRule="exact"/>
        <w:rPr>
          <w:rFonts w:ascii="Arial" w:cs="Arial" w:eastAsia="Arial" w:hAnsi="Arial"/>
          <w:sz w:val="19"/>
          <w:szCs w:val="19"/>
          <w:color w:val="auto"/>
        </w:rPr>
      </w:pPr>
    </w:p>
    <w:p>
      <w:pPr>
        <w:jc w:val="both"/>
        <w:ind w:left="1300" w:hanging="644"/>
        <w:spacing w:after="0" w:line="250" w:lineRule="auto"/>
        <w:tabs>
          <w:tab w:leader="none" w:pos="1300" w:val="left"/>
        </w:tabs>
        <w:numPr>
          <w:ilvl w:val="1"/>
          <w:numId w:val="32"/>
        </w:numPr>
        <w:rPr>
          <w:rFonts w:ascii="Arial" w:cs="Arial" w:eastAsia="Arial" w:hAnsi="Arial"/>
          <w:sz w:val="22"/>
          <w:szCs w:val="22"/>
          <w:color w:val="auto"/>
        </w:rPr>
      </w:pPr>
      <w:r>
        <w:rPr>
          <w:rFonts w:ascii="Arial" w:cs="Arial" w:eastAsia="Arial" w:hAnsi="Arial"/>
          <w:sz w:val="22"/>
          <w:szCs w:val="22"/>
          <w:color w:val="auto"/>
        </w:rPr>
        <w:t>If you engage in “Conduct That Is Harmful To The Company” (as described below), you will forfeit your Performance Units and related dividend equivalents and must return to the Company all Shares and other amounts you have received through the Plan or this Award Agreement if, without the Company’s written consent, you do any of the following within 180 days before and 730 days after you Terminate:</w:t>
      </w:r>
    </w:p>
    <w:p>
      <w:pPr>
        <w:spacing w:after="0" w:line="228"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32"/>
        </w:numPr>
        <w:rPr>
          <w:rFonts w:ascii="Arial" w:cs="Arial" w:eastAsia="Arial" w:hAnsi="Arial"/>
          <w:sz w:val="22"/>
          <w:szCs w:val="22"/>
          <w:color w:val="auto"/>
        </w:rPr>
      </w:pPr>
      <w:r>
        <w:rPr>
          <w:rFonts w:ascii="Arial" w:cs="Arial" w:eastAsia="Arial" w:hAnsi="Arial"/>
          <w:sz w:val="22"/>
          <w:szCs w:val="22"/>
          <w:color w:val="auto"/>
        </w:rPr>
        <w:t>You breach any confidentiality, nondisclosure, and/or noncompetition obligations under any agreement or plan with the Company or any Affiliate or Subsidiary;</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32"/>
        </w:numPr>
        <w:rPr>
          <w:rFonts w:ascii="Arial" w:cs="Arial" w:eastAsia="Arial" w:hAnsi="Arial"/>
          <w:sz w:val="22"/>
          <w:szCs w:val="22"/>
          <w:color w:val="auto"/>
        </w:rPr>
      </w:pPr>
      <w:r>
        <w:rPr>
          <w:rFonts w:ascii="Arial" w:cs="Arial" w:eastAsia="Arial" w:hAnsi="Arial"/>
          <w:sz w:val="22"/>
          <w:szCs w:val="22"/>
          <w:color w:val="auto"/>
        </w:rPr>
        <w:t>You fail or refuse to consult with, supply information to or otherwise cooperate with the Company or any Affiliate or Subsidiary after having been requested to do so;</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32"/>
        </w:numPr>
        <w:rPr>
          <w:rFonts w:ascii="Arial" w:cs="Arial" w:eastAsia="Arial" w:hAnsi="Arial"/>
          <w:sz w:val="22"/>
          <w:szCs w:val="22"/>
          <w:color w:val="auto"/>
        </w:rPr>
      </w:pPr>
      <w:r>
        <w:rPr>
          <w:rFonts w:ascii="Arial" w:cs="Arial" w:eastAsia="Arial" w:hAnsi="Arial"/>
          <w:sz w:val="22"/>
          <w:szCs w:val="22"/>
          <w:color w:val="auto"/>
        </w:rPr>
        <w:t>You deliberately engage in any action that the Company concludes has caused substantial harm to the interests of the Company or any Affiliate or Subsidiary;</w:t>
      </w:r>
    </w:p>
    <w:p>
      <w:pPr>
        <w:spacing w:after="0" w:line="215" w:lineRule="exact"/>
        <w:rPr>
          <w:rFonts w:ascii="Arial" w:cs="Arial" w:eastAsia="Arial" w:hAnsi="Arial"/>
          <w:sz w:val="22"/>
          <w:szCs w:val="22"/>
          <w:color w:val="auto"/>
        </w:rPr>
      </w:pPr>
    </w:p>
    <w:p>
      <w:pPr>
        <w:jc w:val="both"/>
        <w:ind w:left="1960" w:hanging="655"/>
        <w:spacing w:after="0" w:line="247" w:lineRule="auto"/>
        <w:tabs>
          <w:tab w:leader="none" w:pos="1960" w:val="left"/>
        </w:tabs>
        <w:numPr>
          <w:ilvl w:val="2"/>
          <w:numId w:val="32"/>
        </w:numPr>
        <w:rPr>
          <w:rFonts w:ascii="Arial" w:cs="Arial" w:eastAsia="Arial" w:hAnsi="Arial"/>
          <w:sz w:val="22"/>
          <w:szCs w:val="22"/>
          <w:color w:val="auto"/>
        </w:rPr>
      </w:pPr>
      <w:r>
        <w:rPr>
          <w:rFonts w:ascii="Arial" w:cs="Arial" w:eastAsia="Arial" w:hAnsi="Arial"/>
          <w:sz w:val="22"/>
          <w:szCs w:val="22"/>
          <w:color w:val="auto"/>
        </w:rPr>
        <w:t>You fail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provided to you in the course of your employment with the Company or any Affiliate or Subsidiary; or</w:t>
      </w:r>
    </w:p>
    <w:p>
      <w:pPr>
        <w:spacing w:after="0" w:line="234"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32"/>
        </w:numPr>
        <w:rPr>
          <w:rFonts w:ascii="Arial" w:cs="Arial" w:eastAsia="Arial" w:hAnsi="Arial"/>
          <w:sz w:val="22"/>
          <w:szCs w:val="22"/>
          <w:color w:val="auto"/>
        </w:rPr>
      </w:pPr>
      <w:r>
        <w:rPr>
          <w:rFonts w:ascii="Arial" w:cs="Arial" w:eastAsia="Arial" w:hAnsi="Arial"/>
          <w:sz w:val="22"/>
          <w:szCs w:val="22"/>
          <w:color w:val="auto"/>
        </w:rPr>
        <w:t>You engaged in conduct that the Committee reasonably concludes would have given rise to a Termination for Cause had it been discovered before you Terminated.</w:t>
      </w:r>
    </w:p>
    <w:p>
      <w:pPr>
        <w:spacing w:after="0" w:line="209" w:lineRule="exact"/>
        <w:rPr>
          <w:rFonts w:ascii="Arial" w:cs="Arial" w:eastAsia="Arial" w:hAnsi="Arial"/>
          <w:sz w:val="22"/>
          <w:szCs w:val="22"/>
          <w:color w:val="auto"/>
        </w:rPr>
      </w:pPr>
    </w:p>
    <w:p>
      <w:pPr>
        <w:ind w:firstLine="8"/>
        <w:spacing w:after="0" w:line="269" w:lineRule="auto"/>
        <w:tabs>
          <w:tab w:leader="none" w:pos="402"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AND TERMINATION. </w:t>
      </w:r>
      <w:r>
        <w:rPr>
          <w:rFonts w:ascii="Arial" w:cs="Arial" w:eastAsia="Arial" w:hAnsi="Arial"/>
          <w:sz w:val="22"/>
          <w:szCs w:val="22"/>
          <w:color w:val="auto"/>
        </w:rPr>
        <w:t>Subject to the terms of the Plan, the Company may amend or terminate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the Plan at any time.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69" w:right="239" w:bottom="1440" w:gutter="0" w:footer="0" w:header="0"/>
        </w:sectPr>
      </w:pPr>
    </w:p>
    <w:bookmarkStart w:id="60" w:name="page61"/>
    <w:bookmarkEnd w:id="60"/>
    <w:p>
      <w:pPr>
        <w:jc w:val="both"/>
        <w:ind w:firstLine="8"/>
        <w:spacing w:after="0" w:line="262" w:lineRule="auto"/>
        <w:tabs>
          <w:tab w:leader="none" w:pos="389" w:val="left"/>
        </w:tabs>
        <w:numPr>
          <w:ilvl w:val="0"/>
          <w:numId w:val="3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BENEFICIARY DESIGNATION. </w:t>
      </w:r>
      <w:r>
        <w:rPr>
          <w:rFonts w:ascii="Arial" w:cs="Arial" w:eastAsia="Arial" w:hAnsi="Arial"/>
          <w:sz w:val="21"/>
          <w:szCs w:val="21"/>
          <w:color w:val="auto"/>
        </w:rPr>
        <w:t>You may name a beneficiary or beneficiaries to receive any vested Performance Units and</w:t>
      </w:r>
      <w:r>
        <w:rPr>
          <w:rFonts w:ascii="Arial" w:cs="Arial" w:eastAsia="Arial" w:hAnsi="Arial"/>
          <w:sz w:val="21"/>
          <w:szCs w:val="21"/>
          <w:b w:val="1"/>
          <w:bCs w:val="1"/>
          <w:color w:val="auto"/>
        </w:rPr>
        <w:t xml:space="preserve"> </w:t>
      </w:r>
      <w:r>
        <w:rPr>
          <w:rFonts w:ascii="Arial" w:cs="Arial" w:eastAsia="Arial" w:hAnsi="Arial"/>
          <w:sz w:val="21"/>
          <w:szCs w:val="21"/>
          <w:color w:val="auto"/>
        </w:rPr>
        <w:t>related dividend equivalents that may be achieved under this Award Agreement but are settled after you die. This may be done only on the attached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214" w:lineRule="exact"/>
        <w:rPr>
          <w:rFonts w:ascii="Arial" w:cs="Arial" w:eastAsia="Arial" w:hAnsi="Arial"/>
          <w:sz w:val="21"/>
          <w:szCs w:val="21"/>
          <w:b w:val="1"/>
          <w:bCs w:val="1"/>
          <w:color w:val="auto"/>
        </w:rPr>
      </w:pPr>
    </w:p>
    <w:p>
      <w:pPr>
        <w:jc w:val="both"/>
        <w:ind w:firstLine="8"/>
        <w:spacing w:after="0" w:line="252" w:lineRule="auto"/>
        <w:tabs>
          <w:tab w:leader="none" w:pos="708"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TRANSFERRING YOUR PERFORMANCE UNITS AND RELATED DIVIDEND EQUIVALENTS. </w:t>
      </w:r>
      <w:r>
        <w:rPr>
          <w:rFonts w:ascii="Arial" w:cs="Arial" w:eastAsia="Arial" w:hAnsi="Arial"/>
          <w:sz w:val="22"/>
          <w:szCs w:val="22"/>
          <w:color w:val="auto"/>
        </w:rPr>
        <w:t>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described in Section 9, your Performance Units and related dividend equivalents may not be transferred to another person. Also, the Committee may allow you to place your Performance Units and related dividend equivalents into a trust established for your benefit or the benefit of your family. Contact the Third Party Administrator for further details.</w:t>
      </w:r>
    </w:p>
    <w:p>
      <w:pPr>
        <w:spacing w:after="0" w:line="220" w:lineRule="exact"/>
        <w:rPr>
          <w:rFonts w:ascii="Arial" w:cs="Arial" w:eastAsia="Arial" w:hAnsi="Arial"/>
          <w:sz w:val="22"/>
          <w:szCs w:val="22"/>
          <w:b w:val="1"/>
          <w:bCs w:val="1"/>
          <w:color w:val="auto"/>
        </w:rPr>
      </w:pPr>
    </w:p>
    <w:p>
      <w:pPr>
        <w:jc w:val="both"/>
        <w:ind w:firstLine="8"/>
        <w:spacing w:after="0" w:line="256" w:lineRule="auto"/>
        <w:tabs>
          <w:tab w:leader="none" w:pos="507"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Award Agreement shall be governed by the laws of the State of Ohio, excluding any conflicts or</w:t>
      </w:r>
      <w:r>
        <w:rPr>
          <w:rFonts w:ascii="Arial" w:cs="Arial" w:eastAsia="Arial" w:hAnsi="Arial"/>
          <w:sz w:val="22"/>
          <w:szCs w:val="22"/>
          <w:b w:val="1"/>
          <w:bCs w:val="1"/>
          <w:color w:val="auto"/>
        </w:rPr>
        <w:t xml:space="preserve"> </w:t>
      </w:r>
      <w:r>
        <w:rPr>
          <w:rFonts w:ascii="Arial" w:cs="Arial" w:eastAsia="Arial" w:hAnsi="Arial"/>
          <w:sz w:val="22"/>
          <w:szCs w:val="22"/>
          <w:color w:val="auto"/>
        </w:rPr>
        <w:t>choice of law rule or principle that might otherwise refer construction or interpretation of the Plan to the substantive law of another jurisdiction.</w:t>
      </w:r>
    </w:p>
    <w:p>
      <w:pPr>
        <w:spacing w:after="0" w:line="216" w:lineRule="exact"/>
        <w:rPr>
          <w:rFonts w:ascii="Arial" w:cs="Arial" w:eastAsia="Arial" w:hAnsi="Arial"/>
          <w:sz w:val="22"/>
          <w:szCs w:val="22"/>
          <w:b w:val="1"/>
          <w:bCs w:val="1"/>
          <w:color w:val="auto"/>
        </w:rPr>
      </w:pPr>
    </w:p>
    <w:p>
      <w:pPr>
        <w:jc w:val="both"/>
        <w:ind w:firstLine="8"/>
        <w:spacing w:after="0" w:line="298" w:lineRule="auto"/>
        <w:tabs>
          <w:tab w:leader="none" w:pos="486" w:val="left"/>
        </w:tabs>
        <w:numPr>
          <w:ilvl w:val="0"/>
          <w:numId w:val="3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OTHER AGREEMENTS AND POLICIES. </w:t>
      </w:r>
      <w:r>
        <w:rPr>
          <w:rFonts w:ascii="Arial" w:cs="Arial" w:eastAsia="Arial" w:hAnsi="Arial"/>
          <w:sz w:val="19"/>
          <w:szCs w:val="19"/>
          <w:color w:val="auto"/>
        </w:rPr>
        <w:t>Your Performance Units and related dividend equivalents, whether achieved or</w:t>
      </w:r>
      <w:r>
        <w:rPr>
          <w:rFonts w:ascii="Arial" w:cs="Arial" w:eastAsia="Arial" w:hAnsi="Arial"/>
          <w:sz w:val="19"/>
          <w:szCs w:val="19"/>
          <w:b w:val="1"/>
          <w:bCs w:val="1"/>
          <w:color w:val="auto"/>
        </w:rPr>
        <w:t xml:space="preserve"> </w:t>
      </w:r>
      <w:r>
        <w:rPr>
          <w:rFonts w:ascii="Arial" w:cs="Arial" w:eastAsia="Arial" w:hAnsi="Arial"/>
          <w:sz w:val="19"/>
          <w:szCs w:val="19"/>
          <w:color w:val="auto"/>
        </w:rPr>
        <w:t>not, will be subject to the terms of any other written agreements between you and the Company or any Affiliate or Subsidiary to the extent that those other agreements do not directly conflict with the terms of the Plan or this Award Agreement. Your Performance Units and related dividend equivalents granted under the Plan shall be subject to any applicable Company clawback or recoupment policies, share trading policies and other policies that may be implemented by the Company from time to time.</w:t>
      </w:r>
    </w:p>
    <w:p>
      <w:pPr>
        <w:spacing w:after="0" w:line="142" w:lineRule="exact"/>
        <w:rPr>
          <w:rFonts w:ascii="Arial" w:cs="Arial" w:eastAsia="Arial" w:hAnsi="Arial"/>
          <w:sz w:val="19"/>
          <w:szCs w:val="19"/>
          <w:b w:val="1"/>
          <w:bCs w:val="1"/>
          <w:color w:val="auto"/>
        </w:rPr>
      </w:pPr>
    </w:p>
    <w:p>
      <w:pPr>
        <w:jc w:val="both"/>
        <w:ind w:firstLine="8"/>
        <w:spacing w:after="0" w:line="256" w:lineRule="auto"/>
        <w:tabs>
          <w:tab w:leader="none" w:pos="562"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TO YOUR PERFORMANCE UNITS. </w:t>
      </w:r>
      <w:r>
        <w:rPr>
          <w:rFonts w:ascii="Arial" w:cs="Arial" w:eastAsia="Arial" w:hAnsi="Arial"/>
          <w:sz w:val="22"/>
          <w:szCs w:val="22"/>
          <w:color w:val="auto"/>
        </w:rPr>
        <w:t>Subject to the terms of the Plan, your Performance Units and</w:t>
      </w:r>
      <w:r>
        <w:rPr>
          <w:rFonts w:ascii="Arial" w:cs="Arial" w:eastAsia="Arial" w:hAnsi="Arial"/>
          <w:sz w:val="22"/>
          <w:szCs w:val="22"/>
          <w:b w:val="1"/>
          <w:bCs w:val="1"/>
          <w:color w:val="auto"/>
        </w:rPr>
        <w:t xml:space="preserve"> </w:t>
      </w:r>
      <w:r>
        <w:rPr>
          <w:rFonts w:ascii="Arial" w:cs="Arial" w:eastAsia="Arial" w:hAnsi="Arial"/>
          <w:sz w:val="22"/>
          <w:szCs w:val="22"/>
          <w:color w:val="auto"/>
        </w:rPr>
        <w:t>related dividend equivalents will be adjusted, if appropriate, to reflect any change to the Company’s capital structure (e.g., the number of Shares underlying your Performance Units will be adjusted to reflect a stock split).</w:t>
      </w:r>
    </w:p>
    <w:p>
      <w:pPr>
        <w:spacing w:after="0" w:line="216" w:lineRule="exact"/>
        <w:rPr>
          <w:rFonts w:ascii="Arial" w:cs="Arial" w:eastAsia="Arial" w:hAnsi="Arial"/>
          <w:sz w:val="22"/>
          <w:szCs w:val="22"/>
          <w:b w:val="1"/>
          <w:bCs w:val="1"/>
          <w:color w:val="auto"/>
        </w:rPr>
      </w:pPr>
    </w:p>
    <w:p>
      <w:pPr>
        <w:ind w:left="480" w:hanging="472"/>
        <w:spacing w:after="0"/>
        <w:tabs>
          <w:tab w:leader="none" w:pos="48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YOUR ACKNOWLEDGMENT OF AND AGREEMENT TO AWARD CONDITIONS.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By signing below, you acknowledge and agree that:</w:t>
      </w:r>
    </w:p>
    <w:p>
      <w:pPr>
        <w:spacing w:after="0" w:line="220" w:lineRule="exact"/>
        <w:rPr>
          <w:sz w:val="20"/>
          <w:szCs w:val="20"/>
          <w:color w:val="auto"/>
        </w:rPr>
      </w:pPr>
    </w:p>
    <w:p>
      <w:pPr>
        <w:ind w:left="1100" w:hanging="444"/>
        <w:spacing w:after="0"/>
        <w:tabs>
          <w:tab w:leader="none" w:pos="11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A copy of the Plan has been made available to you;</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You understand and accept the terms and conditions of your Award;</w:t>
      </w:r>
    </w:p>
    <w:p>
      <w:pPr>
        <w:spacing w:after="0" w:line="219"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69" w:right="239" w:bottom="1440" w:gutter="0" w:footer="0" w:header="0"/>
        </w:sectPr>
      </w:pPr>
    </w:p>
    <w:bookmarkStart w:id="61" w:name="page62"/>
    <w:bookmarkEnd w:id="61"/>
    <w:p>
      <w:pPr>
        <w:ind w:left="1260" w:hanging="644"/>
        <w:spacing w:after="0" w:line="269" w:lineRule="auto"/>
        <w:tabs>
          <w:tab w:leader="none" w:pos="12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You must return a signed copy of this Award Agreement to the address given above before [</w:t>
      </w:r>
      <w:r>
        <w:rPr>
          <w:rFonts w:ascii="Arial" w:cs="Arial" w:eastAsia="Arial" w:hAnsi="Arial"/>
          <w:sz w:val="22"/>
          <w:szCs w:val="22"/>
          <w:b w:val="1"/>
          <w:bCs w:val="1"/>
          <w:color w:val="auto"/>
        </w:rPr>
        <w:t>Date 30 Days After</w:t>
      </w:r>
      <w:r>
        <w:rPr>
          <w:rFonts w:ascii="Arial" w:cs="Arial" w:eastAsia="Arial" w:hAnsi="Arial"/>
          <w:sz w:val="22"/>
          <w:szCs w:val="22"/>
          <w:color w:val="auto"/>
        </w:rPr>
        <w:t xml:space="preserve"> </w:t>
      </w:r>
      <w:r>
        <w:rPr>
          <w:rFonts w:ascii="Arial" w:cs="Arial" w:eastAsia="Arial" w:hAnsi="Arial"/>
          <w:sz w:val="22"/>
          <w:szCs w:val="22"/>
          <w:b w:val="1"/>
          <w:bCs w:val="1"/>
          <w:color w:val="auto"/>
        </w:rPr>
        <w:t>Grant Date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600" w:type="dxa"/>
            <w:vAlign w:val="bottom"/>
          </w:tcPr>
          <w:p>
            <w:pPr>
              <w:spacing w:after="0"/>
              <w:rPr>
                <w:sz w:val="23"/>
                <w:szCs w:val="23"/>
                <w:color w:val="auto"/>
              </w:rPr>
            </w:pPr>
          </w:p>
        </w:tc>
        <w:tc>
          <w:tcPr>
            <w:tcW w:w="5120" w:type="dxa"/>
            <w:vAlign w:val="bottom"/>
          </w:tcPr>
          <w:p>
            <w:pPr>
              <w:ind w:left="880"/>
              <w:spacing w:after="0"/>
              <w:rPr>
                <w:sz w:val="20"/>
                <w:szCs w:val="20"/>
                <w:color w:val="auto"/>
              </w:rPr>
            </w:pPr>
            <w:r>
              <w:rPr>
                <w:rFonts w:ascii="Arial" w:cs="Arial" w:eastAsia="Arial" w:hAnsi="Arial"/>
                <w:sz w:val="22"/>
                <w:szCs w:val="22"/>
                <w:color w:val="auto"/>
              </w:rPr>
              <w:t>THE SCOTTS MIRACLE-GRO COMPANY</w:t>
            </w:r>
          </w:p>
        </w:tc>
        <w:tc>
          <w:tcPr>
            <w:tcW w:w="0" w:type="dxa"/>
            <w:vAlign w:val="bottom"/>
          </w:tcPr>
          <w:p>
            <w:pPr>
              <w:spacing w:after="0"/>
              <w:rPr>
                <w:sz w:val="1"/>
                <w:szCs w:val="1"/>
                <w:color w:val="auto"/>
              </w:rPr>
            </w:pPr>
          </w:p>
        </w:tc>
      </w:tr>
      <w:tr>
        <w:trPr>
          <w:trHeight w:val="486"/>
        </w:trPr>
        <w:tc>
          <w:tcPr>
            <w:tcW w:w="4600" w:type="dxa"/>
            <w:vAlign w:val="bottom"/>
            <w:vMerge w:val="restart"/>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Grantee’s Name</w:t>
            </w:r>
            <w:r>
              <w:rPr>
                <w:rFonts w:ascii="Arial" w:cs="Arial" w:eastAsia="Arial" w:hAnsi="Arial"/>
                <w:sz w:val="22"/>
                <w:szCs w:val="22"/>
                <w:color w:val="auto"/>
              </w:rPr>
              <w:t>]</w:t>
            </w:r>
          </w:p>
        </w:tc>
        <w:tc>
          <w:tcPr>
            <w:tcW w:w="5120" w:type="dxa"/>
            <w:vAlign w:val="bottom"/>
          </w:tcPr>
          <w:p>
            <w:pPr>
              <w:ind w:left="940"/>
              <w:spacing w:after="0"/>
              <w:rPr>
                <w:sz w:val="20"/>
                <w:szCs w:val="20"/>
                <w:color w:val="auto"/>
              </w:rPr>
            </w:pPr>
            <w:r>
              <w:rPr>
                <w:rFonts w:ascii="Arial" w:cs="Arial" w:eastAsia="Arial" w:hAnsi="Arial"/>
                <w:sz w:val="22"/>
                <w:szCs w:val="22"/>
                <w:color w:val="auto"/>
                <w:w w:val="89"/>
              </w:rPr>
              <w:t>By: ___________________________________</w:t>
            </w:r>
          </w:p>
        </w:tc>
        <w:tc>
          <w:tcPr>
            <w:tcW w:w="0" w:type="dxa"/>
            <w:vAlign w:val="bottom"/>
          </w:tcPr>
          <w:p>
            <w:pPr>
              <w:spacing w:after="0"/>
              <w:rPr>
                <w:sz w:val="1"/>
                <w:szCs w:val="1"/>
                <w:color w:val="auto"/>
              </w:rPr>
            </w:pPr>
          </w:p>
        </w:tc>
      </w:tr>
      <w:tr>
        <w:trPr>
          <w:trHeight w:val="243"/>
        </w:trPr>
        <w:tc>
          <w:tcPr>
            <w:tcW w:w="4600" w:type="dxa"/>
            <w:vAlign w:val="bottom"/>
            <w:vMerge w:val="continue"/>
          </w:tcPr>
          <w:p>
            <w:pPr>
              <w:spacing w:after="0"/>
              <w:rPr>
                <w:sz w:val="21"/>
                <w:szCs w:val="21"/>
                <w:color w:val="auto"/>
              </w:rPr>
            </w:pPr>
          </w:p>
        </w:tc>
        <w:tc>
          <w:tcPr>
            <w:tcW w:w="5120" w:type="dxa"/>
            <w:vAlign w:val="bottom"/>
            <w:vMerge w:val="restart"/>
          </w:tcPr>
          <w:p>
            <w:pPr>
              <w:ind w:left="940"/>
              <w:spacing w:after="0"/>
              <w:rPr>
                <w:sz w:val="20"/>
                <w:szCs w:val="20"/>
                <w:color w:val="auto"/>
              </w:rPr>
            </w:pPr>
            <w:r>
              <w:rPr>
                <w:rFonts w:ascii="Arial" w:cs="Arial" w:eastAsia="Arial" w:hAnsi="Arial"/>
                <w:sz w:val="22"/>
                <w:szCs w:val="22"/>
                <w:color w:val="auto"/>
              </w:rPr>
              <w:t>[Name of Company Representative]</w:t>
            </w:r>
          </w:p>
        </w:tc>
        <w:tc>
          <w:tcPr>
            <w:tcW w:w="0" w:type="dxa"/>
            <w:vAlign w:val="bottom"/>
          </w:tcPr>
          <w:p>
            <w:pPr>
              <w:spacing w:after="0"/>
              <w:rPr>
                <w:sz w:val="1"/>
                <w:szCs w:val="1"/>
                <w:color w:val="auto"/>
              </w:rPr>
            </w:pPr>
          </w:p>
        </w:tc>
      </w:tr>
      <w:tr>
        <w:trPr>
          <w:trHeight w:val="212"/>
        </w:trPr>
        <w:tc>
          <w:tcPr>
            <w:tcW w:w="4600" w:type="dxa"/>
            <w:vAlign w:val="bottom"/>
          </w:tcPr>
          <w:p>
            <w:pPr>
              <w:spacing w:after="0"/>
              <w:rPr>
                <w:sz w:val="18"/>
                <w:szCs w:val="18"/>
                <w:color w:val="auto"/>
              </w:rPr>
            </w:pPr>
          </w:p>
        </w:tc>
        <w:tc>
          <w:tcPr>
            <w:tcW w:w="5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00" w:type="dxa"/>
            <w:vAlign w:val="bottom"/>
          </w:tcPr>
          <w:p>
            <w:pPr>
              <w:spacing w:after="0" w:line="243" w:lineRule="exact"/>
              <w:rPr>
                <w:sz w:val="20"/>
                <w:szCs w:val="20"/>
                <w:color w:val="auto"/>
              </w:rPr>
            </w:pPr>
            <w:r>
              <w:rPr>
                <w:rFonts w:ascii="Arial" w:cs="Arial" w:eastAsia="Arial" w:hAnsi="Arial"/>
                <w:sz w:val="22"/>
                <w:szCs w:val="22"/>
                <w:color w:val="auto"/>
              </w:rPr>
              <w:t>By: ______________________________</w:t>
            </w:r>
          </w:p>
        </w:tc>
        <w:tc>
          <w:tcPr>
            <w:tcW w:w="5120" w:type="dxa"/>
            <w:vAlign w:val="bottom"/>
          </w:tcPr>
          <w:p>
            <w:pPr>
              <w:ind w:left="940"/>
              <w:spacing w:after="0" w:line="243" w:lineRule="exact"/>
              <w:rPr>
                <w:sz w:val="20"/>
                <w:szCs w:val="20"/>
                <w:color w:val="auto"/>
              </w:rPr>
            </w:pPr>
            <w:r>
              <w:rPr>
                <w:rFonts w:ascii="Arial" w:cs="Arial" w:eastAsia="Arial" w:hAnsi="Arial"/>
                <w:sz w:val="22"/>
                <w:szCs w:val="22"/>
                <w:color w:val="auto"/>
              </w:rPr>
              <w:t>[Title of Company Representative]</w:t>
            </w:r>
          </w:p>
        </w:tc>
        <w:tc>
          <w:tcPr>
            <w:tcW w:w="0" w:type="dxa"/>
            <w:vAlign w:val="bottom"/>
          </w:tcPr>
          <w:p>
            <w:pPr>
              <w:spacing w:after="0"/>
              <w:rPr>
                <w:sz w:val="1"/>
                <w:szCs w:val="1"/>
                <w:color w:val="auto"/>
              </w:rPr>
            </w:pPr>
          </w:p>
        </w:tc>
      </w:tr>
      <w:tr>
        <w:trPr>
          <w:trHeight w:val="275"/>
        </w:trPr>
        <w:tc>
          <w:tcPr>
            <w:tcW w:w="4600" w:type="dxa"/>
            <w:vAlign w:val="bottom"/>
            <w:vMerge w:val="restart"/>
          </w:tcPr>
          <w:p>
            <w:pPr>
              <w:spacing w:after="0"/>
              <w:rPr>
                <w:sz w:val="20"/>
                <w:szCs w:val="20"/>
                <w:color w:val="auto"/>
              </w:rPr>
            </w:pPr>
            <w:r>
              <w:rPr>
                <w:rFonts w:ascii="Arial" w:cs="Arial" w:eastAsia="Arial" w:hAnsi="Arial"/>
                <w:sz w:val="22"/>
                <w:szCs w:val="22"/>
                <w:color w:val="auto"/>
              </w:rPr>
              <w:t>Date signed: ________________________</w:t>
            </w:r>
          </w:p>
        </w:tc>
        <w:tc>
          <w:tcPr>
            <w:tcW w:w="5120" w:type="dxa"/>
            <w:vAlign w:val="bottom"/>
          </w:tcPr>
          <w:p>
            <w:pPr>
              <w:ind w:left="940"/>
              <w:spacing w:after="0"/>
              <w:rPr>
                <w:sz w:val="20"/>
                <w:szCs w:val="20"/>
                <w:color w:val="auto"/>
              </w:rPr>
            </w:pPr>
            <w:r>
              <w:rPr>
                <w:rFonts w:ascii="Arial" w:cs="Arial" w:eastAsia="Arial" w:hAnsi="Arial"/>
                <w:sz w:val="22"/>
                <w:szCs w:val="22"/>
                <w:color w:val="auto"/>
                <w:w w:val="88"/>
              </w:rPr>
              <w:t>Date signed: ____________________________</w:t>
            </w:r>
          </w:p>
        </w:tc>
        <w:tc>
          <w:tcPr>
            <w:tcW w:w="0" w:type="dxa"/>
            <w:vAlign w:val="bottom"/>
          </w:tcPr>
          <w:p>
            <w:pPr>
              <w:spacing w:after="0"/>
              <w:rPr>
                <w:sz w:val="1"/>
                <w:szCs w:val="1"/>
                <w:color w:val="auto"/>
              </w:rPr>
            </w:pPr>
          </w:p>
        </w:tc>
      </w:tr>
      <w:tr>
        <w:trPr>
          <w:trHeight w:val="243"/>
        </w:trPr>
        <w:tc>
          <w:tcPr>
            <w:tcW w:w="4600" w:type="dxa"/>
            <w:vAlign w:val="bottom"/>
            <w:vMerge w:val="continue"/>
          </w:tcPr>
          <w:p>
            <w:pPr>
              <w:spacing w:after="0"/>
              <w:rPr>
                <w:sz w:val="21"/>
                <w:szCs w:val="21"/>
                <w:color w:val="auto"/>
              </w:rPr>
            </w:pPr>
          </w:p>
        </w:tc>
        <w:tc>
          <w:tcPr>
            <w:tcW w:w="5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80"/>
          </w:cols>
          <w:pgMar w:left="280" w:top="369" w:right="239" w:bottom="1440" w:gutter="0" w:footer="0" w:header="0"/>
        </w:sectPr>
      </w:pPr>
    </w:p>
    <w:bookmarkStart w:id="62" w:name="page63"/>
    <w:bookmarkEnd w:id="62"/>
    <w:p>
      <w:pPr>
        <w:jc w:val="center"/>
        <w:ind w:right="-159"/>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PERFORMANCE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980"/>
        <w:spacing w:after="0" w:line="287" w:lineRule="auto"/>
        <w:rPr>
          <w:sz w:val="20"/>
          <w:szCs w:val="20"/>
          <w:color w:val="auto"/>
        </w:rPr>
      </w:pPr>
      <w:r>
        <w:rPr>
          <w:rFonts w:ascii="Arial" w:cs="Arial" w:eastAsia="Arial" w:hAnsi="Arial"/>
          <w:sz w:val="21"/>
          <w:szCs w:val="21"/>
          <w:color w:val="auto"/>
        </w:rPr>
        <w:t>The number of Performance Units Achieved under this Award Agreement is subject to the satisfaction of the following performance criteria and will be determined as of the end of the Performance Period, as follows:</w:t>
      </w:r>
    </w:p>
    <w:p>
      <w:pPr>
        <w:spacing w:after="0" w:line="152" w:lineRule="exact"/>
        <w:rPr>
          <w:sz w:val="20"/>
          <w:szCs w:val="20"/>
          <w:color w:val="auto"/>
        </w:rPr>
      </w:pPr>
    </w:p>
    <w:p>
      <w:pPr>
        <w:ind w:right="5020"/>
        <w:spacing w:after="0" w:line="580" w:lineRule="auto"/>
        <w:rPr>
          <w:sz w:val="20"/>
          <w:szCs w:val="20"/>
          <w:color w:val="auto"/>
        </w:rPr>
      </w:pPr>
      <w:r>
        <w:rPr>
          <w:rFonts w:ascii="Arial" w:cs="Arial" w:eastAsia="Arial" w:hAnsi="Arial"/>
          <w:sz w:val="19"/>
          <w:szCs w:val="19"/>
          <w:i w:val="1"/>
          <w:iCs w:val="1"/>
          <w:color w:val="auto"/>
        </w:rPr>
        <w:t>Performance Units Achieved = Performance Units * Payout Percentage Payout Percentage = Portion of Performance Units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269240</wp:posOffset>
            </wp:positionV>
            <wp:extent cx="1869440" cy="38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69440" cy="386080"/>
                    </a:xfrm>
                    <a:prstGeom prst="rect">
                      <a:avLst/>
                    </a:prstGeom>
                    <a:noFill/>
                  </pic:spPr>
                </pic:pic>
              </a:graphicData>
            </a:graphic>
          </wp:anchor>
        </w:drawing>
      </w:r>
    </w:p>
    <w:p>
      <w:pPr>
        <w:sectPr>
          <w:pgSz w:w="11900" w:h="16838" w:orient="portrait"/>
          <w:cols w:equalWidth="0" w:num="1">
            <w:col w:w="11280"/>
          </w:cols>
          <w:pgMar w:left="240" w:top="58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2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Measurement Level</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Measure</w:t>
            </w:r>
          </w:p>
        </w:tc>
        <w:tc>
          <w:tcPr>
            <w:tcW w:w="2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Weight</w:t>
            </w:r>
          </w:p>
        </w:tc>
        <w:tc>
          <w:tcPr>
            <w:tcW w:w="40" w:type="dxa"/>
            <w:vAlign w:val="bottom"/>
            <w:tcBorders>
              <w:top w:val="single" w:sz="8" w:color="auto"/>
              <w:bottom w:val="single" w:sz="8" w:color="auto"/>
              <w:right w:val="single" w:sz="8" w:color="auto"/>
            </w:tcBorders>
            <w:shd w:val="clear" w:color="auto" w:fill="000000"/>
          </w:tcPr>
          <w:p>
            <w:pPr>
              <w:spacing w:after="0"/>
              <w:rPr>
                <w:sz w:val="24"/>
                <w:szCs w:val="24"/>
                <w:color w:val="auto"/>
              </w:rPr>
            </w:pPr>
          </w:p>
        </w:tc>
        <w:tc>
          <w:tcPr>
            <w:tcW w:w="20" w:type="dxa"/>
            <w:vAlign w:val="bottom"/>
            <w:tcBorders>
              <w:top w:val="single" w:sz="8" w:color="auto"/>
              <w:bottom w:val="single" w:sz="8" w:color="auto"/>
            </w:tcBorders>
            <w:shd w:val="clear" w:color="auto" w:fill="000000"/>
          </w:tcPr>
          <w:p>
            <w:pPr>
              <w:spacing w:after="0"/>
              <w:rPr>
                <w:sz w:val="24"/>
                <w:szCs w:val="24"/>
                <w:color w:val="auto"/>
              </w:rPr>
            </w:pPr>
          </w:p>
        </w:tc>
      </w:tr>
      <w:tr>
        <w:trPr>
          <w:trHeight w:val="122"/>
        </w:trPr>
        <w:tc>
          <w:tcPr>
            <w:tcW w:w="238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57"/>
        </w:trPr>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Total Company</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Earnings Per Share¹</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40" w:type="dxa"/>
            <w:vAlign w:val="bottom"/>
            <w:tcBorders>
              <w:bottom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Total Company</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Earnings Per Share¹</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40" w:type="dxa"/>
            <w:vAlign w:val="bottom"/>
            <w:tcBorders>
              <w:bottom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FY13 Performance Period</w:t>
      </w:r>
    </w:p>
    <w:p>
      <w:pPr>
        <w:spacing w:after="0" w:line="113"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Minimum²</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128905</wp:posOffset>
            </wp:positionV>
            <wp:extent cx="1852295" cy="368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52295" cy="368935"/>
                    </a:xfrm>
                    <a:prstGeom prst="rect">
                      <a:avLst/>
                    </a:prstGeom>
                    <a:noFill/>
                  </pic:spPr>
                </pic:pic>
              </a:graphicData>
            </a:graphic>
          </wp:anchor>
        </w:drawing>
      </w:r>
    </w:p>
    <w:p>
      <w:pPr>
        <w:spacing w:after="0" w:line="20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$2.25 EPS</w:t>
      </w:r>
    </w:p>
    <w:p>
      <w:pPr>
        <w:spacing w:after="0" w:line="7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$1.00 EPS</w:t>
      </w:r>
    </w:p>
    <w:p>
      <w:pPr>
        <w:spacing w:after="0" w:line="263" w:lineRule="exact"/>
        <w:rPr>
          <w:sz w:val="20"/>
          <w:szCs w:val="20"/>
          <w:color w:val="auto"/>
        </w:rPr>
      </w:pPr>
    </w:p>
    <w:p>
      <w:pPr>
        <w:sectPr>
          <w:pgSz w:w="11900" w:h="16838" w:orient="portrait"/>
          <w:cols w:equalWidth="0" w:num="2">
            <w:col w:w="6460" w:space="380"/>
            <w:col w:w="4440"/>
          </w:cols>
          <w:pgMar w:left="240" w:top="585" w:right="379" w:bottom="1440" w:gutter="0" w:footer="0" w:header="0"/>
          <w:type w:val="continuous"/>
        </w:sectPr>
      </w:pP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6440" w:type="dxa"/>
            <w:vAlign w:val="bottom"/>
            <w:tcBorders>
              <w:top w:val="single" w:sz="8" w:color="auto"/>
              <w:left w:val="single" w:sz="8" w:color="auto"/>
              <w:bottom w:val="single" w:sz="8" w:color="auto"/>
              <w:right w:val="single" w:sz="8" w:color="auto"/>
            </w:tcBorders>
          </w:tcPr>
          <w:p>
            <w:pPr>
              <w:jc w:val="right"/>
              <w:ind w:right="4961"/>
              <w:spacing w:after="0"/>
              <w:rPr>
                <w:sz w:val="20"/>
                <w:szCs w:val="20"/>
                <w:color w:val="auto"/>
              </w:rPr>
            </w:pPr>
            <w:r>
              <w:rPr>
                <w:rFonts w:ascii="Arial" w:cs="Arial" w:eastAsia="Arial" w:hAnsi="Arial"/>
                <w:sz w:val="18"/>
                <w:szCs w:val="18"/>
                <w:color w:val="auto"/>
                <w:w w:val="88"/>
              </w:rPr>
              <w:t>Payout Percentage</w:t>
            </w:r>
          </w:p>
        </w:tc>
        <w:tc>
          <w:tcPr>
            <w:tcW w:w="380" w:type="dxa"/>
            <w:vAlign w:val="bottom"/>
            <w:tcBorders>
              <w:right w:val="single" w:sz="8" w:color="auto"/>
            </w:tcBorders>
          </w:tcPr>
          <w:p>
            <w:pPr>
              <w:spacing w:after="0"/>
              <w:rPr>
                <w:sz w:val="24"/>
                <w:szCs w:val="24"/>
                <w:color w:val="auto"/>
              </w:rPr>
            </w:pPr>
          </w:p>
        </w:tc>
        <w:tc>
          <w:tcPr>
            <w:tcW w:w="2900" w:type="dxa"/>
            <w:vAlign w:val="bottom"/>
            <w:tcBorders>
              <w:top w:val="single" w:sz="8" w:color="auto"/>
              <w:bottom w:val="single" w:sz="8" w:color="auto"/>
              <w:right w:val="single" w:sz="8" w:color="auto"/>
            </w:tcBorders>
          </w:tcPr>
          <w:p>
            <w:pPr>
              <w:jc w:val="right"/>
              <w:ind w:right="1170"/>
              <w:spacing w:after="0"/>
              <w:rPr>
                <w:sz w:val="20"/>
                <w:szCs w:val="20"/>
                <w:color w:val="auto"/>
              </w:rPr>
            </w:pPr>
            <w:r>
              <w:rPr>
                <w:rFonts w:ascii="Arial" w:cs="Arial" w:eastAsia="Arial" w:hAnsi="Arial"/>
                <w:sz w:val="18"/>
                <w:szCs w:val="18"/>
                <w:color w:val="auto"/>
              </w:rPr>
              <w:t>100%</w:t>
            </w:r>
          </w:p>
        </w:tc>
      </w:tr>
      <w:tr>
        <w:trPr>
          <w:trHeight w:val="483"/>
        </w:trPr>
        <w:tc>
          <w:tcPr>
            <w:tcW w:w="6440" w:type="dxa"/>
            <w:vAlign w:val="bottom"/>
          </w:tcPr>
          <w:p>
            <w:pPr>
              <w:jc w:val="right"/>
              <w:ind w:right="3641"/>
              <w:spacing w:after="0"/>
              <w:rPr>
                <w:sz w:val="20"/>
                <w:szCs w:val="20"/>
                <w:color w:val="auto"/>
              </w:rPr>
            </w:pPr>
            <w:r>
              <w:rPr>
                <w:rFonts w:ascii="Arial" w:cs="Arial" w:eastAsia="Arial" w:hAnsi="Arial"/>
                <w:sz w:val="22"/>
                <w:szCs w:val="22"/>
                <w:color w:val="auto"/>
                <w:w w:val="87"/>
              </w:rPr>
              <w:t>_________________________</w:t>
            </w:r>
          </w:p>
        </w:tc>
        <w:tc>
          <w:tcPr>
            <w:tcW w:w="38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ind w:firstLine="8"/>
        <w:spacing w:after="0" w:line="253" w:lineRule="auto"/>
        <w:tabs>
          <w:tab w:leader="none" w:pos="119" w:val="left"/>
        </w:tabs>
        <w:numPr>
          <w:ilvl w:val="0"/>
          <w:numId w:val="36"/>
        </w:numPr>
        <w:rPr>
          <w:rFonts w:ascii="Arial" w:cs="Arial" w:eastAsia="Arial" w:hAnsi="Arial"/>
          <w:sz w:val="22"/>
          <w:szCs w:val="22"/>
          <w:color w:val="auto"/>
        </w:rPr>
      </w:pPr>
      <w:r>
        <w:rPr>
          <w:rFonts w:ascii="Arial" w:cs="Arial" w:eastAsia="Arial" w:hAnsi="Arial"/>
          <w:sz w:val="22"/>
          <w:szCs w:val="22"/>
          <w:color w:val="auto"/>
        </w:rPr>
        <w:t>Diluted Earnings Per Share as reported in the Company's year-end audited financial statements (excluding the negative impact of any nonrecurring items, extraordinary items, discontinued operations, or cumulative effects of accounting changes) for the performance period beginning October 1, 2012 and ending September 30, 2013.</w:t>
      </w:r>
    </w:p>
    <w:p>
      <w:pPr>
        <w:spacing w:after="0" w:line="200" w:lineRule="exact"/>
        <w:rPr>
          <w:sz w:val="20"/>
          <w:szCs w:val="20"/>
          <w:color w:val="auto"/>
        </w:rPr>
      </w:pPr>
    </w:p>
    <w:p>
      <w:pPr>
        <w:spacing w:after="0" w:line="202" w:lineRule="exact"/>
        <w:rPr>
          <w:sz w:val="20"/>
          <w:szCs w:val="20"/>
          <w:color w:val="auto"/>
        </w:rPr>
      </w:pPr>
    </w:p>
    <w:p>
      <w:pPr>
        <w:ind w:left="5660" w:right="1280" w:hanging="5652"/>
        <w:spacing w:after="0" w:line="866" w:lineRule="auto"/>
        <w:tabs>
          <w:tab w:leader="none" w:pos="127" w:val="left"/>
        </w:tabs>
        <w:numPr>
          <w:ilvl w:val="0"/>
          <w:numId w:val="37"/>
        </w:numPr>
        <w:rPr>
          <w:rFonts w:ascii="Arial" w:cs="Arial" w:eastAsia="Arial" w:hAnsi="Arial"/>
          <w:sz w:val="22"/>
          <w:szCs w:val="22"/>
          <w:color w:val="auto"/>
        </w:rPr>
      </w:pPr>
      <w:r>
        <w:rPr>
          <w:rFonts w:ascii="Arial" w:cs="Arial" w:eastAsia="Arial" w:hAnsi="Arial"/>
          <w:sz w:val="22"/>
          <w:szCs w:val="22"/>
          <w:color w:val="auto"/>
        </w:rPr>
        <w:t>If actual performance is below the Minimum performance level indicated, no Performance Units will be achieved. 7</w:t>
      </w:r>
    </w:p>
    <w:p>
      <w:pPr>
        <w:sectPr>
          <w:pgSz w:w="11900" w:h="16838" w:orient="portrait"/>
          <w:cols w:equalWidth="0" w:num="1">
            <w:col w:w="11280"/>
          </w:cols>
          <w:pgMar w:left="240" w:top="585" w:right="379" w:bottom="1440" w:gutter="0" w:footer="0" w:header="0"/>
          <w:type w:val="continuous"/>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quarterly period ended March 30, 2013;</w:t>
      </w:r>
    </w:p>
    <w:p>
      <w:pPr>
        <w:spacing w:after="0" w:line="128" w:lineRule="exact"/>
        <w:rPr>
          <w:rFonts w:ascii="Arial" w:cs="Arial" w:eastAsia="Arial" w:hAnsi="Arial"/>
          <w:sz w:val="17"/>
          <w:szCs w:val="17"/>
          <w:color w:val="auto"/>
        </w:rPr>
      </w:pPr>
    </w:p>
    <w:p>
      <w:pPr>
        <w:jc w:val="both"/>
        <w:ind w:left="660" w:right="30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May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Lawrence A. Hilsheimer, certify that:</w:t>
      </w:r>
    </w:p>
    <w:p>
      <w:pPr>
        <w:spacing w:after="0" w:line="279"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quarterly period ended March 30, 2013;</w:t>
      </w:r>
    </w:p>
    <w:p>
      <w:pPr>
        <w:spacing w:after="0" w:line="128" w:lineRule="exact"/>
        <w:rPr>
          <w:rFonts w:ascii="Arial" w:cs="Arial" w:eastAsia="Arial" w:hAnsi="Arial"/>
          <w:sz w:val="17"/>
          <w:szCs w:val="17"/>
          <w:color w:val="auto"/>
        </w:rPr>
      </w:pPr>
    </w:p>
    <w:p>
      <w:pPr>
        <w:jc w:val="both"/>
        <w:ind w:left="660" w:right="30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May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LAWRENCE A. HILSHEIMER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Lawrence A. Hilsheimer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quarterly period ended March 30, 2013 as filed with the Securities and Exchange Commission on the date hereof (the “Report”), the undersigned James Hagedorn, Chief Executive Officer and Chairman of the Board of the Company, and Lawrence A. Hilsheimer,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LAWRENCE A. HILSHEIMER</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Printed Name: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Lawrence A. Hilsheimer</w:t>
            </w:r>
          </w:p>
        </w:tc>
      </w:tr>
      <w:tr>
        <w:trPr>
          <w:trHeight w:val="27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Title: Chief Executive Officer 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Executive Vice President and Chief Financial Officer</w:t>
            </w:r>
          </w:p>
        </w:tc>
      </w:tr>
      <w:tr>
        <w:trPr>
          <w:trHeight w:val="54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May 7, 2013</w:t>
            </w:r>
          </w:p>
        </w:tc>
        <w:tc>
          <w:tcPr>
            <w:tcW w:w="5580" w:type="dxa"/>
            <w:vAlign w:val="bottom"/>
          </w:tcPr>
          <w:p>
            <w:pPr>
              <w:ind w:left="360"/>
              <w:spacing w:after="0"/>
              <w:rPr>
                <w:sz w:val="20"/>
                <w:szCs w:val="20"/>
                <w:color w:val="auto"/>
              </w:rPr>
            </w:pPr>
            <w:r>
              <w:rPr>
                <w:rFonts w:ascii="Arial" w:cs="Arial" w:eastAsia="Arial" w:hAnsi="Arial"/>
                <w:sz w:val="18"/>
                <w:szCs w:val="18"/>
                <w:color w:val="auto"/>
              </w:rPr>
              <w:t>May 7, 2013</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28"/>
    </w:lvl>
  </w:abstractNum>
  <w:abstractNum w:abstractNumId="3">
    <w:nsid w:val="2443A858"/>
    <w:multiLevelType w:val="hybridMultilevel"/>
    <w:lvl w:ilvl="0">
      <w:lvlJc w:val="left"/>
      <w:lvlText w:val="(%1)"/>
      <w:numFmt w:val="lowerLetter"/>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lowerLetter"/>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lvl w:ilvl="1">
      <w:lvlJc w:val="left"/>
      <w:lvlText w:val="%2"/>
      <w:numFmt w:val="lowerLetter"/>
      <w:start w:val="1"/>
    </w:lvl>
    <w:lvl w:ilvl="2">
      <w:lvlJc w:val="left"/>
      <w:lvlText w:val="(%3)"/>
      <w:numFmt w:val="decimal"/>
      <w:start w:val="800"/>
    </w:lvl>
  </w:abstractNum>
  <w:abstractNum w:abstractNumId="15">
    <w:nsid w:val="836C40E"/>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6">
    <w:nsid w:val="2901D82"/>
    <w:multiLevelType w:val="hybridMultilevel"/>
    <w:lvl w:ilvl="0">
      <w:lvlJc w:val="left"/>
      <w:lvlText w:val="%1."/>
      <w:numFmt w:val="decimal"/>
      <w:start w:val="4"/>
    </w:lvl>
  </w:abstractNum>
  <w:abstractNum w:abstractNumId="17">
    <w:nsid w:val="3A95F874"/>
    <w:multiLevelType w:val="hybridMultilevel"/>
    <w:lvl w:ilvl="0">
      <w:lvlJc w:val="left"/>
      <w:lvlText w:val="(%1)"/>
      <w:numFmt w:val="lowerLetter"/>
      <w:start w:val="1"/>
    </w:lvl>
    <w:lvl w:ilvl="1">
      <w:lvlJc w:val="left"/>
      <w:lvlText w:val="%2."/>
      <w:numFmt w:val="lowerRoman"/>
      <w:start w:val="1"/>
    </w:lvl>
  </w:abstractNum>
  <w:abstractNum w:abstractNumId="18">
    <w:nsid w:val="8138641"/>
    <w:multiLevelType w:val="hybridMultilevel"/>
    <w:lvl w:ilvl="0">
      <w:lvlJc w:val="left"/>
      <w:lvlText w:val="(%1)"/>
      <w:numFmt w:val="lowerRoman"/>
      <w:start w:val="1"/>
    </w:lvl>
  </w:abstractNum>
  <w:abstractNum w:abstractNumId="19">
    <w:nsid w:val="1E7FF52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2"/>
    </w:lvl>
  </w:abstractNum>
  <w:abstractNum w:abstractNumId="20">
    <w:nsid w:val="7C3DBD3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
    <w:nsid w:val="737B8DD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2">
    <w:nsid w:val="6CEAF08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3">
    <w:nsid w:val="22221A7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4">
    <w:nsid w:val="4516DDE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5">
    <w:nsid w:val="3006C83E"/>
    <w:multiLevelType w:val="hybridMultilevel"/>
    <w:lvl w:ilvl="0">
      <w:lvlJc w:val="left"/>
      <w:lvlText w:val="%1."/>
      <w:numFmt w:val="decimal"/>
      <w:start w:val="10"/>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2"/>
    </w:lvl>
    <w:lvl w:ilvl="1">
      <w:lvlJc w:val="left"/>
      <w:lvlText w:val="(%2)"/>
      <w:numFmt w:val="lowerLetter"/>
      <w:start w:val="1"/>
    </w:lvl>
  </w:abstractNum>
  <w:abstractNum w:abstractNumId="29">
    <w:nsid w:val="440BADF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0">
    <w:nsid w:val="507236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1">
    <w:nsid w:val="3804823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2">
    <w:nsid w:val="77465F01"/>
    <w:multiLevelType w:val="hybridMultilevel"/>
    <w:lvl w:ilvl="0">
      <w:lvlJc w:val="left"/>
      <w:lvlText w:val="%1."/>
      <w:numFmt w:val="decimal"/>
      <w:start w:val="9"/>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4"/>
    </w:lvl>
  </w:abstractNum>
  <w:abstractNum w:abstractNumId="35">
    <w:nsid w:val="2463B9EA"/>
    <w:multiLevelType w:val="hybridMultilevel"/>
    <w:lvl w:ilvl="0">
      <w:lvlJc w:val="left"/>
      <w:lvlText w:val="¹"/>
      <w:numFmt w:val="bullet"/>
      <w:start w:val="1"/>
    </w:lvl>
  </w:abstractNum>
  <w:abstractNum w:abstractNumId="36">
    <w:nsid w:val="5E884ADC"/>
    <w:multiLevelType w:val="hybridMultilevel"/>
    <w:lvl w:ilvl="0">
      <w:lvlJc w:val="left"/>
      <w:lvlText w:val="²"/>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2019-12-06T01:42:49Z</dcterms:created>
  <dcterms:modified xsi:type="dcterms:W3CDTF">2019-12-06T01:42:49Z</dcterms:modified>
</cp:coreProperties>
</file>